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7842" w:type="dxa"/>
        <w:jc w:val="center"/>
        <w:tblInd w:w="0" w:type="dxa"/>
        <w:tblLayout w:type="fixed"/>
        <w:tblCellMar>
          <w:top w:w="28" w:type="dxa"/>
          <w:left w:w="28" w:type="dxa"/>
          <w:bottom w:w="28" w:type="dxa"/>
          <w:right w:w="28" w:type="dxa"/>
        </w:tblCellMar>
      </w:tblPr>
      <w:tblGrid>
        <w:gridCol w:w="124"/>
        <w:gridCol w:w="109"/>
        <w:gridCol w:w="109"/>
        <w:gridCol w:w="1168"/>
        <w:gridCol w:w="1168"/>
        <w:gridCol w:w="1168"/>
        <w:gridCol w:w="1168"/>
        <w:gridCol w:w="1168"/>
        <w:gridCol w:w="1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001-36002 </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Clearway Energy,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(609) 608-1525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09" w:type="dxa"/>
        <w:jc w:val="center"/>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40" w:before="120" w:after="283"/>
        <w:jc w:val="center"/>
        <w:rPr/>
      </w:pPr>
      <w:r>
        <w:rPr>
          <w:rFonts w:ascii="Times New Roman;sans-serif" w:hAnsi="Times New Roman;sans-serif"/>
          <w:b/>
          <w:color w:val="000000"/>
          <w:sz w:val="18"/>
        </w:rPr>
        <w:t>Yes</w:t>
      </w:r>
      <w:r>
        <w:rPr>
          <w:color w:val="000000"/>
        </w:rPr>
        <w:t xml:space="preserve"> ☒       </w:t>
      </w:r>
      <w:r>
        <w:rPr>
          <w:rFonts w:ascii="Times New Roman;sans-serif" w:hAnsi="Times New Roman;sans-serif"/>
          <w:b/>
          <w:color w:val="000000"/>
          <w:sz w:val="18"/>
        </w:rPr>
        <w:t>No</w:t>
      </w:r>
      <w:r>
        <w:rPr>
          <w:color w:val="000000"/>
        </w:rPr>
        <w:t xml:space="preserve"> ☐</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40" w:before="120" w:after="283"/>
        <w:jc w:val="center"/>
        <w:rPr/>
      </w:pPr>
      <w:r>
        <w:rPr>
          <w:rFonts w:ascii="Times New Roman;sans-serif" w:hAnsi="Times New Roman;sans-serif"/>
          <w:b/>
          <w:color w:val="000000"/>
          <w:sz w:val="18"/>
        </w:rPr>
        <w:t>Yes</w:t>
      </w:r>
      <w:r>
        <w:rPr>
          <w:color w:val="000000"/>
        </w:rPr>
        <w:t xml:space="preserve"> ☒      </w:t>
      </w:r>
      <w:r>
        <w:rPr>
          <w:rFonts w:ascii="Times New Roman;sans-serif" w:hAnsi="Times New Roman;sans-serif"/>
          <w:b/>
          <w:color w:val="000000"/>
          <w:sz w:val="18"/>
        </w:rPr>
        <w:t>No</w:t>
      </w:r>
      <w:r>
        <w:rPr>
          <w:color w:val="000000"/>
        </w:rPr>
        <w:t xml:space="preserve"> ☐</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bidi w:val="0"/>
        <w:spacing w:lineRule="auto" w:line="240" w:before="120" w:after="283"/>
        <w:jc w:val="center"/>
        <w:rPr/>
      </w:pPr>
      <w:r>
        <w:rPr>
          <w:rFonts w:ascii="Times New Roman;sans-serif" w:hAnsi="Times New Roman;sans-serif"/>
          <w:b/>
          <w:color w:val="000000"/>
          <w:sz w:val="18"/>
        </w:rPr>
        <w:t>Yes</w:t>
      </w:r>
      <w:r>
        <w:rPr>
          <w:color w:val="000000"/>
        </w:rPr>
        <w:t xml:space="preserve"> ☐       </w:t>
      </w:r>
      <w:r>
        <w:rPr>
          <w:rFonts w:ascii="Times New Roman;sans-serif" w:hAnsi="Times New Roman;sans-serif"/>
          <w:b/>
          <w:color w:val="000000"/>
          <w:sz w:val="18"/>
        </w:rPr>
        <w:t>No</w:t>
      </w:r>
      <w:r>
        <w:rPr>
          <w:color w:val="000000"/>
        </w:rPr>
        <w:t xml:space="preserve"> ☒</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As of July 29, 2024, there were 34,613,853 shares of Class A common stock outstanding, par value $0.01 per share, 42,738,750 shares of Class B common stock outstanding, par value $0.01 per share, 82,829,344 shares of Class C common stock outstanding, par value $0.01 per share, and 41,961,750 shares of Class D common stock outstanding, par value $0.01 per share.</w:t>
      </w:r>
    </w:p>
    <w:p>
      <w:pPr>
        <w:pStyle w:val="TextBody"/>
        <w:bidi w:val="0"/>
        <w:spacing w:before="0" w:after="0"/>
        <w:ind w:left="0" w:right="0" w:firstLine="315"/>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CAUTIONARY STATEMENT REGARDING FORWARD LOOKING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0">
              <w:r>
                <w:rPr>
                  <w:rStyle w:val="InternetLink"/>
                  <w:rFonts w:ascii="Times New Roman;sans-serif" w:hAnsi="Times New Roman;sans-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GLOSSARY OF TERMS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3">
              <w:r>
                <w:rPr>
                  <w:rStyle w:val="InternetLink"/>
                  <w:rFonts w:ascii="Times New Roman;sans-serif" w:hAnsi="Times New Roman;sans-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 — FINANCIAL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6">
              <w:r>
                <w:rPr>
                  <w:rStyle w:val="InternetLink"/>
                  <w:rFonts w:ascii="Times New Roman;sans-serif" w:hAnsi="Times New Roman;sans-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 FINANCIAL STATEMENTS AND NOTES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9">
              <w:r>
                <w:rPr>
                  <w:rStyle w:val="InternetLink"/>
                  <w:rFonts w:ascii="Times New Roman;sans-serif" w:hAnsi="Times New Roman;sans-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 MANAGEMENT’S DISCUSSION AND ANALYSIS OF FINANCIAL CONDITION AND RESULTS OF OPERATIONS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09">
              <w:r>
                <w:rPr>
                  <w:rStyle w:val="InternetLink"/>
                  <w:rFonts w:ascii="Times New Roman;sans-serif" w:hAnsi="Times New Roman;sans-serif"/>
                  <w:b w:val="false"/>
                  <w:color w:val="0000FF"/>
                  <w:sz w:val="20"/>
                  <w:u w:val="single"/>
                </w:rPr>
                <w:t>33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 QUANTITATIVE AND QUALITATIVE DISCLOSURES ABOUT MARKET RISK</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51">
              <w:r>
                <w:rPr>
                  <w:rStyle w:val="InternetLink"/>
                  <w:rFonts w:ascii="Times New Roman;sans-serif" w:hAnsi="Times New Roman;sans-serif"/>
                  <w:b w:val="false"/>
                  <w:color w:val="0000FF"/>
                  <w:sz w:val="20"/>
                  <w:u w:val="singl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 CONTROLS AND PROCEDURES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57">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60">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 LEGAL PROCEEDINGS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63">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1A — RISK FACTORS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66">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 UNREGISTERED SALES OF EQUITY SECURITIES AND USE OF PROCEEDS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69">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 DEFAULTS UPON SENIOR SECURITIES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72">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 MINE SAFETY DISCLOSURES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75">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5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78">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 — EXHIBITS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81">
              <w:r>
                <w:rPr>
                  <w:rStyle w:val="InternetLink"/>
                  <w:rFonts w:ascii="Times New Roman;sans-serif" w:hAnsi="Times New Roman;sans-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SIGNATURES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461feba2f4dde9aeec4276c4790b5_187">
              <w:r>
                <w:rPr>
                  <w:rStyle w:val="InternetLink"/>
                  <w:rFonts w:ascii="Times New Roman;sans-serif" w:hAnsi="Times New Roman;sans-serif"/>
                  <w:b w:val="false"/>
                  <w:color w:val="0000FF"/>
                  <w:sz w:val="20"/>
                  <w:u w:val="single"/>
                </w:rPr>
                <w:t>55</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ans-serif" w:hAnsi="Times New Roman;sans-serif"/>
          <w:b w:val="false"/>
          <w:color w:val="000000"/>
          <w:sz w:val="20"/>
        </w:rPr>
        <w:t>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Part I of the Company’s Annual Report on Form 10-K for the year ended December 31, 2023, as well as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maintain and grow its quarterly dividend;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successfully identify, evaluate and consummate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46"/>
        <w:gridCol w:w="331"/>
        <w:gridCol w:w="302"/>
        <w:gridCol w:w="3221"/>
        <w:gridCol w:w="2769"/>
        <w:gridCol w:w="2778"/>
        <w:gridCol w:w="158"/>
      </w:tblGrid>
      <w:tr>
        <w:trPr/>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Senior Notes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768"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Program</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BlackRock </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CAFD</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June 30, 2024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 Master Services Agreement</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Services Agreement, dated as of April 30, 2024, among the Company, Clearway Energy LLC,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holding company through which the facilities are owned by Clearway Energy Group LLC, the holder of Class B and Class D units, and Clearway Energy, Inc., the holder of the Class A and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all shares of the Company’s Class B and Class D common stock and Clearway Energy LLC’s Class B and Class D units and, from time to time, possibly shares of the Company’s Class A and/or Class C common stock</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Operating LLC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facilities that are owned by Clearway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Renew</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Holdco </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CVSR Holdco LLC, the indirect owner of CVSR</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Solar</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Drop Down Assets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ERCOT</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Reliability Council of Texas, the ISO and the regional reliability coordinator of the various electricity systems within Texas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GenConn</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GenConn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GIM</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Management, LLC, the manager of GIP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GIP</w:t>
            </w:r>
          </w:p>
        </w:tc>
        <w:tc>
          <w:tcPr>
            <w:tcW w:w="8768"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Partners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HLBV</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9"/>
        <w:gridCol w:w="442"/>
        <w:gridCol w:w="417"/>
        <w:gridCol w:w="3164"/>
        <w:gridCol w:w="2694"/>
        <w:gridCol w:w="2702"/>
        <w:gridCol w:w="157"/>
      </w:tblGrid>
      <w:tr>
        <w:trPr/>
        <w:tc>
          <w:tcPr>
            <w:tcW w:w="6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Independent System Operator, also referred to as an RTO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ITC</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Tax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 Special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British Thermal Units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NedPower Mount Storm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Saleable megawatt hours, net of internal/parasitic load megawatt-hours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Holdco</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CA Holdco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Exposure</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to Clearway Energy, Inc. net of collateral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NOLs</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PG&amp;E</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Pacific Gas and Electric Company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 Interconnection,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PTC</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Resource adequacy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RENOM</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Renewable Operation &amp; Maintenance LLC, a wholly-owned subsidiary of CEG</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 Central BESS</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Rosie BESS Devco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RTO</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Regional Transmission Organization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SCE</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Southern California Edison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 </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2028 Senior Notes, the 2031 Senior Notes and the 2032 Senior Notes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Partners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SREC </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Renewable Energy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TotalEnergies</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TotalEnergies SE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Seven utility-scale solar farms located in Utah, representing 530 MW of capacity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Scale Solar</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24"/>
        <w:gridCol w:w="1488"/>
        <w:gridCol w:w="15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02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 and redeemable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Clearway Energy, Inc. Class A and Class C Common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Weighted Average Class A and Class C Common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0.8135 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95"/>
        <w:gridCol w:w="1924"/>
        <w:gridCol w:w="1845"/>
        <w:gridCol w:w="248"/>
        <w:gridCol w:w="424"/>
        <w:gridCol w:w="128"/>
        <w:gridCol w:w="128"/>
        <w:gridCol w:w="128"/>
        <w:gridCol w:w="128"/>
        <w:gridCol w:w="248"/>
        <w:gridCol w:w="424"/>
        <w:gridCol w:w="128"/>
        <w:gridCol w:w="109"/>
        <w:gridCol w:w="109"/>
        <w:gridCol w:w="109"/>
        <w:gridCol w:w="227"/>
        <w:gridCol w:w="445"/>
        <w:gridCol w:w="117"/>
        <w:gridCol w:w="117"/>
        <w:gridCol w:w="117"/>
        <w:gridCol w:w="117"/>
        <w:gridCol w:w="227"/>
        <w:gridCol w:w="390"/>
        <w:gridCol w:w="173"/>
      </w:tblGrid>
      <w:tr>
        <w:trPr/>
        <w:tc>
          <w:tcPr>
            <w:tcW w:w="219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and changes in accumulated OCI, net of income tax benefit, of $—, $1, $—, and $—</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income attributable to noncontrolling interests and redeemable noncontrolling interests</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Clearway Energy, Inc.</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334"/>
        <w:gridCol w:w="2224"/>
        <w:gridCol w:w="2243"/>
        <w:gridCol w:w="202"/>
        <w:gridCol w:w="667"/>
        <w:gridCol w:w="112"/>
        <w:gridCol w:w="109"/>
        <w:gridCol w:w="109"/>
        <w:gridCol w:w="109"/>
        <w:gridCol w:w="215"/>
        <w:gridCol w:w="709"/>
        <w:gridCol w:w="172"/>
      </w:tblGrid>
      <w:tr>
        <w:trPr/>
        <w:tc>
          <w:tcPr>
            <w:tcW w:w="333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affiliate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Property, plant and equipment, net </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$0.01 par value; 10,000,000 shares authorized; none issued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202,143,697 shares issued and outstanding (Class A 34,613,853, Class B 42,738,750, Class C 82,829,344, Class D 41,961,750) at June 30, 2024 and 202,080,794 shares issued and outstanding (Class A 34,613,853, Class B 42,738,750, Class C 82,391,441, Class D 42,336,750) at December 31, 2023</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67" w:type="dxa"/>
        <w:jc w:val="left"/>
        <w:tblInd w:w="0" w:type="dxa"/>
        <w:tblLayout w:type="fixed"/>
        <w:tblCellMar>
          <w:top w:w="28" w:type="dxa"/>
          <w:left w:w="28" w:type="dxa"/>
          <w:bottom w:w="28" w:type="dxa"/>
          <w:right w:w="28" w:type="dxa"/>
        </w:tblCellMar>
      </w:tblPr>
      <w:tblGrid>
        <w:gridCol w:w="2608"/>
        <w:gridCol w:w="2289"/>
        <w:gridCol w:w="2302"/>
        <w:gridCol w:w="224"/>
        <w:gridCol w:w="496"/>
        <w:gridCol w:w="116"/>
        <w:gridCol w:w="116"/>
        <w:gridCol w:w="116"/>
        <w:gridCol w:w="116"/>
        <w:gridCol w:w="224"/>
        <w:gridCol w:w="496"/>
        <w:gridCol w:w="164"/>
      </w:tblGrid>
      <w:tr>
        <w:trPr/>
        <w:tc>
          <w:tcPr>
            <w:tcW w:w="2608"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Income </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of unconsolidated affiliates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 and debt discounts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extinguishment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amount of right-of-use assets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income taxes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derivative instruments and amortization of accumulated OCI</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changes in other working capital:</w:t>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prepaid and accrued liabilities for tolling agreements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working capital</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note receivable — affiliate</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 net of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and distributions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Tax-related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issuance of long-term debt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long-term debt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24"/>
        <w:gridCol w:w="593"/>
        <w:gridCol w:w="584"/>
        <w:gridCol w:w="211"/>
        <w:gridCol w:w="438"/>
        <w:gridCol w:w="117"/>
        <w:gridCol w:w="109"/>
        <w:gridCol w:w="109"/>
        <w:gridCol w:w="109"/>
        <w:gridCol w:w="249"/>
        <w:gridCol w:w="306"/>
        <w:gridCol w:w="140"/>
        <w:gridCol w:w="109"/>
        <w:gridCol w:w="109"/>
        <w:gridCol w:w="109"/>
        <w:gridCol w:w="196"/>
        <w:gridCol w:w="556"/>
        <w:gridCol w:w="109"/>
        <w:gridCol w:w="109"/>
        <w:gridCol w:w="109"/>
        <w:gridCol w:w="109"/>
        <w:gridCol w:w="219"/>
        <w:gridCol w:w="472"/>
        <w:gridCol w:w="122"/>
        <w:gridCol w:w="109"/>
        <w:gridCol w:w="109"/>
        <w:gridCol w:w="109"/>
        <w:gridCol w:w="396"/>
        <w:gridCol w:w="486"/>
        <w:gridCol w:w="221"/>
        <w:gridCol w:w="109"/>
        <w:gridCol w:w="109"/>
        <w:gridCol w:w="109"/>
        <w:gridCol w:w="232"/>
        <w:gridCol w:w="659"/>
        <w:gridCol w:w="130"/>
        <w:gridCol w:w="109"/>
        <w:gridCol w:w="109"/>
        <w:gridCol w:w="109"/>
        <w:gridCol w:w="211"/>
        <w:gridCol w:w="598"/>
        <w:gridCol w:w="174"/>
      </w:tblGrid>
      <w:tr>
        <w:trPr/>
        <w:tc>
          <w:tcPr>
            <w:tcW w:w="8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non-cash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2023</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11"/>
        <w:gridCol w:w="584"/>
        <w:gridCol w:w="575"/>
        <w:gridCol w:w="212"/>
        <w:gridCol w:w="440"/>
        <w:gridCol w:w="118"/>
        <w:gridCol w:w="109"/>
        <w:gridCol w:w="109"/>
        <w:gridCol w:w="109"/>
        <w:gridCol w:w="250"/>
        <w:gridCol w:w="308"/>
        <w:gridCol w:w="140"/>
        <w:gridCol w:w="109"/>
        <w:gridCol w:w="109"/>
        <w:gridCol w:w="109"/>
        <w:gridCol w:w="196"/>
        <w:gridCol w:w="556"/>
        <w:gridCol w:w="109"/>
        <w:gridCol w:w="109"/>
        <w:gridCol w:w="109"/>
        <w:gridCol w:w="109"/>
        <w:gridCol w:w="224"/>
        <w:gridCol w:w="482"/>
        <w:gridCol w:w="124"/>
        <w:gridCol w:w="109"/>
        <w:gridCol w:w="109"/>
        <w:gridCol w:w="109"/>
        <w:gridCol w:w="398"/>
        <w:gridCol w:w="489"/>
        <w:gridCol w:w="222"/>
        <w:gridCol w:w="109"/>
        <w:gridCol w:w="109"/>
        <w:gridCol w:w="109"/>
        <w:gridCol w:w="232"/>
        <w:gridCol w:w="659"/>
        <w:gridCol w:w="130"/>
        <w:gridCol w:w="109"/>
        <w:gridCol w:w="109"/>
        <w:gridCol w:w="109"/>
        <w:gridCol w:w="211"/>
        <w:gridCol w:w="598"/>
        <w:gridCol w:w="175"/>
      </w:tblGrid>
      <w:tr>
        <w:trPr/>
        <w:tc>
          <w:tcPr>
            <w:tcW w:w="8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color w:val="000000"/>
          <w:sz w:val="20"/>
        </w:rPr>
        <w:t xml:space="preserve">Note 1 — </w:t>
      </w:r>
      <w:r>
        <w:rPr>
          <w:rFonts w:ascii="Times New Roman;sans-serif" w:hAnsi="Times New Roman;sans-serif"/>
          <w:b/>
          <w:i/>
          <w:color w:val="000000"/>
          <w:sz w:val="20"/>
        </w:rPr>
        <w:t>Nature of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w:t>
      </w:r>
      <w:r>
        <w:rPr>
          <w:color w:val="000000"/>
        </w:rPr>
        <w:t xml:space="preserve"> </w:t>
      </w:r>
      <w:r>
        <w:rPr>
          <w:rFonts w:ascii="Times New Roman;sans-serif" w:hAnsi="Times New Roman;sans-serif"/>
          <w:b w:val="false"/>
          <w:color w:val="000000"/>
          <w:sz w:val="20"/>
        </w:rPr>
        <w:t>From time to time, CEG may also hold shares of the Company’s Class A and/or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owned 58.10% of the economic interests of Clearway Energy LLC, with CEG owning 41.90% of the economic interests of Clearway Energy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summarized structure of the Company as of June 30, 2024:</w:t>
      </w:r>
    </w:p>
    <w:p>
      <w:pPr>
        <w:pStyle w:val="TextBody"/>
        <w:bidi w:val="0"/>
        <w:spacing w:before="0" w:after="0"/>
        <w:jc w:val="both"/>
        <w:rPr/>
      </w:pPr>
      <w:r>
        <w:rPr/>
        <w:drawing>
          <wp:inline distT="0" distB="0" distL="0" distR="0">
            <wp:extent cx="6515100" cy="485775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6515100" cy="4857750"/>
                    </a:xfrm>
                    <a:prstGeom prst="rect">
                      <a:avLst/>
                    </a:prstGeom>
                  </pic:spPr>
                </pic:pic>
              </a:graphicData>
            </a:graphic>
          </wp:inline>
        </w:drawing>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2023 Form 10-K. Interim results are not necessarily indicative of results for a full year.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interim consolidated financial statements contain all material adjustments consisting of normal and recurring accruals necessary to present fairly the Company’s consolidated financial position as of June 30, 2024, and results of operations, comprehensive income and cash flows for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ans-serif" w:hAnsi="Times New Roman;sans-serif"/>
          <w:b/>
          <w:color w:val="000000"/>
          <w:sz w:val="20"/>
        </w:rPr>
        <w:t xml:space="preserve">Note 2 — </w:t>
      </w:r>
      <w:r>
        <w:rPr>
          <w:rFonts w:ascii="Times New Roman;sans-serif" w:hAnsi="Times New Roman;sans-serif"/>
          <w:b/>
          <w:i/>
          <w:color w:val="000000"/>
          <w:sz w:val="20"/>
        </w:rPr>
        <w:t>Summary of Significant Accounting Policies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an original maturity of three months or less at the time of purchase. Cash and cash equivalents held at subsidiary facilities was $191 million and $125 million as of June 30, 2024 and December 31, 2023, respectively.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613"/>
        <w:gridCol w:w="2288"/>
        <w:gridCol w:w="2301"/>
        <w:gridCol w:w="302"/>
        <w:gridCol w:w="669"/>
        <w:gridCol w:w="156"/>
        <w:gridCol w:w="109"/>
        <w:gridCol w:w="109"/>
        <w:gridCol w:w="109"/>
        <w:gridCol w:w="332"/>
        <w:gridCol w:w="971"/>
        <w:gridCol w:w="246"/>
      </w:tblGrid>
      <w:tr>
        <w:trPr/>
        <w:tc>
          <w:tcPr>
            <w:tcW w:w="2613"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consolidated statements of cash flows</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primarily of funds held to satisfy the requirements of certain debt agreements and funds held within the Company’s facilities that are restricted in their use. As of June 30, 2024, these restricted funds were comprised of $169 million designated to fund operating expenses, $42 million designated for current debt service payments and $89 million restricted for reserves including debt service, performance obligations and other reserves as well as capital expenditures. The remaining $44 million is held in distributions reserve accounts.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the amounts classified as Acquisition of Drop Down Assets, net of cash acquired, shown in the consolidated statements of cash flows:</w:t>
      </w:r>
    </w:p>
    <w:tbl>
      <w:tblPr>
        <w:tblW w:w="7237" w:type="dxa"/>
        <w:jc w:val="left"/>
        <w:tblInd w:w="0" w:type="dxa"/>
        <w:tblLayout w:type="fixed"/>
        <w:tblCellMar>
          <w:top w:w="28" w:type="dxa"/>
          <w:left w:w="28" w:type="dxa"/>
          <w:bottom w:w="28" w:type="dxa"/>
          <w:right w:w="28" w:type="dxa"/>
        </w:tblCellMar>
      </w:tblPr>
      <w:tblGrid>
        <w:gridCol w:w="1700"/>
        <w:gridCol w:w="1491"/>
        <w:gridCol w:w="1504"/>
        <w:gridCol w:w="109"/>
        <w:gridCol w:w="109"/>
        <w:gridCol w:w="109"/>
        <w:gridCol w:w="235"/>
        <w:gridCol w:w="604"/>
        <w:gridCol w:w="121"/>
        <w:gridCol w:w="121"/>
        <w:gridCol w:w="121"/>
        <w:gridCol w:w="121"/>
        <w:gridCol w:w="235"/>
        <w:gridCol w:w="486"/>
        <w:gridCol w:w="171"/>
      </w:tblGrid>
      <w:tr>
        <w:trPr/>
        <w:tc>
          <w:tcPr>
            <w:tcW w:w="170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to acquire Drop Down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the acquisition of Drop Down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accumulated depreciation included in property, plant and equipment, net, and accumulated amortization included in intangible assets, net:</w:t>
      </w:r>
    </w:p>
    <w:tbl>
      <w:tblPr>
        <w:tblW w:w="7946" w:type="dxa"/>
        <w:jc w:val="left"/>
        <w:tblInd w:w="0" w:type="dxa"/>
        <w:tblLayout w:type="fixed"/>
        <w:tblCellMar>
          <w:top w:w="28" w:type="dxa"/>
          <w:left w:w="28" w:type="dxa"/>
          <w:bottom w:w="28" w:type="dxa"/>
          <w:right w:w="28" w:type="dxa"/>
        </w:tblCellMar>
      </w:tblPr>
      <w:tblGrid>
        <w:gridCol w:w="1766"/>
        <w:gridCol w:w="1550"/>
        <w:gridCol w:w="1559"/>
        <w:gridCol w:w="260"/>
        <w:gridCol w:w="760"/>
        <w:gridCol w:w="134"/>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Accumulated Depreciation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Accumulated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Dividends to Class A and Class C Common Stockholders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paid on the Company's Class A and Class C common stock during the six months ended June 30, 2024:</w:t>
      </w:r>
    </w:p>
    <w:tbl>
      <w:tblPr>
        <w:tblW w:w="6575"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109"/>
        <w:gridCol w:w="109"/>
        <w:gridCol w:w="109"/>
        <w:gridCol w:w="337"/>
        <w:gridCol w:w="1153"/>
        <w:gridCol w:w="174"/>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Second Quarter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Quarter 2024</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Class C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the Company declared quarterly dividends on its Class A and Class C common stock of $0.4171 per share payable on September 16, 2024 to stockholders of record as of September 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Clearway Energy LLC Distributions to CEG</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distributions paid to CEG during the six months ended June 30, 2024 on Clearway Energy LLC’s Class B and D units:</w:t>
      </w:r>
    </w:p>
    <w:tbl>
      <w:tblPr>
        <w:tblW w:w="6676" w:type="dxa"/>
        <w:jc w:val="left"/>
        <w:tblInd w:w="0" w:type="dxa"/>
        <w:tblLayout w:type="fixed"/>
        <w:tblCellMar>
          <w:top w:w="28" w:type="dxa"/>
          <w:left w:w="28" w:type="dxa"/>
          <w:bottom w:w="28" w:type="dxa"/>
          <w:right w:w="28" w:type="dxa"/>
        </w:tblCellMar>
      </w:tblPr>
      <w:tblGrid>
        <w:gridCol w:w="941"/>
        <w:gridCol w:w="825"/>
        <w:gridCol w:w="829"/>
        <w:gridCol w:w="109"/>
        <w:gridCol w:w="109"/>
        <w:gridCol w:w="109"/>
        <w:gridCol w:w="109"/>
        <w:gridCol w:w="109"/>
        <w:gridCol w:w="337"/>
        <w:gridCol w:w="1153"/>
        <w:gridCol w:w="174"/>
        <w:gridCol w:w="109"/>
        <w:gridCol w:w="109"/>
        <w:gridCol w:w="109"/>
        <w:gridCol w:w="300"/>
        <w:gridCol w:w="1026"/>
        <w:gridCol w:w="219"/>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per Class B Unit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per Class D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Clearway Energy LLC declared a distribution on its Class B and Class D units of $0.4171 per unit payable on September 16, 2024 to unit holders of record as of September 3, 2024.</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the Company’s disaggregation of revenue from contracts with customers along with the reportable segment for each category:</w:t>
      </w:r>
    </w:p>
    <w:tbl>
      <w:tblPr>
        <w:tblW w:w="9036" w:type="dxa"/>
        <w:jc w:val="left"/>
        <w:tblInd w:w="0" w:type="dxa"/>
        <w:tblLayout w:type="fixed"/>
        <w:tblCellMar>
          <w:top w:w="28" w:type="dxa"/>
          <w:left w:w="28" w:type="dxa"/>
          <w:bottom w:w="28" w:type="dxa"/>
          <w:right w:w="28" w:type="dxa"/>
        </w:tblCellMar>
      </w:tblPr>
      <w:tblGrid>
        <w:gridCol w:w="1410"/>
        <w:gridCol w:w="1237"/>
        <w:gridCol w:w="1238"/>
        <w:gridCol w:w="602"/>
        <w:gridCol w:w="1034"/>
        <w:gridCol w:w="314"/>
        <w:gridCol w:w="128"/>
        <w:gridCol w:w="128"/>
        <w:gridCol w:w="128"/>
        <w:gridCol w:w="265"/>
        <w:gridCol w:w="586"/>
        <w:gridCol w:w="139"/>
        <w:gridCol w:w="128"/>
        <w:gridCol w:w="128"/>
        <w:gridCol w:w="128"/>
        <w:gridCol w:w="12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and capacity revenues relate to leases and are accounted for under ASC 842:</w:t>
      </w:r>
    </w:p>
    <w:tbl>
      <w:tblPr>
        <w:tblW w:w="5926" w:type="dxa"/>
        <w:jc w:val="left"/>
        <w:tblInd w:w="0" w:type="dxa"/>
        <w:tblLayout w:type="fixed"/>
        <w:tblCellMar>
          <w:top w:w="28" w:type="dxa"/>
          <w:left w:w="28" w:type="dxa"/>
          <w:bottom w:w="28" w:type="dxa"/>
          <w:right w:w="28" w:type="dxa"/>
        </w:tblCellMar>
      </w:tblPr>
      <w:tblGrid>
        <w:gridCol w:w="560"/>
        <w:gridCol w:w="492"/>
        <w:gridCol w:w="493"/>
        <w:gridCol w:w="566"/>
        <w:gridCol w:w="1090"/>
        <w:gridCol w:w="294"/>
        <w:gridCol w:w="109"/>
        <w:gridCol w:w="109"/>
        <w:gridCol w:w="109"/>
        <w:gridCol w:w="253"/>
        <w:gridCol w:w="560"/>
        <w:gridCol w:w="133"/>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818" w:type="dxa"/>
        <w:jc w:val="left"/>
        <w:tblInd w:w="0" w:type="dxa"/>
        <w:tblLayout w:type="fixed"/>
        <w:tblCellMar>
          <w:top w:w="28" w:type="dxa"/>
          <w:left w:w="28" w:type="dxa"/>
          <w:bottom w:w="28" w:type="dxa"/>
          <w:right w:w="28" w:type="dxa"/>
        </w:tblCellMar>
      </w:tblPr>
      <w:tblGrid>
        <w:gridCol w:w="1410"/>
        <w:gridCol w:w="1237"/>
        <w:gridCol w:w="1238"/>
        <w:gridCol w:w="602"/>
        <w:gridCol w:w="1034"/>
        <w:gridCol w:w="314"/>
        <w:gridCol w:w="128"/>
        <w:gridCol w:w="128"/>
        <w:gridCol w:w="128"/>
        <w:gridCol w:w="265"/>
        <w:gridCol w:w="586"/>
        <w:gridCol w:w="139"/>
        <w:gridCol w:w="128"/>
        <w:gridCol w:w="128"/>
        <w:gridCol w:w="128"/>
        <w:gridCol w:w="128"/>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097" w:type="dxa"/>
            <w:gridSpan w:val="4"/>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(a)</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capacity and other revenues relate to leases and are accounted for under ASC 842:</w:t>
      </w:r>
    </w:p>
    <w:tbl>
      <w:tblPr>
        <w:tblW w:w="5926" w:type="dxa"/>
        <w:jc w:val="left"/>
        <w:tblInd w:w="0" w:type="dxa"/>
        <w:tblLayout w:type="fixed"/>
        <w:tblCellMar>
          <w:top w:w="28" w:type="dxa"/>
          <w:left w:w="28" w:type="dxa"/>
          <w:bottom w:w="28" w:type="dxa"/>
          <w:right w:w="28" w:type="dxa"/>
        </w:tblCellMar>
      </w:tblPr>
      <w:tblGrid>
        <w:gridCol w:w="560"/>
        <w:gridCol w:w="492"/>
        <w:gridCol w:w="493"/>
        <w:gridCol w:w="523"/>
        <w:gridCol w:w="1155"/>
        <w:gridCol w:w="272"/>
        <w:gridCol w:w="109"/>
        <w:gridCol w:w="109"/>
        <w:gridCol w:w="109"/>
        <w:gridCol w:w="253"/>
        <w:gridCol w:w="560"/>
        <w:gridCol w:w="133"/>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(b)</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Includes sales-type lease revenue recognized for the Marsh Landing Black Start addition that reached commercial operations on May 31, 2023.</w:t>
      </w:r>
    </w:p>
    <w:tbl>
      <w:tblPr>
        <w:tblW w:w="8730" w:type="dxa"/>
        <w:jc w:val="left"/>
        <w:tblInd w:w="0" w:type="dxa"/>
        <w:tblLayout w:type="fixed"/>
        <w:tblCellMar>
          <w:top w:w="28" w:type="dxa"/>
          <w:left w:w="28" w:type="dxa"/>
          <w:bottom w:w="28" w:type="dxa"/>
          <w:right w:w="28" w:type="dxa"/>
        </w:tblCellMar>
      </w:tblPr>
      <w:tblGrid>
        <w:gridCol w:w="1410"/>
        <w:gridCol w:w="1237"/>
        <w:gridCol w:w="1238"/>
        <w:gridCol w:w="523"/>
        <w:gridCol w:w="1155"/>
        <w:gridCol w:w="272"/>
        <w:gridCol w:w="113"/>
        <w:gridCol w:w="113"/>
        <w:gridCol w:w="113"/>
        <w:gridCol w:w="253"/>
        <w:gridCol w:w="560"/>
        <w:gridCol w:w="133"/>
        <w:gridCol w:w="113"/>
        <w:gridCol w:w="113"/>
        <w:gridCol w:w="113"/>
        <w:gridCol w:w="113"/>
        <w:gridCol w:w="109"/>
        <w:gridCol w:w="109"/>
        <w:gridCol w:w="109"/>
        <w:gridCol w:w="211"/>
        <w:gridCol w:w="46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158"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1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164 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108 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176 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and capacity revenues relate to leases and are accounted for under ASC 842:</w:t>
      </w:r>
    </w:p>
    <w:tbl>
      <w:tblPr>
        <w:tblW w:w="5926" w:type="dxa"/>
        <w:jc w:val="left"/>
        <w:tblInd w:w="0" w:type="dxa"/>
        <w:tblLayout w:type="fixed"/>
        <w:tblCellMar>
          <w:top w:w="28" w:type="dxa"/>
          <w:left w:w="28" w:type="dxa"/>
          <w:bottom w:w="28" w:type="dxa"/>
          <w:right w:w="28" w:type="dxa"/>
        </w:tblCellMar>
      </w:tblPr>
      <w:tblGrid>
        <w:gridCol w:w="560"/>
        <w:gridCol w:w="492"/>
        <w:gridCol w:w="493"/>
        <w:gridCol w:w="602"/>
        <w:gridCol w:w="1034"/>
        <w:gridCol w:w="314"/>
        <w:gridCol w:w="109"/>
        <w:gridCol w:w="109"/>
        <w:gridCol w:w="109"/>
        <w:gridCol w:w="253"/>
        <w:gridCol w:w="560"/>
        <w:gridCol w:w="133"/>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637" w:type="dxa"/>
        <w:jc w:val="left"/>
        <w:tblInd w:w="0" w:type="dxa"/>
        <w:tblLayout w:type="fixed"/>
        <w:tblCellMar>
          <w:top w:w="28" w:type="dxa"/>
          <w:left w:w="28" w:type="dxa"/>
          <w:bottom w:w="28" w:type="dxa"/>
          <w:right w:w="28" w:type="dxa"/>
        </w:tblCellMar>
      </w:tblPr>
      <w:tblGrid>
        <w:gridCol w:w="1410"/>
        <w:gridCol w:w="1237"/>
        <w:gridCol w:w="1238"/>
        <w:gridCol w:w="602"/>
        <w:gridCol w:w="1034"/>
        <w:gridCol w:w="314"/>
        <w:gridCol w:w="131"/>
        <w:gridCol w:w="131"/>
        <w:gridCol w:w="131"/>
        <w:gridCol w:w="265"/>
        <w:gridCol w:w="588"/>
        <w:gridCol w:w="136"/>
        <w:gridCol w:w="131"/>
        <w:gridCol w:w="131"/>
        <w:gridCol w:w="109"/>
        <w:gridCol w:w="109"/>
        <w:gridCol w:w="109"/>
        <w:gridCol w:w="211"/>
        <w:gridCol w:w="46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158"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(a)</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capacity and other revenues relate to leases and are accounted for under ASC 842:</w:t>
      </w:r>
    </w:p>
    <w:tbl>
      <w:tblPr>
        <w:tblW w:w="5941" w:type="dxa"/>
        <w:jc w:val="left"/>
        <w:tblInd w:w="0" w:type="dxa"/>
        <w:tblLayout w:type="fixed"/>
        <w:tblCellMar>
          <w:top w:w="28" w:type="dxa"/>
          <w:left w:w="28" w:type="dxa"/>
          <w:bottom w:w="28" w:type="dxa"/>
          <w:right w:w="28" w:type="dxa"/>
        </w:tblCellMar>
      </w:tblPr>
      <w:tblGrid>
        <w:gridCol w:w="565"/>
        <w:gridCol w:w="497"/>
        <w:gridCol w:w="498"/>
        <w:gridCol w:w="523"/>
        <w:gridCol w:w="1155"/>
        <w:gridCol w:w="272"/>
        <w:gridCol w:w="109"/>
        <w:gridCol w:w="109"/>
        <w:gridCol w:w="109"/>
        <w:gridCol w:w="253"/>
        <w:gridCol w:w="560"/>
        <w:gridCol w:w="133"/>
        <w:gridCol w:w="109"/>
        <w:gridCol w:w="109"/>
        <w:gridCol w:w="109"/>
        <w:gridCol w:w="211"/>
        <w:gridCol w:w="46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revenues</w:t>
            </w:r>
            <w:r>
              <w:rPr>
                <w:color w:val="000000"/>
              </w:rPr>
              <w:t xml:space="preserve"> </w:t>
            </w:r>
            <w:r>
              <w:rPr>
                <w:rFonts w:ascii="Times New Roman;sans-serif" w:hAnsi="Times New Roman;sans-serif"/>
                <w:b w:val="false"/>
                <w:color w:val="000000"/>
                <w:sz w:val="13"/>
              </w:rPr>
              <w:t>(b)</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8"/>
        </w:rPr>
        <w:t>Includes sales-type lease revenue recognized for the Marsh Landing Black Start addition that reached commercial operations on May 31,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contract assets and liabilities included on the Company’s consolidated balance sheets:</w:t>
      </w:r>
    </w:p>
    <w:tbl>
      <w:tblPr>
        <w:tblW w:w="7376" w:type="dxa"/>
        <w:jc w:val="left"/>
        <w:tblInd w:w="0" w:type="dxa"/>
        <w:tblLayout w:type="fixed"/>
        <w:tblCellMar>
          <w:top w:w="28" w:type="dxa"/>
          <w:left w:w="28" w:type="dxa"/>
          <w:bottom w:w="28" w:type="dxa"/>
          <w:right w:w="28" w:type="dxa"/>
        </w:tblCellMar>
      </w:tblPr>
      <w:tblGrid>
        <w:gridCol w:w="1558"/>
        <w:gridCol w:w="1369"/>
        <w:gridCol w:w="1378"/>
        <w:gridCol w:w="310"/>
        <w:gridCol w:w="685"/>
        <w:gridCol w:w="160"/>
        <w:gridCol w:w="109"/>
        <w:gridCol w:w="109"/>
        <w:gridCol w:w="109"/>
        <w:gridCol w:w="339"/>
        <w:gridCol w:w="750"/>
        <w:gridCol w:w="500"/>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 Contracts with customers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 Leases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3 — Acquisitions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Cedar Creek Drop Down — </w:t>
      </w:r>
      <w:r>
        <w:rPr>
          <w:rFonts w:ascii="Times New Roman;sans-serif" w:hAnsi="Times New Roman;sans-serif"/>
          <w:b w:val="false"/>
          <w:color w:val="000000"/>
          <w:sz w:val="20"/>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$117 million and the historical cost of the Company’s net assets acquired of $17 million was recorded as an adjustment to CEG’s noncontrolling interest balance. In addition, the Company reflected the entire $117 million of the Company’s purchase price, which was contributed back to the Company by CEG to pay down the acquired long-term debt, in the line item contributions from CEG, net of distributions in the consolidated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April 16, 2024:</w:t>
      </w:r>
    </w:p>
    <w:tbl>
      <w:tblPr>
        <w:tblW w:w="4812" w:type="dxa"/>
        <w:jc w:val="left"/>
        <w:tblInd w:w="0" w:type="dxa"/>
        <w:tblLayout w:type="fixed"/>
        <w:tblCellMar>
          <w:top w:w="28" w:type="dxa"/>
          <w:left w:w="28" w:type="dxa"/>
          <w:bottom w:w="28" w:type="dxa"/>
          <w:right w:w="28" w:type="dxa"/>
        </w:tblCellMar>
      </w:tblPr>
      <w:tblGrid>
        <w:gridCol w:w="1209"/>
        <w:gridCol w:w="1066"/>
        <w:gridCol w:w="1070"/>
        <w:gridCol w:w="109"/>
        <w:gridCol w:w="109"/>
        <w:gridCol w:w="109"/>
        <w:gridCol w:w="331"/>
        <w:gridCol w:w="567"/>
        <w:gridCol w:w="242"/>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Cedar Creek</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a $112 million</w:t>
      </w:r>
      <w:r>
        <w:rPr>
          <w:color w:val="000000"/>
        </w:rPr>
        <w:t xml:space="preserve"> </w:t>
      </w:r>
      <w:r>
        <w:rPr>
          <w:rFonts w:ascii="Times New Roman;sans-serif" w:hAnsi="Times New Roman;sans-serif"/>
          <w:b w:val="false"/>
          <w:color w:val="000000"/>
          <w:sz w:val="16"/>
        </w:rPr>
        <w:t>construction loan, a $91 million cash equity bridge loan, and a $109 million tax equity bridge loan, offset by $3 million</w:t>
      </w:r>
      <w:r>
        <w:rPr>
          <w:color w:val="000000"/>
        </w:rPr>
        <w:t xml:space="preserve"> </w:t>
      </w:r>
      <w:r>
        <w:rPr>
          <w:rFonts w:ascii="Times New Roman;sans-serif" w:hAnsi="Times New Roman;sans-serif"/>
          <w:b w:val="false"/>
          <w:color w:val="000000"/>
          <w:sz w:val="16"/>
        </w:rPr>
        <w:t xml:space="preserve">in unamortized debt issuance costs. See Note 7,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Texas Solar Nova 2 Drop Down — </w:t>
      </w:r>
      <w:r>
        <w:rPr>
          <w:rFonts w:ascii="Times New Roman;sans-serif" w:hAnsi="Times New Roman;sans-serif"/>
          <w:b w:val="false"/>
          <w:color w:val="000000"/>
          <w:sz w:val="20"/>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as further described in Note 4,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Texas Solar Nova 2 has an 18-year PPA with an investment-grade counterparty that commenced in February 2024. The Texas Solar Nova 2 operations are reflected in the 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distributions to CEG, net of contributions in the consolidated statements of stockholders’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March 15, 2024:</w:t>
      </w:r>
    </w:p>
    <w:tbl>
      <w:tblPr>
        <w:tblW w:w="5307" w:type="dxa"/>
        <w:jc w:val="left"/>
        <w:tblInd w:w="0" w:type="dxa"/>
        <w:tblLayout w:type="fixed"/>
        <w:tblCellMar>
          <w:top w:w="28" w:type="dxa"/>
          <w:left w:w="28" w:type="dxa"/>
          <w:bottom w:w="28" w:type="dxa"/>
          <w:right w:w="28" w:type="dxa"/>
        </w:tblCellMar>
      </w:tblPr>
      <w:tblGrid>
        <w:gridCol w:w="1209"/>
        <w:gridCol w:w="1066"/>
        <w:gridCol w:w="1070"/>
        <w:gridCol w:w="109"/>
        <w:gridCol w:w="109"/>
        <w:gridCol w:w="109"/>
        <w:gridCol w:w="475"/>
        <w:gridCol w:w="813"/>
        <w:gridCol w:w="347"/>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Texas Solar Nova 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an $80 million term loan and a $115 million tax equity bridge loan, offset by $1 million in unamortized debt issuance costs. See Note 7,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pPr>
      <w:r>
        <w:rPr>
          <w:rFonts w:ascii="Times New Roman;sans-serif" w:hAnsi="Times New Roman;sans-serif"/>
          <w:b/>
          <w:color w:val="000000"/>
          <w:sz w:val="20"/>
        </w:rPr>
        <w:t xml:space="preserve">Note 4 — </w:t>
      </w:r>
      <w:r>
        <w:rPr>
          <w:rFonts w:ascii="Times New Roman;sans-serif" w:hAnsi="Times New Roman;sans-serif"/>
          <w:b/>
          <w:i/>
          <w:color w:val="000000"/>
          <w:sz w:val="20"/>
        </w:rPr>
        <w:t>Investments Accounted for by the Equity Method and Variable Interest Entities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Entities that are not Consolidated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ans-serif" w:hAnsi="Times New Roman;sans-serif"/>
          <w:b w:val="false"/>
          <w:i/>
          <w:color w:val="000000"/>
          <w:sz w:val="20"/>
        </w:rPr>
        <w:t xml:space="preserve">Investments Accounted for by the Equity Method and Variable Interest Entities,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2023</w:t>
      </w:r>
      <w:r>
        <w:rPr>
          <w:color w:val="231F20"/>
        </w:rPr>
        <w:t xml:space="preserve"> </w:t>
      </w:r>
      <w:r>
        <w:rPr>
          <w:rFonts w:ascii="Times New Roman;sans-serif" w:hAnsi="Times New Roman;sans-serif"/>
          <w:b w:val="false"/>
          <w:color w:val="231F20"/>
          <w:sz w:val="20"/>
        </w:rPr>
        <w:t>Form 10</w:t>
      </w:r>
      <w:r>
        <w:rPr>
          <w:rFonts w:ascii="Times New Roman;sans-serif" w:hAnsi="Times New Roman;sans-serif"/>
          <w:b w:val="false"/>
          <w:color w:val="000000"/>
          <w:sz w:val="20"/>
        </w:rPr>
        <w:t>-K.</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Company’s equity investments in unconsolidated affiliates as of June 30, 2024:</w:t>
      </w:r>
    </w:p>
    <w:tbl>
      <w:tblPr>
        <w:tblW w:w="4754" w:type="dxa"/>
        <w:jc w:val="left"/>
        <w:tblInd w:w="0" w:type="dxa"/>
        <w:tblLayout w:type="fixed"/>
        <w:tblCellMar>
          <w:top w:w="28" w:type="dxa"/>
          <w:left w:w="28" w:type="dxa"/>
          <w:bottom w:w="28" w:type="dxa"/>
          <w:right w:w="28" w:type="dxa"/>
        </w:tblCellMar>
      </w:tblPr>
      <w:tblGrid>
        <w:gridCol w:w="498"/>
        <w:gridCol w:w="434"/>
        <w:gridCol w:w="448"/>
        <w:gridCol w:w="499"/>
        <w:gridCol w:w="499"/>
        <w:gridCol w:w="501"/>
        <w:gridCol w:w="475"/>
        <w:gridCol w:w="1051"/>
        <w:gridCol w:w="349"/>
      </w:tblGrid>
      <w:tr>
        <w:trPr/>
        <w:tc>
          <w:tcPr>
            <w:tcW w:w="49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Economic Interest</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Investment Balance </w:t>
            </w:r>
            <w:r>
              <w:rPr>
                <w:rFonts w:ascii="Times New Roman;sans-serif" w:hAnsi="Times New Roman;sans-serif"/>
                <w:b/>
                <w:color w:val="000000"/>
                <w:sz w:val="13"/>
              </w:rPr>
              <w:t>(a)</w:t>
            </w:r>
          </w:p>
        </w:tc>
      </w:tr>
      <w:tr>
        <w:trPr/>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Avenal</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Desert Sunlight</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Elkhorn Ridge</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GenConn </w:t>
            </w:r>
            <w:r>
              <w:rPr>
                <w:rFonts w:ascii="Times New Roman;sans-serif" w:hAnsi="Times New Roman;sans-serif"/>
                <w:b w:val="false"/>
                <w:color w:val="000000"/>
                <w:sz w:val="13"/>
              </w:rPr>
              <w:t>(b)</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Juan Mesa</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The Company’s maximum exposure to loss is limited to its investment balances.</w:t>
      </w:r>
    </w:p>
    <w:p>
      <w:pPr>
        <w:pStyle w:val="TextBody"/>
        <w:bidi w:val="0"/>
        <w:spacing w:lineRule="auto" w:line="288" w:before="0" w:after="18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GenConn is a VIE.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Rosie Central BESS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June 13, 2024, when the Rosamond Central BESS facility reached substantial completion, Clearway Renew redeemed Rosie Class B LLC’s entire investment of $28 million in Rosie Central BESS that was accounted for as an equity method investment, as further discussed in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Rosie Class B LLC’s equity investment in Rosie Central BESS was comprised of contributions from the Company and the cash equity investor in Rosie TargetCo LLC during the year ended December 31,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Entities that are Consolidated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As further described under Item 15 — Note 5,</w:t>
      </w:r>
      <w:r>
        <w:rPr>
          <w:color w:val="000000"/>
        </w:rPr>
        <w:t xml:space="preserve"> </w:t>
      </w:r>
      <w:r>
        <w:rPr>
          <w:rFonts w:ascii="Times New Roman;sans-serif" w:hAnsi="Times New Roman;sans-serif"/>
          <w:b w:val="false"/>
          <w:i/>
          <w:color w:val="000000"/>
          <w:sz w:val="20"/>
        </w:rPr>
        <w:t xml:space="preserve">Investments Accounted for by the Equity Method and Variable Interest Entities, </w:t>
      </w:r>
      <w:r>
        <w:rPr>
          <w:rFonts w:ascii="Times New Roman;sans-serif" w:hAnsi="Times New Roman;sans-serif"/>
          <w:b w:val="false"/>
          <w:color w:val="000000"/>
          <w:sz w:val="20"/>
        </w:rPr>
        <w:t xml:space="preserve">to the consolidated financial statements included in the Company’s 2023 Form 10-K, the Company has a controlling financial interest in certain entities which have been identified as VIEs under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significant activity during the six months ended June 30, 2024 related to the Company’s consolidated VIEs: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Cedar Creek TE Holdco LLC</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Lighthouse Renewable Holdco 2 LLC</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additional-paid in capital. The Class A membership interests in TSN1 TE Holdco LLC are held by a tax equity investor and are reflected as noncontrolling interest on the Company’s consolidated balance sheet.</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Daggett Renewable Holdco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the Company’s consolidated VIEs consisted of the following as of June 30, 2024:</w:t>
      </w:r>
    </w:p>
    <w:tbl>
      <w:tblPr>
        <w:tblW w:w="10205" w:type="dxa"/>
        <w:jc w:val="left"/>
        <w:tblInd w:w="0" w:type="dxa"/>
        <w:tblLayout w:type="fixed"/>
        <w:tblCellMar>
          <w:top w:w="28" w:type="dxa"/>
          <w:left w:w="28" w:type="dxa"/>
          <w:bottom w:w="28" w:type="dxa"/>
          <w:right w:w="28" w:type="dxa"/>
        </w:tblCellMar>
      </w:tblPr>
      <w:tblGrid>
        <w:gridCol w:w="827"/>
        <w:gridCol w:w="527"/>
        <w:gridCol w:w="530"/>
        <w:gridCol w:w="275"/>
        <w:gridCol w:w="609"/>
        <w:gridCol w:w="142"/>
        <w:gridCol w:w="109"/>
        <w:gridCol w:w="109"/>
        <w:gridCol w:w="109"/>
        <w:gridCol w:w="288"/>
        <w:gridCol w:w="636"/>
        <w:gridCol w:w="148"/>
        <w:gridCol w:w="109"/>
        <w:gridCol w:w="109"/>
        <w:gridCol w:w="109"/>
        <w:gridCol w:w="315"/>
        <w:gridCol w:w="696"/>
        <w:gridCol w:w="162"/>
        <w:gridCol w:w="109"/>
        <w:gridCol w:w="109"/>
        <w:gridCol w:w="109"/>
        <w:gridCol w:w="229"/>
        <w:gridCol w:w="507"/>
        <w:gridCol w:w="118"/>
        <w:gridCol w:w="109"/>
        <w:gridCol w:w="109"/>
        <w:gridCol w:w="109"/>
        <w:gridCol w:w="379"/>
        <w:gridCol w:w="651"/>
        <w:gridCol w:w="198"/>
        <w:gridCol w:w="109"/>
        <w:gridCol w:w="109"/>
        <w:gridCol w:w="109"/>
        <w:gridCol w:w="336"/>
        <w:gridCol w:w="742"/>
        <w:gridCol w:w="255"/>
      </w:tblGrid>
      <w:tr>
        <w:trPr/>
        <w:tc>
          <w:tcPr>
            <w:tcW w:w="8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Buckthorn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Cedar Creek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Daggett Renewable Holdco LLC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DGPV Funds </w:t>
            </w:r>
            <w:r>
              <w:rPr>
                <w:rFonts w:ascii="Times New Roman;sans-serif" w:hAnsi="Times New Roman;sans-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Lighthouse Renewable Holdco LLC </w:t>
            </w:r>
            <w:r>
              <w:rPr>
                <w:rFonts w:ascii="Times New Roman;sans-serif" w:hAnsi="Times New Roman;sans-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 xml:space="preserve">Lighthouse Renewable Holdco 2 LLC </w:t>
            </w:r>
            <w:r>
              <w:rPr>
                <w:rFonts w:ascii="Times New Roman;sans-serif" w:hAnsi="Times New Roman;sans-serif"/>
                <w:b/>
                <w:color w:val="000000"/>
                <w:sz w:val="12"/>
              </w:rPr>
              <w:t>(d)</w:t>
            </w:r>
            <w:r>
              <w:rPr>
                <w:color w:val="000000"/>
              </w:rPr>
              <w:t xml:space="preserve"> </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Daggett Renewable Holdco LLC consolidates Daggett TE Holdco LLC and Daggett 2 TE Holdco LLC, which are consolidated VIEs.</w:t>
      </w:r>
    </w:p>
    <w:p>
      <w:pPr>
        <w:pStyle w:val="TextBody"/>
        <w:bidi w:val="0"/>
        <w:spacing w:lineRule="auto" w:line="288" w:before="0" w:after="4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DGPV Funds is comprised of Clearway &amp; EFS Distributed Solar LLC, Golden Puma Fund LLC, Renew Solar CS4 Fund LLC and Chestnut Fund LLC, which are all tax equity funds.</w:t>
      </w:r>
    </w:p>
    <w:p>
      <w:pPr>
        <w:pStyle w:val="TextBody"/>
        <w:bidi w:val="0"/>
        <w:spacing w:lineRule="auto" w:line="288" w:before="0" w:after="4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Lighthouse Renewable Holdco LLC consolidates Black Rock TE Holdco LLC and Mililani TE Holdco LLC, which are consolidated VIEs.</w:t>
      </w:r>
    </w:p>
    <w:p>
      <w:pPr>
        <w:pStyle w:val="TextBody"/>
        <w:bidi w:val="0"/>
        <w:spacing w:lineRule="auto" w:line="288" w:before="0" w:after="18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6"/>
        </w:rPr>
        <w:t>Lighthouse Renewable Holdco 2 LLC consolidates Mesquite Sky TE Holdco LLC, Mesquite Star Tax Equity Holdco LLC and TSN1 TE Holdco LLC, which are consolidated VIEs.</w:t>
      </w:r>
    </w:p>
    <w:tbl>
      <w:tblPr>
        <w:tblW w:w="10205" w:type="dxa"/>
        <w:jc w:val="left"/>
        <w:tblInd w:w="0" w:type="dxa"/>
        <w:tblLayout w:type="fixed"/>
        <w:tblCellMar>
          <w:top w:w="28" w:type="dxa"/>
          <w:left w:w="28" w:type="dxa"/>
          <w:bottom w:w="28" w:type="dxa"/>
          <w:right w:w="28" w:type="dxa"/>
        </w:tblCellMar>
      </w:tblPr>
      <w:tblGrid>
        <w:gridCol w:w="909"/>
        <w:gridCol w:w="649"/>
        <w:gridCol w:w="653"/>
        <w:gridCol w:w="249"/>
        <w:gridCol w:w="550"/>
        <w:gridCol w:w="128"/>
        <w:gridCol w:w="109"/>
        <w:gridCol w:w="109"/>
        <w:gridCol w:w="109"/>
        <w:gridCol w:w="394"/>
        <w:gridCol w:w="674"/>
        <w:gridCol w:w="205"/>
        <w:gridCol w:w="109"/>
        <w:gridCol w:w="109"/>
        <w:gridCol w:w="109"/>
        <w:gridCol w:w="304"/>
        <w:gridCol w:w="521"/>
        <w:gridCol w:w="157"/>
        <w:gridCol w:w="109"/>
        <w:gridCol w:w="109"/>
        <w:gridCol w:w="109"/>
        <w:gridCol w:w="327"/>
        <w:gridCol w:w="723"/>
        <w:gridCol w:w="169"/>
        <w:gridCol w:w="109"/>
        <w:gridCol w:w="109"/>
        <w:gridCol w:w="109"/>
        <w:gridCol w:w="329"/>
        <w:gridCol w:w="727"/>
        <w:gridCol w:w="169"/>
        <w:gridCol w:w="109"/>
        <w:gridCol w:w="109"/>
        <w:gridCol w:w="109"/>
        <w:gridCol w:w="211"/>
        <w:gridCol w:w="361"/>
        <w:gridCol w:w="161"/>
      </w:tblGrid>
      <w:tr>
        <w:trPr/>
        <w:tc>
          <w:tcPr>
            <w:tcW w:w="9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Oahu Solar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Rattlesnake TE Holdco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Rosie TargetCo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VP-Arica TargetCo LLC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Wildorado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Other</w:t>
            </w:r>
            <w:r>
              <w:rPr>
                <w:color w:val="000000"/>
              </w:rPr>
              <w:t xml:space="preserve"> </w:t>
            </w:r>
            <w:r>
              <w:rPr>
                <w:rFonts w:ascii="Times New Roman;sans-serif" w:hAnsi="Times New Roman;sans-serif"/>
                <w:b/>
                <w:color w:val="000000"/>
                <w:sz w:val="12"/>
              </w:rPr>
              <w:t>(b)</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VP-Arica TargetCo LLC consolidates VP-Arica TE Holdco LLC, a consolidated VIE that owns the Victory Pass and Arica solar and BESS facilities.</w:t>
      </w:r>
    </w:p>
    <w:p>
      <w:pPr>
        <w:pStyle w:val="TextBody"/>
        <w:bidi w:val="0"/>
        <w:spacing w:lineRule="auto" w:line="288" w:before="6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Other is comprised of Elbow Creek TE Holdco LLC, Langford TE Partnership LLC, Pinnacle Repowering TE Holdco LLC and the Spring Canyon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both"/>
        <w:rPr/>
      </w:pPr>
      <w:r>
        <w:rPr>
          <w:rFonts w:ascii="Times New Roman;sans-serif" w:hAnsi="Times New Roman;sans-serif"/>
          <w:b/>
          <w:color w:val="000000"/>
          <w:sz w:val="20"/>
        </w:rPr>
        <w:t xml:space="preserve">Note 5 — </w:t>
      </w:r>
      <w:r>
        <w:rPr>
          <w:rFonts w:ascii="Times New Roman;sans-serif" w:hAnsi="Times New Roman;sans-serif"/>
          <w:b/>
          <w:i/>
          <w:color w:val="000000"/>
          <w:sz w:val="20"/>
        </w:rPr>
        <w:t>Fair Value of Financial Instruments</w:t>
      </w:r>
      <w:r>
        <w:rPr>
          <w:color w:val="000000"/>
        </w:rPr>
        <w:t xml:space="preserv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Accounting under ASC 820</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estimated fair value of the Company’s recorded financial instrument not carried at fair market value or that does not approximate fair value is as follows:</w:t>
      </w:r>
    </w:p>
    <w:tbl>
      <w:tblPr>
        <w:tblW w:w="9453" w:type="dxa"/>
        <w:jc w:val="left"/>
        <w:tblInd w:w="0" w:type="dxa"/>
        <w:tblLayout w:type="fixed"/>
        <w:tblCellMar>
          <w:top w:w="28" w:type="dxa"/>
          <w:left w:w="28" w:type="dxa"/>
          <w:bottom w:w="28" w:type="dxa"/>
          <w:right w:w="28" w:type="dxa"/>
        </w:tblCellMar>
      </w:tblPr>
      <w:tblGrid>
        <w:gridCol w:w="1351"/>
        <w:gridCol w:w="1190"/>
        <w:gridCol w:w="1194"/>
        <w:gridCol w:w="318"/>
        <w:gridCol w:w="928"/>
        <w:gridCol w:w="164"/>
        <w:gridCol w:w="109"/>
        <w:gridCol w:w="109"/>
        <w:gridCol w:w="109"/>
        <w:gridCol w:w="211"/>
        <w:gridCol w:w="616"/>
        <w:gridCol w:w="109"/>
        <w:gridCol w:w="109"/>
        <w:gridCol w:w="109"/>
        <w:gridCol w:w="109"/>
        <w:gridCol w:w="318"/>
        <w:gridCol w:w="928"/>
        <w:gridCol w:w="164"/>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Long-term debt, including current portion</w:t>
            </w:r>
            <w:r>
              <w:rPr>
                <w:color w:val="000000"/>
              </w:rPr>
              <w:t xml:space="preserve"> </w:t>
            </w:r>
            <w:r>
              <w:rPr>
                <w:rFonts w:ascii="Times New Roman;sans-serif" w:hAnsi="Times New Roman;sans-serif"/>
                <w:b w:val="false"/>
                <w:color w:val="000000"/>
                <w:sz w:val="13"/>
              </w:rPr>
              <w:t>(a)</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Excludes net debt issuance costs, which are recorded as a reduction to long-term debt on the Company’s consolidated balance sheets.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843"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89"/>
        <w:gridCol w:w="114"/>
        <w:gridCol w:w="109"/>
        <w:gridCol w:w="109"/>
        <w:gridCol w:w="109"/>
        <w:gridCol w:w="211"/>
        <w:gridCol w:w="466"/>
        <w:gridCol w:w="109"/>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Level 2 </w:t>
            </w:r>
            <w:r>
              <w:rPr>
                <w:rFonts w:ascii="Times New Roman;sans-serif" w:hAnsi="Times New Roman;sans-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Level 2 </w:t>
            </w:r>
            <w:r>
              <w:rPr>
                <w:rFonts w:ascii="Times New Roman;sans-serif" w:hAnsi="Times New Roman;sans-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Energy-related commodity contracts </w:t>
            </w:r>
            <w:r>
              <w:rPr>
                <w:rFonts w:ascii="Times New Roman;sans-serif" w:hAnsi="Times New Roman;sans-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Other financial instruments </w:t>
            </w:r>
            <w:r>
              <w:rPr>
                <w:rFonts w:ascii="Times New Roman;sans-serif" w:hAnsi="Times New Roman;sans-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Energy-related commodity contracts</w:t>
            </w:r>
            <w:r>
              <w:rPr>
                <w:color w:val="000000"/>
              </w:rPr>
              <w:t xml:space="preserve"> </w:t>
            </w:r>
            <w:r>
              <w:rPr>
                <w:rFonts w:ascii="Times New Roman;sans-serif" w:hAnsi="Times New Roman;sans-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There were no derivative assets or liabilities classified as Level 1 as of June 30, 2024 and December 31, 2023.</w:t>
      </w:r>
    </w:p>
    <w:p>
      <w:pPr>
        <w:pStyle w:val="TextBody"/>
        <w:bidi w:val="0"/>
        <w:spacing w:lineRule="auto" w:line="288" w:before="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8"/>
        </w:rPr>
        <w:t>Includes long-term backbone transportation service contracts classified as Level 2 and short-term heat rate call option contracts classified as Level 3.</w:t>
      </w:r>
    </w:p>
    <w:p>
      <w:pPr>
        <w:pStyle w:val="TextBody"/>
        <w:bidi w:val="0"/>
        <w:spacing w:lineRule="auto" w:line="288" w:before="0" w:after="6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8"/>
        </w:rPr>
        <w:t>Includes SREC contract.</w:t>
      </w:r>
    </w:p>
    <w:p>
      <w:pPr>
        <w:pStyle w:val="TextBody"/>
        <w:bidi w:val="0"/>
        <w:spacing w:lineRule="auto" w:line="288" w:before="0" w:after="180"/>
        <w:jc w:val="both"/>
        <w:rPr/>
      </w:pPr>
      <w:r>
        <w:rPr>
          <w:rFonts w:ascii="Times New Roman;sans-serif" w:hAnsi="Times New Roman;sans-serif"/>
          <w:b w:val="false"/>
          <w:color w:val="000000"/>
          <w:sz w:val="13"/>
        </w:rPr>
        <w:t>(e)</w:t>
      </w:r>
      <w:r>
        <w:rPr>
          <w:color w:val="000000"/>
        </w:rPr>
        <w:t xml:space="preserve"> </w:t>
      </w:r>
      <w:r>
        <w:rPr>
          <w:rFonts w:ascii="Times New Roman;sans-serif" w:hAnsi="Times New Roman;sans-serif"/>
          <w:b w:val="false"/>
          <w:color w:val="000000"/>
          <w:sz w:val="18"/>
        </w:rPr>
        <w:t xml:space="preserve">Includes long-term backbone transportation contracts classified as Level 2 and long-term power commodity contracts and short-term heat rate call option contracts classified as Level 3. As of June 30, 2024 and December 31, 2023, Level 3 amounts include $394 million and $325 million related to long-term power commodity contracts and zero and $5 million related to short-term heat rate call option contracts, respectively.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349"/>
        <w:gridCol w:w="1137"/>
        <w:gridCol w:w="1143"/>
        <w:gridCol w:w="109"/>
        <w:gridCol w:w="109"/>
        <w:gridCol w:w="109"/>
        <w:gridCol w:w="311"/>
        <w:gridCol w:w="756"/>
        <w:gridCol w:w="160"/>
        <w:gridCol w:w="160"/>
        <w:gridCol w:w="160"/>
        <w:gridCol w:w="160"/>
        <w:gridCol w:w="311"/>
        <w:gridCol w:w="756"/>
        <w:gridCol w:w="160"/>
        <w:gridCol w:w="109"/>
        <w:gridCol w:w="109"/>
        <w:gridCol w:w="109"/>
        <w:gridCol w:w="308"/>
        <w:gridCol w:w="750"/>
        <w:gridCol w:w="159"/>
        <w:gridCol w:w="159"/>
        <w:gridCol w:w="159"/>
        <w:gridCol w:w="159"/>
        <w:gridCol w:w="308"/>
        <w:gridCol w:w="750"/>
        <w:gridCol w:w="236"/>
      </w:tblGrid>
      <w:tr>
        <w:trPr/>
        <w:tc>
          <w:tcPr>
            <w:tcW w:w="134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 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 Significant Unobservable Inputs (Level 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(losses) gains for the period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included in earnings for derivatives and other financial instruments held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June 30, 2024, contracts valued with prices provided by models and other valuation techniques make up 2% of derivative assets and 100% of derivative liabilities and other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80"/>
        <w:gridCol w:w="570"/>
        <w:gridCol w:w="572"/>
        <w:gridCol w:w="196"/>
        <w:gridCol w:w="406"/>
        <w:gridCol w:w="109"/>
        <w:gridCol w:w="263"/>
        <w:gridCol w:w="565"/>
        <w:gridCol w:w="148"/>
        <w:gridCol w:w="416"/>
        <w:gridCol w:w="416"/>
        <w:gridCol w:w="417"/>
        <w:gridCol w:w="739"/>
        <w:gridCol w:w="739"/>
        <w:gridCol w:w="741"/>
        <w:gridCol w:w="203"/>
        <w:gridCol w:w="614"/>
        <w:gridCol w:w="113"/>
        <w:gridCol w:w="199"/>
        <w:gridCol w:w="795"/>
        <w:gridCol w:w="111"/>
        <w:gridCol w:w="255"/>
        <w:gridCol w:w="726"/>
        <w:gridCol w:w="212"/>
      </w:tblGrid>
      <w:tr>
        <w:trPr/>
        <w:tc>
          <w:tcPr>
            <w:tcW w:w="6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Input/Range</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1,127.48 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MMBtu)</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Forecast annual generation levels of certain DG solar facilities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59,425 MWh</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118,850 MWh</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111,091 MWh</w:t>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impact on the fair value measurements to increases/(decreases) in significant unobservable inputs as of June 30, 2024:</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on Fair Value Measurement</w:t>
            </w:r>
          </w:p>
        </w:tc>
      </w:tr>
      <w:tr>
        <w:trPr/>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w:t>
            </w:r>
          </w:p>
        </w:tc>
        <w:tc>
          <w:tcPr>
            <w:tcW w:w="2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Market Price Power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2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2024, the non-performance reserve was a $14 million gain recorded primarily to total operating revenues in the consolidated statements of income. It is possible that future market prices could vary from those used in recording assets and liabilities and such variations could be material.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addition to the credit risk discussion as disclosed under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to the </w:t>
      </w:r>
      <w:r>
        <w:rPr>
          <w:rFonts w:ascii="Times New Roman;sans-serif" w:hAnsi="Times New Roman;sans-serif"/>
          <w:b w:val="false"/>
          <w:color w:val="000000"/>
          <w:sz w:val="20"/>
        </w:rPr>
        <w:t xml:space="preserve">consolidated financial statements included in the </w:t>
      </w:r>
      <w:r>
        <w:rPr>
          <w:rFonts w:ascii="Times New Roman;sans-serif" w:hAnsi="Times New Roman;sans-serif"/>
          <w:b w:val="false"/>
          <w:color w:val="231F20"/>
          <w:sz w:val="20"/>
        </w:rPr>
        <w:t xml:space="preserve">Company’s </w:t>
      </w:r>
      <w:r>
        <w:rPr>
          <w:rFonts w:ascii="Times New Roman;sans-serif" w:hAnsi="Times New Roman;sans-serif"/>
          <w:b w:val="false"/>
          <w:color w:val="000000"/>
          <w:sz w:val="20"/>
        </w:rPr>
        <w:t>2023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color w:val="000000"/>
          <w:sz w:val="20"/>
        </w:rPr>
        <w:t xml:space="preserve">Note 6 — </w:t>
      </w:r>
      <w:r>
        <w:rPr>
          <w:rFonts w:ascii="Times New Roman;sans-serif" w:hAnsi="Times New Roman;sans-serif"/>
          <w:b/>
          <w:i/>
          <w:color w:val="000000"/>
          <w:sz w:val="20"/>
        </w:rPr>
        <w:t>Derivative Instruments and Hedging Activities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This footnote should be read in conjunction with the complete description under Item 15 — Note 7, </w:t>
      </w:r>
      <w:r>
        <w:rPr>
          <w:rFonts w:ascii="Times New Roman;sans-serif" w:hAnsi="Times New Roman;sans-serif"/>
          <w:b w:val="false"/>
          <w:i/>
          <w:color w:val="000000"/>
          <w:sz w:val="20"/>
        </w:rPr>
        <w:t>Accounting for Derivative Instruments and Hedging Activities</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to the </w:t>
      </w:r>
      <w:r>
        <w:rPr>
          <w:rFonts w:ascii="Times New Roman;sans-serif" w:hAnsi="Times New Roman;sans-serif"/>
          <w:b w:val="false"/>
          <w:color w:val="000000"/>
          <w:sz w:val="20"/>
        </w:rPr>
        <w:t>consolidated financial statements included in the Company’s 2023 Form 10-K.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in order to hedge the variability of expected future cash interest payments. As of June 30, 2024,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Energy-Related Commodity Contracts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energy-related derivative instruments extending through 2033. At June 30, 2024, these contracts were not designated as cash flow or fair value hedges.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Volumetric Underlying Derivative Transactions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notional volume buy/(sell) of the Company’s open derivative transactions broken out by commodity:</w:t>
      </w:r>
    </w:p>
    <w:tbl>
      <w:tblPr>
        <w:tblW w:w="5199"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253"/>
        <w:gridCol w:w="741"/>
        <w:gridCol w:w="131"/>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554"/>
        <w:gridCol w:w="1336"/>
        <w:gridCol w:w="1340"/>
        <w:gridCol w:w="288"/>
        <w:gridCol w:w="637"/>
        <w:gridCol w:w="149"/>
        <w:gridCol w:w="109"/>
        <w:gridCol w:w="109"/>
        <w:gridCol w:w="109"/>
        <w:gridCol w:w="374"/>
        <w:gridCol w:w="828"/>
        <w:gridCol w:w="196"/>
        <w:gridCol w:w="109"/>
        <w:gridCol w:w="109"/>
        <w:gridCol w:w="109"/>
        <w:gridCol w:w="288"/>
        <w:gridCol w:w="637"/>
        <w:gridCol w:w="149"/>
        <w:gridCol w:w="109"/>
        <w:gridCol w:w="109"/>
        <w:gridCol w:w="109"/>
        <w:gridCol w:w="366"/>
        <w:gridCol w:w="809"/>
        <w:gridCol w:w="273"/>
      </w:tblGrid>
      <w:tr>
        <w:trPr/>
        <w:tc>
          <w:tcPr>
            <w:tcW w:w="155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Cash Flow Hedges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Cash Flow Hedges: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 current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Cash Flow Hedges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present derivative assets and liabilities on the balance sheet on a trade-by-trade basis and does not offset amounts at the counterparty level. As of June 30, 2024 and December 31, 2023,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12"/>
        <w:gridCol w:w="1065"/>
        <w:gridCol w:w="1017"/>
        <w:gridCol w:w="763"/>
        <w:gridCol w:w="1902"/>
        <w:gridCol w:w="382"/>
        <w:gridCol w:w="156"/>
        <w:gridCol w:w="156"/>
        <w:gridCol w:w="156"/>
        <w:gridCol w:w="480"/>
        <w:gridCol w:w="908"/>
        <w:gridCol w:w="237"/>
        <w:gridCol w:w="156"/>
        <w:gridCol w:w="156"/>
        <w:gridCol w:w="156"/>
        <w:gridCol w:w="303"/>
        <w:gridCol w:w="770"/>
        <w:gridCol w:w="230"/>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June 30, 2024</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derivative instruments </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6912" w:type="dxa"/>
            <w:gridSpan w:val="15"/>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on the Company’s accumulated OCI balance attributable to interest rate swaps designated as cash flow hedge derivatives, net of tax:</w:t>
      </w:r>
    </w:p>
    <w:tbl>
      <w:tblPr>
        <w:tblW w:w="10205" w:type="dxa"/>
        <w:jc w:val="left"/>
        <w:tblInd w:w="0" w:type="dxa"/>
        <w:tblLayout w:type="fixed"/>
        <w:tblCellMar>
          <w:top w:w="28" w:type="dxa"/>
          <w:left w:w="28" w:type="dxa"/>
          <w:bottom w:w="28" w:type="dxa"/>
          <w:right w:w="28" w:type="dxa"/>
        </w:tblCellMar>
      </w:tblPr>
      <w:tblGrid>
        <w:gridCol w:w="2172"/>
        <w:gridCol w:w="1850"/>
        <w:gridCol w:w="1860"/>
        <w:gridCol w:w="254"/>
        <w:gridCol w:w="435"/>
        <w:gridCol w:w="131"/>
        <w:gridCol w:w="131"/>
        <w:gridCol w:w="131"/>
        <w:gridCol w:w="131"/>
        <w:gridCol w:w="254"/>
        <w:gridCol w:w="435"/>
        <w:gridCol w:w="131"/>
        <w:gridCol w:w="109"/>
        <w:gridCol w:w="109"/>
        <w:gridCol w:w="109"/>
        <w:gridCol w:w="238"/>
        <w:gridCol w:w="407"/>
        <w:gridCol w:w="122"/>
        <w:gridCol w:w="122"/>
        <w:gridCol w:w="122"/>
        <w:gridCol w:w="122"/>
        <w:gridCol w:w="238"/>
        <w:gridCol w:w="407"/>
        <w:gridCol w:w="185"/>
      </w:tblGrid>
      <w:tr>
        <w:trPr/>
        <w:tc>
          <w:tcPr>
            <w:tcW w:w="217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beginning balance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accumulated OCI to income due to realization of previously deferred amounts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of cash flow hedge accounting contracts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ending balance, net of income tax expense of $2, $3, $2 and $3, respectively</w:t>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noncontrolling interests</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Clearway Energy, Inc.</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 expected to be realized from OCI during the next 12 months, net of income tax expense of $2</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OCI into income are recorded to interest expense.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Impact of Derivative Instruments on the Consolidated Statements of Income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Mark-to-market gains/(losses) related to the Company’s derivatives are recorded in the consolidated statements of income as follows:</w:t>
      </w:r>
    </w:p>
    <w:tbl>
      <w:tblPr>
        <w:tblW w:w="10205" w:type="dxa"/>
        <w:jc w:val="left"/>
        <w:tblInd w:w="0" w:type="dxa"/>
        <w:tblLayout w:type="fixed"/>
        <w:tblCellMar>
          <w:top w:w="28" w:type="dxa"/>
          <w:left w:w="28" w:type="dxa"/>
          <w:bottom w:w="28" w:type="dxa"/>
          <w:right w:w="28" w:type="dxa"/>
        </w:tblCellMar>
      </w:tblPr>
      <w:tblGrid>
        <w:gridCol w:w="2325"/>
        <w:gridCol w:w="1888"/>
        <w:gridCol w:w="1895"/>
        <w:gridCol w:w="254"/>
        <w:gridCol w:w="309"/>
        <w:gridCol w:w="131"/>
        <w:gridCol w:w="131"/>
        <w:gridCol w:w="131"/>
        <w:gridCol w:w="131"/>
        <w:gridCol w:w="254"/>
        <w:gridCol w:w="436"/>
        <w:gridCol w:w="131"/>
        <w:gridCol w:w="109"/>
        <w:gridCol w:w="109"/>
        <w:gridCol w:w="109"/>
        <w:gridCol w:w="240"/>
        <w:gridCol w:w="411"/>
        <w:gridCol w:w="124"/>
        <w:gridCol w:w="124"/>
        <w:gridCol w:w="124"/>
        <w:gridCol w:w="124"/>
        <w:gridCol w:w="240"/>
        <w:gridCol w:w="291"/>
        <w:gridCol w:w="184"/>
      </w:tblGrid>
      <w:tr>
        <w:trPr/>
        <w:tc>
          <w:tcPr>
            <w:tcW w:w="2325"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(Interest expense)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Total operating revenues) </w:t>
            </w:r>
            <w:r>
              <w:rPr>
                <w:rFonts w:ascii="Times New Roman;sans-serif" w:hAnsi="Times New Roman;sans-serif"/>
                <w:b w:val="false"/>
                <w:color w:val="000000"/>
                <w:sz w:val="13"/>
              </w:rPr>
              <w:t>(a)</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Cost of operations) </w:t>
            </w:r>
            <w:r>
              <w:rPr>
                <w:rFonts w:ascii="Times New Roman;sans-serif" w:hAnsi="Times New Roman;sans-serif"/>
                <w:b w:val="false"/>
                <w:color w:val="000000"/>
                <w:sz w:val="13"/>
              </w:rPr>
              <w:t>(b)</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 xml:space="preserve">Relates to long-term energy related commodity contracts at Elbow Creek, Mesquite Star, Mt. Storm, Langford and Mesquite Sky and short-term heat rate call option energy-related commodity contracts at El Segundo, Marsh Landing and Walnut Creek. </w:t>
      </w:r>
    </w:p>
    <w:p>
      <w:pPr>
        <w:pStyle w:val="TextBody"/>
        <w:bidi w:val="0"/>
        <w:spacing w:lineRule="auto" w:line="288" w:before="0" w:after="18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 xml:space="preserve">Relates to long-term backbone transportation service energy-related commodity contracts at El Segundo and Walnut Creek.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Note 5,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pPr>
      <w:r>
        <w:rPr>
          <w:rFonts w:ascii="Times New Roman;sans-serif" w:hAnsi="Times New Roman;sans-serif"/>
          <w:b/>
          <w:color w:val="000000"/>
          <w:sz w:val="20"/>
        </w:rPr>
        <w:t xml:space="preserve">Note 7 — </w:t>
      </w:r>
      <w:r>
        <w:rPr>
          <w:rFonts w:ascii="Times New Roman;sans-serif" w:hAnsi="Times New Roman;sans-serif"/>
          <w:b/>
          <w:i/>
          <w:color w:val="000000"/>
          <w:sz w:val="20"/>
        </w:rPr>
        <w:t>Long-term Debt</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 xml:space="preserve">This note should be read in conjunction with the complete description under Item 15 — Note 10,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the consolidated financial statements included in the Company’s 2023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468"/>
        <w:gridCol w:w="1060"/>
        <w:gridCol w:w="1070"/>
        <w:gridCol w:w="220"/>
        <w:gridCol w:w="625"/>
        <w:gridCol w:w="122"/>
        <w:gridCol w:w="109"/>
        <w:gridCol w:w="109"/>
        <w:gridCol w:w="109"/>
        <w:gridCol w:w="254"/>
        <w:gridCol w:w="722"/>
        <w:gridCol w:w="141"/>
        <w:gridCol w:w="109"/>
        <w:gridCol w:w="109"/>
        <w:gridCol w:w="109"/>
        <w:gridCol w:w="519"/>
        <w:gridCol w:w="474"/>
        <w:gridCol w:w="475"/>
        <w:gridCol w:w="109"/>
        <w:gridCol w:w="109"/>
        <w:gridCol w:w="109"/>
        <w:gridCol w:w="525"/>
        <w:gridCol w:w="1127"/>
        <w:gridCol w:w="422"/>
      </w:tblGrid>
      <w:tr>
        <w:trPr/>
        <w:tc>
          <w:tcPr>
            <w:tcW w:w="146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rates)</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June 30, 2024 interest rate %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Letters of Credit Outstanding at June 30, 2024</w:t>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Senior Notes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2031 Senior Notes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2032 Senior Notes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Clearway Energy LLC and Clearway Energy Operating LLC Revolving Credit Facility, due 2028 </w:t>
            </w:r>
            <w:r>
              <w:rPr>
                <w:rFonts w:ascii="Times New Roman;sans-serif" w:hAnsi="Times New Roman;sans-serif"/>
                <w:b w:val="false"/>
                <w:color w:val="000000"/>
                <w:sz w:val="12"/>
              </w:rPr>
              <w:t>(b)</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205 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Non-recourse facility-level debt:</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2.395-3.633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5.696-7.015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Realty Investments LLC, due 2031</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 due 2024 and 2038</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 due 2031</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2027</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82 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Cedar Creek, due 2029</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due 2024 and 2029</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S+1.250-1.375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 due 2031</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2.339-3.775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 due 2028</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2028</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Mililani Class B Member Holdco LLC, due 2028</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2031 and 2033</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S+2.000-2.125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 LLC, due 2029</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Solar Nova 1, due 2028 </w:t>
            </w:r>
            <w:r>
              <w:rPr>
                <w:rFonts w:ascii="Times New Roman;sans-serif" w:hAnsi="Times New Roman;sans-serif"/>
                <w:b w:val="false"/>
                <w:color w:val="000000"/>
                <w:sz w:val="12"/>
              </w:rPr>
              <w:t>(c)</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TSN1 Class B Member LLC, due 2029 </w:t>
            </w:r>
            <w:r>
              <w:rPr>
                <w:rFonts w:ascii="Times New Roman;sans-serif" w:hAnsi="Times New Roman;sans-serif"/>
                <w:b w:val="false"/>
                <w:color w:val="000000"/>
                <w:sz w:val="12"/>
              </w:rPr>
              <w:t>(c)</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53 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Holdings, due 2036</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161 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Victory Pass and Arica, due 2024</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77 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non-recourse facility-level debt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debt issuance costs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Add premiums </w:t>
            </w:r>
            <w:r>
              <w:rPr>
                <w:rFonts w:ascii="Times New Roman;sans-serif" w:hAnsi="Times New Roman;sans-serif"/>
                <w:b w:val="false"/>
                <w:color w:val="000000"/>
                <w:sz w:val="12"/>
              </w:rPr>
              <w:t>(d)</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6"/>
        </w:rPr>
        <w:t>As of June 30, 2024, S+ equals SOFR plus x%.</w:t>
      </w:r>
    </w:p>
    <w:p>
      <w:pPr>
        <w:pStyle w:val="TextBody"/>
        <w:bidi w:val="0"/>
        <w:spacing w:lineRule="auto" w:line="288" w:before="0" w:after="40"/>
        <w:jc w:val="both"/>
        <w:rPr/>
      </w:pPr>
      <w:r>
        <w:rPr>
          <w:rFonts w:ascii="Times New Roman;sans-serif" w:hAnsi="Times New Roman;sans-serif"/>
          <w:b w:val="false"/>
          <w:color w:val="000000"/>
          <w:sz w:val="12"/>
        </w:rPr>
        <w:t>(b)</w:t>
      </w:r>
      <w:r>
        <w:rPr>
          <w:color w:val="000000"/>
        </w:rPr>
        <w:t xml:space="preserve"> </w:t>
      </w:r>
      <w:r>
        <w:rPr>
          <w:rFonts w:ascii="Times New Roman;sans-serif" w:hAnsi="Times New Roman;sans-serif"/>
          <w:b w:val="false"/>
          <w:color w:val="000000"/>
          <w:sz w:val="16"/>
        </w:rPr>
        <w:t>Applicable rate is determined by the borrower leverage ratio, as defined in the credit agreement, and only applies to outstanding borrowings.</w:t>
      </w:r>
    </w:p>
    <w:p>
      <w:pPr>
        <w:pStyle w:val="TextBody"/>
        <w:bidi w:val="0"/>
        <w:spacing w:lineRule="auto" w:line="288" w:before="0" w:after="40"/>
        <w:jc w:val="both"/>
        <w:rPr/>
      </w:pPr>
      <w:r>
        <w:rPr>
          <w:rFonts w:ascii="Times New Roman;sans-serif" w:hAnsi="Times New Roman;sans-serif"/>
          <w:b w:val="false"/>
          <w:color w:val="000000"/>
          <w:sz w:val="12"/>
        </w:rPr>
        <w:t>(c)</w:t>
      </w:r>
      <w:r>
        <w:rPr>
          <w:color w:val="000000"/>
        </w:rPr>
        <w:t xml:space="preserve"> </w:t>
      </w:r>
      <w:r>
        <w:rPr>
          <w:rFonts w:ascii="Times New Roman;sans-serif" w:hAnsi="Times New Roman;sans-serif"/>
          <w:b w:val="false"/>
          <w:color w:val="000000"/>
          <w:sz w:val="16"/>
        </w:rPr>
        <w:t>On March 15, 2024, Texas Solar Nova 1’s financing agreement was amended to merge the facility-level debt of Texas Solar Nova 1 and Texas Solar Nova 2 as a combined term loan under TSN1 Class B Member LLC.</w:t>
      </w:r>
    </w:p>
    <w:p>
      <w:pPr>
        <w:pStyle w:val="TextBody"/>
        <w:bidi w:val="0"/>
        <w:spacing w:lineRule="auto" w:line="288" w:before="0" w:after="180"/>
        <w:jc w:val="both"/>
        <w:rPr/>
      </w:pPr>
      <w:r>
        <w:rPr>
          <w:rFonts w:ascii="Times New Roman;sans-serif" w:hAnsi="Times New Roman;sans-serif"/>
          <w:b w:val="false"/>
          <w:color w:val="000000"/>
          <w:sz w:val="12"/>
        </w:rPr>
        <w:t>(d)</w:t>
      </w:r>
      <w:r>
        <w:rPr>
          <w:color w:val="000000"/>
        </w:rPr>
        <w:t xml:space="preserve"> </w:t>
      </w:r>
      <w:r>
        <w:rPr>
          <w:rFonts w:ascii="Times New Roman;sans-serif" w:hAnsi="Times New Roman;sans-serif"/>
          <w:b w:val="false"/>
          <w:color w:val="000000"/>
          <w:sz w:val="16"/>
        </w:rPr>
        <w:t>Premiums relate to the 2028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arrangements listed above contain certain covenants, including financial covenants that the Company is required to be in compliance with during the term of the respective arrangement. As of June 30, 2024, the Company was in compliance with all of the required covenants.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below describes material changes to or additions of long-term debt for the six months ended June 30, 2024.</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no outstanding borrowings under the revolving credit facility and $205 million in letters of credit outstanding.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Facility-level Debt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Natural Gas Holdco LC Facility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2024, the Company, through its indirect subsidiary, Natural Gas Holdco, entered into a financing agreement that provides for a $200 million letter of credit facility, which will be utilized to support the collateral needs of the Company’s merchant conventional facilities. The letter of credit facility has an initial term of three years and the option for two additional one-year extensions.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Rosamond Central (Rosie Class B LLC)</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June 13, 2024, when the Rosamond Central BESS facility reached substantial completion, the Company paid $279 million to Clearway Renew as additional purchase price to complete its acquisition of the facility, which occurred on December 1, 2023. The Company’s entire additional purchase price was recorded as an adjustment to CEG’s noncontrolling interest balance. The additional purchase price consisted of $64 million that was funded by the Company from existing sources of liquidity and $215 million funded through contributions from the cash equity investor in Rosie TargetCo LLC and the tax equity investor in Rosie TE Holdco LLC. Clearway Renew utilized the proceeds to repay the balance of $184 million on the loan previously issued to its consolidated subsidiary by Rosie Class B LLC and to redeem Rosie Class B LLC’s entire equity investment in Rosie Central BESS of $28 million, as further discussed in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Company utilized proceeds from Clearway Renew, along with $39 million held previously in escrow and $56 million of the Company’s additional purchase price that was contributed back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June 13, 2024, the outstanding construction loans were converted to a term loan in the amount of $115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NIMH Solar</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June 11, 2024, NIMH Solar LLC </w:t>
      </w:r>
      <w:r>
        <w:rPr>
          <w:rFonts w:ascii="Times New Roman;sans-serif" w:hAnsi="Times New Roman;sans-serif"/>
          <w:b w:val="false"/>
          <w:color w:val="212529"/>
          <w:sz w:val="20"/>
        </w:rPr>
        <w:t xml:space="preserve">refinanced its amended and restated credit agreement, which was scheduled to mature in September 2024, resulting in the issuance of a $137 million term loan facility, as well as $17 million in letters of credit in support of debt service and facility obligations. </w:t>
      </w:r>
      <w:r>
        <w:rPr>
          <w:rFonts w:ascii="Times New Roman;sans-serif" w:hAnsi="Times New Roman;sans-serif"/>
          <w:b w:val="false"/>
          <w:color w:val="000000"/>
          <w:sz w:val="20"/>
        </w:rPr>
        <w:t>The obligations under the new financing arrangement are supported by the Company’s interests in the Alpine, Blythe and Roadrunner solar facilities. The Company utilized the proceeds from the term loan and existing sources of liquidity to pay off the existing debt in the amount of $146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Victory Pass and Arica</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The Company’s entire additional purchase price was recorded as an adjustment to CEG’s noncontrolling interest balance. Also on May 1, 2024,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Prior to the repayment of the tax equity bridge loan, the Company borrowed an additional $62 million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Cedar Creek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April 16, 2024, as part of the acquisition of Cedar Creek, as further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Texas Solar Nova 1 and Texas Solar Nova 2</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March 15, 2024, as part of the acquisition of Texas Solar Nova 2, as further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by CEG, to repay the $115 million tax equity bridge loan, to fund $19 million in construction completion reserves, which is included in restricted cash on the Company’s consolidated balance sheet, and to pay $4 million in associated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March 15, 2024, Texas Solar Nova 1’s financing agreement was amended to merge the Texas Solar Nova 1 and Texas Solar Nova 2 term loans as a combined term loan under TSN1 Class B Member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ans-serif" w:hAnsi="Times New Roman;sans-serif"/>
          <w:b/>
          <w:color w:val="000000"/>
          <w:sz w:val="20"/>
        </w:rPr>
        <w:t xml:space="preserve">Note 8 — </w:t>
      </w:r>
      <w:r>
        <w:rPr>
          <w:rFonts w:ascii="Times New Roman;sans-serif" w:hAnsi="Times New Roman;sans-serif"/>
          <w:b/>
          <w:i/>
          <w:color w:val="000000"/>
          <w:sz w:val="20"/>
        </w:rPr>
        <w:t>Earnings Per Share</w:t>
      </w:r>
      <w:r>
        <w:rPr>
          <w:color w:val="000000"/>
        </w:rPr>
        <w:t xml:space="preserv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losses per share while giving effect to all potentially dilutive common shares that were outstanding during the period.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Company’s basic and diluted earnings per share is shown in the following tables:</w:t>
      </w:r>
    </w:p>
    <w:tbl>
      <w:tblPr>
        <w:tblW w:w="10205" w:type="dxa"/>
        <w:jc w:val="left"/>
        <w:tblInd w:w="0" w:type="dxa"/>
        <w:tblLayout w:type="fixed"/>
        <w:tblCellMar>
          <w:top w:w="28" w:type="dxa"/>
          <w:left w:w="28" w:type="dxa"/>
          <w:bottom w:w="28" w:type="dxa"/>
          <w:right w:w="28" w:type="dxa"/>
        </w:tblCellMar>
      </w:tblPr>
      <w:tblGrid>
        <w:gridCol w:w="1876"/>
        <w:gridCol w:w="1448"/>
        <w:gridCol w:w="1460"/>
        <w:gridCol w:w="278"/>
        <w:gridCol w:w="675"/>
        <w:gridCol w:w="144"/>
        <w:gridCol w:w="109"/>
        <w:gridCol w:w="109"/>
        <w:gridCol w:w="109"/>
        <w:gridCol w:w="278"/>
        <w:gridCol w:w="675"/>
        <w:gridCol w:w="144"/>
        <w:gridCol w:w="109"/>
        <w:gridCol w:w="109"/>
        <w:gridCol w:w="109"/>
        <w:gridCol w:w="278"/>
        <w:gridCol w:w="675"/>
        <w:gridCol w:w="144"/>
        <w:gridCol w:w="109"/>
        <w:gridCol w:w="109"/>
        <w:gridCol w:w="109"/>
        <w:gridCol w:w="275"/>
        <w:gridCol w:w="667"/>
        <w:gridCol w:w="207"/>
      </w:tblGrid>
      <w:tr>
        <w:trPr/>
        <w:tc>
          <w:tcPr>
            <w:tcW w:w="187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 millions, except per share data)</w:t>
            </w:r>
            <w:r>
              <w:rPr>
                <w:color w:val="000000"/>
              </w:rPr>
              <w:t xml:space="preserve"> </w:t>
            </w:r>
            <w:r>
              <w:rPr>
                <w:rFonts w:ascii="Times New Roman;sans-serif" w:hAnsi="Times New Roman;sans-serif"/>
                <w:b/>
                <w:color w:val="000000"/>
                <w:sz w:val="12"/>
              </w:rPr>
              <w:t>(a)</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Common Class C</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income per share attributable to Clearway Energy, Inc. common stockholders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Clearway Energy, Inc.</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 basic and diluted</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weighted average common share — basic and diluted</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Net income attributable to Clearway Energy, Inc. and basic and diluted earnings per share might not recalculate due to presenting amounts in millions rather than whole dollars.</w:t>
      </w:r>
    </w:p>
    <w:tbl>
      <w:tblPr>
        <w:tblW w:w="10205" w:type="dxa"/>
        <w:jc w:val="left"/>
        <w:tblInd w:w="0" w:type="dxa"/>
        <w:tblLayout w:type="fixed"/>
        <w:tblCellMar>
          <w:top w:w="28" w:type="dxa"/>
          <w:left w:w="28" w:type="dxa"/>
          <w:bottom w:w="28" w:type="dxa"/>
          <w:right w:w="28" w:type="dxa"/>
        </w:tblCellMar>
      </w:tblPr>
      <w:tblGrid>
        <w:gridCol w:w="1875"/>
        <w:gridCol w:w="1448"/>
        <w:gridCol w:w="1461"/>
        <w:gridCol w:w="278"/>
        <w:gridCol w:w="675"/>
        <w:gridCol w:w="144"/>
        <w:gridCol w:w="109"/>
        <w:gridCol w:w="109"/>
        <w:gridCol w:w="109"/>
        <w:gridCol w:w="278"/>
        <w:gridCol w:w="675"/>
        <w:gridCol w:w="144"/>
        <w:gridCol w:w="109"/>
        <w:gridCol w:w="109"/>
        <w:gridCol w:w="109"/>
        <w:gridCol w:w="278"/>
        <w:gridCol w:w="675"/>
        <w:gridCol w:w="144"/>
        <w:gridCol w:w="109"/>
        <w:gridCol w:w="109"/>
        <w:gridCol w:w="109"/>
        <w:gridCol w:w="275"/>
        <w:gridCol w:w="667"/>
        <w:gridCol w:w="207"/>
      </w:tblGrid>
      <w:tr>
        <w:trPr/>
        <w:tc>
          <w:tcPr>
            <w:tcW w:w="187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2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(In millions, except per share data) </w:t>
            </w:r>
            <w:r>
              <w:rPr>
                <w:rFonts w:ascii="Times New Roman;sans-serif" w:hAnsi="Times New Roman;sans-serif"/>
                <w:b/>
                <w:color w:val="000000"/>
                <w:sz w:val="10"/>
              </w:rPr>
              <w:t>(a)</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Common Class C</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income per share attributable to Clearway Energy, Inc. common stockholders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Clearway Energy, Inc.</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 basic and diluted</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weighted average common share — basic and diluted</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Net income attributable to Clearway Energy, Inc. and basic and diluted earnings per share might not recalculate due to presenting amounts in millions rather than whole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pPr>
      <w:r>
        <w:rPr>
          <w:rFonts w:ascii="Times New Roman;sans-serif" w:hAnsi="Times New Roman;sans-serif"/>
          <w:b/>
          <w:color w:val="000000"/>
          <w:sz w:val="20"/>
        </w:rPr>
        <w:t xml:space="preserve">Note 9 — </w:t>
      </w:r>
      <w:r>
        <w:rPr>
          <w:rFonts w:ascii="Times New Roman;sans-serif" w:hAnsi="Times New Roman;sans-serif"/>
          <w:b/>
          <w:i/>
          <w:color w:val="000000"/>
          <w:sz w:val="20"/>
        </w:rPr>
        <w:t>Segment Reporting</w:t>
      </w:r>
      <w:r>
        <w:rPr>
          <w:color w:val="000000"/>
        </w:rPr>
        <w:t xml:space="preserv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segment structure reflects how management currently operates and allocates resources. The Company’s businesses are segregated based on conventional power generation and renewable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tbl>
      <w:tblPr>
        <w:tblW w:w="10205" w:type="dxa"/>
        <w:jc w:val="center"/>
        <w:tblInd w:w="0" w:type="dxa"/>
        <w:tblLayout w:type="fixed"/>
        <w:tblCellMar>
          <w:top w:w="28" w:type="dxa"/>
          <w:left w:w="28" w:type="dxa"/>
          <w:bottom w:w="28" w:type="dxa"/>
          <w:right w:w="28" w:type="dxa"/>
        </w:tblCellMar>
      </w:tblPr>
      <w:tblGrid>
        <w:gridCol w:w="1838"/>
        <w:gridCol w:w="1402"/>
        <w:gridCol w:w="1377"/>
        <w:gridCol w:w="338"/>
        <w:gridCol w:w="990"/>
        <w:gridCol w:w="176"/>
        <w:gridCol w:w="109"/>
        <w:gridCol w:w="109"/>
        <w:gridCol w:w="109"/>
        <w:gridCol w:w="211"/>
        <w:gridCol w:w="721"/>
        <w:gridCol w:w="109"/>
        <w:gridCol w:w="109"/>
        <w:gridCol w:w="109"/>
        <w:gridCol w:w="109"/>
        <w:gridCol w:w="282"/>
        <w:gridCol w:w="544"/>
        <w:gridCol w:w="146"/>
        <w:gridCol w:w="109"/>
        <w:gridCol w:w="109"/>
        <w:gridCol w:w="109"/>
        <w:gridCol w:w="211"/>
        <w:gridCol w:w="721"/>
        <w:gridCol w:w="158"/>
      </w:tblGrid>
      <w:tr>
        <w:trPr/>
        <w:tc>
          <w:tcPr>
            <w:tcW w:w="183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4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Includes eliminations.</w:t>
      </w:r>
    </w:p>
    <w:tbl>
      <w:tblPr>
        <w:tblW w:w="10205" w:type="dxa"/>
        <w:jc w:val="left"/>
        <w:tblInd w:w="0" w:type="dxa"/>
        <w:tblLayout w:type="fixed"/>
        <w:tblCellMar>
          <w:top w:w="28" w:type="dxa"/>
          <w:left w:w="28" w:type="dxa"/>
          <w:bottom w:w="28" w:type="dxa"/>
          <w:right w:w="28" w:type="dxa"/>
        </w:tblCellMar>
      </w:tblPr>
      <w:tblGrid>
        <w:gridCol w:w="1750"/>
        <w:gridCol w:w="1316"/>
        <w:gridCol w:w="1289"/>
        <w:gridCol w:w="394"/>
        <w:gridCol w:w="871"/>
        <w:gridCol w:w="205"/>
        <w:gridCol w:w="109"/>
        <w:gridCol w:w="109"/>
        <w:gridCol w:w="109"/>
        <w:gridCol w:w="253"/>
        <w:gridCol w:w="560"/>
        <w:gridCol w:w="133"/>
        <w:gridCol w:w="109"/>
        <w:gridCol w:w="109"/>
        <w:gridCol w:w="109"/>
        <w:gridCol w:w="109"/>
        <w:gridCol w:w="109"/>
        <w:gridCol w:w="279"/>
        <w:gridCol w:w="539"/>
        <w:gridCol w:w="144"/>
        <w:gridCol w:w="109"/>
        <w:gridCol w:w="109"/>
        <w:gridCol w:w="109"/>
        <w:gridCol w:w="211"/>
        <w:gridCol w:w="466"/>
        <w:gridCol w:w="109"/>
        <w:gridCol w:w="109"/>
        <w:gridCol w:w="109"/>
        <w:gridCol w:w="109"/>
        <w:gridCol w:w="160"/>
      </w:tblGrid>
      <w:tr>
        <w:trPr/>
        <w:tc>
          <w:tcPr>
            <w:tcW w:w="17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Includes eliminations.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3"/>
        <w:gridCol w:w="1504"/>
        <w:gridCol w:w="1482"/>
        <w:gridCol w:w="414"/>
        <w:gridCol w:w="915"/>
        <w:gridCol w:w="215"/>
        <w:gridCol w:w="109"/>
        <w:gridCol w:w="109"/>
        <w:gridCol w:w="109"/>
        <w:gridCol w:w="253"/>
        <w:gridCol w:w="560"/>
        <w:gridCol w:w="133"/>
        <w:gridCol w:w="109"/>
        <w:gridCol w:w="109"/>
        <w:gridCol w:w="109"/>
        <w:gridCol w:w="285"/>
        <w:gridCol w:w="549"/>
        <w:gridCol w:w="147"/>
        <w:gridCol w:w="109"/>
        <w:gridCol w:w="109"/>
        <w:gridCol w:w="109"/>
        <w:gridCol w:w="211"/>
        <w:gridCol w:w="466"/>
        <w:gridCol w:w="157"/>
      </w:tblGrid>
      <w:tr>
        <w:trPr/>
        <w:tc>
          <w:tcPr>
            <w:tcW w:w="193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Includes eliminations.</w:t>
      </w:r>
    </w:p>
    <w:tbl>
      <w:tblPr>
        <w:tblW w:w="10205" w:type="dxa"/>
        <w:jc w:val="left"/>
        <w:tblInd w:w="0" w:type="dxa"/>
        <w:tblLayout w:type="fixed"/>
        <w:tblCellMar>
          <w:top w:w="28" w:type="dxa"/>
          <w:left w:w="28" w:type="dxa"/>
          <w:bottom w:w="28" w:type="dxa"/>
          <w:right w:w="28" w:type="dxa"/>
        </w:tblCellMar>
      </w:tblPr>
      <w:tblGrid>
        <w:gridCol w:w="1928"/>
        <w:gridCol w:w="1506"/>
        <w:gridCol w:w="1484"/>
        <w:gridCol w:w="414"/>
        <w:gridCol w:w="915"/>
        <w:gridCol w:w="215"/>
        <w:gridCol w:w="109"/>
        <w:gridCol w:w="109"/>
        <w:gridCol w:w="109"/>
        <w:gridCol w:w="253"/>
        <w:gridCol w:w="560"/>
        <w:gridCol w:w="133"/>
        <w:gridCol w:w="109"/>
        <w:gridCol w:w="109"/>
        <w:gridCol w:w="109"/>
        <w:gridCol w:w="285"/>
        <w:gridCol w:w="549"/>
        <w:gridCol w:w="147"/>
        <w:gridCol w:w="109"/>
        <w:gridCol w:w="109"/>
        <w:gridCol w:w="109"/>
        <w:gridCol w:w="211"/>
        <w:gridCol w:w="466"/>
        <w:gridCol w:w="158"/>
      </w:tblGrid>
      <w:tr>
        <w:trPr/>
        <w:tc>
          <w:tcPr>
            <w:tcW w:w="192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(losses) of unconsolidated affiliates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Includes eliminations.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color w:val="000000"/>
          <w:sz w:val="20"/>
        </w:rPr>
        <w:t xml:space="preserve">Note 10 — </w:t>
      </w:r>
      <w:r>
        <w:rPr>
          <w:rFonts w:ascii="Times New Roman;sans-serif" w:hAnsi="Times New Roman;sans-serif"/>
          <w:b/>
          <w:i/>
          <w:color w:val="000000"/>
          <w:sz w:val="20"/>
        </w:rPr>
        <w:t>Income Taxes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Effective Tax Rate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consisted of the following amounts:</w:t>
      </w:r>
    </w:p>
    <w:tbl>
      <w:tblPr>
        <w:tblW w:w="7543" w:type="dxa"/>
        <w:jc w:val="left"/>
        <w:tblInd w:w="0" w:type="dxa"/>
        <w:tblLayout w:type="fixed"/>
        <w:tblCellMar>
          <w:top w:w="28" w:type="dxa"/>
          <w:left w:w="28" w:type="dxa"/>
          <w:bottom w:w="28" w:type="dxa"/>
          <w:right w:w="28" w:type="dxa"/>
        </w:tblCellMar>
      </w:tblPr>
      <w:tblGrid>
        <w:gridCol w:w="1037"/>
        <w:gridCol w:w="910"/>
        <w:gridCol w:w="918"/>
        <w:gridCol w:w="221"/>
        <w:gridCol w:w="378"/>
        <w:gridCol w:w="284"/>
        <w:gridCol w:w="114"/>
        <w:gridCol w:w="114"/>
        <w:gridCol w:w="114"/>
        <w:gridCol w:w="221"/>
        <w:gridCol w:w="488"/>
        <w:gridCol w:w="284"/>
        <w:gridCol w:w="109"/>
        <w:gridCol w:w="109"/>
        <w:gridCol w:w="109"/>
        <w:gridCol w:w="211"/>
        <w:gridCol w:w="436"/>
        <w:gridCol w:w="271"/>
        <w:gridCol w:w="109"/>
        <w:gridCol w:w="109"/>
        <w:gridCol w:w="109"/>
        <w:gridCol w:w="211"/>
        <w:gridCol w:w="361"/>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tax purposes, Clearway Energy LLC is treated as a partnership; therefore, the Company and CEG each record their respective share of taxable income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color w:val="000000"/>
          <w:sz w:val="20"/>
        </w:rPr>
        <w:t>Note 11 —</w:t>
      </w:r>
      <w:r>
        <w:rPr>
          <w:color w:val="000000"/>
        </w:rPr>
        <w:t xml:space="preserve"> </w:t>
      </w:r>
      <w:r>
        <w:rPr>
          <w:rFonts w:ascii="Times New Roman;sans-serif" w:hAnsi="Times New Roman;sans-serif"/>
          <w:b/>
          <w:i/>
          <w:color w:val="000000"/>
          <w:sz w:val="20"/>
        </w:rPr>
        <w:t>Related Party Transactions</w:t>
      </w:r>
      <w:r>
        <w:rPr>
          <w:color w:val="000000"/>
        </w:rPr>
        <w:t xml:space="preserv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transactions and relationships described elsewhere in the notes to the consolidated financial statements, certain subsidiaries of CEG provide services to the Company and its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O&amp;M Services Agreements by and between the Company and Clearway Renewable Operation &amp; Maintenance LLC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$18 million and $19 million for the three months ended June 30, 2024 and 2023, respectively. The Company incurred total expenses for these services of $37 million and $36 million for the six months ended June 30, 2024 and 2023, respectively. There was a balance of $8 million and $13 million due to RENOM as of June 30, 2024 and December 31, 2023,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$6 million for each of the three months ended June 30, 2024 and 2023. The Company incurred expenses under these agreements of $12 million and $10 million for the six months ended June 30, 2024 and 2023, respectively. There was a balance of $3 million and $2 million due to CEG as of June 30, 2024 and December 31, 2023,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Master Services Agreement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w:t>
      </w:r>
      <w:r>
        <w:rPr>
          <w:color w:val="000000"/>
        </w:rPr>
        <w:t xml:space="preserve"> </w:t>
      </w:r>
      <w:r>
        <w:rPr>
          <w:rFonts w:ascii="Times New Roman;sans-serif" w:hAnsi="Times New Roman;sans-serif"/>
          <w:b w:val="false"/>
          <w:color w:val="000000"/>
          <w:sz w:val="20"/>
        </w:rPr>
        <w:t>and the Company provides certain services to CEG, including accounting, internal audit, tax and treasury services, in exchange for the payment of fees in respect of such services. The Company incurred net expenses under these agreements of $2 million for each of the three months ended June 30, 2024 and 2023. The Company incurred net expenses under these agreements of $3 million for each of the six months ended June 30, 2024 and 2023.</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2024, the CEG Master Services Agreement was amended and restated as a result of a reorganization effected by the Company pursuant to which all of the employees and operations of the Company will transfer to CEG as of January 1, 2025. Under the amended and restated agreement, CEG and certain of its affiliates or third-party service providers will continue to provide the operational and administrative services outlined above, and, effective January 1, 2025, CEG will also provide accounting, internal audit, tax, legal and treasury services, in exchange for payment of fees in respect of such services. Certain independent functions will be directed by the Company’s Governance, Conflicts and Nominating Committee and paid for by the Company, while being administered by CEG.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you read this discussion and analysis, refer to the Company’s consolidated financial statements to this Form 10-Q, which present the results of operations for the three and six months ended June 30, 2024 and 2023. Also refer to the Company’s 2023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ans-serif" w:hAnsi="Times New Roman;sans-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ans-serif" w:hAnsi="Times New Roman;sans-serif"/>
          <w:b w:val="false"/>
          <w:color w:val="231F20"/>
          <w:sz w:val="20"/>
        </w:rPr>
        <w:t>Results of operations, including an explanation of significant differences between the periods in the specific line items of the consolidated statements of income;</w:t>
      </w:r>
    </w:p>
    <w:p>
      <w:pPr>
        <w:pStyle w:val="TextBody"/>
        <w:bidi w:val="0"/>
        <w:spacing w:lineRule="auto" w:line="288" w:before="0" w:after="60"/>
        <w:jc w:val="both"/>
        <w:rPr/>
      </w:pPr>
      <w:r>
        <w:rPr>
          <w:color w:val="231F20"/>
        </w:rPr>
        <w:t>•</w:t>
      </w:r>
      <w:r>
        <w:rPr>
          <w:rFonts w:ascii="Times New Roman;sans-serif" w:hAnsi="Times New Roman;sans-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ans-serif" w:hAnsi="Times New Roman;sans-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ans-serif" w:hAnsi="Times New Roman;sans-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Introduction and Overview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 xml:space="preserve">of the Company’s revenues are derived from long-term contractual arrangements for the output or capacity from these assets. The weighted average remaining contract duration of these offtake agreements was approximately 10 years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based on CAFD.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operating assets are comprised of the following facilities:</w:t>
      </w:r>
    </w:p>
    <w:tbl>
      <w:tblPr>
        <w:tblW w:w="9511" w:type="dxa"/>
        <w:jc w:val="left"/>
        <w:tblInd w:w="0" w:type="dxa"/>
        <w:tblLayout w:type="fixed"/>
        <w:tblCellMar>
          <w:top w:w="28" w:type="dxa"/>
          <w:left w:w="28" w:type="dxa"/>
          <w:bottom w:w="28" w:type="dxa"/>
          <w:right w:w="28" w:type="dxa"/>
        </w:tblCellMar>
      </w:tblPr>
      <w:tblGrid>
        <w:gridCol w:w="601"/>
        <w:gridCol w:w="529"/>
        <w:gridCol w:w="535"/>
        <w:gridCol w:w="109"/>
        <w:gridCol w:w="109"/>
        <w:gridCol w:w="109"/>
        <w:gridCol w:w="412"/>
        <w:gridCol w:w="412"/>
        <w:gridCol w:w="916"/>
        <w:gridCol w:w="109"/>
        <w:gridCol w:w="109"/>
        <w:gridCol w:w="109"/>
        <w:gridCol w:w="579"/>
        <w:gridCol w:w="579"/>
        <w:gridCol w:w="581"/>
        <w:gridCol w:w="109"/>
        <w:gridCol w:w="109"/>
        <w:gridCol w:w="109"/>
        <w:gridCol w:w="679"/>
        <w:gridCol w:w="679"/>
        <w:gridCol w:w="681"/>
        <w:gridCol w:w="109"/>
        <w:gridCol w:w="109"/>
        <w:gridCol w:w="109"/>
        <w:gridCol w:w="298"/>
        <w:gridCol w:w="298"/>
        <w:gridCol w:w="424"/>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2026 - 2027</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2026 - 2030</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2026-2027</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Total Conventional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Utility Scale Solar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Alpine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Arica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Avenal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Avra Valley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Tucson Electric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and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Buckthorn Solar</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Georgetown,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CVSR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2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3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2033 - 2038</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Sunlight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2034</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Desert Sunlight 300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Kansas South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Oahu Solar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Roadrunner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Paso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Rosamond Central</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2035 - 2047</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TA High Desert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1"/>
        <w:gridCol w:w="592"/>
        <w:gridCol w:w="594"/>
        <w:gridCol w:w="109"/>
        <w:gridCol w:w="109"/>
        <w:gridCol w:w="109"/>
        <w:gridCol w:w="394"/>
        <w:gridCol w:w="390"/>
        <w:gridCol w:w="868"/>
        <w:gridCol w:w="109"/>
        <w:gridCol w:w="109"/>
        <w:gridCol w:w="109"/>
        <w:gridCol w:w="548"/>
        <w:gridCol w:w="543"/>
        <w:gridCol w:w="545"/>
        <w:gridCol w:w="109"/>
        <w:gridCol w:w="109"/>
        <w:gridCol w:w="109"/>
        <w:gridCol w:w="905"/>
        <w:gridCol w:w="905"/>
        <w:gridCol w:w="907"/>
        <w:gridCol w:w="109"/>
        <w:gridCol w:w="109"/>
        <w:gridCol w:w="109"/>
        <w:gridCol w:w="295"/>
        <w:gridCol w:w="295"/>
        <w:gridCol w:w="425"/>
      </w:tblGrid>
      <w:tr>
        <w:trPr/>
        <w:tc>
          <w:tcPr>
            <w:tcW w:w="6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Texas Solar Nova 1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Texas Solar Nova 2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Utah Solar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2036</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Victory Pass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Various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Waiawa </w:t>
            </w:r>
            <w:r>
              <w:rPr>
                <w:rFonts w:ascii="Times New Roman;sans-serif" w:hAnsi="Times New Roman;sans-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Utility Scale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Arica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2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3 </w:t>
            </w:r>
            <w:r>
              <w:rPr>
                <w:rFonts w:ascii="Times New Roman;sans-serif" w:hAnsi="Times New Roman;sans-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2033 - 2038</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Rosamond Central</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Victory Pass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Waiawa </w:t>
            </w:r>
            <w:r>
              <w:rPr>
                <w:rFonts w:ascii="Times New Roman;sans-serif" w:hAnsi="Times New Roman;sans-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DGPV Funds</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2030 - 2044</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 Power Partners (SPP)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2026 - 2037</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DG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2025 - 2039</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Alta X</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Alta XI</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Black Rock</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Toyota and AEP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2036</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Farmers Electric Co-operative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Cedar Creek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2049</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Cedro Hill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CPS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Elbow Creek</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Elkhorn Ridge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Forward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Constellation NewEnergy,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Goat 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Dow Pipeline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Langford</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Goldman Sachs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Lookout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Southern Maryland Electric Cooperative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Mesquite Sky</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2033 - 2036</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Mesquite Star</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2032 - 2035</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Mt. Storm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Citigroup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Ocotillo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7"/>
        <w:gridCol w:w="539"/>
        <w:gridCol w:w="534"/>
        <w:gridCol w:w="109"/>
        <w:gridCol w:w="109"/>
        <w:gridCol w:w="109"/>
        <w:gridCol w:w="338"/>
        <w:gridCol w:w="323"/>
        <w:gridCol w:w="719"/>
        <w:gridCol w:w="109"/>
        <w:gridCol w:w="109"/>
        <w:gridCol w:w="109"/>
        <w:gridCol w:w="453"/>
        <w:gridCol w:w="432"/>
        <w:gridCol w:w="433"/>
        <w:gridCol w:w="109"/>
        <w:gridCol w:w="109"/>
        <w:gridCol w:w="109"/>
        <w:gridCol w:w="1187"/>
        <w:gridCol w:w="1187"/>
        <w:gridCol w:w="1190"/>
        <w:gridCol w:w="109"/>
        <w:gridCol w:w="109"/>
        <w:gridCol w:w="109"/>
        <w:gridCol w:w="272"/>
        <w:gridCol w:w="272"/>
        <w:gridCol w:w="391"/>
      </w:tblGrid>
      <w:tr>
        <w:trPr/>
        <w:tc>
          <w:tcPr>
            <w:tcW w:w="6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Pinnacle</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Department of General Services and University System of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Rattlesnake </w:t>
            </w:r>
            <w:r>
              <w:rPr>
                <w:rFonts w:ascii="Times New Roman;sans-serif" w:hAnsi="Times New Roman;sans-serif"/>
                <w:b w:val="false"/>
                <w:color w:val="000000"/>
                <w:sz w:val="12"/>
              </w:rPr>
              <w:t>(b)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Avista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Sleeping Bear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Spanish Fork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Spring Canyon II</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Spring Canyon III</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Wildorado</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Total 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generation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9,040 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Net capacity represents the maximum, or rated, generating or storage capacity of the facility multiplied by the Company’s percentage ownership in the facility as of June 30, 2024.</w:t>
      </w:r>
    </w:p>
    <w:p>
      <w:pPr>
        <w:pStyle w:val="TextBody"/>
        <w:bidi w:val="0"/>
        <w:spacing w:lineRule="auto" w:line="288" w:before="0" w:after="6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 xml:space="preserve">Facilities are part of tax equity arrangements, as further described in Note 4, </w:t>
      </w:r>
      <w:r>
        <w:rPr>
          <w:rFonts w:ascii="Times New Roman;sans-serif" w:hAnsi="Times New Roman;sans-serif"/>
          <w:b w:val="false"/>
          <w:i/>
          <w:color w:val="000000"/>
          <w:sz w:val="16"/>
        </w:rPr>
        <w:t>Investments Accounted for by the Equity Method and Variable Interest Entities</w:t>
      </w:r>
      <w:r>
        <w:rPr>
          <w:rFonts w:ascii="Times New Roman;sans-serif" w:hAnsi="Times New Roman;sans-serif"/>
          <w:b w:val="false"/>
          <w:color w:val="000000"/>
          <w:sz w:val="16"/>
        </w:rPr>
        <w:t>.</w:t>
      </w:r>
    </w:p>
    <w:p>
      <w:pPr>
        <w:pStyle w:val="TextBody"/>
        <w:bidi w:val="0"/>
        <w:spacing w:lineRule="auto" w:line="288" w:before="0" w:after="60"/>
        <w:jc w:val="both"/>
        <w:rPr/>
      </w:pPr>
      <w:r>
        <w:rPr>
          <w:rFonts w:ascii="Times New Roman;sans-serif" w:hAnsi="Times New Roman;sans-serif"/>
          <w:b w:val="false"/>
          <w:color w:val="000000"/>
          <w:sz w:val="13"/>
        </w:rPr>
        <w:t xml:space="preserve">(c) </w:t>
      </w:r>
      <w:r>
        <w:rPr>
          <w:rFonts w:ascii="Times New Roman;sans-serif" w:hAnsi="Times New Roman;sans-serif"/>
          <w:b w:val="false"/>
          <w:color w:val="000000"/>
          <w:sz w:val="16"/>
        </w:rPr>
        <w:t>Rattlesnake has a deliverable capacity of 144 MW.</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Significant Events</w:t>
      </w:r>
    </w:p>
    <w:p>
      <w:pPr>
        <w:pStyle w:val="TextBody"/>
        <w:bidi w:val="0"/>
        <w:spacing w:lineRule="auto" w:line="288" w:before="0" w:after="180"/>
        <w:jc w:val="both"/>
        <w:rPr/>
      </w:pPr>
      <w:r>
        <w:rPr>
          <w:rFonts w:ascii="Times New Roman;sans-serif" w:hAnsi="Times New Roman;sans-serif"/>
          <w:b w:val="false"/>
          <w:i/>
          <w:color w:val="000000"/>
          <w:sz w:val="20"/>
        </w:rPr>
        <w:t>Drop Down Transactions</w:t>
      </w:r>
      <w:r>
        <w:rPr>
          <w:color w:val="000000"/>
        </w:rPr>
        <w:t xml:space="preserve"> </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second half of 2025.</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May 3, 2024, the Company, through an indirect subsidiary, entered into an agreement with Clearway Renew to acquire the Class A membership interests in Dan’s Mountain, a 55 MW wind facility currently under construction in Allegany County, Maryland, for $44 million in cash consideration, subject to closing adjustments. The consummation of the transaction is subject to customary closing conditions and certain third-party approvals and is expected in the first half of 2025.</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for further discussion of the transaction.</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for further discussion of the transaction.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RA Agreements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Facility-level Financing Activities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 connection with the 2024 Drop Downs of Texas Solar Nova 2 and Cedar Creek, the Company assumed non-recourse facility-level debt.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non-recourse facility-level debt associated with each facility.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July 25, 2024, the Company, through its indirect subsidiary, Natural Gas Holdco, entered into a financing agreement that provides for a $200 million letter of credit facility, which will be utilized to support the collateral needs of the Company’s merchant conventional facilities and will free up capacity on the Company’s corporate revolving credit facility.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further discussion of the letter of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by CEG, to repay the tax equity bridge loan, to make a distribution to the cash equity investor, to fund construction completion reserves and to pay associated fees. See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and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transactions.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June 11, 2024,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refinanced credit agreement.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transactions.</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environmental matters are further described in the Company’s 2023 Form 10-K in Item 1, </w:t>
      </w:r>
      <w:r>
        <w:rPr>
          <w:rFonts w:ascii="Times New Roman;sans-serif" w:hAnsi="Times New Roman;sans-serif"/>
          <w:b w:val="false"/>
          <w:i/>
          <w:color w:val="000000"/>
          <w:sz w:val="20"/>
        </w:rPr>
        <w:t xml:space="preserve">Business </w:t>
      </w:r>
      <w:r>
        <w:rPr>
          <w:color w:val="000000"/>
        </w:rPr>
        <w:t xml:space="preserve">— </w:t>
      </w:r>
      <w:r>
        <w:rPr>
          <w:rFonts w:ascii="Times New Roman;sans-serif" w:hAnsi="Times New Roman;sans-serif"/>
          <w:b w:val="false"/>
          <w:i/>
          <w:color w:val="000000"/>
          <w:sz w:val="20"/>
        </w:rPr>
        <w:t>Environmental Matters</w:t>
      </w:r>
      <w:r>
        <w:rPr>
          <w:color w:val="000000"/>
        </w:rPr>
        <w:t xml:space="preserve"> </w:t>
      </w:r>
      <w:r>
        <w:rPr>
          <w:rFonts w:ascii="Times New Roman;sans-serif" w:hAnsi="Times New Roman;sans-serif"/>
          <w:b w:val="false"/>
          <w:color w:val="000000"/>
          <w:sz w:val="20"/>
        </w:rPr>
        <w:t xml:space="preserve">and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following disclosures about the Company’s regulatory matters provide an update to, and should be read in conjunction with, Item 1, </w:t>
      </w:r>
      <w:r>
        <w:rPr>
          <w:rFonts w:ascii="Times New Roman;sans-serif" w:hAnsi="Times New Roman;sans-serif"/>
          <w:b w:val="false"/>
          <w:i/>
          <w:color w:val="000000"/>
          <w:sz w:val="20"/>
        </w:rPr>
        <w:t xml:space="preserve">Business </w:t>
      </w:r>
      <w:r>
        <w:rPr>
          <w:color w:val="000000"/>
        </w:rPr>
        <w:t xml:space="preserve">— </w:t>
      </w:r>
      <w:r>
        <w:rPr>
          <w:rFonts w:ascii="Times New Roman;sans-serif" w:hAnsi="Times New Roman;sans-serif"/>
          <w:b w:val="false"/>
          <w:i/>
          <w:color w:val="000000"/>
          <w:sz w:val="20"/>
        </w:rPr>
        <w:t>Regulatory Matters</w:t>
      </w:r>
      <w:r>
        <w:rPr>
          <w:color w:val="000000"/>
        </w:rPr>
        <w:t xml:space="preserve"> </w:t>
      </w:r>
      <w:r>
        <w:rPr>
          <w:rFonts w:ascii="Times New Roman;sans-serif" w:hAnsi="Times New Roman;sans-serif"/>
          <w:b w:val="false"/>
          <w:color w:val="000000"/>
          <w:sz w:val="20"/>
        </w:rPr>
        <w:t xml:space="preserve">and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Company’s 2023 Form 10-K</w:t>
      </w:r>
      <w:r>
        <w:rPr>
          <w:rFonts w:ascii="Times New Roman;sans-serif" w:hAnsi="Times New Roman;sans-serif"/>
          <w:b w:val="false"/>
          <w:i/>
          <w:color w:val="000000"/>
          <w:sz w:val="20"/>
        </w:rPr>
        <w: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selected financial information: </w:t>
      </w:r>
    </w:p>
    <w:tbl>
      <w:tblPr>
        <w:tblW w:w="10205" w:type="dxa"/>
        <w:jc w:val="left"/>
        <w:tblInd w:w="0" w:type="dxa"/>
        <w:tblLayout w:type="fixed"/>
        <w:tblCellMar>
          <w:top w:w="28" w:type="dxa"/>
          <w:left w:w="28" w:type="dxa"/>
          <w:bottom w:w="28" w:type="dxa"/>
          <w:right w:w="28" w:type="dxa"/>
        </w:tblCellMar>
      </w:tblPr>
      <w:tblGrid>
        <w:gridCol w:w="1619"/>
        <w:gridCol w:w="1196"/>
        <w:gridCol w:w="1203"/>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55"/>
      </w:tblGrid>
      <w:tr>
        <w:trPr/>
        <w:tc>
          <w:tcPr>
            <w:tcW w:w="161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and capacity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fuels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33333"/>
              </w:rPr>
            </w:pPr>
            <w:r>
              <w:rPr>
                <w:color w:val="333333"/>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33333"/>
              </w:rPr>
            </w:pPr>
            <w:r>
              <w:rPr>
                <w:color w:val="333333"/>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costs of operations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33333"/>
              </w:rPr>
            </w:pPr>
            <w:r>
              <w:rPr>
                <w:color w:val="333333"/>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33333"/>
              </w:rPr>
            </w:pPr>
            <w:r>
              <w:rPr>
                <w:color w:val="333333"/>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 and redeemable noncontrolling interests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1534"/>
        <w:gridCol w:w="1352"/>
        <w:gridCol w:w="1358"/>
        <w:gridCol w:w="308"/>
        <w:gridCol w:w="308"/>
        <w:gridCol w:w="461"/>
        <w:gridCol w:w="185"/>
        <w:gridCol w:w="185"/>
        <w:gridCol w:w="185"/>
        <w:gridCol w:w="308"/>
        <w:gridCol w:w="308"/>
        <w:gridCol w:w="461"/>
        <w:gridCol w:w="109"/>
        <w:gridCol w:w="109"/>
        <w:gridCol w:w="109"/>
        <w:gridCol w:w="308"/>
        <w:gridCol w:w="308"/>
        <w:gridCol w:w="415"/>
        <w:gridCol w:w="167"/>
        <w:gridCol w:w="167"/>
        <w:gridCol w:w="167"/>
        <w:gridCol w:w="308"/>
        <w:gridCol w:w="308"/>
        <w:gridCol w:w="484"/>
      </w:tblGrid>
      <w:tr>
        <w:trPr/>
        <w:tc>
          <w:tcPr>
            <w:tcW w:w="15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metrics: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Solar MWh generated/sold (in thousands) </w:t>
            </w:r>
            <w:r>
              <w:rPr>
                <w:rFonts w:ascii="Times New Roman;sans-serif" w:hAnsi="Times New Roman;sans-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MWh generated/sold (in thousands) </w:t>
            </w:r>
            <w:r>
              <w:rPr>
                <w:rFonts w:ascii="Times New Roman;sans-serif" w:hAnsi="Times New Roman;sans-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Renewables MWh generated/sold (in thousands) </w:t>
            </w:r>
            <w:r>
              <w:rPr>
                <w:rFonts w:ascii="Times New Roman;sans-serif" w:hAnsi="Times New Roman;sans-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Solar weighted-average capacity factor </w:t>
            </w:r>
            <w:r>
              <w:rPr>
                <w:rFonts w:ascii="Times New Roman;sans-serif" w:hAnsi="Times New Roman;sans-serif"/>
                <w:b w:val="false"/>
                <w:color w:val="000000"/>
                <w:sz w:val="13"/>
              </w:rPr>
              <w:t>(b)</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4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4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weighted-average capacity factor </w:t>
            </w:r>
            <w:r>
              <w:rPr>
                <w:rFonts w:ascii="Times New Roman;sans-serif" w:hAnsi="Times New Roman;sans-serif"/>
                <w:b w:val="false"/>
                <w:color w:val="000000"/>
                <w:sz w:val="13"/>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Conventional MWh generated (in thousands) </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Volumes do not include the MWh generated/sold by the Company’s equity method investments.</w:t>
      </w:r>
    </w:p>
    <w:p>
      <w:pPr>
        <w:pStyle w:val="TextBody"/>
        <w:bidi w:val="0"/>
        <w:spacing w:lineRule="auto" w:line="288" w:before="0" w:after="2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Typical average capacity factors for solar facilities is 25%. The weighted-average capacity factors can vary based on seasonality and weather.</w:t>
      </w:r>
    </w:p>
    <w:p>
      <w:pPr>
        <w:pStyle w:val="TextBody"/>
        <w:bidi w:val="0"/>
        <w:spacing w:lineRule="auto" w:line="288" w:before="0" w:after="2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Typical average capacity factors for wind facilities is 25-45%. The weighted-average capacity factors can vary based on seasonality and weather.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Discussion of the Results of Operations for the Three Months Ended June 30, 2024 and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decreased by $40 million during the three months ended June 30, 2024, compared to the same period in 2023, due to a combination of the drivers summarized in the table below: </w:t>
      </w:r>
    </w:p>
    <w:tbl>
      <w:tblPr>
        <w:tblW w:w="10205" w:type="dxa"/>
        <w:jc w:val="left"/>
        <w:tblInd w:w="0" w:type="dxa"/>
        <w:tblLayout w:type="fixed"/>
        <w:tblCellMar>
          <w:top w:w="28" w:type="dxa"/>
          <w:left w:w="28" w:type="dxa"/>
          <w:bottom w:w="28" w:type="dxa"/>
          <w:right w:w="28" w:type="dxa"/>
        </w:tblCellMar>
      </w:tblPr>
      <w:tblGrid>
        <w:gridCol w:w="860"/>
        <w:gridCol w:w="593"/>
        <w:gridCol w:w="596"/>
        <w:gridCol w:w="2439"/>
        <w:gridCol w:w="2439"/>
        <w:gridCol w:w="2445"/>
        <w:gridCol w:w="228"/>
        <w:gridCol w:w="434"/>
        <w:gridCol w:w="171"/>
      </w:tblGrid>
      <w:tr>
        <w:trPr/>
        <w:tc>
          <w:tcPr>
            <w:tcW w:w="8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lower prices for capacity revenue due to the expiration of PPAs and commencement of RA capacity revenue at the Walnut Creek and Marsh Landing facilities during the second quarter of 2023 and the El Segundo facility during the third quarter of 2023.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the sales-type lease revenue recognition of the Marsh Landing Black Start addition recognized in the second quarter of 2023.</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energy revenue due to the commencement of merchant operations following the expiration of PPAs at the Walnut Creek, Marsh Landing and El Segundo facilities during 2023.</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the Daggett 2, Daggett 3, Victory Pass and Arica solar and BESS acquisitions, which reached commercial operations in December 2023, July 2023, March 2024 and April 2024, respectively, and the acquisition of Texas Solar Nova 1 and Texas Solar Nova 2 in December 2023 and March 2024, respectively.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wind production at the Alta wind facilities.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Cedar Creek wind facility in April 2024.</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Driven by the Walnut Creek PPA, which was fully amortized during the second quarter of 2023.</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economic hedging activities</w:t>
            </w:r>
          </w:p>
        </w:tc>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increases in forward power prices in the ERCOT and PJM markets.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due to heat rate call option contracts entered into by El Segundo, Marsh Landing and Walnut Creek during the fourth quarter of 2023.</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Fuels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fuels decreased by $14 million during the three months ended June 30, 2024, compared to the same period in 2023, primarily due to the associated costs of the sales-type lease recognition of the Marsh Landing Black Start addition during the second quarter of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Operations and Maintenance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$10 million during the three months ended June 30, 2024, compared to the same period in 2023, primarily due to solar and BESS acquisitions.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$33 million during the three months ended June 30, 2024, compared to the same period in 2023, primarily due to the following:</w:t>
      </w:r>
    </w:p>
    <w:tbl>
      <w:tblPr>
        <w:tblW w:w="10205" w:type="dxa"/>
        <w:jc w:val="left"/>
        <w:tblInd w:w="0" w:type="dxa"/>
        <w:tblLayout w:type="fixed"/>
        <w:tblCellMar>
          <w:top w:w="28" w:type="dxa"/>
          <w:left w:w="28" w:type="dxa"/>
          <w:bottom w:w="28" w:type="dxa"/>
          <w:right w:w="28" w:type="dxa"/>
        </w:tblCellMar>
      </w:tblPr>
      <w:tblGrid>
        <w:gridCol w:w="3377"/>
        <w:gridCol w:w="2894"/>
        <w:gridCol w:w="2916"/>
        <w:gridCol w:w="295"/>
        <w:gridCol w:w="505"/>
        <w:gridCol w:w="218"/>
      </w:tblGrid>
      <w:tr>
        <w:trPr/>
        <w:tc>
          <w:tcPr>
            <w:tcW w:w="3377"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 due to changes in interest rates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expense due to an increase in principal balances for the Renewables segment primarily due to solar and BESS acquisitions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pPr>
      <w:r>
        <w:rPr>
          <w:rFonts w:ascii="Times New Roman;sans-serif" w:hAnsi="Times New Roman;sans-serif"/>
          <w:b/>
          <w:i/>
          <w:color w:val="000000"/>
          <w:sz w:val="20"/>
        </w:rPr>
        <w:t>Income</w:t>
      </w:r>
      <w:r>
        <w:rPr>
          <w:color w:val="000000"/>
        </w:rPr>
        <w:t xml:space="preserve"> </w:t>
      </w:r>
      <w:r>
        <w:rPr>
          <w:rFonts w:ascii="Times New Roman;sans-serif" w:hAnsi="Times New Roman;sans-serif"/>
          <w:b/>
          <w:i/>
          <w:color w:val="000000"/>
          <w:sz w:val="20"/>
        </w:rPr>
        <w:t>Tax Expense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the Company recorded an income tax expense of $10 million on pretax income of $14 million. For the same period in 2023, the Company recorded an income tax expense of $22 million on pretax income of $106 million. The $12 million decrease in income tax expense during the three months ended June 30, 2024, compared to the same period in 2023, was primarily due to the allocation of taxable earnings and losses, which includes the effect of applying the HLBV method of accounting for book purposes for certain partnerships.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Noncontrolling Interests and Redeemable Noncontrolling Interests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the Company had a net loss of $47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27"/>
        <w:gridCol w:w="2921"/>
        <w:gridCol w:w="2937"/>
        <w:gridCol w:w="241"/>
        <w:gridCol w:w="600"/>
        <w:gridCol w:w="179"/>
      </w:tblGrid>
      <w:tr>
        <w:trPr/>
        <w:tc>
          <w:tcPr>
            <w:tcW w:w="3327"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9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 (primarily due to VP-Arica TE Holdco LLC HLBV losses)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attributable to third-party partnerships (primarily due to VP-Arica TE Holdco LLC HLBV losses) </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CEG’s economic interest in Clearway Energy LLC</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9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Company had a net income of $46 million attributable to noncontrolling interests and redeemable noncontrolling interests comprised of the following:</w:t>
      </w:r>
    </w:p>
    <w:tbl>
      <w:tblPr>
        <w:tblW w:w="9134" w:type="dxa"/>
        <w:jc w:val="left"/>
        <w:tblInd w:w="0" w:type="dxa"/>
        <w:tblLayout w:type="fixed"/>
        <w:tblCellMar>
          <w:top w:w="28" w:type="dxa"/>
          <w:left w:w="28" w:type="dxa"/>
          <w:bottom w:w="28" w:type="dxa"/>
          <w:right w:w="28" w:type="dxa"/>
        </w:tblCellMar>
      </w:tblPr>
      <w:tblGrid>
        <w:gridCol w:w="2914"/>
        <w:gridCol w:w="2554"/>
        <w:gridCol w:w="2571"/>
        <w:gridCol w:w="318"/>
        <w:gridCol w:w="544"/>
        <w:gridCol w:w="233"/>
      </w:tblGrid>
      <w:tr>
        <w:trPr/>
        <w:tc>
          <w:tcPr>
            <w:tcW w:w="291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CEG’s economic interest in Clearway Energy LLC</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Discussion of the Results of Operations for the Six Months Ended June 30, 2024 and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decreased by $65 million during the six months ended June 30, 2024, compared to the same period in 2023,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865"/>
        <w:gridCol w:w="598"/>
        <w:gridCol w:w="601"/>
        <w:gridCol w:w="2434"/>
        <w:gridCol w:w="2434"/>
        <w:gridCol w:w="2439"/>
        <w:gridCol w:w="229"/>
        <w:gridCol w:w="435"/>
        <w:gridCol w:w="170"/>
      </w:tblGrid>
      <w:tr>
        <w:trPr/>
        <w:tc>
          <w:tcPr>
            <w:tcW w:w="86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lower prices for capacity revenue due to the expiration of PPAs and commencement of RA capacity revenue at the Walnut Creek and Marsh Landing facilities during the second quarter of 2023 and the El Segundo facility during the third quarter of 2023.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the sales-type lease revenue recognition of the Marsh Landing Black Start addition during the second quarter of 2023.</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energy revenue due to the commencement of merchant operations following the expiration of PPAs at the Walnut Creek, Marsh Landing and El Segundo facilities during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Daggett 2, Daggett 3, Victory Pass and Arica solar and BESS acquisitions, which reached commercial operations in December 2023, July 2023, March 2024 and April 2024, respectively, and the acquisition of Texas Solar Nova 1 and Texas Solar Nova 2 in December 2023 and March 2024, respectively.</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wind production at the Alta wind facilities.</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Cedar Creek wind facility in April 2024.</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Driven by the Walnut Creek PPA, which was fully amortized during the second quarter of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economic hedging activities</w:t>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increases in forward power prices in the ERCOT and PJM markets.</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heat rate call option contracts entered into by El Segundo, Marsh Landing and Walnut Creek during the fourth quarter of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Operations and Maintenance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$10 million during the six months ended June 30, 2024, compared to the same period in 2023, primarily due to solar and BESS acquisitions.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$51 million during the six months ended June 30, 2024, compared to the same period in 2023, primarily due to the acquisitions of the Daggett 2, Daggett 3, Victory Pass and Arica solar and BESS facilities, as well as Texas Solar Nova 1 and Texas Solar Nova 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in Earnings of Unconsolidated Affiliates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 increased by $20 million during six months ended June 30, 2024, compared to the same period in 2023, due to changes in the fair value of interest rate swaps, lower depreciation expense and higher wind production.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$9 million during the six months ended June 30, 2024, compared to the same period in 2023, primarily due to the following:</w:t>
      </w:r>
    </w:p>
    <w:tbl>
      <w:tblPr>
        <w:tblW w:w="10205" w:type="dxa"/>
        <w:jc w:val="left"/>
        <w:tblInd w:w="0" w:type="dxa"/>
        <w:tblLayout w:type="fixed"/>
        <w:tblCellMar>
          <w:top w:w="28" w:type="dxa"/>
          <w:left w:w="28" w:type="dxa"/>
          <w:bottom w:w="28" w:type="dxa"/>
          <w:right w:w="28" w:type="dxa"/>
        </w:tblCellMar>
      </w:tblPr>
      <w:tblGrid>
        <w:gridCol w:w="3377"/>
        <w:gridCol w:w="2894"/>
        <w:gridCol w:w="2916"/>
        <w:gridCol w:w="270"/>
        <w:gridCol w:w="548"/>
        <w:gridCol w:w="200"/>
      </w:tblGrid>
      <w:tr>
        <w:trPr/>
        <w:tc>
          <w:tcPr>
            <w:tcW w:w="3377"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 due to changes in interest rates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expense due to an increase in principal balances for the Renewables segment primarily due to solar and BESS acquisitions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the Company recorded an income tax benefit of $3 million on pretax loss of $45 million. For the same period in 2023, the Company recorded an income tax expense of $10 million on a pretax income of $54 million. The $13 million decrease in income tax expense during the six months ended June 30, 2024, compared to the same period in 2023, was primarily due to the allocation of taxable earnings and losses, which includes the effect of applying the HLBV method of accounting for book purposes for certain partnerships.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Noncontrolling Interests and Redeemable Noncontrolling Interests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the Company had a net loss of $91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4"/>
        <w:gridCol w:w="2937"/>
        <w:gridCol w:w="2952"/>
        <w:gridCol w:w="232"/>
        <w:gridCol w:w="567"/>
        <w:gridCol w:w="173"/>
      </w:tblGrid>
      <w:tr>
        <w:trPr/>
        <w:tc>
          <w:tcPr>
            <w:tcW w:w="3344"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9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 (primarily due to VP-Arica TE Holdco LLC, Daggett TE Holdco LLC and Daggett 2 TE Holdco LLC HLBV losses)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 (primarily due to VP-Arica TE Holdco LLC, Daggett TE Holdco LLC and Daggett 2 TE Holdco LLC HLBV losses)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CEG’s economic interest in Clearway Energy LLC</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9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 had a net income of $6 million attributable to noncontrolling interests and redeemable noncontrolling interests comprised of the following:</w:t>
      </w:r>
    </w:p>
    <w:tbl>
      <w:tblPr>
        <w:tblW w:w="9134" w:type="dxa"/>
        <w:jc w:val="left"/>
        <w:tblInd w:w="0" w:type="dxa"/>
        <w:tblLayout w:type="fixed"/>
        <w:tblCellMar>
          <w:top w:w="28" w:type="dxa"/>
          <w:left w:w="28" w:type="dxa"/>
          <w:bottom w:w="28" w:type="dxa"/>
          <w:right w:w="28" w:type="dxa"/>
        </w:tblCellMar>
      </w:tblPr>
      <w:tblGrid>
        <w:gridCol w:w="2914"/>
        <w:gridCol w:w="2554"/>
        <w:gridCol w:w="2571"/>
        <w:gridCol w:w="318"/>
        <w:gridCol w:w="544"/>
        <w:gridCol w:w="233"/>
      </w:tblGrid>
      <w:tr>
        <w:trPr/>
        <w:tc>
          <w:tcPr>
            <w:tcW w:w="291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CEG’s economic interest in Clearway Energy LLC</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Current Liquidity Position</w:t>
      </w:r>
    </w:p>
    <w:p>
      <w:pPr>
        <w:pStyle w:val="TextBody"/>
        <w:bidi w:val="0"/>
        <w:spacing w:lineRule="auto" w:line="288" w:before="0" w:after="6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the Company’s liquidity was approximately $1.07 billion and $1.51 billion,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492"/>
        <w:gridCol w:w="2184"/>
        <w:gridCol w:w="2206"/>
        <w:gridCol w:w="109"/>
        <w:gridCol w:w="109"/>
        <w:gridCol w:w="109"/>
        <w:gridCol w:w="255"/>
        <w:gridCol w:w="746"/>
        <w:gridCol w:w="131"/>
        <w:gridCol w:w="109"/>
        <w:gridCol w:w="109"/>
        <w:gridCol w:w="109"/>
        <w:gridCol w:w="329"/>
        <w:gridCol w:w="962"/>
        <w:gridCol w:w="246"/>
      </w:tblGrid>
      <w:tr>
        <w:trPr/>
        <w:tc>
          <w:tcPr>
            <w:tcW w:w="2492"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6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pPr>
      <w:r>
        <w:rPr>
          <w:rFonts w:ascii="Times New Roman;sans-serif" w:hAnsi="Times New Roman;sans-serif"/>
          <w:b w:val="false"/>
          <w:color w:val="231F20"/>
          <w:sz w:val="20"/>
        </w:rPr>
        <w:t xml:space="preserve">The Company’s liquidity includes $344 million and $516 million of restricted cash balances as of June 30, 2024 and December 31, 2023, respectively. Restricted cash consists primarily of funds to satisfy the requirements of certain debt arrangements and funds held within the Company’s facilities that are restricted in their use. As of </w:t>
      </w:r>
      <w:r>
        <w:rPr>
          <w:rFonts w:ascii="Times New Roman;sans-serif" w:hAnsi="Times New Roman;sans-serif"/>
          <w:b w:val="false"/>
          <w:color w:val="000000"/>
          <w:sz w:val="20"/>
        </w:rPr>
        <w:t>June 30, 2024, these restricted funds were comprised of $169 million designated to fund operating expenses, approximately $42 million designated for current debt service payments and $89 million restricted for reserves including debt service, performance obligations and other reserves, as well as capital expenditures. The remaining $44 million is held in distribution reserve accounts.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Clearway Energy LLC and Clearway Energy Operating LLC Revolving Credit Facility</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June 30, 2024, the Company had no outstanding borrowings under the revolving credit facility and $205 million in letters of credit outstanding. </w:t>
      </w:r>
      <w:r>
        <w:rPr>
          <w:rFonts w:ascii="Times New Roman;sans-serif" w:hAnsi="Times New Roman;sans-serif"/>
          <w:b w:val="false"/>
          <w:color w:val="231F20"/>
          <w:sz w:val="20"/>
        </w:rPr>
        <w:t>The facility will continue to be used for general corporate purposes including financing of future acquisitions and posting letters of credit.</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Credit Ratings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credit ratings for the Company and its Senior Notes as of June 30, 2024:</w:t>
      </w:r>
    </w:p>
    <w:tbl>
      <w:tblPr>
        <w:tblW w:w="4445" w:type="dxa"/>
        <w:jc w:val="left"/>
        <w:tblInd w:w="0" w:type="dxa"/>
        <w:tblLayout w:type="fixed"/>
        <w:tblCellMar>
          <w:top w:w="28" w:type="dxa"/>
          <w:left w:w="28" w:type="dxa"/>
          <w:bottom w:w="28" w:type="dxa"/>
          <w:right w:w="28" w:type="dxa"/>
        </w:tblCellMar>
      </w:tblPr>
      <w:tblGrid>
        <w:gridCol w:w="972"/>
        <w:gridCol w:w="854"/>
        <w:gridCol w:w="859"/>
        <w:gridCol w:w="144"/>
        <w:gridCol w:w="144"/>
        <w:gridCol w:w="146"/>
        <w:gridCol w:w="109"/>
        <w:gridCol w:w="109"/>
        <w:gridCol w:w="109"/>
        <w:gridCol w:w="245"/>
        <w:gridCol w:w="245"/>
        <w:gridCol w:w="246"/>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Moody’s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 </w:t>
            </w:r>
          </w:p>
        </w:tc>
        <w:tc>
          <w:tcPr>
            <w:tcW w:w="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4.750% Senior Notes, due 2028</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3.750% Senior Notes, due 2031</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3.750% Senior Notes, due 2032</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i/>
          <w:color w:val="231F20"/>
          <w:sz w:val="20"/>
        </w:rPr>
      </w:pPr>
      <w:r>
        <w:rPr>
          <w:rFonts w:ascii="Times New Roman;sans-serif" w:hAnsi="Times New Roman;sans-serif"/>
          <w:b/>
          <w:i/>
          <w:color w:val="231F20"/>
          <w:sz w:val="20"/>
        </w:rPr>
        <w:t>Sources of Liquidity</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sans-serif" w:hAnsi="Times New Roman;sans-serif"/>
          <w:b w:val="false"/>
          <w:i/>
          <w:color w:val="231F20"/>
          <w:sz w:val="20"/>
        </w:rPr>
        <w:t>Long-term Debt</w:t>
      </w:r>
      <w:r>
        <w:rPr>
          <w:rFonts w:ascii="Times New Roman;sans-serif" w:hAnsi="Times New Roman;sans-serif"/>
          <w:b w:val="false"/>
          <w:color w:val="231F20"/>
          <w:sz w:val="20"/>
        </w:rPr>
        <w:t xml:space="preserve">, to this Form 10-Q and Item 15 — Note 10, </w:t>
      </w:r>
      <w:r>
        <w:rPr>
          <w:rFonts w:ascii="Times New Roman;sans-serif" w:hAnsi="Times New Roman;sans-serif"/>
          <w:b w:val="false"/>
          <w:i/>
          <w:color w:val="231F20"/>
          <w:sz w:val="20"/>
        </w:rPr>
        <w:t>Long-term Debt</w:t>
      </w:r>
      <w:r>
        <w:rPr>
          <w:rFonts w:ascii="Times New Roman;sans-serif" w:hAnsi="Times New Roman;sans-serif"/>
          <w:b w:val="false"/>
          <w:color w:val="231F20"/>
          <w:sz w:val="20"/>
        </w:rPr>
        <w:t>, to the consolidated financial statements included in the Company’s 2023 Form 10-K, the Company’s financing arrangements consist of corporate level debt, which includes Senior Notes and the revolving credit facility; the ATM Program; and facility-level financings for its various assets.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Natural Gas Holdco LC Facility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2024, the Company, through its indirect subsidiary, Natural Gas Holdco, entered into a financing agreement that provides for a $200 million letter of credit facility, which will be utilized to support the collateral needs of the Company’s merchant conventional facilities and will free up capacity on the Company’s corporate revolving credit facility. The letter of credit facility has an initial term of three years and the option for two additional one-year extensions.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i/>
          <w:color w:val="231F20"/>
          <w:sz w:val="20"/>
        </w:rPr>
      </w:pPr>
      <w:r>
        <w:rPr>
          <w:rFonts w:ascii="Times New Roman;sans-serif" w:hAnsi="Times New Roman;sans-serif"/>
          <w:b/>
          <w:i/>
          <w:color w:val="231F20"/>
          <w:sz w:val="20"/>
        </w:rPr>
        <w:t>Uses of Liquidity</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ans-serif" w:hAnsi="Times New Roman;sans-serif"/>
          <w:b w:val="false"/>
          <w:color w:val="000000"/>
          <w:sz w:val="20"/>
        </w:rPr>
        <w:t>Note 7</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231F20"/>
          <w:sz w:val="20"/>
        </w:rPr>
        <w:t xml:space="preserve">; (ii) capital expenditures; (iii) off-balance sheet arrangements; (iv) acquisitions and investments, as described more fully in </w:t>
      </w:r>
      <w:r>
        <w:rPr>
          <w:rFonts w:ascii="Times New Roman;sans-serif" w:hAnsi="Times New Roman;sans-serif"/>
          <w:b w:val="false"/>
          <w:color w:val="000000"/>
          <w:sz w:val="20"/>
        </w:rPr>
        <w:t xml:space="preserve">Note 3, </w:t>
      </w:r>
      <w:r>
        <w:rPr>
          <w:rFonts w:ascii="Times New Roman;sans-serif" w:hAnsi="Times New Roman;sans-serif"/>
          <w:b w:val="false"/>
          <w:i/>
          <w:color w:val="000000"/>
          <w:sz w:val="20"/>
        </w:rPr>
        <w:t>Acquisitions</w:t>
      </w:r>
      <w:r>
        <w:rPr>
          <w:color w:val="000000"/>
        </w:rPr>
        <w:t xml:space="preserve"> </w:t>
      </w:r>
      <w:r>
        <w:rPr>
          <w:rFonts w:ascii="Times New Roman;sans-serif" w:hAnsi="Times New Roman;sans-serif"/>
          <w:b w:val="false"/>
          <w:color w:val="000000"/>
          <w:sz w:val="20"/>
        </w:rPr>
        <w:t xml:space="preserve">and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231F20"/>
          <w:sz w:val="20"/>
        </w:rPr>
        <w:t>; and (v) cash dividends to investors.</w:t>
      </w:r>
    </w:p>
    <w:p>
      <w:pPr>
        <w:pStyle w:val="TextBody"/>
        <w:bidi w:val="0"/>
        <w:spacing w:lineRule="auto" w:line="288" w:before="0" w:after="180"/>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Capital Expenditures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For the six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used approximately $202 million to fund capital expenditures, including growth </w:t>
      </w:r>
      <w:r>
        <w:rPr>
          <w:rFonts w:ascii="Times New Roman;sans-serif" w:hAnsi="Times New Roman;sans-serif"/>
          <w:b w:val="false"/>
          <w:color w:val="000000"/>
          <w:sz w:val="20"/>
        </w:rPr>
        <w:t>expenditures of $198 million, primarily in the Renewables segment, funded through construction-related financing. Growth capital expenditures included $103 million incurred in connection with the Victory Pass and Arica solar and BESS facilities, $37 million incurred in connection with the Rosamond Central BESS facility, $18 million incurred in connection with the Texas Solar Nova 1 and Texas Solar Nova 2 facilities, $14 million incurred in connection with the Daggett 2 solar and BESS facility, $11 million incurred in connection with the repowering of the Cedro Hill wind facility, $8 million incurred in connection with the Daggett 3 solar and BESS facility and $7 million incurred by other facilities. In addition, the Company incurred $4 million in maintenance capital expenditures.</w:t>
      </w:r>
    </w:p>
    <w:p>
      <w:pPr>
        <w:pStyle w:val="TextBody"/>
        <w:bidi w:val="0"/>
        <w:spacing w:lineRule="auto" w:line="276" w:before="0" w:after="18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under Certain Guarantee Contracts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Retained or Contingent Interests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material retained or contingent interests in assets transferred to an unconsolidated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Variable interest in equity investments</w:t>
      </w:r>
      <w:r>
        <w:rPr>
          <w:color w:val="000000"/>
        </w:rPr>
        <w:t> — </w:t>
      </w:r>
      <w:r>
        <w:rPr>
          <w:rFonts w:ascii="Times New Roman;sans-serif" w:hAnsi="Times New Roman;sans-serif"/>
          <w:b w:val="false"/>
          <w:color w:val="000000"/>
          <w:sz w:val="20"/>
        </w:rPr>
        <w:t>As of June 30, 2024, the Company has several investments with an ownership interest percentage of 50% or less. GenConn is a VIE for which the Company is not the primary beneficiary. The Company’s pro-rata share of non-recourse debt held by unconsolidated affiliates was approximately $295 million as of June 30, 2024.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ans-serif" w:hAnsi="Times New Roman;sans-serif"/>
          <w:b w:val="false"/>
          <w:color w:val="231F20"/>
          <w:sz w:val="20"/>
        </w:rPr>
        <w:t>2023</w:t>
      </w:r>
      <w:r>
        <w:rPr>
          <w:color w:val="000000"/>
        </w:rPr>
        <w:t xml:space="preserve"> </w:t>
      </w:r>
      <w:r>
        <w:rPr>
          <w:rFonts w:ascii="Times New Roman;sans-serif" w:hAnsi="Times New Roman;sans-serif"/>
          <w:b w:val="false"/>
          <w:color w:val="000000"/>
          <w:sz w:val="20"/>
        </w:rPr>
        <w:t>Form 10-K.</w:t>
      </w:r>
    </w:p>
    <w:p>
      <w:pPr>
        <w:pStyle w:val="TextBody"/>
        <w:bidi w:val="0"/>
        <w:spacing w:lineRule="auto" w:line="276"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Acquisitions and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Rosamond Central BESS Drop Down and Financing Activities</w:t>
      </w:r>
      <w:r>
        <w:rPr>
          <w:color w:val="000000"/>
        </w:rPr>
        <w:t xml:space="preserve"> — </w:t>
      </w:r>
      <w:r>
        <w:rPr>
          <w:rFonts w:ascii="Times New Roman;sans-serif" w:hAnsi="Times New Roman;sans-serif"/>
          <w:b w:val="false"/>
          <w:color w:val="000000"/>
          <w:sz w:val="20"/>
        </w:rPr>
        <w:t>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by CEG, to repay the tax equity bridge loan, to make a distribution to the cash equity investor, to fund construction completion reserves and to pay associated fees. Additionally, on June 13, 2024, the outstanding construction loans were converted to a term loan.</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Victory Pass and Arica Drop Down</w:t>
      </w:r>
      <w:r>
        <w:rPr>
          <w:color w:val="000000"/>
        </w:rPr>
        <w:t xml:space="preserve"> — </w:t>
      </w:r>
      <w:r>
        <w:rPr>
          <w:rFonts w:ascii="Times New Roman;sans-serif" w:hAnsi="Times New Roman;sans-serif"/>
          <w:b w:val="false"/>
          <w:color w:val="000000"/>
          <w:sz w:val="20"/>
        </w:rPr>
        <w:t>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Cedar Creek Drop Down</w:t>
      </w:r>
      <w:r>
        <w:rPr>
          <w:color w:val="000000"/>
        </w:rPr>
        <w:t xml:space="preserve"> — </w:t>
      </w:r>
      <w:r>
        <w:rPr>
          <w:rFonts w:ascii="Times New Roman;sans-serif" w:hAnsi="Times New Roman;sans-serif"/>
          <w:b w:val="false"/>
          <w:color w:val="000000"/>
          <w:sz w:val="20"/>
        </w:rPr>
        <w:t>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Texas Solar Nova 2 Drop Down</w:t>
      </w:r>
      <w:r>
        <w:rPr>
          <w:color w:val="000000"/>
        </w:rPr>
        <w:t xml:space="preserve"> — </w:t>
      </w:r>
      <w:r>
        <w:rPr>
          <w:rFonts w:ascii="Times New Roman;sans-serif" w:hAnsi="Times New Roman;sans-serif"/>
          <w:b w:val="false"/>
          <w:color w:val="000000"/>
          <w:sz w:val="20"/>
        </w:rPr>
        <w:t>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Cash Dividends to Investors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sans-serif" w:hAnsi="Times New Roman;sans-serif"/>
          <w:b w:val="false"/>
          <w:color w:val="000000"/>
          <w:sz w:val="20"/>
        </w:rPr>
        <w: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paid on the Company’s Class A common stock and Class C common stock during the six months ended June 30, 2024:</w:t>
      </w:r>
    </w:p>
    <w:tbl>
      <w:tblPr>
        <w:tblW w:w="6575"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109"/>
        <w:gridCol w:w="109"/>
        <w:gridCol w:w="109"/>
        <w:gridCol w:w="337"/>
        <w:gridCol w:w="1153"/>
        <w:gridCol w:w="174"/>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2024</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Class C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the Company declared quarterly dividends on its Class A and Class C common stock of $0.4171 per share payable on September 16, 2024 to stockholders of record as of September 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changes in cash flows for the comparative periods:</w:t>
      </w:r>
    </w:p>
    <w:tbl>
      <w:tblPr>
        <w:tblW w:w="6542" w:type="dxa"/>
        <w:jc w:val="left"/>
        <w:tblInd w:w="0" w:type="dxa"/>
        <w:tblLayout w:type="fixed"/>
        <w:tblCellMar>
          <w:top w:w="28" w:type="dxa"/>
          <w:left w:w="28" w:type="dxa"/>
          <w:bottom w:w="28" w:type="dxa"/>
          <w:right w:w="28" w:type="dxa"/>
        </w:tblCellMar>
      </w:tblPr>
      <w:tblGrid>
        <w:gridCol w:w="1254"/>
        <w:gridCol w:w="1104"/>
        <w:gridCol w:w="1107"/>
        <w:gridCol w:w="225"/>
        <w:gridCol w:w="497"/>
        <w:gridCol w:w="116"/>
        <w:gridCol w:w="116"/>
        <w:gridCol w:w="116"/>
        <w:gridCol w:w="116"/>
        <w:gridCol w:w="225"/>
        <w:gridCol w:w="497"/>
        <w:gridCol w:w="116"/>
        <w:gridCol w:w="109"/>
        <w:gridCol w:w="109"/>
        <w:gridCol w:w="109"/>
        <w:gridCol w:w="211"/>
        <w:gridCol w:w="36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494"/>
        <w:gridCol w:w="2881"/>
        <w:gridCol w:w="2892"/>
        <w:gridCol w:w="272"/>
        <w:gridCol w:w="465"/>
        <w:gridCol w:w="201"/>
      </w:tblGrid>
      <w:tr>
        <w:trPr/>
        <w:tc>
          <w:tcPr>
            <w:tcW w:w="349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9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provided by operating activities were driven by:</w:t>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operating income after adjusting for non-cash items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from changes in working capital primarily driven by the timing of accounts receivable collections and payments of current liabilities, including accounts payable and current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distributions from unconsolidated affiliates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9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926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tbl>
      <w:tblPr>
        <w:tblW w:w="6540" w:type="dxa"/>
        <w:jc w:val="left"/>
        <w:tblInd w:w="0" w:type="dxa"/>
        <w:tblLayout w:type="fixed"/>
        <w:tblCellMar>
          <w:top w:w="28" w:type="dxa"/>
          <w:left w:w="28" w:type="dxa"/>
          <w:bottom w:w="28" w:type="dxa"/>
          <w:right w:w="28" w:type="dxa"/>
        </w:tblCellMar>
      </w:tblPr>
      <w:tblGrid>
        <w:gridCol w:w="1973"/>
        <w:gridCol w:w="1733"/>
        <w:gridCol w:w="1739"/>
        <w:gridCol w:w="255"/>
        <w:gridCol w:w="654"/>
        <w:gridCol w:w="186"/>
      </w:tblGrid>
      <w:tr>
        <w:trPr/>
        <w:tc>
          <w:tcPr>
            <w:tcW w:w="19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used in investing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paid for Drop Down Assets, net of cash acquired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capital expenditures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note receivable – affiliate in 2024</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the return of investment from unconsolidated affiliates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investments in unconsolidated affiliates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tbl>
      <w:tblPr>
        <w:tblW w:w="9510" w:type="dxa"/>
        <w:jc w:val="left"/>
        <w:tblInd w:w="0" w:type="dxa"/>
        <w:tblLayout w:type="fixed"/>
        <w:tblCellMar>
          <w:top w:w="28" w:type="dxa"/>
          <w:left w:w="28" w:type="dxa"/>
          <w:bottom w:w="28" w:type="dxa"/>
          <w:right w:w="28" w:type="dxa"/>
        </w:tblCellMar>
      </w:tblPr>
      <w:tblGrid>
        <w:gridCol w:w="3046"/>
        <w:gridCol w:w="2680"/>
        <w:gridCol w:w="2689"/>
        <w:gridCol w:w="235"/>
        <w:gridCol w:w="688"/>
        <w:gridCol w:w="172"/>
      </w:tblGrid>
      <w:tr>
        <w:trPr/>
        <w:tc>
          <w:tcPr>
            <w:tcW w:w="3046"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180"/>
              <w:jc w:val="left"/>
              <w:rPr>
                <w:sz w:val="4"/>
                <w:szCs w:val="4"/>
              </w:rPr>
            </w:pPr>
            <w:r>
              <w:rPr>
                <w:sz w:val="4"/>
                <w:szCs w:val="4"/>
              </w:rPr>
            </w:r>
          </w:p>
        </w:tc>
      </w:tr>
      <w:tr>
        <w:trPr/>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cash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contributions from noncontrolling interests, net of distributions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Tax-related distributions in 2023</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payments of debt issuance costs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payments for long-term debt, net of an increase in proceeds from issuance of long-term debt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dividends paid to common stockholders and distributions paid to CEG unit holders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NOLs, Deferred Tax Assets and Uncertain Tax Position Implications, under ASC 740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 cumulative federal NOL carryforward balance of $353 million for financial statement purposes, none of which were subject to expiration. Additionally, as of December 31, 2023, the Company had a cumulative state NOL carryforward balance of $102 million for financial statement purposes, which will expire between 2024 and 2040 if unutilized. The Company does not anticipate material income tax payments through 2026. In addition, as of December 31, 2023, the Company had PTC and ITC carryforward balances totaling $21 million, which will expire between 2035 and 2043 if unutilized.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an interest disallowance carryforward of $75 million as a result of Internal Revenue Code §163(j). The disallowed interest deduction has an indefinite carryforward period and any limitations on the utilization of this carryforward have been factored into the Company’s valuation allowance analysis.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after the utilization of various federal and state NOL carryforwards, paid $1 million in federal and state income taxes during the six months ended June 30, 2024 and does not expect to pay additional material federal or state income taxes for the remainder of the current year. The Company does not anticipate being subject to the corporate minimum tax on financial statement income as enacted by the recently passed the IRA, which is discussed in further detail below.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facilities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examination by taxing authorities for income tax returns filed in the U.S. federal and various state jurisdictions. All tax returns filed by the Company for the year ended December 31, 2013 and forward remain subject to audit. As of June 30, 2024, the U.S. federal partnership returns of three of the Company’s subsidiaries are under audit by the IRS. The IRS has issued proposed adjustments with respect to one of the subsidiaries under audit, which the Company believes that such proposed adjustments are without merit and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 material uncertain tax benefits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based on their level within the fair value hierarchy defined in ASC 820; and indicate the maturities of contracts at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For a full discussion of the Company’s valuation methodology of its contracts, see </w:t>
      </w:r>
      <w:r>
        <w:rPr>
          <w:rFonts w:ascii="Times New Roman;sans-serif" w:hAnsi="Times New Roman;sans-serif"/>
          <w:b w:val="false"/>
          <w:i/>
          <w:color w:val="231F20"/>
          <w:sz w:val="20"/>
        </w:rPr>
        <w:t xml:space="preserve">Derivative Fair Value Measurements </w:t>
      </w: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Note 5</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w:t>
      </w:r>
    </w:p>
    <w:tbl>
      <w:tblPr>
        <w:tblW w:w="5759" w:type="dxa"/>
        <w:jc w:val="left"/>
        <w:tblInd w:w="0" w:type="dxa"/>
        <w:tblLayout w:type="fixed"/>
        <w:tblCellMar>
          <w:top w:w="28" w:type="dxa"/>
          <w:left w:w="28" w:type="dxa"/>
          <w:bottom w:w="28" w:type="dxa"/>
          <w:right w:w="28" w:type="dxa"/>
        </w:tblCellMar>
      </w:tblPr>
      <w:tblGrid>
        <w:gridCol w:w="1690"/>
        <w:gridCol w:w="1485"/>
        <w:gridCol w:w="1489"/>
        <w:gridCol w:w="255"/>
        <w:gridCol w:w="654"/>
        <w:gridCol w:w="186"/>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realized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June 30, 2024</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102" w:type="dxa"/>
        <w:jc w:val="left"/>
        <w:tblInd w:w="0" w:type="dxa"/>
        <w:tblLayout w:type="fixed"/>
        <w:tblCellMar>
          <w:top w:w="28" w:type="dxa"/>
          <w:left w:w="28" w:type="dxa"/>
          <w:bottom w:w="28" w:type="dxa"/>
          <w:right w:w="28" w:type="dxa"/>
        </w:tblCellMar>
      </w:tblPr>
      <w:tblGrid>
        <w:gridCol w:w="1003"/>
        <w:gridCol w:w="882"/>
        <w:gridCol w:w="889"/>
        <w:gridCol w:w="358"/>
        <w:gridCol w:w="612"/>
        <w:gridCol w:w="185"/>
        <w:gridCol w:w="109"/>
        <w:gridCol w:w="109"/>
        <w:gridCol w:w="109"/>
        <w:gridCol w:w="389"/>
        <w:gridCol w:w="805"/>
        <w:gridCol w:w="201"/>
        <w:gridCol w:w="109"/>
        <w:gridCol w:w="109"/>
        <w:gridCol w:w="109"/>
        <w:gridCol w:w="406"/>
        <w:gridCol w:w="839"/>
        <w:gridCol w:w="209"/>
        <w:gridCol w:w="109"/>
        <w:gridCol w:w="109"/>
        <w:gridCol w:w="109"/>
        <w:gridCol w:w="272"/>
        <w:gridCol w:w="698"/>
        <w:gridCol w:w="140"/>
        <w:gridCol w:w="109"/>
        <w:gridCol w:w="109"/>
        <w:gridCol w:w="109"/>
        <w:gridCol w:w="211"/>
        <w:gridCol w:w="541"/>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contracts as of June 30, 2024</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Fair Value Hierarchy (Losses) Gains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Fair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acquisition accounting and determining the fair value of financial instruments.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Developments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 Quantitative and Qualitative Disclosures About Market Risk </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ans-serif" w:hAnsi="Times New Roman;sans-serif"/>
          <w:b w:val="false"/>
          <w:color w:val="000000"/>
          <w:sz w:val="20"/>
        </w:rPr>
        <w:t>The following disclosures about market risk provide an update to, and should be read in conjunction with, Item 7A —</w:t>
      </w:r>
      <w:r>
        <w:rPr>
          <w:color w:val="000000"/>
        </w:rPr>
        <w:t xml:space="preserve">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of the Company’s 2023 Form 10-K.</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Commodity Price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June 30, 2024.</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Interest Rate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Derivative Instruments and Hedging Activities</w:t>
      </w:r>
      <w:r>
        <w:rPr>
          <w:rFonts w:ascii="Times New Roman;sans-serif" w:hAnsi="Times New Roman;sans-serif"/>
          <w:b w:val="false"/>
          <w:color w:val="231F20"/>
          <w:sz w:val="20"/>
        </w:rPr>
        <w:t>, for more information.</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Most of the Company’s subsidiaries enter into interest rate swaps intended to hedge the risks associated with interest rates on non-recourse facility-level debt. See Item 15 —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 xml:space="preserve">to the Company’s </w:t>
      </w:r>
      <w:r>
        <w:rPr>
          <w:rFonts w:ascii="Times New Roman;sans-serif" w:hAnsi="Times New Roman;sans-serif"/>
          <w:b w:val="false"/>
          <w:color w:val="000000"/>
          <w:sz w:val="20"/>
        </w:rPr>
        <w:t>audited consolidated financial statements for the year ended December 31, 2023 included in the 2023 Form 10-K</w:t>
      </w:r>
      <w:r>
        <w:rPr>
          <w:color w:val="231F20"/>
        </w:rPr>
        <w:t xml:space="preserve"> </w:t>
      </w:r>
      <w:r>
        <w:rPr>
          <w:rFonts w:ascii="Times New Roman;sans-serif" w:hAnsi="Times New Roman;sans-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If all of the interest rate swaps had been discontinued on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counterparties would have owed the Company </w:t>
      </w:r>
      <w:r>
        <w:rPr>
          <w:rFonts w:ascii="Times New Roman;sans-serif" w:hAnsi="Times New Roman;sans-serif"/>
          <w:b w:val="false"/>
          <w:color w:val="000000"/>
          <w:sz w:val="20"/>
        </w:rPr>
        <w:t>$166 million.</w:t>
      </w:r>
      <w:r>
        <w:rPr>
          <w:color w:val="231F20"/>
        </w:rPr>
        <w:t xml:space="preserve"> </w:t>
      </w:r>
      <w:r>
        <w:rPr>
          <w:rFonts w:ascii="Times New Roman;sans-serif" w:hAnsi="Times New Roman;sans-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has long-term debt instruments that subject it to the risk of loss associated with movements in market interest rates. 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a change of 1%, or 100 basis points, in interest rates would result in an approximately $1 million change in market interest expense on a rolling twelve-month basis.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the fair value of the Company’s debt was $6.70 billion and the carrying value was $7.27 billion. The Company estimates that a decrease of 1%, or 100 basis points, in market interest rates would have increased the fair value of its long-term debt by approximately $321 million.</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Liquidity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Counterparty Credit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ans-serif" w:hAnsi="Times New Roman;sans-serif"/>
          <w:b w:val="false"/>
          <w:color w:val="000000"/>
          <w:sz w:val="20"/>
        </w:rPr>
        <w:t>Note 5</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 Controls and Procedures</w:t>
      </w:r>
    </w:p>
    <w:p>
      <w:pPr>
        <w:pStyle w:val="TextBody"/>
        <w:bidi w:val="0"/>
        <w:spacing w:lineRule="auto" w:line="288" w:before="0" w:after="180"/>
        <w:jc w:val="both"/>
        <w:rPr/>
      </w:pPr>
      <w:r>
        <w:rPr>
          <w:rFonts w:ascii="Times New Roman;sans-serif" w:hAnsi="Times New Roman;sans-serif"/>
          <w:b w:val="false"/>
          <w:i/>
          <w:color w:val="000000"/>
          <w:sz w:val="20"/>
        </w:rPr>
        <w:t>Conclusion Regarding the Effectiveness of Disclosure Controls</w:t>
      </w:r>
      <w:r>
        <w:rPr>
          <w:color w:val="000000"/>
        </w:rPr>
        <w:t xml:space="preserve"> </w:t>
      </w:r>
      <w:r>
        <w:rPr>
          <w:rFonts w:ascii="Times New Roman;sans-serif" w:hAnsi="Times New Roman;sans-serif"/>
          <w:b w:val="false"/>
          <w:i/>
          <w:color w:val="000000"/>
          <w:sz w:val="20"/>
        </w:rPr>
        <w:t>and</w:t>
      </w:r>
      <w:r>
        <w:rPr>
          <w:color w:val="000000"/>
        </w:rPr>
        <w:t xml:space="preserve"> </w:t>
      </w:r>
      <w:r>
        <w:rPr>
          <w:rFonts w:ascii="Times New Roman;sans-serif" w:hAnsi="Times New Roman;sans-serif"/>
          <w:b w:val="false"/>
          <w:i/>
          <w:color w:val="000000"/>
          <w:sz w:val="20"/>
        </w:rPr>
        <w:t>Procedures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such term is defined in Rule 13a-15(f) under the Exchange Act) during the quarter ended June 30, 2024 that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 — LEGAL PROCEEDINGS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Information regarding risk factors appears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Company’s 2023 Form 10-K. There have been no material changes in the Company’s risk factors since those reported in its 2023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 DEFAULTS UPON SENIOR SECURITIES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 OTHER INFORMATION</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or terminated a “Rule 10b5-1 trading arrangement” or “non-Rule 10b5-1 trading arrangement,” as each term is defined in Item 408(a)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897"/>
        <w:gridCol w:w="1864"/>
        <w:gridCol w:w="1869"/>
        <w:gridCol w:w="109"/>
        <w:gridCol w:w="109"/>
        <w:gridCol w:w="109"/>
        <w:gridCol w:w="1000"/>
        <w:gridCol w:w="932"/>
        <w:gridCol w:w="121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Method of Filing</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8"/>
                  <w:u w:val="single"/>
                </w:rPr>
                <w:t>Second Amended and Restated Master Services Agreement, dated as of April 30, 2024, by and among Clearway Energy Group LLC, Clearway Energy, Inc., Clearway Energy LLC and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Quarterly Report on Form 10-Q filed on May 9,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8"/>
                  <w:u w:val="single"/>
                </w:rPr>
                <w:t>Separation Agreement and General Release, dated as of April 30, 2024, by and between Clearway Energy, Inc. and Christopher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April 30,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8"/>
                  <w:u w:val="single"/>
                </w:rPr>
                <w:t>Amended and Restated Employment Agreement, dated as of April 30, 2024, by and between Clearway Energy Group LLC, Clearway Energy, Inc., GIP III Zephyr Management Partners, L.P., GIP III Zephyr Midco Holdings, L.P. and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April 30,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18"/>
                  <w:u w:val="single"/>
                </w:rPr>
                <w:t>Consulting Agreement, dated as of June 20, 2024, by and between Clearway Energy, Inc. and Christopher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June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8"/>
                  <w:u w:val="single"/>
                </w:rPr>
                <w:t>Membership Interest Purchase Agreement, dated as of June 27, 2024, by and between D1-LV CE Seller LLC and LV-Daggett Parent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July 3,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110-q2024q2.htm">
              <w:r>
                <w:rPr>
                  <w:rStyle w:val="InternetLink"/>
                  <w:rFonts w:ascii="Times New Roman;sans-serif" w:hAnsi="Times New Roman;sans-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210-q2024q2.htm">
              <w:r>
                <w:rPr>
                  <w:rStyle w:val="InternetLink"/>
                  <w:rFonts w:ascii="Times New Roman;sans-serif" w:hAnsi="Times New Roman;sans-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210-q2024q2.htm">
              <w:r>
                <w:rPr>
                  <w:rStyle w:val="InternetLink"/>
                  <w:rFonts w:ascii="Times New Roman;sans-serif" w:hAnsi="Times New Roman;sans-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bl>
    <w:p>
      <w:pPr>
        <w:pStyle w:val="TextBody"/>
        <w:bidi w:val="0"/>
        <w:spacing w:lineRule="auto" w:line="288" w:before="0" w:after="60"/>
        <w:jc w:val="left"/>
        <w:rPr>
          <w:color w:val="000000"/>
        </w:rPr>
      </w:pPr>
      <w:r>
        <w:rPr>
          <w:color w:val="000000"/>
        </w:rPr>
        <w:t xml:space="preserve">† </w:t>
      </w:r>
      <w:r>
        <w:rPr>
          <w:rFonts w:ascii="Times New Roman;sans-serif" w:hAnsi="Times New Roman;sans-serif"/>
          <w:b w:val="false"/>
          <w:color w:val="000000"/>
          <w:sz w:val="18"/>
        </w:rPr>
        <w:t xml:space="preserve">Schedules and similar attachments to this Exhibit have been omitted pursuant to Item 601(a)(5) of Regulation S-K. The Company agrees to furnish supplementally a copy of any omitted schedule or exhibit to the U.S. Securities and Exchange Commission upon request.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Certain portions of this Exhibit have been redacted pursuant to Item 601(b)(10)(iv) of Regulation S-K. The omitted information (i) is not material and (ii) would likely cause competitive harm to the Company if publicly disclosed. The Company agrees to furnish supplementally an unredacted copy of this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37" w:type="dxa"/>
        <w:jc w:val="center"/>
        <w:tblInd w:w="0" w:type="dxa"/>
        <w:tblLayout w:type="fixed"/>
        <w:tblCellMar>
          <w:top w:w="28" w:type="dxa"/>
          <w:left w:w="28" w:type="dxa"/>
          <w:bottom w:w="28" w:type="dxa"/>
          <w:right w:w="28" w:type="dxa"/>
        </w:tblCellMar>
      </w:tblPr>
      <w:tblGrid>
        <w:gridCol w:w="667"/>
        <w:gridCol w:w="587"/>
        <w:gridCol w:w="590"/>
        <w:gridCol w:w="589"/>
        <w:gridCol w:w="589"/>
        <w:gridCol w:w="589"/>
        <w:gridCol w:w="589"/>
        <w:gridCol w:w="589"/>
        <w:gridCol w:w="589"/>
        <w:gridCol w:w="589"/>
        <w:gridCol w:w="589"/>
        <w:gridCol w:w="6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Cornelius</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3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pPr>
            <w:r>
              <w:rPr>
                <w:rFonts w:ascii="Times New Roman;sans-serif" w:hAnsi="Times New Roman;sans-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3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55</w:t>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Clearway Energy, Inc.;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Craig Cornelius</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Clearway Energy, Inc.;</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Clearway Energy, Inc. on Form 10-Q for the quarter ended June 30,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1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pP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67683/000156768324000015/secondarmanagementservic.htm" TargetMode="External"/><Relationship Id="rId4" Type="http://schemas.openxmlformats.org/officeDocument/2006/relationships/hyperlink" Target="https://www.sec.gov/Archives/edgar/data/1567683/000110465924054956/tm2413039d1_ex10-1.htm" TargetMode="External"/><Relationship Id="rId5" Type="http://schemas.openxmlformats.org/officeDocument/2006/relationships/hyperlink" Target="https://www.sec.gov/Archives/edgar/data/1567683/000110465924054956/tm2413039d1_ex10-2.htm" TargetMode="External"/><Relationship Id="rId6" Type="http://schemas.openxmlformats.org/officeDocument/2006/relationships/hyperlink" Target="https://www.sec.gov/Archives/edgar/data/1567683/000110465924074480/tm2418112d1_ex10-1.htm" TargetMode="External"/><Relationship Id="rId7" Type="http://schemas.openxmlformats.org/officeDocument/2006/relationships/hyperlink" Target="https://www.sec.gov/Archives/edgar/data/1567683/000110465924077514/tm2418726d1_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23845</Words>
  <Characters>128323</Characters>
  <CharactersWithSpaces>149995</CharactersWithSpaces>
  <Paragraphs>4322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