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Malcarney Kevin P.</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60" w:type="dxa"/>
            <w:vAlign w:val="bottom"/>
          </w:tcPr>
          <w:p>
            <w:pPr>
              <w:ind w:left="120"/>
              <w:spacing w:after="0"/>
              <w:rPr>
                <w:sz w:val="20"/>
                <w:szCs w:val="20"/>
                <w:color w:val="auto"/>
              </w:rPr>
            </w:pPr>
            <w:r>
              <w:rPr>
                <w:rFonts w:ascii="Arial" w:cs="Arial" w:eastAsia="Arial" w:hAnsi="Arial"/>
                <w:sz w:val="14"/>
                <w:szCs w:val="14"/>
                <w:color w:val="auto"/>
              </w:rPr>
              <w:t>(First)</w:t>
            </w:r>
          </w:p>
        </w:tc>
        <w:tc>
          <w:tcPr>
            <w:tcW w:w="136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0000FF"/>
                <w:w w:val="99"/>
              </w:rPr>
              <w:t>CLEARWAY ENERGY, INC.</w:t>
            </w:r>
          </w:p>
        </w:tc>
        <w:tc>
          <w:tcPr>
            <w:tcW w:w="13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300 CARNEGIE CENTER, SUITE 300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PRINCETON</w:t>
            </w:r>
          </w:p>
        </w:tc>
        <w:tc>
          <w:tcPr>
            <w:tcW w:w="1160" w:type="dxa"/>
            <w:vAlign w:val="bottom"/>
          </w:tcPr>
          <w:p>
            <w:pPr>
              <w:ind w:left="120"/>
              <w:spacing w:after="0"/>
              <w:rPr>
                <w:sz w:val="20"/>
                <w:szCs w:val="20"/>
                <w:color w:val="auto"/>
              </w:rPr>
            </w:pPr>
            <w:r>
              <w:rPr>
                <w:rFonts w:ascii="Arial" w:cs="Arial" w:eastAsia="Arial" w:hAnsi="Arial"/>
                <w:sz w:val="18"/>
                <w:szCs w:val="18"/>
                <w:color w:val="0000FF"/>
              </w:rPr>
              <w:t>NJ</w:t>
            </w:r>
          </w:p>
        </w:tc>
        <w:tc>
          <w:tcPr>
            <w:tcW w:w="1360" w:type="dxa"/>
            <w:vAlign w:val="bottom"/>
          </w:tcPr>
          <w:p>
            <w:pPr>
              <w:ind w:left="18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120"/>
              <w:spacing w:after="0"/>
              <w:rPr>
                <w:sz w:val="20"/>
                <w:szCs w:val="20"/>
                <w:color w:val="auto"/>
              </w:rPr>
            </w:pPr>
            <w:r>
              <w:rPr>
                <w:rFonts w:ascii="Arial" w:cs="Arial" w:eastAsia="Arial" w:hAnsi="Arial"/>
                <w:sz w:val="14"/>
                <w:szCs w:val="14"/>
                <w:color w:val="auto"/>
              </w:rPr>
              <w:t>(State)</w:t>
            </w:r>
          </w:p>
        </w:tc>
        <w:tc>
          <w:tcPr>
            <w:tcW w:w="136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840" w:type="dxa"/>
            <w:vAlign w:val="bottom"/>
          </w:tcPr>
          <w:p>
            <w:pPr>
              <w:spacing w:after="0"/>
              <w:rPr>
                <w:sz w:val="19"/>
                <w:szCs w:val="19"/>
                <w:color w:val="auto"/>
              </w:rPr>
            </w:pPr>
          </w:p>
        </w:tc>
        <w:tc>
          <w:tcPr>
            <w:tcW w:w="3280" w:type="dxa"/>
            <w:vAlign w:val="bottom"/>
            <w:gridSpan w:val="3"/>
            <w:vMerge w:val="restart"/>
          </w:tcPr>
          <w:p>
            <w:pPr>
              <w:ind w:left="140"/>
              <w:spacing w:after="0"/>
              <w:rPr>
                <w:sz w:val="20"/>
                <w:szCs w:val="20"/>
                <w:color w:val="auto"/>
              </w:rPr>
            </w:pPr>
            <w:r>
              <w:rPr>
                <w:rFonts w:ascii="Arial" w:cs="Arial" w:eastAsia="Arial" w:hAnsi="Arial"/>
                <w:sz w:val="18"/>
                <w:szCs w:val="18"/>
                <w:color w:val="0000FF"/>
                <w:w w:val="93"/>
              </w:rPr>
              <w:t>EVP, GEN COUNSEL AND CORP SECR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2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542</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2"/>
                <w:szCs w:val="2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68,688</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20" w:type="dxa"/>
            <w:vAlign w:val="bottom"/>
            <w:gridSpan w:val="10"/>
          </w:tcPr>
          <w:p>
            <w:pPr>
              <w:jc w:val="center"/>
              <w:ind w:right="7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2,052 dividend equivalent rights that may only be settled in Class C Common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Kevin P. Malcarney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06/05/2023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2023-06-05T15:57:37Z</dcterms:created>
  <dcterms:modified xsi:type="dcterms:W3CDTF">2023-06-05T15:57:37Z</dcterms:modified>
</cp:coreProperties>
</file>