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7, 2020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CLEARWAY ENERGY,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0" w:lineRule="exact"/>
        <w:rPr>
          <w:sz w:val="24"/>
          <w:szCs w:val="24"/>
          <w:color w:val="auto"/>
        </w:rPr>
      </w:pPr>
    </w:p>
    <w:tbl>
      <w:tblPr>
        <w:tblLayout w:type="fixed"/>
        <w:tblInd w:w="300" w:type="dxa"/>
        <w:tblCellMar>
          <w:top w:w="0" w:type="dxa"/>
          <w:left w:w="0" w:type="dxa"/>
          <w:bottom w:w="0" w:type="dxa"/>
          <w:right w:w="0" w:type="dxa"/>
        </w:tblCellMar>
      </w:tblPr>
      <w:tr>
        <w:trPr>
          <w:trHeight w:val="261"/>
        </w:trPr>
        <w:tc>
          <w:tcPr>
            <w:tcW w:w="36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1190"/>
              <w:spacing w:after="0"/>
              <w:rPr>
                <w:sz w:val="20"/>
                <w:szCs w:val="20"/>
                <w:color w:val="auto"/>
              </w:rPr>
            </w:pPr>
            <w:r>
              <w:rPr>
                <w:rFonts w:ascii="Arial" w:cs="Arial" w:eastAsia="Arial" w:hAnsi="Arial"/>
                <w:sz w:val="18"/>
                <w:szCs w:val="18"/>
                <w:b w:val="1"/>
                <w:bCs w:val="1"/>
                <w:color w:val="auto"/>
              </w:rPr>
              <w:t>001-36002</w:t>
            </w:r>
          </w:p>
        </w:tc>
        <w:tc>
          <w:tcPr>
            <w:tcW w:w="3300" w:type="dxa"/>
            <w:vAlign w:val="bottom"/>
          </w:tcPr>
          <w:p>
            <w:pPr>
              <w:jc w:val="right"/>
              <w:ind w:right="790"/>
              <w:spacing w:after="0"/>
              <w:rPr>
                <w:sz w:val="20"/>
                <w:szCs w:val="20"/>
                <w:color w:val="auto"/>
              </w:rPr>
            </w:pPr>
            <w:r>
              <w:rPr>
                <w:rFonts w:ascii="Arial" w:cs="Arial" w:eastAsia="Arial" w:hAnsi="Arial"/>
                <w:sz w:val="18"/>
                <w:szCs w:val="18"/>
                <w:b w:val="1"/>
                <w:bCs w:val="1"/>
                <w:color w:val="auto"/>
              </w:rPr>
              <w:t>46-1777204</w:t>
            </w:r>
          </w:p>
        </w:tc>
        <w:tc>
          <w:tcPr>
            <w:tcW w:w="0" w:type="dxa"/>
            <w:vAlign w:val="bottom"/>
          </w:tcPr>
          <w:p>
            <w:pPr>
              <w:spacing w:after="0"/>
              <w:rPr>
                <w:sz w:val="1"/>
                <w:szCs w:val="1"/>
                <w:color w:val="auto"/>
              </w:rPr>
            </w:pPr>
          </w:p>
        </w:tc>
      </w:tr>
      <w:tr>
        <w:trPr>
          <w:trHeight w:val="189"/>
        </w:trPr>
        <w:tc>
          <w:tcPr>
            <w:tcW w:w="368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3300" w:type="dxa"/>
            <w:vAlign w:val="bottom"/>
            <w:vMerge w:val="restart"/>
          </w:tcPr>
          <w:p>
            <w:pPr>
              <w:jc w:val="center"/>
              <w:ind w:left="6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270"/>
              <w:spacing w:after="0"/>
              <w:rPr>
                <w:sz w:val="20"/>
                <w:szCs w:val="20"/>
                <w:color w:val="auto"/>
              </w:rPr>
            </w:pPr>
            <w:r>
              <w:rPr>
                <w:rFonts w:ascii="Arial" w:cs="Arial" w:eastAsia="Arial" w:hAnsi="Arial"/>
                <w:sz w:val="18"/>
                <w:szCs w:val="18"/>
                <w:color w:val="auto"/>
                <w:w w:val="92"/>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300 Carnegie Center, Suite 300, Princeton, New Jersey </w:t>
      </w:r>
      <w:r>
        <w:rPr>
          <w:rFonts w:ascii="Arial" w:cs="Arial" w:eastAsia="Arial" w:hAnsi="Arial"/>
          <w:sz w:val="18"/>
          <w:szCs w:val="18"/>
          <w:color w:val="auto"/>
        </w:rPr>
        <w:t>08540</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231F20"/>
        </w:rPr>
        <w:t>N/A</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31" w:lineRule="exact"/>
        <w:rPr>
          <w:rFonts w:ascii="MS PGothic" w:cs="MS PGothic" w:eastAsia="MS PGothic" w:hAnsi="MS PGothic"/>
          <w:sz w:val="18"/>
          <w:szCs w:val="18"/>
          <w:color w:val="auto"/>
        </w:rPr>
      </w:pPr>
    </w:p>
    <w:p>
      <w:pPr>
        <w:ind w:right="2940" w:firstLine="48"/>
        <w:spacing w:after="0" w:line="274"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Trading Symbol(s)</w:t>
            </w:r>
          </w:p>
        </w:tc>
        <w:tc>
          <w:tcPr>
            <w:tcW w:w="47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9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jc w:val="center"/>
              <w:spacing w:after="0"/>
              <w:rPr>
                <w:sz w:val="20"/>
                <w:szCs w:val="20"/>
                <w:color w:val="auto"/>
              </w:rPr>
            </w:pPr>
            <w:r>
              <w:rPr>
                <w:rFonts w:ascii="Arial" w:cs="Arial" w:eastAsia="Arial" w:hAnsi="Arial"/>
                <w:sz w:val="18"/>
                <w:szCs w:val="18"/>
                <w:color w:val="auto"/>
                <w:w w:val="90"/>
              </w:rPr>
              <w:t>Class A Common Stock, par value $0.01</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97"/>
              </w:rPr>
              <w:t>CWEN.A</w:t>
            </w:r>
          </w:p>
        </w:tc>
        <w:tc>
          <w:tcPr>
            <w:tcW w:w="4780" w:type="dxa"/>
            <w:vAlign w:val="bottom"/>
          </w:tcPr>
          <w:p>
            <w:pPr>
              <w:jc w:val="center"/>
              <w:ind w:right="70"/>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920" w:type="dxa"/>
            <w:vAlign w:val="bottom"/>
          </w:tcPr>
          <w:p>
            <w:pPr>
              <w:jc w:val="center"/>
              <w:spacing w:after="0"/>
              <w:rPr>
                <w:sz w:val="20"/>
                <w:szCs w:val="20"/>
                <w:color w:val="auto"/>
              </w:rPr>
            </w:pPr>
            <w:r>
              <w:rPr>
                <w:rFonts w:ascii="Arial" w:cs="Arial" w:eastAsia="Arial" w:hAnsi="Arial"/>
                <w:sz w:val="18"/>
                <w:szCs w:val="18"/>
                <w:color w:val="auto"/>
                <w:w w:val="89"/>
              </w:rPr>
              <w:t>Class C Common Stock, par value $0.01</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98"/>
              </w:rPr>
              <w:t>CWEN</w:t>
            </w:r>
          </w:p>
        </w:tc>
        <w:tc>
          <w:tcPr>
            <w:tcW w:w="4780" w:type="dxa"/>
            <w:vAlign w:val="bottom"/>
          </w:tcPr>
          <w:p>
            <w:pPr>
              <w:jc w:val="center"/>
              <w:ind w:right="70"/>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231F20"/>
        </w:rPr>
        <w:t xml:space="preserve">Emerging growth company </w:t>
      </w:r>
      <w:r>
        <w:rPr>
          <w:rFonts w:ascii="MS PGothic" w:cs="MS PGothic" w:eastAsia="MS PGothic" w:hAnsi="MS PGothic"/>
          <w:sz w:val="16"/>
          <w:szCs w:val="16"/>
          <w:color w:val="000000"/>
        </w:rPr>
        <w:t>☐</w:t>
      </w:r>
    </w:p>
    <w:p>
      <w:pPr>
        <w:spacing w:after="0" w:line="266"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ind w:firstLine="423"/>
        <w:spacing w:after="0" w:line="259" w:lineRule="auto"/>
        <w:rPr>
          <w:sz w:val="20"/>
          <w:szCs w:val="20"/>
          <w:color w:val="auto"/>
        </w:rPr>
      </w:pPr>
      <w:r>
        <w:rPr>
          <w:rFonts w:ascii="Arial" w:cs="Arial" w:eastAsia="Arial" w:hAnsi="Arial"/>
          <w:sz w:val="18"/>
          <w:szCs w:val="18"/>
          <w:color w:val="auto"/>
        </w:rPr>
        <w:t xml:space="preserve">On May 7, 2020, Clearway Energy, Inc. issued a press release announcing its financial results for the quarter ended March 31, 2020. A copy of the press release is furnished as Exhibit 99.1 to this report on Form 8-K and is hereby incorporated by reference. </w:t>
      </w:r>
      <w:r>
        <w:rPr>
          <w:rFonts w:ascii="Arial" w:cs="Arial" w:eastAsia="Arial" w:hAnsi="Arial"/>
          <w:sz w:val="18"/>
          <w:szCs w:val="18"/>
          <w:color w:val="212529"/>
        </w:rPr>
        <w:t>In accordance with General Instruction B.2 of</w:t>
      </w:r>
      <w:r>
        <w:rPr>
          <w:rFonts w:ascii="Arial" w:cs="Arial" w:eastAsia="Arial" w:hAnsi="Arial"/>
          <w:sz w:val="18"/>
          <w:szCs w:val="18"/>
          <w:color w:val="auto"/>
        </w:rPr>
        <w:t xml:space="preserve"> </w:t>
      </w:r>
      <w:r>
        <w:rPr>
          <w:rFonts w:ascii="Arial" w:cs="Arial" w:eastAsia="Arial" w:hAnsi="Arial"/>
          <w:sz w:val="18"/>
          <w:szCs w:val="18"/>
          <w:color w:val="212529"/>
        </w:rPr>
        <w:t>Form 8-K, the information set forth in this Item 2.02 and in the attached exhibit are deemed to be furnished and shall not be deemed to be “filed” for purposes of Section 18 of the Securities Exchange Act of 1934, as amended (the “Exchange 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100" w:type="dxa"/>
            <w:vAlign w:val="bottom"/>
          </w:tcPr>
          <w:p>
            <w:pPr>
              <w:spacing w:after="0"/>
              <w:rPr>
                <w:sz w:val="18"/>
                <w:szCs w:val="18"/>
                <w:color w:val="auto"/>
              </w:rPr>
            </w:pPr>
          </w:p>
        </w:tc>
      </w:t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100" w:type="dxa"/>
            <w:vAlign w:val="bottom"/>
          </w:tcPr>
          <w:p>
            <w:pPr>
              <w:ind w:left="3660"/>
              <w:spacing w:after="0"/>
              <w:rPr>
                <w:sz w:val="20"/>
                <w:szCs w:val="20"/>
                <w:color w:val="auto"/>
              </w:rPr>
            </w:pPr>
            <w:r>
              <w:rPr>
                <w:rFonts w:ascii="Arial" w:cs="Arial" w:eastAsia="Arial" w:hAnsi="Arial"/>
                <w:sz w:val="18"/>
                <w:szCs w:val="18"/>
                <w:b w:val="1"/>
                <w:bCs w:val="1"/>
                <w:color w:val="auto"/>
              </w:rPr>
              <w:t>Document</w:t>
            </w:r>
          </w:p>
        </w:tc>
      </w:tr>
      <w:tr>
        <w:trPr>
          <w:trHeight w:val="27"/>
        </w:trPr>
        <w:tc>
          <w:tcPr>
            <w:tcW w:w="20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r>
      <w:tr>
        <w:trPr>
          <w:trHeight w:val="237"/>
        </w:trPr>
        <w:tc>
          <w:tcPr>
            <w:tcW w:w="2000" w:type="dxa"/>
            <w:vAlign w:val="bottom"/>
          </w:tcPr>
          <w:p>
            <w:pPr>
              <w:ind w:left="20"/>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0"/>
                <w:szCs w:val="20"/>
                <w:color w:val="auto"/>
              </w:rPr>
            </w:pPr>
          </w:p>
        </w:tc>
        <w:tc>
          <w:tcPr>
            <w:tcW w:w="810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7, 2020</w:t>
              </w:r>
            </w:hyperlink>
          </w:p>
        </w:tc>
      </w:tr>
      <w:tr>
        <w:trPr>
          <w:trHeight w:val="270"/>
        </w:trPr>
        <w:tc>
          <w:tcPr>
            <w:tcW w:w="2000" w:type="dxa"/>
            <w:vAlign w:val="bottom"/>
          </w:tcPr>
          <w:p>
            <w:pPr>
              <w:ind w:left="2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3"/>
                <w:szCs w:val="23"/>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 w:name="page3"/>
    <w:bookmarkEnd w:id="2"/>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Clearway Energy,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31750</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P. Malcarney</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 and Corporate Secretary</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4284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Reports First Quarter 2020 Financial Results</w:t>
      </w:r>
    </w:p>
    <w:p>
      <w:pPr>
        <w:spacing w:after="0" w:line="25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Signed binding agreements to acquire and invest in a portfolio of renewable energy projects</w:t>
      </w:r>
    </w:p>
    <w:p>
      <w:pPr>
        <w:spacing w:after="0" w:line="27"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Maintaining safe and reliable operations through COVID-19 pandemic; Currently do not foresee any material impact to its financial condition</w:t>
      </w: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Reiterating 2020 financial guidance</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Declared quarterly dividend of $0.21 per share in second quarter 2020</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May 7, 2020</w:t>
      </w:r>
      <w:r>
        <w:rPr>
          <w:rFonts w:ascii="Arial" w:cs="Arial" w:eastAsia="Arial" w:hAnsi="Arial"/>
          <w:sz w:val="18"/>
          <w:szCs w:val="18"/>
          <w:color w:val="auto"/>
        </w:rPr>
        <w:t>— Clearway Energy, Inc. (NYSE: CWEN, CWEN.A) today reported first quarter 2020 financial results,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$107 million, Adjusted EBITDA of $225 million, Cash from Operating Activities of $84 million, and Cash Available for Distribution (CAFD) of $8 million, which includes adjustments to reflect CAFD generated by unconsolidated investments that are unable to distribute project dividends due to the PG&amp;E bankruptcy.</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the recently announced signing of the drop-down transactions with our sponsor, Clearway continues to position itself for long term dividend growth which we would intend to normalize upon the resolution of the PG&amp;E bankruptcy,” said Christopher Sotos, Clearway Energy, Inc.’s President and Chief Executive Officer. “While the COVID-19 pandemic has impacted the economy, our employees and operating partners have continued to manage Clearway's assets safely despite these conditions. The Company’s operational results during the quarter were unaffected by the current events and we do not currently foresee any material impact to the Company’s financial condition as a result of the pandemic.”</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and Cash Available for Distribution used in this press release are non-GAAP measures and are explained in greater detail under “Non-GAAP Financial Information”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Overview of Financial and Operating Results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Segment Results</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9"/>
        </w:trPr>
        <w:tc>
          <w:tcPr>
            <w:tcW w:w="6240" w:type="dxa"/>
            <w:vAlign w:val="bottom"/>
            <w:gridSpan w:val="3"/>
          </w:tcPr>
          <w:p>
            <w:pPr>
              <w:spacing w:after="0"/>
              <w:rPr>
                <w:sz w:val="20"/>
                <w:szCs w:val="20"/>
                <w:color w:val="auto"/>
              </w:rPr>
            </w:pPr>
            <w:r>
              <w:rPr>
                <w:rFonts w:ascii="Arial" w:cs="Arial" w:eastAsia="Arial" w:hAnsi="Arial"/>
                <w:sz w:val="18"/>
                <w:szCs w:val="18"/>
                <w:b w:val="1"/>
                <w:bCs w:val="1"/>
                <w:color w:val="auto"/>
              </w:rPr>
              <w:t>Table 1: Net (Loss)/Income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1760" w:type="dxa"/>
            <w:vAlign w:val="bottom"/>
          </w:tcPr>
          <w:p>
            <w:pPr>
              <w:spacing w:after="0"/>
              <w:rPr>
                <w:sz w:val="23"/>
                <w:szCs w:val="23"/>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300" w:type="dxa"/>
            <w:vAlign w:val="bottom"/>
          </w:tcPr>
          <w:p>
            <w:pPr>
              <w:spacing w:after="0"/>
              <w:rPr>
                <w:sz w:val="23"/>
                <w:szCs w:val="23"/>
                <w:color w:val="auto"/>
              </w:rPr>
            </w:pPr>
          </w:p>
        </w:tc>
        <w:tc>
          <w:tcPr>
            <w:tcW w:w="29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760" w:type="dxa"/>
            <w:vAlign w:val="bottom"/>
          </w:tcPr>
          <w:p>
            <w:pPr>
              <w:spacing w:after="0"/>
              <w:rPr>
                <w:sz w:val="23"/>
                <w:szCs w:val="23"/>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300" w:type="dxa"/>
            <w:vAlign w:val="bottom"/>
          </w:tcPr>
          <w:p>
            <w:pPr>
              <w:spacing w:after="0"/>
              <w:rPr>
                <w:sz w:val="23"/>
                <w:szCs w:val="23"/>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3/31/20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3/31/19</w:t>
            </w:r>
          </w:p>
        </w:tc>
      </w:tr>
      <w:tr>
        <w:trPr>
          <w:trHeight w:val="27"/>
        </w:trPr>
        <w:tc>
          <w:tcPr>
            <w:tcW w:w="17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76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r>
      <w:tr>
        <w:trPr>
          <w:trHeight w:val="243"/>
        </w:trPr>
        <w:tc>
          <w:tcPr>
            <w:tcW w:w="1760" w:type="dxa"/>
            <w:vAlign w:val="bottom"/>
          </w:tcPr>
          <w:p>
            <w:pPr>
              <w:spacing w:after="0"/>
              <w:rPr>
                <w:sz w:val="21"/>
                <w:szCs w:val="21"/>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17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76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r>
      <w:tr>
        <w:trPr>
          <w:trHeight w:val="243"/>
        </w:trPr>
        <w:tc>
          <w:tcPr>
            <w:tcW w:w="1760" w:type="dxa"/>
            <w:vAlign w:val="bottom"/>
          </w:tcPr>
          <w:p>
            <w:pPr>
              <w:spacing w:after="0"/>
              <w:rPr>
                <w:sz w:val="21"/>
                <w:szCs w:val="21"/>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17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1760" w:type="dxa"/>
            <w:vAlign w:val="bottom"/>
          </w:tcPr>
          <w:p>
            <w:pPr>
              <w:spacing w:after="0"/>
              <w:rPr>
                <w:sz w:val="24"/>
                <w:szCs w:val="24"/>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760" w:type="dxa"/>
            <w:vAlign w:val="bottom"/>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240" w:type="dxa"/>
            <w:vAlign w:val="bottom"/>
            <w:gridSpan w:val="4"/>
          </w:tcPr>
          <w:p>
            <w:pPr>
              <w:spacing w:after="0"/>
              <w:rPr>
                <w:sz w:val="20"/>
                <w:szCs w:val="20"/>
                <w:color w:val="auto"/>
              </w:rPr>
            </w:pPr>
            <w:r>
              <w:rPr>
                <w:rFonts w:ascii="Arial" w:cs="Arial" w:eastAsia="Arial" w:hAnsi="Arial"/>
                <w:sz w:val="18"/>
                <w:szCs w:val="18"/>
                <w:b w:val="1"/>
                <w:bCs w:val="1"/>
                <w:color w:val="auto"/>
              </w:rPr>
              <w:t>Table 2: Adjusted EBITDA</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i w:val="1"/>
                <w:iCs w:val="1"/>
                <w:color w:val="auto"/>
              </w:rPr>
              <w:t>($ millions)</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80" w:type="dxa"/>
            <w:vAlign w:val="bottom"/>
            <w:gridSpan w:val="7"/>
          </w:tcPr>
          <w:p>
            <w:pPr>
              <w:ind w:left="36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w w:val="96"/>
              </w:rPr>
              <w:t>3/31/20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w w:val="96"/>
              </w:rPr>
              <w:t>3/31/19</w:t>
            </w:r>
          </w:p>
        </w:tc>
        <w:tc>
          <w:tcPr>
            <w:tcW w:w="260" w:type="dxa"/>
            <w:vAlign w:val="bottom"/>
          </w:tcPr>
          <w:p>
            <w:pPr>
              <w:spacing w:after="0"/>
              <w:rPr>
                <w:sz w:val="23"/>
                <w:szCs w:val="23"/>
                <w:color w:val="auto"/>
              </w:rPr>
            </w:pPr>
          </w:p>
        </w:tc>
      </w:tr>
      <w:tr>
        <w:trPr>
          <w:trHeight w:val="27"/>
        </w:trPr>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Renewables</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r>
      <w:tr>
        <w:trPr>
          <w:trHeight w:val="27"/>
        </w:trPr>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r>
      <w:tr>
        <w:trPr>
          <w:trHeight w:val="244"/>
        </w:trPr>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21"/>
                <w:szCs w:val="21"/>
                <w:color w:val="auto"/>
              </w:rPr>
            </w:pPr>
          </w:p>
        </w:tc>
      </w:tr>
      <w:tr>
        <w:trPr>
          <w:trHeight w:val="567"/>
        </w:trPr>
        <w:tc>
          <w:tcPr>
            <w:tcW w:w="6680" w:type="dxa"/>
            <w:vAlign w:val="bottom"/>
            <w:gridSpan w:val="6"/>
          </w:tcPr>
          <w:p>
            <w:pPr>
              <w:spacing w:after="0"/>
              <w:rPr>
                <w:sz w:val="20"/>
                <w:szCs w:val="20"/>
                <w:color w:val="auto"/>
              </w:rPr>
            </w:pPr>
            <w:r>
              <w:rPr>
                <w:rFonts w:ascii="Arial" w:cs="Arial" w:eastAsia="Arial" w:hAnsi="Arial"/>
                <w:sz w:val="18"/>
                <w:szCs w:val="18"/>
                <w:b w:val="1"/>
                <w:bCs w:val="1"/>
                <w:color w:val="auto"/>
                <w:w w:val="93"/>
              </w:rPr>
              <w:t>Table 3: Cash from Operating Activities and Cash Available for Distribution (CAFD)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0"/>
        </w:trPr>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80" w:type="dxa"/>
            <w:vAlign w:val="bottom"/>
            <w:gridSpan w:val="7"/>
          </w:tcPr>
          <w:p>
            <w:pPr>
              <w:ind w:left="72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1500" w:type="dxa"/>
            <w:vAlign w:val="bottom"/>
          </w:tcPr>
          <w:p>
            <w:pPr>
              <w:spacing w:after="0"/>
              <w:rPr>
                <w:sz w:val="23"/>
                <w:szCs w:val="23"/>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i w:val="1"/>
                <w:iCs w:val="1"/>
                <w:color w:val="auto"/>
              </w:rPr>
              <w:t>($ millions)</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3/31/20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3/31/19</w:t>
            </w:r>
          </w:p>
        </w:tc>
        <w:tc>
          <w:tcPr>
            <w:tcW w:w="260" w:type="dxa"/>
            <w:vAlign w:val="bottom"/>
          </w:tcPr>
          <w:p>
            <w:pPr>
              <w:spacing w:after="0"/>
              <w:rPr>
                <w:sz w:val="23"/>
                <w:szCs w:val="23"/>
                <w:color w:val="auto"/>
              </w:rPr>
            </w:pPr>
          </w:p>
        </w:tc>
      </w:tr>
      <w:tr>
        <w:trPr>
          <w:trHeight w:val="27"/>
        </w:trPr>
        <w:tc>
          <w:tcPr>
            <w:tcW w:w="1500" w:type="dxa"/>
            <w:vAlign w:val="bottom"/>
          </w:tcPr>
          <w:p>
            <w:pPr>
              <w:spacing w:after="0"/>
              <w:rPr>
                <w:sz w:val="2"/>
                <w:szCs w:val="2"/>
                <w:color w:val="auto"/>
              </w:rPr>
            </w:pPr>
          </w:p>
        </w:tc>
        <w:tc>
          <w:tcPr>
            <w:tcW w:w="47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63"/>
        </w:trPr>
        <w:tc>
          <w:tcPr>
            <w:tcW w:w="1500" w:type="dxa"/>
            <w:vAlign w:val="bottom"/>
          </w:tcPr>
          <w:p>
            <w:pPr>
              <w:spacing w:after="0"/>
              <w:rPr>
                <w:sz w:val="22"/>
                <w:szCs w:val="22"/>
                <w:color w:val="auto"/>
              </w:rPr>
            </w:pPr>
          </w:p>
        </w:tc>
        <w:tc>
          <w:tcPr>
            <w:tcW w:w="4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84</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r>
      <w:tr>
        <w:trPr>
          <w:trHeight w:val="305"/>
        </w:trPr>
        <w:tc>
          <w:tcPr>
            <w:tcW w:w="1500" w:type="dxa"/>
            <w:vAlign w:val="bottom"/>
          </w:tcPr>
          <w:p>
            <w:pPr>
              <w:spacing w:after="0"/>
              <w:rPr>
                <w:sz w:val="24"/>
                <w:szCs w:val="24"/>
                <w:color w:val="auto"/>
              </w:rPr>
            </w:pPr>
          </w:p>
        </w:tc>
        <w:tc>
          <w:tcPr>
            <w:tcW w:w="4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 xml:space="preserve">Cash Available for Distribution (CAFD) </w:t>
            </w:r>
            <w:r>
              <w:rPr>
                <w:rFonts w:ascii="Arial" w:cs="Arial" w:eastAsia="Arial" w:hAnsi="Arial"/>
                <w:sz w:val="23"/>
                <w:szCs w:val="23"/>
                <w:color w:val="auto"/>
                <w:vertAlign w:val="superscript"/>
              </w:rPr>
              <w:t>1</w:t>
            </w: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w:t>
            </w:r>
          </w:p>
        </w:tc>
      </w:tr>
    </w:tbl>
    <w:p>
      <w:pPr>
        <w:spacing w:after="0" w:line="2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first quarter of 2020, the Company reported a Net Loss of $107 million, Adjusted EBITDA of $225 million, Cash from Operating Activities of $84 million, and CAFD of $8 million, which includes adjustments to reflect CAFD generated by unconsolidated investments that are unable to distribute project dividends due to the PG&amp;E bankruptcy. Net Loss increased versus the first quarter of 2019 primarily due to the non-cash change in the fair value of interest rate swaps. First quarter Adjusted EBITDA results were higher than 2019 primarily due to the acquisition of Carlsbad and improved renewable energy conditions versus last year. In the first quarter, CAFD results were higher than 2019 primarily due to higher Adjusted EBITDA and the timing of corporate interest payments due to the issuance of the 2028 Senior Notes and redemption of the 2024 Senior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Due to the COVID-19 pandemic, the Company has implemented measures and developed corporate and regional response plans to protect its employees and to maintain safe and reliable operations at its facilities. Based on its experience year to date, the Company does not currently anticipate any material impact to its financial conditions resulting from the pandemic.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Operational Performance</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9"/>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Table 4: Selected Operating Results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0"/>
        </w:trPr>
        <w:tc>
          <w:tcPr>
            <w:tcW w:w="1760" w:type="dxa"/>
            <w:vAlign w:val="bottom"/>
          </w:tcPr>
          <w:p>
            <w:pPr>
              <w:spacing w:after="0"/>
              <w:rPr>
                <w:sz w:val="23"/>
                <w:szCs w:val="23"/>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i w:val="1"/>
                <w:iCs w:val="1"/>
                <w:color w:val="auto"/>
              </w:rPr>
              <w:t>(MWh and MWht in thousands)</w:t>
            </w:r>
          </w:p>
        </w:tc>
        <w:tc>
          <w:tcPr>
            <w:tcW w:w="31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3"/>
                <w:szCs w:val="23"/>
                <w:color w:val="auto"/>
              </w:rPr>
            </w:pPr>
          </w:p>
        </w:tc>
      </w:tr>
      <w:tr>
        <w:trPr>
          <w:trHeight w:val="270"/>
        </w:trPr>
        <w:tc>
          <w:tcPr>
            <w:tcW w:w="176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3/31/20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3/31/19</w:t>
            </w:r>
          </w:p>
        </w:tc>
        <w:tc>
          <w:tcPr>
            <w:tcW w:w="200" w:type="dxa"/>
            <w:vAlign w:val="bottom"/>
          </w:tcPr>
          <w:p>
            <w:pPr>
              <w:spacing w:after="0"/>
              <w:rPr>
                <w:sz w:val="23"/>
                <w:szCs w:val="23"/>
                <w:color w:val="auto"/>
              </w:rPr>
            </w:pPr>
          </w:p>
        </w:tc>
      </w:tr>
      <w:tr>
        <w:trPr>
          <w:trHeight w:val="27"/>
        </w:trPr>
        <w:tc>
          <w:tcPr>
            <w:tcW w:w="176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3"/>
        </w:trPr>
        <w:tc>
          <w:tcPr>
            <w:tcW w:w="1760" w:type="dxa"/>
            <w:vAlign w:val="bottom"/>
          </w:tcPr>
          <w:p>
            <w:pPr>
              <w:spacing w:after="0"/>
              <w:rPr>
                <w:sz w:val="22"/>
                <w:szCs w:val="22"/>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Equivalent Availability Factor (Conventional)</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1760" w:type="dxa"/>
            <w:vAlign w:val="bottom"/>
          </w:tcPr>
          <w:p>
            <w:pPr>
              <w:spacing w:after="0"/>
              <w:rPr>
                <w:sz w:val="23"/>
                <w:szCs w:val="23"/>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Renewables Generation Sold (MWh)</w:t>
            </w:r>
            <w:r>
              <w:rPr>
                <w:rFonts w:ascii="Arial" w:cs="Arial" w:eastAsia="Arial" w:hAnsi="Arial"/>
                <w:sz w:val="23"/>
                <w:szCs w:val="23"/>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1,449</w:t>
            </w:r>
          </w:p>
        </w:tc>
        <w:tc>
          <w:tcPr>
            <w:tcW w:w="200" w:type="dxa"/>
            <w:vAlign w:val="bottom"/>
          </w:tcPr>
          <w:p>
            <w:pPr>
              <w:spacing w:after="0"/>
              <w:rPr>
                <w:sz w:val="23"/>
                <w:szCs w:val="23"/>
                <w:color w:val="auto"/>
              </w:rPr>
            </w:pPr>
          </w:p>
        </w:tc>
      </w:tr>
      <w:tr>
        <w:trPr>
          <w:trHeight w:val="250"/>
        </w:trPr>
        <w:tc>
          <w:tcPr>
            <w:tcW w:w="176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Thermal Generation Sold (MWh/MWht)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0"/>
        </w:trPr>
        <w:tc>
          <w:tcPr>
            <w:tcW w:w="176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availability at the Conventional segment was in line with the first quarter of 2019. Generation in the Renewables segment during the first quarter was within the Company's expected range and 16% higher than the first quarter of 2019 due to favorable solar and wind conditions across the portfolio.</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Table 5: Liquidity</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20" w:type="dxa"/>
            <w:vAlign w:val="bottom"/>
          </w:tcPr>
          <w:p>
            <w:pPr>
              <w:spacing w:after="0"/>
              <w:rPr>
                <w:sz w:val="23"/>
                <w:szCs w:val="23"/>
                <w:color w:val="auto"/>
              </w:rPr>
            </w:pPr>
          </w:p>
        </w:tc>
        <w:tc>
          <w:tcPr>
            <w:tcW w:w="7000" w:type="dxa"/>
            <w:vAlign w:val="bottom"/>
            <w:gridSpan w:val="2"/>
          </w:tcPr>
          <w:p>
            <w:pPr>
              <w:spacing w:after="0"/>
              <w:rPr>
                <w:sz w:val="20"/>
                <w:szCs w:val="20"/>
                <w:color w:val="auto"/>
              </w:rPr>
            </w:pPr>
            <w:r>
              <w:rPr>
                <w:rFonts w:ascii="Arial" w:cs="Arial" w:eastAsia="Arial" w:hAnsi="Arial"/>
                <w:sz w:val="18"/>
                <w:szCs w:val="18"/>
                <w:i w:val="1"/>
                <w:iCs w:val="1"/>
                <w:color w:val="auto"/>
              </w:rPr>
              <w:t>($ millions)</w:t>
            </w:r>
          </w:p>
        </w:tc>
        <w:tc>
          <w:tcPr>
            <w:tcW w:w="220" w:type="dxa"/>
            <w:vAlign w:val="bottom"/>
          </w:tcPr>
          <w:p>
            <w:pPr>
              <w:spacing w:after="0"/>
              <w:rPr>
                <w:sz w:val="23"/>
                <w:szCs w:val="23"/>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3/31/20</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12/31/2019</w:t>
            </w:r>
          </w:p>
        </w:tc>
      </w:tr>
      <w:tr>
        <w:trPr>
          <w:trHeight w:val="27"/>
        </w:trPr>
        <w:tc>
          <w:tcPr>
            <w:tcW w:w="82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20" w:type="dxa"/>
            <w:vAlign w:val="bottom"/>
          </w:tcPr>
          <w:p>
            <w:pPr>
              <w:spacing w:after="0"/>
              <w:rPr>
                <w:sz w:val="20"/>
                <w:szCs w:val="20"/>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20" w:type="dxa"/>
            <w:vAlign w:val="bottom"/>
          </w:tcPr>
          <w:p>
            <w:pPr>
              <w:spacing w:after="0"/>
              <w:rPr>
                <w:sz w:val="21"/>
                <w:szCs w:val="21"/>
                <w:color w:val="auto"/>
              </w:rPr>
            </w:pPr>
          </w:p>
        </w:tc>
        <w:tc>
          <w:tcPr>
            <w:tcW w:w="7000" w:type="dxa"/>
            <w:vAlign w:val="bottom"/>
            <w:gridSpan w:val="2"/>
          </w:tcPr>
          <w:p>
            <w:pPr>
              <w:ind w:left="200"/>
              <w:spacing w:after="0"/>
              <w:rPr>
                <w:sz w:val="20"/>
                <w:szCs w:val="20"/>
                <w:color w:val="auto"/>
              </w:rPr>
            </w:pPr>
            <w:r>
              <w:rPr>
                <w:rFonts w:ascii="Arial" w:cs="Arial" w:eastAsia="Arial" w:hAnsi="Arial"/>
                <w:sz w:val="16"/>
                <w:szCs w:val="16"/>
                <w:color w:val="auto"/>
              </w:rPr>
              <w:t>Clearway Energy, Inc. and Clearway Energy LLC, excluding subsidiaries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30</w:t>
            </w:r>
          </w:p>
        </w:tc>
      </w:tr>
      <w:tr>
        <w:trPr>
          <w:trHeight w:val="27"/>
        </w:trPr>
        <w:tc>
          <w:tcPr>
            <w:tcW w:w="8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r>
      <w:tr>
        <w:trPr>
          <w:trHeight w:val="224"/>
        </w:trPr>
        <w:tc>
          <w:tcPr>
            <w:tcW w:w="8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Restricted Cash:</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
        </w:trPr>
        <w:tc>
          <w:tcPr>
            <w:tcW w:w="8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Operating accounts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r>
      <w:tr>
        <w:trPr>
          <w:trHeight w:val="243"/>
        </w:trPr>
        <w:tc>
          <w:tcPr>
            <w:tcW w:w="820" w:type="dxa"/>
            <w:vAlign w:val="bottom"/>
          </w:tcPr>
          <w:p>
            <w:pPr>
              <w:spacing w:after="0"/>
              <w:rPr>
                <w:sz w:val="21"/>
                <w:szCs w:val="21"/>
                <w:color w:val="auto"/>
              </w:rPr>
            </w:pPr>
          </w:p>
        </w:tc>
        <w:tc>
          <w:tcPr>
            <w:tcW w:w="7000" w:type="dxa"/>
            <w:vAlign w:val="bottom"/>
            <w:gridSpan w:val="2"/>
          </w:tcPr>
          <w:p>
            <w:pPr>
              <w:ind w:left="200"/>
              <w:spacing w:after="0"/>
              <w:rPr>
                <w:sz w:val="20"/>
                <w:szCs w:val="20"/>
                <w:color w:val="auto"/>
              </w:rPr>
            </w:pPr>
            <w:r>
              <w:rPr>
                <w:rFonts w:ascii="Arial" w:cs="Arial" w:eastAsia="Arial" w:hAnsi="Arial"/>
                <w:sz w:val="16"/>
                <w:szCs w:val="16"/>
                <w:color w:val="auto"/>
              </w:rPr>
              <w:t>Reserves, including debt service, distributions, performance obligations and other reserves</w:t>
            </w:r>
          </w:p>
        </w:tc>
        <w:tc>
          <w:tcPr>
            <w:tcW w:w="22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133</w:t>
            </w:r>
          </w:p>
        </w:tc>
      </w:tr>
      <w:tr>
        <w:trPr>
          <w:trHeight w:val="27"/>
        </w:trPr>
        <w:tc>
          <w:tcPr>
            <w:tcW w:w="8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820" w:type="dxa"/>
            <w:vAlign w:val="bottom"/>
          </w:tcPr>
          <w:p>
            <w:pPr>
              <w:spacing w:after="0"/>
              <w:rPr>
                <w:sz w:val="22"/>
                <w:szCs w:val="22"/>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r>
      <w:tr>
        <w:trPr>
          <w:trHeight w:val="237"/>
        </w:trPr>
        <w:tc>
          <w:tcPr>
            <w:tcW w:w="8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Revolving credit facility availability</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425</w:t>
            </w:r>
          </w:p>
        </w:tc>
      </w:tr>
      <w:tr>
        <w:trPr>
          <w:trHeight w:val="27"/>
        </w:trPr>
        <w:tc>
          <w:tcPr>
            <w:tcW w:w="8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20" w:type="dxa"/>
            <w:vAlign w:val="bottom"/>
          </w:tcPr>
          <w:p>
            <w:pPr>
              <w:spacing w:after="0"/>
              <w:rPr>
                <w:sz w:val="24"/>
                <w:szCs w:val="24"/>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Liquidity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633</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842</w:t>
            </w:r>
          </w:p>
        </w:tc>
      </w:tr>
      <w:tr>
        <w:trPr>
          <w:trHeight w:val="20"/>
        </w:trPr>
        <w:tc>
          <w:tcPr>
            <w:tcW w:w="8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Total liquidity as of March 31, 2020 was $633 million, which was $209 million lower than as of December 31, 2019. After taking into account the approximately $10.3 million in proceeds raised through the Company's ATM program, this reduction was primarily due to the closing of growth investments and the redemption of the remaining balance of the 2024 Senior Notes in January 2020.</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 xml:space="preserve">The Company's liquidity includes </w:t>
      </w:r>
      <w:r>
        <w:rPr>
          <w:rFonts w:ascii="Arial" w:cs="Arial" w:eastAsia="Arial" w:hAnsi="Arial"/>
          <w:sz w:val="18"/>
          <w:szCs w:val="18"/>
          <w:color w:val="000000"/>
        </w:rPr>
        <w:t>$270 million</w:t>
      </w:r>
      <w:r>
        <w:rPr>
          <w:rFonts w:ascii="Arial" w:cs="Arial" w:eastAsia="Arial" w:hAnsi="Arial"/>
          <w:sz w:val="18"/>
          <w:szCs w:val="18"/>
          <w:color w:val="231F20"/>
        </w:rPr>
        <w:t xml:space="preserve"> of restricted cash balances as of March 31, 2020. Restricted cash consists primarily of funds to satisfy the requirements of certain debt arrangements and funds held within the Company's projects that are restricted in their use. As </w:t>
      </w:r>
      <w:r>
        <w:rPr>
          <w:rFonts w:ascii="Arial" w:cs="Arial" w:eastAsia="Arial" w:hAnsi="Arial"/>
          <w:sz w:val="18"/>
          <w:szCs w:val="18"/>
          <w:color w:val="000000"/>
        </w:rPr>
        <w:t>of March 31, 2020, these</w:t>
      </w:r>
      <w:r>
        <w:rPr>
          <w:rFonts w:ascii="Arial" w:cs="Arial" w:eastAsia="Arial" w:hAnsi="Arial"/>
          <w:sz w:val="18"/>
          <w:szCs w:val="18"/>
          <w:color w:val="231F20"/>
        </w:rPr>
        <w:t xml:space="preserve"> </w:t>
      </w:r>
      <w:r>
        <w:rPr>
          <w:rFonts w:ascii="Arial" w:cs="Arial" w:eastAsia="Arial" w:hAnsi="Arial"/>
          <w:sz w:val="18"/>
          <w:szCs w:val="18"/>
          <w:color w:val="000000"/>
        </w:rPr>
        <w:t>restricted funds were comprised of $111 million designated to fund operating expenses, approximately $35 million designated for current debt service payments, and $46 million of reserves for debt service, performance obligations and other items including capital expenditures. The remaining $78 million is held in distribution accounts. The Company estimates that as of March 31, 2020 there was approximately $148 million of excess restricted cash at consolidated and unconsolidated subsidiaries affected by the PG&amp;E bankruptcy that would be available to be distributed to the Company upon the resolution of the PG&amp;E bankruptcy.</w:t>
      </w:r>
    </w:p>
    <w:p>
      <w:pPr>
        <w:spacing w:after="0" w:line="21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Potential future sources of liquidity include excess operating cash flow, the existing ATM program, of which approximately $26 million remained available as of March 31, 2020, availability under the revolving credit facility, asset dispositions, and, subject to market conditions, new corporate financings.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PG&amp;E Bankruptcy Update</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of May 7, 2020, the Company’s contracts with PG&amp;E have operated in the normal course and the Company currently expects these contracts to continue as such. However, unless such lenders for the related project-level debt otherwise agree, distributions to the Company from these projects may not be made during the pendency of the bankruptcy. These restrictions, therefore, have resulted in the Company accumulating less unrestricted cash and thus decreased the Company’s corporate liquidity and cash available for shareholder dividends and growth investments. The Company has entered into forbearance agreements for certain project-level financing arrangements and continues to seek similar agreements with the lenders for other project-level financing arrangements affected by the PG&amp;E bankruptcy. PG&amp;E has filed a chapter 11 plan of reorganization, as amended, that provides for PG&amp;E to assume all of its contracts with the Company. The Company continues to assess the potential future impacts of the PG&amp;E bankruptcy as events occur.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Agreements to Acquire and Invest in a Portfolio of Renewable Energy Projects</w:t>
      </w:r>
    </w:p>
    <w:p>
      <w:pPr>
        <w:spacing w:after="0" w:line="25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April 20</w:t>
      </w:r>
      <w:r>
        <w:rPr>
          <w:rFonts w:ascii="Arial" w:cs="Arial" w:eastAsia="Arial" w:hAnsi="Arial"/>
          <w:sz w:val="23"/>
          <w:szCs w:val="23"/>
          <w:color w:val="auto"/>
          <w:vertAlign w:val="superscript"/>
        </w:rPr>
        <w:t>th</w:t>
      </w:r>
      <w:r>
        <w:rPr>
          <w:rFonts w:ascii="Arial" w:cs="Arial" w:eastAsia="Arial" w:hAnsi="Arial"/>
          <w:sz w:val="18"/>
          <w:szCs w:val="18"/>
          <w:color w:val="auto"/>
        </w:rPr>
        <w:t>, 2020 the Company announced it had entered into binding agreements with Clearway Group (CEG) that enable the Company to acquire and invest in a portfolio of renewable energy projects. The following projects were included in the drop-down:</w:t>
      </w:r>
    </w:p>
    <w:p>
      <w:pPr>
        <w:spacing w:after="0" w:line="225" w:lineRule="exact"/>
        <w:rPr>
          <w:sz w:val="20"/>
          <w:szCs w:val="20"/>
          <w:color w:val="auto"/>
        </w:rPr>
      </w:pPr>
    </w:p>
    <w:p>
      <w:pPr>
        <w:ind w:left="660" w:right="20" w:hanging="328"/>
        <w:spacing w:after="0" w:line="28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Rattlesnake Wind: </w:t>
      </w:r>
      <w:r>
        <w:rPr>
          <w:rFonts w:ascii="Arial" w:cs="Arial" w:eastAsia="Arial" w:hAnsi="Arial"/>
          <w:sz w:val="18"/>
          <w:szCs w:val="18"/>
          <w:color w:val="auto"/>
        </w:rPr>
        <w:t>The Company signed agreements to acquire Rattlesnake Flat, LLC, which owns the Rattlesnake Wind Project, a 144 net MW</w:t>
      </w:r>
      <w:r>
        <w:rPr>
          <w:rFonts w:ascii="Arial" w:cs="Arial" w:eastAsia="Arial" w:hAnsi="Arial"/>
          <w:sz w:val="18"/>
          <w:szCs w:val="18"/>
          <w:b w:val="1"/>
          <w:bCs w:val="1"/>
          <w:color w:val="auto"/>
        </w:rPr>
        <w:t xml:space="preserve"> </w:t>
      </w:r>
      <w:r>
        <w:rPr>
          <w:rFonts w:ascii="Arial" w:cs="Arial" w:eastAsia="Arial" w:hAnsi="Arial"/>
          <w:sz w:val="18"/>
          <w:szCs w:val="18"/>
          <w:color w:val="auto"/>
        </w:rPr>
        <w:t>wind facility located in Adams County, WA. The project has a 20-year power purchase agreement with Avista.</w:t>
      </w:r>
    </w:p>
    <w:p>
      <w:pPr>
        <w:spacing w:after="0" w:line="34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91" w:right="339" w:bottom="1440" w:gutter="0" w:footer="0" w:header="0"/>
        </w:sectPr>
      </w:pPr>
    </w:p>
    <w:bookmarkStart w:id="6" w:name="page7"/>
    <w:bookmarkEnd w:id="6"/>
    <w:p>
      <w:pPr>
        <w:jc w:val="both"/>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Remaining Interest in Repowering 1.0: </w:t>
      </w:r>
      <w:r>
        <w:rPr>
          <w:rFonts w:ascii="Arial" w:cs="Arial" w:eastAsia="Arial" w:hAnsi="Arial"/>
          <w:sz w:val="18"/>
          <w:szCs w:val="18"/>
          <w:color w:val="auto"/>
        </w:rPr>
        <w:t>The Company signed an agreement to acquire CEG's remaining interest in Repowering Partnership II</w:t>
      </w:r>
      <w:r>
        <w:rPr>
          <w:rFonts w:ascii="Arial" w:cs="Arial" w:eastAsia="Arial" w:hAnsi="Arial"/>
          <w:sz w:val="18"/>
          <w:szCs w:val="18"/>
          <w:b w:val="1"/>
          <w:bCs w:val="1"/>
          <w:color w:val="auto"/>
        </w:rPr>
        <w:t xml:space="preserve"> </w:t>
      </w:r>
      <w:r>
        <w:rPr>
          <w:rFonts w:ascii="Arial" w:cs="Arial" w:eastAsia="Arial" w:hAnsi="Arial"/>
          <w:sz w:val="18"/>
          <w:szCs w:val="18"/>
          <w:color w:val="auto"/>
        </w:rPr>
        <w:t>LLC (Repowering 1.0), which would give the Company sole ownership of the Partnership. Repowering 1.0 includes the 161 MW Wildorado and 122 MW Elbow Creek wind projects which were previously repowered.</w:t>
      </w:r>
    </w:p>
    <w:p>
      <w:pPr>
        <w:spacing w:after="0" w:line="13"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Pinnacle Wind Repowering: </w:t>
      </w:r>
      <w:r>
        <w:rPr>
          <w:rFonts w:ascii="Arial" w:cs="Arial" w:eastAsia="Arial" w:hAnsi="Arial"/>
          <w:sz w:val="18"/>
          <w:szCs w:val="18"/>
          <w:color w:val="auto"/>
        </w:rPr>
        <w:t>The Company, through an indirect subsidiary, agreed to enter into a new partnership with CEG to repower the</w:t>
      </w:r>
      <w:r>
        <w:rPr>
          <w:rFonts w:ascii="Arial" w:cs="Arial" w:eastAsia="Arial" w:hAnsi="Arial"/>
          <w:sz w:val="18"/>
          <w:szCs w:val="18"/>
          <w:b w:val="1"/>
          <w:bCs w:val="1"/>
          <w:color w:val="auto"/>
        </w:rPr>
        <w:t xml:space="preserve"> </w:t>
      </w:r>
      <w:r>
        <w:rPr>
          <w:rFonts w:ascii="Arial" w:cs="Arial" w:eastAsia="Arial" w:hAnsi="Arial"/>
          <w:sz w:val="18"/>
          <w:szCs w:val="18"/>
          <w:color w:val="auto"/>
        </w:rPr>
        <w:t>Pinnacle Wind Project, a 55 net MW wind facility located in Mineral County, WV. In order to facilitate the repowering, the Company will contribute its interests in the Pinnacle Wind Project to the partnership. The existing Pinnacle Wind power purchase agreements will continue to run through 2031.</w:t>
      </w:r>
    </w:p>
    <w:p>
      <w:pPr>
        <w:spacing w:after="0" w:line="26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agreements commit the Company to invest, at closing, an estimated $241 million in corporate capital, subject to closing adjustments. The investment at commercial operations excludes, subject to closing adjustments, an additional $27 million payment in 2031 at the Pinnacle Wind Repowering Partnership. The transactions are expected to have a five-year average annual asset CAFD of approximately $23 million prior to corporate financing costs.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funding of the transactions will occur upon each project achieving its requisite closing conditions including commercial operations, of which the Company currently expects the remaining interest in Repowering 1.0 to close in the second quarter of 2020 and Rattlesnake Wind by the end of 2020. Commercial operations for the Pinnacle Wind Repowering Partnership will now most likely occur in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Renewables Investment Partnerships with Clearway Group</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the Company invested approximately $7 million in the business renewables investment partnerships with Clearway Group, bringing total capital invested to $263 million in these investment partnerships. As of March 31, 2020, through the existing partnership agreements, the Company owns approximately 277 MW of business renewables (C&amp;I) and community solar capacity with a weighted average contract life of approximately 19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Update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C Common Stock ATM Program</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quarter of 2020, the Company raised gross proceeds of approximately $10.3 million through the sale of 478,384 shares of Class C common stock under the ATM program at a weighted average price of $21.42 per share.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2024 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December 13, 2019, the Company repurchased an aggregate principal amount of $412 million or 82.4%, of the 2024</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Senior Notes that were validly tendered as part of the previously announced cash tender offer. Under the terms of the tender offer, holders of the 2024 Notes that validly tendered and accepted at or prior to the expiration time received a total cash consideration of $1,030.00 per $1,000 principal amount of 2024 Notes, plus accrued and unpaid interest. Concurrently with the launch of the tender offer, the Company exercised its right to optionally redeem any 2024 Senior Notes not validly tendered and purchased in the tender offer, pursuant to the terms of the indenture governing the 2024 Senior Notes. This redemption of the remaining $88 million of outstanding 2024 Senior Notes occurred on January 3, 2020. Holders of the 2024 Notes not validly tendered and purchased in the tender offer received a total cash consideration of $1,026.88 per $1,000 principal amount plus accrued and unpaid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30, 2020, Clearway Energy, Inc.’s Board of Directors declared a quarterly dividend on Class A and Class C common stock of $0.21 per share payable on June 15, 2020, to stockholders of record as of June 1, 2020. The Company will continue to assess the level of the dividend pending developments in the PG&amp;E bankruptcy, including the Company's ability to receive project distributions.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Clearway Energy, Inc.’s quarterly operating results are impacted by seasonal factors, as well as weather variability which can impact renewable energy resource and volumetric sales of steam and chilled water at the Thermal segment. Most of the Company's revenues are generated from the months of May through September, as contracted pricing and renewable</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1"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resources are at their highest levels in the Company’s portfolio. Factors driving the fluctuation in Net Income, Adjusted EBITDA, Cash from Operating Activities, and CAFD include the following:</w:t>
      </w:r>
    </w:p>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summer capacity prices from conventional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solar insolation during the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wind resources during the spring and summer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service payments which are made either quarterly or semi-annually;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maintenance capital expenditures and the impact of both unforced and forced outages;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distributions from or generated by unconsolidated affiliates including those impacted by the PG&amp;E bankruptcy.</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takes into consideration the timing of these factors to ensure sufficient funds are available for distributions and operating activities on a quarterly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Guidance</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reaffirming its 2020 full year CAFD guidance of $310 million. This financial guidance assumes that all CAFD related to the projects impacted by the PG&amp;E bankruptcy is realized in 2020. Financial guidance for 2020 also continues to be based on median renewable energy production estimates for the full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7, 2020,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related to the COVID-19 pandemic, impacts related to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related to the COVID-19 pandemic, impacts related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Clearway Energy, Inc. undertakes no obligation to update or revise any forward-looking statements, whether as a result of new information, future events or otherwise. The Adjusted EBITDA and Cash Available for Distribution are estimates as of today’s date, May 7, 2020,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Exchange Commission.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b w:val="1"/>
          <w:bCs w:val="1"/>
          <w:color w:val="auto"/>
        </w:rPr>
        <w:t>Investors:</w:t>
      </w:r>
      <w:r>
        <w:rPr>
          <w:sz w:val="20"/>
          <w:szCs w:val="20"/>
          <w:color w:val="auto"/>
        </w:rPr>
        <w:tab/>
      </w:r>
      <w:r>
        <w:rPr>
          <w:rFonts w:ascii="Arial" w:cs="Arial" w:eastAsia="Arial" w:hAnsi="Arial"/>
          <w:sz w:val="17"/>
          <w:szCs w:val="17"/>
          <w:b w:val="1"/>
          <w:bCs w:val="1"/>
          <w:color w:val="auto"/>
        </w:rPr>
        <w:t>Media:</w:t>
      </w:r>
    </w:p>
    <w:p>
      <w:pPr>
        <w:spacing w:after="0" w:line="27" w:lineRule="exact"/>
        <w:rPr>
          <w:sz w:val="20"/>
          <w:szCs w:val="20"/>
          <w:color w:val="auto"/>
        </w:rPr>
      </w:pPr>
    </w:p>
    <w:p>
      <w:pPr>
        <w:ind w:left="360"/>
        <w:spacing w:after="0"/>
        <w:tabs>
          <w:tab w:leader="none" w:pos="1340" w:val="left"/>
        </w:tabs>
        <w:rPr>
          <w:sz w:val="20"/>
          <w:szCs w:val="20"/>
          <w:color w:val="auto"/>
        </w:rPr>
      </w:pPr>
      <w:r>
        <w:rPr>
          <w:rFonts w:ascii="Arial" w:cs="Arial" w:eastAsia="Arial" w:hAnsi="Arial"/>
          <w:sz w:val="18"/>
          <w:szCs w:val="18"/>
          <w:color w:val="auto"/>
        </w:rPr>
        <w:t>Akil Marsh</w:t>
      </w:r>
      <w:r>
        <w:rPr>
          <w:sz w:val="20"/>
          <w:szCs w:val="20"/>
          <w:color w:val="auto"/>
        </w:rPr>
        <w:tab/>
      </w:r>
      <w:r>
        <w:rPr>
          <w:rFonts w:ascii="Arial" w:cs="Arial" w:eastAsia="Arial" w:hAnsi="Arial"/>
          <w:sz w:val="16"/>
          <w:szCs w:val="16"/>
          <w:color w:val="auto"/>
        </w:rPr>
        <w:t>Zadie Oleksiw</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investor.relations@clearwayenergy.com media@clearwayenergy.com</w:t>
      </w:r>
    </w:p>
    <w:p>
      <w:pPr>
        <w:spacing w:after="0" w:line="9"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color w:val="auto"/>
        </w:rPr>
        <w:t>609-608-1500</w:t>
      </w:r>
      <w:r>
        <w:rPr>
          <w:sz w:val="20"/>
          <w:szCs w:val="20"/>
          <w:color w:val="auto"/>
        </w:rPr>
        <w:tab/>
      </w:r>
      <w:r>
        <w:rPr>
          <w:rFonts w:ascii="Arial" w:cs="Arial" w:eastAsia="Arial" w:hAnsi="Arial"/>
          <w:sz w:val="16"/>
          <w:szCs w:val="16"/>
          <w:color w:val="auto"/>
        </w:rPr>
        <w:t>202-836-5754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5" w:right="339" w:bottom="1440" w:gutter="0" w:footer="0" w:header="0"/>
        </w:sectPr>
      </w:pPr>
    </w:p>
    <w:bookmarkStart w:id="9" w:name="page10"/>
    <w:bookmarkEnd w:id="9"/>
    <w:p>
      <w:pPr>
        <w:jc w:val="center"/>
        <w:ind w:right="96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62"/>
        </w:trPr>
        <w:tc>
          <w:tcPr>
            <w:tcW w:w="67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20" w:type="dxa"/>
            <w:vAlign w:val="bottom"/>
          </w:tcPr>
          <w:p>
            <w:pPr>
              <w:spacing w:after="0"/>
              <w:rPr>
                <w:sz w:val="14"/>
                <w:szCs w:val="14"/>
                <w:color w:val="auto"/>
              </w:rPr>
            </w:pPr>
          </w:p>
        </w:tc>
        <w:tc>
          <w:tcPr>
            <w:tcW w:w="10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2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Operating Revenues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67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BFE4FF"/>
            </w:tcBorders>
            <w:shd w:val="clear" w:color="auto" w:fill="BFE4FF"/>
          </w:tcPr>
          <w:p>
            <w:pPr>
              <w:spacing w:after="0"/>
              <w:rPr>
                <w:sz w:val="23"/>
                <w:szCs w:val="23"/>
                <w:color w:val="auto"/>
              </w:rPr>
            </w:pPr>
          </w:p>
        </w:tc>
        <w:tc>
          <w:tcPr>
            <w:tcW w:w="6700" w:type="dxa"/>
            <w:vAlign w:val="bottom"/>
            <w:tcBorders>
              <w:bottom w:val="single" w:sz="8" w:color="BFE4FF"/>
            </w:tcBorders>
            <w:gridSpan w:val="2"/>
            <w:shd w:val="clear" w:color="auto" w:fill="BFE4FF"/>
          </w:tcPr>
          <w:p>
            <w:pPr>
              <w:ind w:left="180"/>
              <w:spacing w:after="0"/>
              <w:rPr>
                <w:sz w:val="20"/>
                <w:szCs w:val="20"/>
                <w:color w:val="auto"/>
              </w:rPr>
            </w:pPr>
            <w:r>
              <w:rPr>
                <w:rFonts w:ascii="Arial" w:cs="Arial" w:eastAsia="Arial" w:hAnsi="Arial"/>
                <w:sz w:val="17"/>
                <w:szCs w:val="17"/>
                <w:color w:val="auto"/>
              </w:rPr>
              <w:t>Total operating revenues</w:t>
            </w:r>
          </w:p>
        </w:tc>
        <w:tc>
          <w:tcPr>
            <w:tcW w:w="2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6"/>
        </w:trPr>
        <w:tc>
          <w:tcPr>
            <w:tcW w:w="6720" w:type="dxa"/>
            <w:vAlign w:val="bottom"/>
            <w:gridSpan w:val="3"/>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6700" w:type="dxa"/>
            <w:vAlign w:val="bottom"/>
            <w:tcBorders>
              <w:bottom w:val="single" w:sz="8" w:color="BFE4FF"/>
            </w:tcBorders>
            <w:gridSpan w:val="2"/>
            <w:shd w:val="clear" w:color="auto" w:fill="BFE4FF"/>
          </w:tcPr>
          <w:p>
            <w:pPr>
              <w:ind w:left="80"/>
              <w:spacing w:after="0"/>
              <w:rPr>
                <w:sz w:val="20"/>
                <w:szCs w:val="20"/>
                <w:color w:val="auto"/>
              </w:rPr>
            </w:pPr>
            <w:r>
              <w:rPr>
                <w:rFonts w:ascii="Arial" w:cs="Arial" w:eastAsia="Arial" w:hAnsi="Arial"/>
                <w:sz w:val="18"/>
                <w:szCs w:val="18"/>
                <w:color w:val="auto"/>
              </w:rPr>
              <w:t>Cost of operations</w:t>
            </w:r>
          </w:p>
        </w:tc>
        <w:tc>
          <w:tcPr>
            <w:tcW w:w="2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80"/>
              <w:spacing w:after="0"/>
              <w:rPr>
                <w:sz w:val="20"/>
                <w:szCs w:val="20"/>
                <w:color w:val="auto"/>
              </w:rPr>
            </w:pPr>
            <w:r>
              <w:rPr>
                <w:rFonts w:ascii="Arial" w:cs="Arial" w:eastAsia="Arial" w:hAnsi="Arial"/>
                <w:sz w:val="17"/>
                <w:szCs w:val="17"/>
                <w:color w:val="auto"/>
              </w:rPr>
              <w:t>Depreciation, amortization and accretion</w:t>
            </w: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6700" w:type="dxa"/>
            <w:vAlign w:val="bottom"/>
            <w:tcBorders>
              <w:bottom w:val="single" w:sz="8" w:color="BFE4FF"/>
            </w:tcBorders>
            <w:gridSpan w:val="2"/>
            <w:shd w:val="clear" w:color="auto" w:fill="BFE4FF"/>
          </w:tcPr>
          <w:p>
            <w:pPr>
              <w:ind w:left="8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80"/>
              <w:spacing w:after="0"/>
              <w:rPr>
                <w:sz w:val="20"/>
                <w:szCs w:val="20"/>
                <w:color w:val="auto"/>
              </w:rPr>
            </w:pPr>
            <w:r>
              <w:rPr>
                <w:rFonts w:ascii="Arial" w:cs="Arial" w:eastAsia="Arial" w:hAnsi="Arial"/>
                <w:sz w:val="17"/>
                <w:szCs w:val="17"/>
                <w:color w:val="auto"/>
              </w:rPr>
              <w:t>Transaction and integration costs</w:t>
            </w: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BFE4FF"/>
            </w:tcBorders>
            <w:shd w:val="clear" w:color="auto" w:fill="BFE4FF"/>
          </w:tcPr>
          <w:p>
            <w:pPr>
              <w:spacing w:after="0"/>
              <w:rPr>
                <w:sz w:val="23"/>
                <w:szCs w:val="23"/>
                <w:color w:val="auto"/>
              </w:rPr>
            </w:pPr>
          </w:p>
        </w:tc>
        <w:tc>
          <w:tcPr>
            <w:tcW w:w="6700" w:type="dxa"/>
            <w:vAlign w:val="bottom"/>
            <w:tcBorders>
              <w:bottom w:val="single" w:sz="8" w:color="BFE4FF"/>
            </w:tcBorders>
            <w:gridSpan w:val="2"/>
            <w:shd w:val="clear" w:color="auto" w:fill="BFE4FF"/>
          </w:tcPr>
          <w:p>
            <w:pPr>
              <w:ind w:left="80"/>
              <w:spacing w:after="0"/>
              <w:rPr>
                <w:sz w:val="20"/>
                <w:szCs w:val="20"/>
                <w:color w:val="auto"/>
              </w:rPr>
            </w:pPr>
            <w:r>
              <w:rPr>
                <w:rFonts w:ascii="Arial" w:cs="Arial" w:eastAsia="Arial" w:hAnsi="Arial"/>
                <w:sz w:val="17"/>
                <w:szCs w:val="17"/>
                <w:color w:val="auto"/>
              </w:rPr>
              <w:t>Development costs</w:t>
            </w:r>
          </w:p>
        </w:tc>
        <w:tc>
          <w:tcPr>
            <w:tcW w:w="2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gridSpan w:val="2"/>
          </w:tcPr>
          <w:p>
            <w:pPr>
              <w:ind w:left="180"/>
              <w:spacing w:after="0"/>
              <w:rPr>
                <w:sz w:val="20"/>
                <w:szCs w:val="20"/>
                <w:color w:val="auto"/>
              </w:rPr>
            </w:pPr>
            <w:r>
              <w:rPr>
                <w:rFonts w:ascii="Arial" w:cs="Arial" w:eastAsia="Arial" w:hAnsi="Arial"/>
                <w:sz w:val="17"/>
                <w:szCs w:val="17"/>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2400" w:type="dxa"/>
            <w:vAlign w:val="bottom"/>
            <w:tcBorders>
              <w:bottom w:val="single" w:sz="8" w:color="BFE4FF"/>
            </w:tcBorders>
          </w:tcPr>
          <w:p>
            <w:pPr>
              <w:spacing w:after="0"/>
              <w:rPr>
                <w:sz w:val="2"/>
                <w:szCs w:val="2"/>
                <w:color w:val="auto"/>
              </w:rPr>
            </w:pPr>
          </w:p>
        </w:tc>
        <w:tc>
          <w:tcPr>
            <w:tcW w:w="43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jc w:val="right"/>
              <w:ind w:right="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6"/>
        </w:trPr>
        <w:tc>
          <w:tcPr>
            <w:tcW w:w="672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6700" w:type="dxa"/>
            <w:vAlign w:val="bottom"/>
            <w:tcBorders>
              <w:bottom w:val="single" w:sz="8" w:color="BFE4FF"/>
            </w:tcBorders>
            <w:gridSpan w:val="2"/>
            <w:shd w:val="clear" w:color="auto" w:fill="BFE4FF"/>
          </w:tcPr>
          <w:p>
            <w:pPr>
              <w:ind w:left="80"/>
              <w:spacing w:after="0"/>
              <w:rPr>
                <w:sz w:val="20"/>
                <w:szCs w:val="20"/>
                <w:color w:val="auto"/>
              </w:rPr>
            </w:pPr>
            <w:r>
              <w:rPr>
                <w:rFonts w:ascii="Arial" w:cs="Arial" w:eastAsia="Arial" w:hAnsi="Arial"/>
                <w:sz w:val="17"/>
                <w:szCs w:val="17"/>
                <w:color w:val="auto"/>
              </w:rPr>
              <w:t>Equity in (losses) earnings of unconsolidated affiliates</w:t>
            </w:r>
          </w:p>
        </w:tc>
        <w:tc>
          <w:tcPr>
            <w:tcW w:w="2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00"/>
              <w:spacing w:after="0"/>
              <w:rPr>
                <w:sz w:val="20"/>
                <w:szCs w:val="20"/>
                <w:color w:val="auto"/>
              </w:rPr>
            </w:pPr>
            <w:r>
              <w:rPr>
                <w:rFonts w:ascii="Arial" w:cs="Arial" w:eastAsia="Arial" w:hAnsi="Arial"/>
                <w:sz w:val="17"/>
                <w:szCs w:val="17"/>
                <w:color w:val="auto"/>
              </w:rPr>
              <w:t>Other income, net</w:t>
            </w:r>
          </w:p>
        </w:tc>
        <w:tc>
          <w:tcPr>
            <w:tcW w:w="2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BFE4FF"/>
            </w:tcBorders>
            <w:shd w:val="clear" w:color="auto" w:fill="BFE4FF"/>
          </w:tcPr>
          <w:p>
            <w:pPr>
              <w:spacing w:after="0"/>
              <w:rPr>
                <w:sz w:val="21"/>
                <w:szCs w:val="21"/>
                <w:color w:val="auto"/>
              </w:rPr>
            </w:pPr>
          </w:p>
        </w:tc>
        <w:tc>
          <w:tcPr>
            <w:tcW w:w="6700" w:type="dxa"/>
            <w:vAlign w:val="bottom"/>
            <w:tcBorders>
              <w:bottom w:val="single" w:sz="8" w:color="BFE4FF"/>
            </w:tcBorders>
            <w:gridSpan w:val="2"/>
            <w:shd w:val="clear" w:color="auto" w:fill="BFE4FF"/>
          </w:tcPr>
          <w:p>
            <w:pPr>
              <w:ind w:left="100"/>
              <w:spacing w:after="0"/>
              <w:rPr>
                <w:sz w:val="20"/>
                <w:szCs w:val="20"/>
                <w:color w:val="auto"/>
              </w:rPr>
            </w:pPr>
            <w:r>
              <w:rPr>
                <w:rFonts w:ascii="Arial" w:cs="Arial" w:eastAsia="Arial" w:hAnsi="Arial"/>
                <w:sz w:val="17"/>
                <w:szCs w:val="17"/>
                <w:color w:val="auto"/>
              </w:rPr>
              <w:t>Loss on debt extinguishment</w:t>
            </w:r>
          </w:p>
        </w:tc>
        <w:tc>
          <w:tcPr>
            <w:tcW w:w="2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10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tcBorders>
              <w:bottom w:val="single" w:sz="8" w:color="BFE4FF"/>
            </w:tcBorders>
          </w:tcPr>
          <w:p>
            <w:pPr>
              <w:spacing w:after="0"/>
              <w:rPr>
                <w:sz w:val="2"/>
                <w:szCs w:val="2"/>
                <w:color w:val="auto"/>
              </w:rPr>
            </w:pPr>
          </w:p>
        </w:tc>
        <w:tc>
          <w:tcPr>
            <w:tcW w:w="2400" w:type="dxa"/>
            <w:vAlign w:val="bottom"/>
            <w:tcBorders>
              <w:bottom w:val="single" w:sz="8" w:color="BFE4FF"/>
            </w:tcBorders>
          </w:tcPr>
          <w:p>
            <w:pPr>
              <w:spacing w:after="0"/>
              <w:rPr>
                <w:sz w:val="2"/>
                <w:szCs w:val="2"/>
                <w:color w:val="auto"/>
              </w:rPr>
            </w:pPr>
          </w:p>
        </w:tc>
        <w:tc>
          <w:tcPr>
            <w:tcW w:w="43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BFE4FF"/>
            </w:tcBorders>
            <w:shd w:val="clear" w:color="auto" w:fill="BFE4FF"/>
          </w:tcPr>
          <w:p>
            <w:pPr>
              <w:spacing w:after="0"/>
              <w:rPr>
                <w:sz w:val="22"/>
                <w:szCs w:val="22"/>
                <w:color w:val="auto"/>
              </w:rPr>
            </w:pPr>
          </w:p>
        </w:tc>
        <w:tc>
          <w:tcPr>
            <w:tcW w:w="6700" w:type="dxa"/>
            <w:vAlign w:val="bottom"/>
            <w:tcBorders>
              <w:bottom w:val="single" w:sz="8" w:color="BFE4FF"/>
            </w:tcBorders>
            <w:gridSpan w:val="2"/>
            <w:shd w:val="clear" w:color="auto" w:fill="BFE4FF"/>
          </w:tcPr>
          <w:p>
            <w:pPr>
              <w:ind w:left="200"/>
              <w:spacing w:after="0"/>
              <w:rPr>
                <w:sz w:val="20"/>
                <w:szCs w:val="20"/>
                <w:color w:val="auto"/>
              </w:rPr>
            </w:pPr>
            <w:r>
              <w:rPr>
                <w:rFonts w:ascii="Arial" w:cs="Arial" w:eastAsia="Arial" w:hAnsi="Arial"/>
                <w:sz w:val="17"/>
                <w:szCs w:val="17"/>
                <w:color w:val="auto"/>
              </w:rPr>
              <w:t>Total other expense, net</w:t>
            </w:r>
          </w:p>
        </w:tc>
        <w:tc>
          <w:tcPr>
            <w:tcW w:w="22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6720" w:type="dxa"/>
            <w:vAlign w:val="bottom"/>
            <w:gridSpan w:val="3"/>
          </w:tcPr>
          <w:p>
            <w:pPr>
              <w:ind w:left="20"/>
              <w:spacing w:after="0"/>
              <w:rPr>
                <w:sz w:val="20"/>
                <w:szCs w:val="20"/>
                <w:color w:val="auto"/>
              </w:rPr>
            </w:pPr>
            <w:r>
              <w:rPr>
                <w:rFonts w:ascii="Arial" w:cs="Arial" w:eastAsia="Arial" w:hAnsi="Arial"/>
                <w:sz w:val="17"/>
                <w:szCs w:val="17"/>
                <w:b w:val="1"/>
                <w:bCs w:val="1"/>
                <w:color w:val="auto"/>
              </w:rPr>
              <w:t>Loss Before Income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BFE4FF"/>
            </w:tcBorders>
            <w:shd w:val="clear" w:color="auto" w:fill="BFE4FF"/>
          </w:tcPr>
          <w:p>
            <w:pPr>
              <w:spacing w:after="0"/>
              <w:rPr>
                <w:sz w:val="23"/>
                <w:szCs w:val="23"/>
                <w:color w:val="auto"/>
              </w:rPr>
            </w:pPr>
          </w:p>
        </w:tc>
        <w:tc>
          <w:tcPr>
            <w:tcW w:w="6700" w:type="dxa"/>
            <w:vAlign w:val="bottom"/>
            <w:tcBorders>
              <w:bottom w:val="single" w:sz="8" w:color="BFE4FF"/>
            </w:tcBorders>
            <w:gridSpan w:val="2"/>
            <w:shd w:val="clear" w:color="auto" w:fill="BFE4FF"/>
          </w:tcPr>
          <w:p>
            <w:pPr>
              <w:ind w:left="80"/>
              <w:spacing w:after="0"/>
              <w:rPr>
                <w:sz w:val="20"/>
                <w:szCs w:val="20"/>
                <w:color w:val="auto"/>
              </w:rPr>
            </w:pPr>
            <w:r>
              <w:rPr>
                <w:rFonts w:ascii="Arial" w:cs="Arial" w:eastAsia="Arial" w:hAnsi="Arial"/>
                <w:sz w:val="17"/>
                <w:szCs w:val="17"/>
                <w:color w:val="auto"/>
              </w:rPr>
              <w:t>Income tax benefit</w:t>
            </w:r>
          </w:p>
        </w:tc>
        <w:tc>
          <w:tcPr>
            <w:tcW w:w="2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72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Loss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BFE4FF"/>
            </w:tcBorders>
            <w:shd w:val="clear" w:color="auto" w:fill="BFE4FF"/>
          </w:tcPr>
          <w:p>
            <w:pPr>
              <w:spacing w:after="0"/>
              <w:rPr>
                <w:sz w:val="23"/>
                <w:szCs w:val="23"/>
                <w:color w:val="auto"/>
              </w:rPr>
            </w:pPr>
          </w:p>
        </w:tc>
        <w:tc>
          <w:tcPr>
            <w:tcW w:w="6700" w:type="dxa"/>
            <w:vAlign w:val="bottom"/>
            <w:tcBorders>
              <w:bottom w:val="single" w:sz="8" w:color="BFE4FF"/>
            </w:tcBorders>
            <w:gridSpan w:val="2"/>
            <w:shd w:val="clear" w:color="auto" w:fill="BFE4FF"/>
          </w:tcPr>
          <w:p>
            <w:pPr>
              <w:ind w:left="80"/>
              <w:spacing w:after="0"/>
              <w:rPr>
                <w:sz w:val="20"/>
                <w:szCs w:val="20"/>
                <w:color w:val="auto"/>
              </w:rPr>
            </w:pPr>
            <w:r>
              <w:rPr>
                <w:rFonts w:ascii="Arial" w:cs="Arial" w:eastAsia="Arial" w:hAnsi="Arial"/>
                <w:sz w:val="17"/>
                <w:szCs w:val="17"/>
                <w:color w:val="auto"/>
              </w:rPr>
              <w:t>Less: Loss attributable to noncontrolling interests</w:t>
            </w:r>
          </w:p>
        </w:tc>
        <w:tc>
          <w:tcPr>
            <w:tcW w:w="2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6720" w:type="dxa"/>
            <w:vAlign w:val="bottom"/>
            <w:gridSpan w:val="3"/>
          </w:tcPr>
          <w:p>
            <w:pPr>
              <w:ind w:left="20"/>
              <w:spacing w:after="0"/>
              <w:rPr>
                <w:sz w:val="20"/>
                <w:szCs w:val="20"/>
                <w:color w:val="auto"/>
              </w:rPr>
            </w:pPr>
            <w:r>
              <w:rPr>
                <w:rFonts w:ascii="Arial" w:cs="Arial" w:eastAsia="Arial" w:hAnsi="Arial"/>
                <w:sz w:val="17"/>
                <w:szCs w:val="17"/>
                <w:b w:val="1"/>
                <w:bCs w:val="1"/>
                <w:color w:val="auto"/>
              </w:rPr>
              <w:t>Net Loss Attributable to Clearway Energy,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2400" w:type="dxa"/>
            <w:vAlign w:val="bottom"/>
            <w:tcBorders>
              <w:bottom w:val="single" w:sz="8" w:color="BFE4FF"/>
            </w:tcBorders>
          </w:tcPr>
          <w:p>
            <w:pPr>
              <w:spacing w:after="0" w:line="20" w:lineRule="exact"/>
              <w:rPr>
                <w:sz w:val="1"/>
                <w:szCs w:val="1"/>
                <w:color w:val="auto"/>
              </w:rPr>
            </w:pPr>
          </w:p>
        </w:tc>
        <w:tc>
          <w:tcPr>
            <w:tcW w:w="430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720" w:type="dxa"/>
            <w:vAlign w:val="bottom"/>
            <w:gridSpan w:val="3"/>
            <w:shd w:val="clear" w:color="auto" w:fill="BFE4FF"/>
          </w:tcPr>
          <w:p>
            <w:pPr>
              <w:ind w:left="20"/>
              <w:spacing w:after="0" w:line="129" w:lineRule="exact"/>
              <w:rPr>
                <w:sz w:val="20"/>
                <w:szCs w:val="20"/>
                <w:color w:val="auto"/>
              </w:rPr>
            </w:pPr>
            <w:r>
              <w:rPr>
                <w:rFonts w:ascii="Arial" w:cs="Arial" w:eastAsia="Arial" w:hAnsi="Arial"/>
                <w:sz w:val="14"/>
                <w:szCs w:val="14"/>
                <w:b w:val="1"/>
                <w:bCs w:val="1"/>
                <w:color w:val="auto"/>
              </w:rPr>
              <w:t>Losses Per Share Attributable to Clearway Energy, Inc. Class A and Class C Common</w:t>
            </w:r>
          </w:p>
        </w:tc>
        <w:tc>
          <w:tcPr>
            <w:tcW w:w="220" w:type="dxa"/>
            <w:vAlign w:val="bottom"/>
            <w:shd w:val="clear" w:color="auto" w:fill="BFE4FF"/>
          </w:tcPr>
          <w:p>
            <w:pPr>
              <w:spacing w:after="0"/>
              <w:rPr>
                <w:sz w:val="11"/>
                <w:szCs w:val="11"/>
                <w:color w:val="auto"/>
              </w:rPr>
            </w:pPr>
          </w:p>
        </w:tc>
        <w:tc>
          <w:tcPr>
            <w:tcW w:w="1040" w:type="dxa"/>
            <w:vAlign w:val="bottom"/>
            <w:shd w:val="clear" w:color="auto" w:fill="BFE4FF"/>
          </w:tcPr>
          <w:p>
            <w:pPr>
              <w:spacing w:after="0"/>
              <w:rPr>
                <w:sz w:val="11"/>
                <w:szCs w:val="11"/>
                <w:color w:val="auto"/>
              </w:rPr>
            </w:pPr>
          </w:p>
        </w:tc>
        <w:tc>
          <w:tcPr>
            <w:tcW w:w="100" w:type="dxa"/>
            <w:vAlign w:val="bottom"/>
            <w:shd w:val="clear" w:color="auto" w:fill="BFE4FF"/>
          </w:tcPr>
          <w:p>
            <w:pPr>
              <w:spacing w:after="0"/>
              <w:rPr>
                <w:sz w:val="11"/>
                <w:szCs w:val="11"/>
                <w:color w:val="auto"/>
              </w:rPr>
            </w:pPr>
          </w:p>
        </w:tc>
        <w:tc>
          <w:tcPr>
            <w:tcW w:w="280" w:type="dxa"/>
            <w:vAlign w:val="bottom"/>
            <w:shd w:val="clear" w:color="auto" w:fill="BFE4FF"/>
          </w:tcPr>
          <w:p>
            <w:pPr>
              <w:spacing w:after="0"/>
              <w:rPr>
                <w:sz w:val="11"/>
                <w:szCs w:val="11"/>
                <w:color w:val="auto"/>
              </w:rPr>
            </w:pPr>
          </w:p>
        </w:tc>
        <w:tc>
          <w:tcPr>
            <w:tcW w:w="98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BFE4FF"/>
          </w:tcPr>
          <w:p>
            <w:pPr>
              <w:spacing w:after="0"/>
              <w:rPr>
                <w:sz w:val="18"/>
                <w:szCs w:val="18"/>
                <w:color w:val="auto"/>
              </w:rPr>
            </w:pPr>
          </w:p>
        </w:tc>
        <w:tc>
          <w:tcPr>
            <w:tcW w:w="6700" w:type="dxa"/>
            <w:vAlign w:val="bottom"/>
            <w:gridSpan w:val="2"/>
            <w:shd w:val="clear" w:color="auto" w:fill="BFE4FF"/>
          </w:tcPr>
          <w:p>
            <w:pPr>
              <w:ind w:left="160"/>
              <w:spacing w:after="0"/>
              <w:rPr>
                <w:sz w:val="20"/>
                <w:szCs w:val="20"/>
                <w:color w:val="auto"/>
              </w:rPr>
            </w:pPr>
            <w:r>
              <w:rPr>
                <w:rFonts w:ascii="Arial" w:cs="Arial" w:eastAsia="Arial" w:hAnsi="Arial"/>
                <w:sz w:val="17"/>
                <w:szCs w:val="17"/>
                <w:b w:val="1"/>
                <w:bCs w:val="1"/>
                <w:color w:val="auto"/>
              </w:rPr>
              <w:t>Stockholders</w:t>
            </w:r>
          </w:p>
        </w:tc>
        <w:tc>
          <w:tcPr>
            <w:tcW w:w="220" w:type="dxa"/>
            <w:vAlign w:val="bottom"/>
            <w:shd w:val="clear" w:color="auto" w:fill="BFE4FF"/>
          </w:tcPr>
          <w:p>
            <w:pPr>
              <w:spacing w:after="0"/>
              <w:rPr>
                <w:sz w:val="18"/>
                <w:szCs w:val="18"/>
                <w:color w:val="auto"/>
              </w:rPr>
            </w:pPr>
          </w:p>
        </w:tc>
        <w:tc>
          <w:tcPr>
            <w:tcW w:w="10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980" w:type="dxa"/>
            <w:vAlign w:val="bottom"/>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00" w:type="dxa"/>
            <w:vAlign w:val="bottom"/>
            <w:gridSpan w:val="2"/>
          </w:tcPr>
          <w:p>
            <w:pPr>
              <w:ind w:left="120"/>
              <w:spacing w:after="0"/>
              <w:rPr>
                <w:sz w:val="20"/>
                <w:szCs w:val="20"/>
                <w:color w:val="auto"/>
              </w:rPr>
            </w:pPr>
            <w:r>
              <w:rPr>
                <w:rFonts w:ascii="Arial" w:cs="Arial" w:eastAsia="Arial" w:hAnsi="Arial"/>
                <w:sz w:val="15"/>
                <w:szCs w:val="15"/>
                <w:color w:val="auto"/>
              </w:rPr>
              <w:t>Weighted average number of Class A common shares outstanding - basic and diluted</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4"/>
        </w:trPr>
        <w:tc>
          <w:tcPr>
            <w:tcW w:w="20" w:type="dxa"/>
            <w:vAlign w:val="bottom"/>
            <w:shd w:val="clear" w:color="auto" w:fill="BFE4FF"/>
          </w:tcPr>
          <w:p>
            <w:pPr>
              <w:spacing w:after="0"/>
              <w:rPr>
                <w:sz w:val="23"/>
                <w:szCs w:val="23"/>
                <w:color w:val="auto"/>
              </w:rPr>
            </w:pPr>
          </w:p>
        </w:tc>
        <w:tc>
          <w:tcPr>
            <w:tcW w:w="6700" w:type="dxa"/>
            <w:vAlign w:val="bottom"/>
            <w:gridSpan w:val="2"/>
            <w:shd w:val="clear" w:color="auto" w:fill="BFE4FF"/>
          </w:tcPr>
          <w:p>
            <w:pPr>
              <w:ind w:left="120"/>
              <w:spacing w:after="0"/>
              <w:rPr>
                <w:sz w:val="20"/>
                <w:szCs w:val="20"/>
                <w:color w:val="auto"/>
              </w:rPr>
            </w:pPr>
            <w:r>
              <w:rPr>
                <w:rFonts w:ascii="Arial" w:cs="Arial" w:eastAsia="Arial" w:hAnsi="Arial"/>
                <w:sz w:val="15"/>
                <w:szCs w:val="15"/>
                <w:color w:val="auto"/>
              </w:rPr>
              <w:t>Weighted average number of Class C common shares outstanding - basic and diluted</w:t>
            </w:r>
          </w:p>
        </w:tc>
        <w:tc>
          <w:tcPr>
            <w:tcW w:w="220" w:type="dxa"/>
            <w:vAlign w:val="bottom"/>
            <w:shd w:val="clear" w:color="auto" w:fill="BFE4FF"/>
          </w:tcPr>
          <w:p>
            <w:pPr>
              <w:spacing w:after="0"/>
              <w:rPr>
                <w:sz w:val="23"/>
                <w:szCs w:val="23"/>
                <w:color w:val="auto"/>
              </w:rPr>
            </w:pPr>
          </w:p>
        </w:tc>
        <w:tc>
          <w:tcPr>
            <w:tcW w:w="104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79</w:t>
            </w:r>
          </w:p>
        </w:tc>
        <w:tc>
          <w:tcPr>
            <w:tcW w:w="100" w:type="dxa"/>
            <w:vAlign w:val="bottom"/>
            <w:shd w:val="clear" w:color="auto" w:fill="BFE4FF"/>
          </w:tcPr>
          <w:p>
            <w:pPr>
              <w:spacing w:after="0"/>
              <w:rPr>
                <w:sz w:val="23"/>
                <w:szCs w:val="23"/>
                <w:color w:val="auto"/>
              </w:rPr>
            </w:pPr>
          </w:p>
        </w:tc>
        <w:tc>
          <w:tcPr>
            <w:tcW w:w="280" w:type="dxa"/>
            <w:vAlign w:val="bottom"/>
            <w:shd w:val="clear" w:color="auto" w:fill="BFE4FF"/>
          </w:tcPr>
          <w:p>
            <w:pPr>
              <w:spacing w:after="0"/>
              <w:rPr>
                <w:sz w:val="23"/>
                <w:szCs w:val="23"/>
                <w:color w:val="auto"/>
              </w:rPr>
            </w:pPr>
          </w:p>
        </w:tc>
        <w:tc>
          <w:tcPr>
            <w:tcW w:w="980" w:type="dxa"/>
            <w:vAlign w:val="bottom"/>
            <w:shd w:val="clear" w:color="auto" w:fill="BFE4FF"/>
          </w:tcPr>
          <w:p>
            <w:pPr>
              <w:jc w:val="right"/>
              <w:ind w:right="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6720" w:type="dxa"/>
            <w:vAlign w:val="bottom"/>
            <w:gridSpan w:val="3"/>
          </w:tcPr>
          <w:p>
            <w:pPr>
              <w:ind w:left="20"/>
              <w:spacing w:after="0"/>
              <w:rPr>
                <w:sz w:val="20"/>
                <w:szCs w:val="20"/>
                <w:color w:val="auto"/>
              </w:rPr>
            </w:pPr>
            <w:r>
              <w:rPr>
                <w:rFonts w:ascii="Arial" w:cs="Arial" w:eastAsia="Arial" w:hAnsi="Arial"/>
                <w:sz w:val="17"/>
                <w:szCs w:val="17"/>
                <w:b w:val="1"/>
                <w:bCs w:val="1"/>
                <w:color w:val="auto"/>
                <w:w w:val="95"/>
              </w:rPr>
              <w:t>Losses per Weighted Average Class A and Class C Common Share - Basic and 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BFE4FF"/>
            </w:tcBorders>
          </w:tcPr>
          <w:p>
            <w:pPr>
              <w:spacing w:after="0" w:line="20" w:lineRule="exact"/>
              <w:rPr>
                <w:sz w:val="1"/>
                <w:szCs w:val="1"/>
                <w:color w:val="auto"/>
              </w:rPr>
            </w:pPr>
          </w:p>
        </w:tc>
        <w:tc>
          <w:tcPr>
            <w:tcW w:w="2400" w:type="dxa"/>
            <w:vAlign w:val="bottom"/>
            <w:tcBorders>
              <w:bottom w:val="single" w:sz="8" w:color="BFE4FF"/>
            </w:tcBorders>
          </w:tcPr>
          <w:p>
            <w:pPr>
              <w:spacing w:after="0" w:line="20" w:lineRule="exact"/>
              <w:rPr>
                <w:sz w:val="1"/>
                <w:szCs w:val="1"/>
                <w:color w:val="auto"/>
              </w:rPr>
            </w:pPr>
          </w:p>
        </w:tc>
        <w:tc>
          <w:tcPr>
            <w:tcW w:w="4300" w:type="dxa"/>
            <w:vAlign w:val="bottom"/>
            <w:tcBorders>
              <w:bottom w:val="single" w:sz="8" w:color="BFE4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720" w:type="dxa"/>
            <w:vAlign w:val="bottom"/>
            <w:tcBorders>
              <w:bottom w:val="single" w:sz="8" w:color="BFE4FF"/>
            </w:tcBorders>
            <w:gridSpan w:val="3"/>
            <w:shd w:val="clear" w:color="auto" w:fill="BFE4FF"/>
          </w:tcPr>
          <w:p>
            <w:pPr>
              <w:ind w:left="20"/>
              <w:spacing w:after="0"/>
              <w:rPr>
                <w:sz w:val="20"/>
                <w:szCs w:val="20"/>
                <w:color w:val="auto"/>
              </w:rPr>
            </w:pPr>
            <w:r>
              <w:rPr>
                <w:rFonts w:ascii="Arial" w:cs="Arial" w:eastAsia="Arial" w:hAnsi="Arial"/>
                <w:sz w:val="17"/>
                <w:szCs w:val="17"/>
                <w:b w:val="1"/>
                <w:bCs w:val="1"/>
                <w:color w:val="auto"/>
              </w:rPr>
              <w:t>Dividends Per Class A Common Share</w:t>
            </w:r>
          </w:p>
        </w:tc>
        <w:tc>
          <w:tcPr>
            <w:tcW w:w="220" w:type="dxa"/>
            <w:vAlign w:val="bottom"/>
            <w:tcBorders>
              <w:bottom w:val="single" w:sz="8" w:color="auto"/>
            </w:tcBorders>
            <w:shd w:val="clear" w:color="auto" w:fill="BFE4FF"/>
          </w:tcPr>
          <w:p>
            <w:pPr>
              <w:spacing w:after="0"/>
              <w:rPr>
                <w:sz w:val="24"/>
                <w:szCs w:val="24"/>
                <w:color w:val="auto"/>
              </w:rPr>
            </w:pPr>
          </w:p>
        </w:tc>
        <w:tc>
          <w:tcPr>
            <w:tcW w:w="1040" w:type="dxa"/>
            <w:vAlign w:val="bottom"/>
            <w:tcBorders>
              <w:bottom w:val="single" w:sz="8" w:color="auto"/>
            </w:tcBorders>
            <w:shd w:val="clear" w:color="auto" w:fill="BFE4FF"/>
          </w:tcPr>
          <w:p>
            <w:pPr>
              <w:jc w:val="right"/>
              <w:ind w:right="5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BFE4FF"/>
            </w:tcBorders>
            <w:shd w:val="clear" w:color="auto" w:fill="BFE4FF"/>
          </w:tcPr>
          <w:p>
            <w:pPr>
              <w:spacing w:after="0"/>
              <w:rPr>
                <w:sz w:val="24"/>
                <w:szCs w:val="24"/>
                <w:color w:val="auto"/>
              </w:rPr>
            </w:pPr>
          </w:p>
        </w:tc>
        <w:tc>
          <w:tcPr>
            <w:tcW w:w="280" w:type="dxa"/>
            <w:vAlign w:val="bottom"/>
            <w:tcBorders>
              <w:bottom w:val="single" w:sz="8" w:color="auto"/>
            </w:tcBorders>
            <w:shd w:val="clear" w:color="auto" w:fill="BFE4FF"/>
          </w:tcPr>
          <w:p>
            <w:pPr>
              <w:spacing w:after="0"/>
              <w:rPr>
                <w:sz w:val="24"/>
                <w:szCs w:val="24"/>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tcPr>
          <w:p>
            <w:pPr>
              <w:spacing w:after="0" w:line="20" w:lineRule="exact"/>
              <w:rPr>
                <w:sz w:val="1"/>
                <w:szCs w:val="1"/>
                <w:color w:val="auto"/>
              </w:rPr>
            </w:pPr>
          </w:p>
        </w:tc>
        <w:tc>
          <w:tcPr>
            <w:tcW w:w="2400" w:type="dxa"/>
            <w:vAlign w:val="bottom"/>
            <w:tcBorders>
              <w:top w:val="single" w:sz="8" w:color="BFE4FF"/>
            </w:tcBorders>
          </w:tcPr>
          <w:p>
            <w:pPr>
              <w:spacing w:after="0" w:line="20" w:lineRule="exact"/>
              <w:rPr>
                <w:sz w:val="1"/>
                <w:szCs w:val="1"/>
                <w:color w:val="auto"/>
              </w:rPr>
            </w:pPr>
          </w:p>
        </w:tc>
        <w:tc>
          <w:tcPr>
            <w:tcW w:w="43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20" w:type="dxa"/>
            <w:vAlign w:val="bottom"/>
            <w:gridSpan w:val="3"/>
          </w:tcPr>
          <w:p>
            <w:pPr>
              <w:ind w:left="20"/>
              <w:spacing w:after="0"/>
              <w:rPr>
                <w:sz w:val="20"/>
                <w:szCs w:val="20"/>
                <w:color w:val="auto"/>
              </w:rPr>
            </w:pPr>
            <w:r>
              <w:rPr>
                <w:rFonts w:ascii="Arial" w:cs="Arial" w:eastAsia="Arial" w:hAnsi="Arial"/>
                <w:sz w:val="17"/>
                <w:szCs w:val="17"/>
                <w:b w:val="1"/>
                <w:bCs w:val="1"/>
                <w:color w:val="auto"/>
              </w:rPr>
              <w:t>Dividends Per Class C Common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280"/>
          </w:cols>
          <w:pgMar w:left="1280" w:top="769" w:right="339" w:bottom="1440" w:gutter="0" w:footer="0" w:header="0"/>
        </w:sectPr>
      </w:pPr>
    </w:p>
    <w:bookmarkStart w:id="10" w:name="page11"/>
    <w:bookmarkEnd w:id="10"/>
    <w:p>
      <w:pPr>
        <w:jc w:val="center"/>
        <w:ind w:right="10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7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62"/>
        </w:trPr>
        <w:tc>
          <w:tcPr>
            <w:tcW w:w="65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3"/>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650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Unrealized gain on derivatives, net of income tax benefit of $2 and $0</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500" w:type="dxa"/>
            <w:vAlign w:val="bottom"/>
            <w:gridSpan w:val="3"/>
          </w:tcPr>
          <w:p>
            <w:pPr>
              <w:ind w:left="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20" w:type="dxa"/>
            <w:vAlign w:val="bottom"/>
          </w:tcPr>
          <w:p>
            <w:pPr>
              <w:spacing w:after="0"/>
              <w:rPr>
                <w:sz w:val="21"/>
                <w:szCs w:val="21"/>
                <w:color w:val="auto"/>
              </w:rPr>
            </w:pPr>
          </w:p>
        </w:tc>
        <w:tc>
          <w:tcPr>
            <w:tcW w:w="6480" w:type="dxa"/>
            <w:vAlign w:val="bottom"/>
            <w:gridSpan w:val="2"/>
          </w:tcPr>
          <w:p>
            <w:pPr>
              <w:ind w:left="8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6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Clearway Energy,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220"/>
          </w:cols>
          <w:pgMar w:left="1340" w:top="769" w:right="339" w:bottom="1440" w:gutter="0" w:footer="0" w:header="0"/>
        </w:sectPr>
      </w:pPr>
    </w:p>
    <w:bookmarkStart w:id="11" w:name="page12"/>
    <w:bookmarkEnd w:id="11"/>
    <w:p>
      <w:pPr>
        <w:jc w:val="center"/>
        <w:ind w:right="46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(In millions, except shares)</w:t>
            </w: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2020</w:t>
            </w:r>
          </w:p>
        </w:tc>
        <w:tc>
          <w:tcPr>
            <w:tcW w:w="160" w:type="dxa"/>
            <w:vAlign w:val="bottom"/>
          </w:tcPr>
          <w:p>
            <w:pPr>
              <w:spacing w:after="0"/>
              <w:rPr>
                <w:sz w:val="17"/>
                <w:szCs w:val="17"/>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4960" w:type="dxa"/>
            <w:vAlign w:val="bottom"/>
            <w:vMerge w:val="restart"/>
          </w:tcPr>
          <w:p>
            <w:pPr>
              <w:jc w:val="center"/>
              <w:ind w:right="1799"/>
              <w:spacing w:after="0"/>
              <w:rPr>
                <w:sz w:val="20"/>
                <w:szCs w:val="20"/>
                <w:color w:val="auto"/>
              </w:rPr>
            </w:pPr>
            <w:r>
              <w:rPr>
                <w:rFonts w:ascii="Arial" w:cs="Arial" w:eastAsia="Arial" w:hAnsi="Arial"/>
                <w:sz w:val="16"/>
                <w:szCs w:val="16"/>
                <w:b w:val="1"/>
                <w:bCs w:val="1"/>
                <w:color w:val="auto"/>
                <w:w w:val="93"/>
              </w:rPr>
              <w:t>ASSETS</w:t>
            </w: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BFE4FF"/>
            </w:tcBorders>
            <w:shd w:val="clear" w:color="auto" w:fill="BFE4FF"/>
          </w:tcPr>
          <w:p>
            <w:pPr>
              <w:spacing w:after="0"/>
              <w:rPr>
                <w:sz w:val="20"/>
                <w:szCs w:val="20"/>
                <w:color w:val="auto"/>
              </w:rPr>
            </w:pPr>
          </w:p>
        </w:tc>
        <w:tc>
          <w:tcPr>
            <w:tcW w:w="68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Borders>
              <w:bottom w:val="single" w:sz="8" w:color="BFE4FF"/>
            </w:tcBorders>
            <w:shd w:val="clear" w:color="auto" w:fill="BFE4FF"/>
          </w:tcPr>
          <w:p>
            <w:pPr>
              <w:spacing w:after="0"/>
              <w:rPr>
                <w:sz w:val="20"/>
                <w:szCs w:val="20"/>
                <w:color w:val="auto"/>
              </w:rPr>
            </w:pPr>
          </w:p>
        </w:tc>
        <w:tc>
          <w:tcPr>
            <w:tcW w:w="14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Accounts receivable — trade</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Accounts receivable — affiliate</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Borders>
              <w:bottom w:val="single" w:sz="8" w:color="auto"/>
            </w:tcBorders>
            <w:shd w:val="clear" w:color="auto" w:fill="BFE4FF"/>
          </w:tcPr>
          <w:p>
            <w:pPr>
              <w:spacing w:after="0"/>
              <w:rPr>
                <w:sz w:val="22"/>
                <w:szCs w:val="22"/>
                <w:color w:val="auto"/>
              </w:rPr>
            </w:pPr>
          </w:p>
        </w:tc>
        <w:tc>
          <w:tcPr>
            <w:tcW w:w="146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spacing w:after="0"/>
              <w:rPr>
                <w:sz w:val="22"/>
                <w:szCs w:val="22"/>
                <w:color w:val="auto"/>
              </w:rPr>
            </w:pPr>
          </w:p>
        </w:tc>
        <w:tc>
          <w:tcPr>
            <w:tcW w:w="15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32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20"/>
                <w:szCs w:val="20"/>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6,001</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6,063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Equity investments in affiliates</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1,149</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262"/>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Right of use assets, net</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Other non-current assets</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50"/>
        </w:trPr>
        <w:tc>
          <w:tcPr>
            <w:tcW w:w="20" w:type="dxa"/>
            <w:vAlign w:val="bottom"/>
            <w:tcBorders>
              <w:bottom w:val="single" w:sz="8" w:color="BFE4FF"/>
            </w:tcBorders>
          </w:tcPr>
          <w:p>
            <w:pPr>
              <w:spacing w:after="0"/>
              <w:rPr>
                <w:sz w:val="21"/>
                <w:szCs w:val="21"/>
                <w:color w:val="auto"/>
              </w:rPr>
            </w:pPr>
          </w:p>
        </w:tc>
        <w:tc>
          <w:tcPr>
            <w:tcW w:w="6820" w:type="dxa"/>
            <w:vAlign w:val="bottom"/>
            <w:tcBorders>
              <w:bottom w:val="single" w:sz="8" w:color="BFE4FF"/>
            </w:tcBorders>
            <w:gridSpan w:val="2"/>
          </w:tcPr>
          <w:p>
            <w:pPr>
              <w:ind w:left="32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3,000</w:t>
            </w:r>
          </w:p>
        </w:tc>
        <w:tc>
          <w:tcPr>
            <w:tcW w:w="120" w:type="dxa"/>
            <w:vAlign w:val="bottom"/>
            <w:tcBorders>
              <w:bottom w:val="single" w:sz="8" w:color="BFE4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238"/>
        </w:trPr>
        <w:tc>
          <w:tcPr>
            <w:tcW w:w="20" w:type="dxa"/>
            <w:vAlign w:val="bottom"/>
            <w:tcBorders>
              <w:bottom w:val="single" w:sz="8" w:color="BFE4FF"/>
            </w:tcBorders>
            <w:shd w:val="clear" w:color="auto" w:fill="BFE4FF"/>
          </w:tcPr>
          <w:p>
            <w:pPr>
              <w:spacing w:after="0"/>
              <w:rPr>
                <w:sz w:val="20"/>
                <w:szCs w:val="20"/>
                <w:color w:val="auto"/>
              </w:rPr>
            </w:pPr>
          </w:p>
        </w:tc>
        <w:tc>
          <w:tcPr>
            <w:tcW w:w="68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9,555</w:t>
            </w:r>
          </w:p>
        </w:tc>
        <w:tc>
          <w:tcPr>
            <w:tcW w:w="12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9,700</w:t>
            </w:r>
          </w:p>
        </w:tc>
        <w:tc>
          <w:tcPr>
            <w:tcW w:w="0" w:type="dxa"/>
            <w:vAlign w:val="bottom"/>
          </w:tcPr>
          <w:p>
            <w:pPr>
              <w:spacing w:after="0"/>
              <w:rPr>
                <w:sz w:val="1"/>
                <w:szCs w:val="1"/>
                <w:color w:val="auto"/>
              </w:rPr>
            </w:pPr>
          </w:p>
        </w:tc>
      </w:tr>
      <w:tr>
        <w:trPr>
          <w:trHeight w:val="20"/>
        </w:trPr>
        <w:tc>
          <w:tcPr>
            <w:tcW w:w="20" w:type="dxa"/>
            <w:vAlign w:val="bottom"/>
            <w:tcBorders>
              <w:top w:val="single" w:sz="8" w:color="BFE4FF"/>
              <w:bottom w:val="single" w:sz="8" w:color="BFE4FF"/>
            </w:tcBorders>
            <w:vMerge w:val="restart"/>
          </w:tcPr>
          <w:p>
            <w:pPr>
              <w:spacing w:after="0" w:line="20" w:lineRule="exact"/>
              <w:rPr>
                <w:sz w:val="1"/>
                <w:szCs w:val="1"/>
                <w:color w:val="auto"/>
              </w:rPr>
            </w:pPr>
          </w:p>
        </w:tc>
        <w:tc>
          <w:tcPr>
            <w:tcW w:w="6820" w:type="dxa"/>
            <w:vAlign w:val="bottom"/>
            <w:tcBorders>
              <w:top w:val="single" w:sz="8" w:color="BFE4FF"/>
              <w:bottom w:val="single" w:sz="8" w:color="BFE4FF"/>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4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5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68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BFE4FF"/>
            </w:tcBorders>
            <w:shd w:val="clear" w:color="auto" w:fill="BFE4FF"/>
          </w:tcPr>
          <w:p>
            <w:pPr>
              <w:spacing w:after="0"/>
              <w:rPr>
                <w:sz w:val="20"/>
                <w:szCs w:val="20"/>
                <w:color w:val="auto"/>
              </w:rPr>
            </w:pPr>
          </w:p>
        </w:tc>
        <w:tc>
          <w:tcPr>
            <w:tcW w:w="68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BFE4FF"/>
            </w:tcBorders>
            <w:shd w:val="clear" w:color="auto" w:fill="BFE4FF"/>
          </w:tcPr>
          <w:p>
            <w:pPr>
              <w:spacing w:after="0"/>
              <w:rPr>
                <w:sz w:val="20"/>
                <w:szCs w:val="20"/>
                <w:color w:val="auto"/>
              </w:rPr>
            </w:pPr>
          </w:p>
        </w:tc>
        <w:tc>
          <w:tcPr>
            <w:tcW w:w="14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1,480</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1,824</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Accounts payable — trade</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Accounts payable — affiliate</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Derivative instruments</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Accrued interest expense</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2"/>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Borders>
              <w:bottom w:val="single" w:sz="8" w:color="auto"/>
            </w:tcBorders>
            <w:shd w:val="clear" w:color="auto" w:fill="BFE4FF"/>
          </w:tcPr>
          <w:p>
            <w:pPr>
              <w:spacing w:after="0"/>
              <w:rPr>
                <w:sz w:val="22"/>
                <w:szCs w:val="22"/>
                <w:color w:val="auto"/>
              </w:rPr>
            </w:pPr>
          </w:p>
        </w:tc>
        <w:tc>
          <w:tcPr>
            <w:tcW w:w="146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spacing w:after="0"/>
              <w:rPr>
                <w:sz w:val="22"/>
                <w:szCs w:val="22"/>
                <w:color w:val="auto"/>
              </w:rPr>
            </w:pPr>
          </w:p>
        </w:tc>
        <w:tc>
          <w:tcPr>
            <w:tcW w:w="15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30"/>
        </w:trPr>
        <w:tc>
          <w:tcPr>
            <w:tcW w:w="20" w:type="dxa"/>
            <w:vAlign w:val="bottom"/>
            <w:tcBorders>
              <w:bottom w:val="single" w:sz="8" w:color="BFE4FF"/>
            </w:tcBorders>
          </w:tcPr>
          <w:p>
            <w:pPr>
              <w:spacing w:after="0"/>
              <w:rPr>
                <w:sz w:val="20"/>
                <w:szCs w:val="20"/>
                <w:color w:val="auto"/>
              </w:rPr>
            </w:pPr>
          </w:p>
        </w:tc>
        <w:tc>
          <w:tcPr>
            <w:tcW w:w="6820" w:type="dxa"/>
            <w:vAlign w:val="bottom"/>
            <w:tcBorders>
              <w:bottom w:val="single" w:sz="8" w:color="BFE4FF"/>
            </w:tcBorders>
            <w:gridSpan w:val="2"/>
          </w:tcPr>
          <w:p>
            <w:pPr>
              <w:ind w:left="3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1,714</w:t>
            </w:r>
          </w:p>
        </w:tc>
        <w:tc>
          <w:tcPr>
            <w:tcW w:w="120" w:type="dxa"/>
            <w:vAlign w:val="bottom"/>
            <w:tcBorders>
              <w:bottom w:val="single" w:sz="8" w:color="BFE4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23"/>
        </w:trPr>
        <w:tc>
          <w:tcPr>
            <w:tcW w:w="20" w:type="dxa"/>
            <w:vAlign w:val="bottom"/>
            <w:tcBorders>
              <w:bottom w:val="single" w:sz="8" w:color="BFE4FF"/>
            </w:tcBorders>
            <w:shd w:val="clear" w:color="auto" w:fill="BFE4FF"/>
          </w:tcPr>
          <w:p>
            <w:pPr>
              <w:spacing w:after="0"/>
              <w:rPr>
                <w:sz w:val="19"/>
                <w:szCs w:val="19"/>
                <w:color w:val="auto"/>
              </w:rPr>
            </w:pPr>
          </w:p>
        </w:tc>
        <w:tc>
          <w:tcPr>
            <w:tcW w:w="68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Borders>
              <w:bottom w:val="single" w:sz="8" w:color="BFE4FF"/>
            </w:tcBorders>
            <w:shd w:val="clear" w:color="auto" w:fill="BFE4FF"/>
          </w:tcPr>
          <w:p>
            <w:pPr>
              <w:spacing w:after="0"/>
              <w:rPr>
                <w:sz w:val="19"/>
                <w:szCs w:val="19"/>
                <w:color w:val="auto"/>
              </w:rPr>
            </w:pPr>
          </w:p>
        </w:tc>
        <w:tc>
          <w:tcPr>
            <w:tcW w:w="146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160" w:type="dxa"/>
            <w:vAlign w:val="bottom"/>
            <w:tcBorders>
              <w:bottom w:val="single" w:sz="8" w:color="BFE4FF"/>
            </w:tcBorders>
            <w:shd w:val="clear" w:color="auto" w:fill="BFE4FF"/>
          </w:tcPr>
          <w:p>
            <w:pPr>
              <w:spacing w:after="0"/>
              <w:rPr>
                <w:sz w:val="19"/>
                <w:szCs w:val="19"/>
                <w:color w:val="auto"/>
              </w:rPr>
            </w:pPr>
          </w:p>
        </w:tc>
        <w:tc>
          <w:tcPr>
            <w:tcW w:w="1520" w:type="dxa"/>
            <w:vAlign w:val="bottom"/>
            <w:tcBorders>
              <w:bottom w:val="single" w:sz="8" w:color="BFE4FF"/>
            </w:tcBorders>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5,081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4,956</w:t>
            </w:r>
          </w:p>
        </w:tc>
        <w:tc>
          <w:tcPr>
            <w:tcW w:w="0" w:type="dxa"/>
            <w:vAlign w:val="bottom"/>
          </w:tcPr>
          <w:p>
            <w:pPr>
              <w:spacing w:after="0"/>
              <w:rPr>
                <w:sz w:val="1"/>
                <w:szCs w:val="1"/>
                <w:color w:val="auto"/>
              </w:rPr>
            </w:pPr>
          </w:p>
        </w:tc>
      </w:tr>
      <w:tr>
        <w:trPr>
          <w:trHeight w:val="262"/>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Derivative instruments</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Long-term lease liabilities</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Other non-current liabilities</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50"/>
        </w:trPr>
        <w:tc>
          <w:tcPr>
            <w:tcW w:w="20" w:type="dxa"/>
            <w:vAlign w:val="bottom"/>
            <w:tcBorders>
              <w:bottom w:val="single" w:sz="8" w:color="BFE4FF"/>
            </w:tcBorders>
          </w:tcPr>
          <w:p>
            <w:pPr>
              <w:spacing w:after="0"/>
              <w:rPr>
                <w:sz w:val="21"/>
                <w:szCs w:val="21"/>
                <w:color w:val="auto"/>
              </w:rPr>
            </w:pPr>
          </w:p>
        </w:tc>
        <w:tc>
          <w:tcPr>
            <w:tcW w:w="6820" w:type="dxa"/>
            <w:vAlign w:val="bottom"/>
            <w:tcBorders>
              <w:bottom w:val="single" w:sz="8" w:color="BFE4FF"/>
            </w:tcBorders>
            <w:gridSpan w:val="2"/>
          </w:tcPr>
          <w:p>
            <w:pPr>
              <w:ind w:left="32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5,577</w:t>
            </w:r>
          </w:p>
        </w:tc>
        <w:tc>
          <w:tcPr>
            <w:tcW w:w="120" w:type="dxa"/>
            <w:vAlign w:val="bottom"/>
            <w:tcBorders>
              <w:bottom w:val="single" w:sz="8" w:color="BFE4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5,380</w:t>
            </w:r>
          </w:p>
        </w:tc>
        <w:tc>
          <w:tcPr>
            <w:tcW w:w="0" w:type="dxa"/>
            <w:vAlign w:val="bottom"/>
          </w:tcPr>
          <w:p>
            <w:pPr>
              <w:spacing w:after="0"/>
              <w:rPr>
                <w:sz w:val="1"/>
                <w:szCs w:val="1"/>
                <w:color w:val="auto"/>
              </w:rPr>
            </w:pPr>
          </w:p>
        </w:tc>
      </w:tr>
      <w:tr>
        <w:trPr>
          <w:trHeight w:val="243"/>
        </w:trPr>
        <w:tc>
          <w:tcPr>
            <w:tcW w:w="20" w:type="dxa"/>
            <w:vAlign w:val="bottom"/>
            <w:shd w:val="clear" w:color="auto" w:fill="BFE4FF"/>
          </w:tcPr>
          <w:p>
            <w:pPr>
              <w:spacing w:after="0"/>
              <w:rPr>
                <w:sz w:val="21"/>
                <w:szCs w:val="21"/>
                <w:color w:val="auto"/>
              </w:rPr>
            </w:pPr>
          </w:p>
        </w:tc>
        <w:tc>
          <w:tcPr>
            <w:tcW w:w="6820" w:type="dxa"/>
            <w:vAlign w:val="bottom"/>
            <w:gridSpan w:val="2"/>
            <w:shd w:val="clear" w:color="auto" w:fill="BFE4FF"/>
          </w:tcPr>
          <w:p>
            <w:pPr>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shd w:val="clear" w:color="auto" w:fill="BFE4FF"/>
          </w:tcPr>
          <w:p>
            <w:pPr>
              <w:spacing w:after="0"/>
              <w:rPr>
                <w:sz w:val="21"/>
                <w:szCs w:val="21"/>
                <w:color w:val="auto"/>
              </w:rPr>
            </w:pPr>
          </w:p>
        </w:tc>
        <w:tc>
          <w:tcPr>
            <w:tcW w:w="146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7,291</w:t>
            </w:r>
          </w:p>
        </w:tc>
        <w:tc>
          <w:tcPr>
            <w:tcW w:w="120" w:type="dxa"/>
            <w:vAlign w:val="bottom"/>
            <w:shd w:val="clear" w:color="auto" w:fill="BFE4FF"/>
          </w:tcPr>
          <w:p>
            <w:pPr>
              <w:spacing w:after="0"/>
              <w:rPr>
                <w:sz w:val="21"/>
                <w:szCs w:val="21"/>
                <w:color w:val="auto"/>
              </w:rPr>
            </w:pPr>
          </w:p>
        </w:tc>
        <w:tc>
          <w:tcPr>
            <w:tcW w:w="160" w:type="dxa"/>
            <w:vAlign w:val="bottom"/>
            <w:tcBorders>
              <w:bottom w:val="single" w:sz="8" w:color="auto"/>
            </w:tcBorders>
            <w:shd w:val="clear" w:color="auto" w:fill="BFE4FF"/>
          </w:tcPr>
          <w:p>
            <w:pPr>
              <w:spacing w:after="0"/>
              <w:rPr>
                <w:sz w:val="21"/>
                <w:szCs w:val="21"/>
                <w:color w:val="auto"/>
              </w:rPr>
            </w:pPr>
          </w:p>
        </w:tc>
        <w:tc>
          <w:tcPr>
            <w:tcW w:w="15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7,437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BFE4FF"/>
            </w:tcBorders>
            <w:shd w:val="clear" w:color="auto" w:fill="BFE4FF"/>
          </w:tcPr>
          <w:p>
            <w:pPr>
              <w:spacing w:after="0"/>
              <w:rPr>
                <w:sz w:val="20"/>
                <w:szCs w:val="20"/>
                <w:color w:val="auto"/>
              </w:rPr>
            </w:pPr>
          </w:p>
        </w:tc>
        <w:tc>
          <w:tcPr>
            <w:tcW w:w="68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bottom w:val="single" w:sz="8" w:color="BFE4FF"/>
            </w:tcBorders>
            <w:shd w:val="clear" w:color="auto" w:fill="BFE4FF"/>
          </w:tcPr>
          <w:p>
            <w:pPr>
              <w:spacing w:after="0"/>
              <w:rPr>
                <w:sz w:val="20"/>
                <w:szCs w:val="20"/>
                <w:color w:val="auto"/>
              </w:rPr>
            </w:pPr>
          </w:p>
        </w:tc>
        <w:tc>
          <w:tcPr>
            <w:tcW w:w="14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BFE4FF"/>
            </w:tcBorders>
            <w:shd w:val="clear" w:color="auto" w:fill="BFE4FF"/>
          </w:tcPr>
          <w:p>
            <w:pPr>
              <w:spacing w:after="0"/>
              <w:rPr>
                <w:sz w:val="20"/>
                <w:szCs w:val="20"/>
                <w:color w:val="auto"/>
              </w:rPr>
            </w:pPr>
          </w:p>
        </w:tc>
        <w:tc>
          <w:tcPr>
            <w:tcW w:w="152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Preferred stock, $0.01 par value; 10,000,000 shares authorized; none issued</w:t>
            </w:r>
          </w:p>
        </w:tc>
        <w:tc>
          <w:tcPr>
            <w:tcW w:w="22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BFE4FF"/>
          </w:tcPr>
          <w:p>
            <w:pPr>
              <w:spacing w:after="0"/>
              <w:rPr>
                <w:sz w:val="19"/>
                <w:szCs w:val="19"/>
                <w:color w:val="auto"/>
              </w:rPr>
            </w:pPr>
          </w:p>
        </w:tc>
        <w:tc>
          <w:tcPr>
            <w:tcW w:w="6820" w:type="dxa"/>
            <w:vAlign w:val="bottom"/>
            <w:gridSpan w:val="2"/>
            <w:shd w:val="clear" w:color="auto" w:fill="BFE4FF"/>
          </w:tcPr>
          <w:p>
            <w:pPr>
              <w:spacing w:after="0"/>
              <w:rPr>
                <w:sz w:val="20"/>
                <w:szCs w:val="20"/>
                <w:color w:val="auto"/>
              </w:rPr>
            </w:pPr>
            <w:r>
              <w:rPr>
                <w:rFonts w:ascii="Arial" w:cs="Arial" w:eastAsia="Arial" w:hAnsi="Arial"/>
                <w:sz w:val="16"/>
                <w:szCs w:val="16"/>
                <w:color w:val="auto"/>
                <w:w w:val="91"/>
              </w:rPr>
              <w:t>Class A, Class B, Class C and Class D common stock, $0.01 par value; 3,000,000,000 shares authorized</w:t>
            </w:r>
          </w:p>
        </w:tc>
        <w:tc>
          <w:tcPr>
            <w:tcW w:w="220" w:type="dxa"/>
            <w:vAlign w:val="bottom"/>
            <w:shd w:val="clear" w:color="auto" w:fill="BFE4FF"/>
          </w:tcPr>
          <w:p>
            <w:pPr>
              <w:spacing w:after="0"/>
              <w:rPr>
                <w:sz w:val="19"/>
                <w:szCs w:val="19"/>
                <w:color w:val="auto"/>
              </w:rPr>
            </w:pPr>
          </w:p>
        </w:tc>
        <w:tc>
          <w:tcPr>
            <w:tcW w:w="146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52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6820" w:type="dxa"/>
            <w:vAlign w:val="bottom"/>
            <w:gridSpan w:val="2"/>
            <w:shd w:val="clear" w:color="auto" w:fill="BFE4FF"/>
          </w:tcPr>
          <w:p>
            <w:pPr>
              <w:spacing w:after="0"/>
              <w:rPr>
                <w:sz w:val="20"/>
                <w:szCs w:val="20"/>
                <w:color w:val="auto"/>
              </w:rPr>
            </w:pPr>
            <w:r>
              <w:rPr>
                <w:rFonts w:ascii="Arial" w:cs="Arial" w:eastAsia="Arial" w:hAnsi="Arial"/>
                <w:sz w:val="16"/>
                <w:szCs w:val="16"/>
                <w:color w:val="auto"/>
              </w:rPr>
              <w:t>(Class A 500,000,000, Class B 500,000,000, Class C 1,000,000,000, Class D 1,000,000,000);</w:t>
            </w:r>
          </w:p>
        </w:tc>
        <w:tc>
          <w:tcPr>
            <w:tcW w:w="22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15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6820" w:type="dxa"/>
            <w:vAlign w:val="bottom"/>
            <w:gridSpan w:val="2"/>
            <w:shd w:val="clear" w:color="auto" w:fill="BFE4FF"/>
          </w:tcPr>
          <w:p>
            <w:pPr>
              <w:spacing w:after="0"/>
              <w:rPr>
                <w:sz w:val="20"/>
                <w:szCs w:val="20"/>
                <w:color w:val="auto"/>
              </w:rPr>
            </w:pPr>
            <w:r>
              <w:rPr>
                <w:rFonts w:ascii="Arial" w:cs="Arial" w:eastAsia="Arial" w:hAnsi="Arial"/>
                <w:sz w:val="16"/>
                <w:szCs w:val="16"/>
                <w:color w:val="auto"/>
              </w:rPr>
              <w:t>199,406,906 shares issued and outstanding (Class A 34,599,645, Class B 42,738,750, Class C</w:t>
            </w:r>
          </w:p>
        </w:tc>
        <w:tc>
          <w:tcPr>
            <w:tcW w:w="22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15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6820" w:type="dxa"/>
            <w:vAlign w:val="bottom"/>
            <w:gridSpan w:val="2"/>
            <w:shd w:val="clear" w:color="auto" w:fill="BFE4FF"/>
          </w:tcPr>
          <w:p>
            <w:pPr>
              <w:spacing w:after="0"/>
              <w:rPr>
                <w:sz w:val="20"/>
                <w:szCs w:val="20"/>
                <w:color w:val="auto"/>
              </w:rPr>
            </w:pPr>
            <w:r>
              <w:rPr>
                <w:rFonts w:ascii="Arial" w:cs="Arial" w:eastAsia="Arial" w:hAnsi="Arial"/>
                <w:sz w:val="16"/>
                <w:szCs w:val="16"/>
                <w:color w:val="auto"/>
                <w:w w:val="95"/>
              </w:rPr>
              <w:t>79,329,761, Class D 42,738,750) at March 31, 2020 and 198,819,999 shares issued and outstanding</w:t>
            </w:r>
          </w:p>
        </w:tc>
        <w:tc>
          <w:tcPr>
            <w:tcW w:w="22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15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6820" w:type="dxa"/>
            <w:vAlign w:val="bottom"/>
            <w:gridSpan w:val="2"/>
            <w:shd w:val="clear" w:color="auto" w:fill="BFE4FF"/>
          </w:tcPr>
          <w:p>
            <w:pPr>
              <w:spacing w:after="0"/>
              <w:rPr>
                <w:sz w:val="20"/>
                <w:szCs w:val="20"/>
                <w:color w:val="auto"/>
              </w:rPr>
            </w:pPr>
            <w:r>
              <w:rPr>
                <w:rFonts w:ascii="Arial" w:cs="Arial" w:eastAsia="Arial" w:hAnsi="Arial"/>
                <w:sz w:val="16"/>
                <w:szCs w:val="16"/>
                <w:color w:val="auto"/>
                <w:w w:val="94"/>
              </w:rPr>
              <w:t>(Class A 34,599,645, Class B 42,738,750, Class C 78,742,854, Class D 42,738,750) at December 31,</w:t>
            </w:r>
          </w:p>
        </w:tc>
        <w:tc>
          <w:tcPr>
            <w:tcW w:w="220" w:type="dxa"/>
            <w:vAlign w:val="bottom"/>
            <w:shd w:val="clear" w:color="auto" w:fill="BFE4FF"/>
          </w:tcPr>
          <w:p>
            <w:pPr>
              <w:spacing w:after="0"/>
              <w:rPr>
                <w:sz w:val="17"/>
                <w:szCs w:val="17"/>
                <w:color w:val="auto"/>
              </w:rPr>
            </w:pPr>
          </w:p>
        </w:tc>
        <w:tc>
          <w:tcPr>
            <w:tcW w:w="1460" w:type="dxa"/>
            <w:vAlign w:val="bottom"/>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160" w:type="dxa"/>
            <w:vAlign w:val="bottom"/>
            <w:shd w:val="clear" w:color="auto" w:fill="BFE4FF"/>
          </w:tcPr>
          <w:p>
            <w:pPr>
              <w:spacing w:after="0"/>
              <w:rPr>
                <w:sz w:val="17"/>
                <w:szCs w:val="17"/>
                <w:color w:val="auto"/>
              </w:rPr>
            </w:pPr>
          </w:p>
        </w:tc>
        <w:tc>
          <w:tcPr>
            <w:tcW w:w="1520" w:type="dxa"/>
            <w:vAlign w:val="bottom"/>
            <w:shd w:val="clear" w:color="auto" w:fill="BFE4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8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2019</w:t>
            </w:r>
          </w:p>
        </w:tc>
        <w:tc>
          <w:tcPr>
            <w:tcW w:w="496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14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20"/>
                <w:szCs w:val="20"/>
                <w:color w:val="auto"/>
              </w:rPr>
            </w:pPr>
          </w:p>
        </w:tc>
        <w:tc>
          <w:tcPr>
            <w:tcW w:w="160" w:type="dxa"/>
            <w:vAlign w:val="bottom"/>
            <w:shd w:val="clear" w:color="auto" w:fill="BFE4FF"/>
          </w:tcPr>
          <w:p>
            <w:pPr>
              <w:spacing w:after="0"/>
              <w:rPr>
                <w:sz w:val="20"/>
                <w:szCs w:val="20"/>
                <w:color w:val="auto"/>
              </w:rPr>
            </w:pPr>
          </w:p>
        </w:tc>
        <w:tc>
          <w:tcPr>
            <w:tcW w:w="15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1,936</w:t>
            </w:r>
          </w:p>
        </w:tc>
        <w:tc>
          <w:tcPr>
            <w:tcW w:w="0" w:type="dxa"/>
            <w:vAlign w:val="bottom"/>
          </w:tcPr>
          <w:p>
            <w:pPr>
              <w:spacing w:after="0"/>
              <w:rPr>
                <w:sz w:val="1"/>
                <w:szCs w:val="1"/>
                <w:color w:val="auto"/>
              </w:rPr>
            </w:pPr>
          </w:p>
        </w:tc>
      </w:tr>
      <w:tr>
        <w:trPr>
          <w:trHeight w:val="262"/>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BFE4FF"/>
          </w:tcPr>
          <w:p>
            <w:pPr>
              <w:spacing w:after="0"/>
              <w:rPr>
                <w:sz w:val="22"/>
                <w:szCs w:val="22"/>
                <w:color w:val="auto"/>
              </w:rPr>
            </w:pPr>
          </w:p>
        </w:tc>
        <w:tc>
          <w:tcPr>
            <w:tcW w:w="14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BFE4FF"/>
          </w:tcPr>
          <w:p>
            <w:pPr>
              <w:spacing w:after="0"/>
              <w:rPr>
                <w:sz w:val="22"/>
                <w:szCs w:val="22"/>
                <w:color w:val="auto"/>
              </w:rPr>
            </w:pPr>
          </w:p>
        </w:tc>
        <w:tc>
          <w:tcPr>
            <w:tcW w:w="160" w:type="dxa"/>
            <w:vAlign w:val="bottom"/>
            <w:shd w:val="clear" w:color="auto" w:fill="BFE4FF"/>
          </w:tcPr>
          <w:p>
            <w:pPr>
              <w:spacing w:after="0"/>
              <w:rPr>
                <w:sz w:val="22"/>
                <w:szCs w:val="22"/>
                <w:color w:val="auto"/>
              </w:rPr>
            </w:pPr>
          </w:p>
        </w:tc>
        <w:tc>
          <w:tcPr>
            <w:tcW w:w="15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3"/>
        </w:trPr>
        <w:tc>
          <w:tcPr>
            <w:tcW w:w="20" w:type="dxa"/>
            <w:vAlign w:val="bottom"/>
            <w:shd w:val="clear" w:color="auto" w:fill="BFE4FF"/>
          </w:tcPr>
          <w:p>
            <w:pPr>
              <w:spacing w:after="0"/>
              <w:rPr>
                <w:sz w:val="22"/>
                <w:szCs w:val="22"/>
                <w:color w:val="auto"/>
              </w:rPr>
            </w:pPr>
          </w:p>
        </w:tc>
        <w:tc>
          <w:tcPr>
            <w:tcW w:w="6820" w:type="dxa"/>
            <w:vAlign w:val="bottom"/>
            <w:gridSpan w:val="2"/>
            <w:shd w:val="clear" w:color="auto" w:fill="BFE4FF"/>
          </w:tcPr>
          <w:p>
            <w:pPr>
              <w:ind w:left="10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auto"/>
            </w:tcBorders>
            <w:shd w:val="clear" w:color="auto" w:fill="BFE4FF"/>
          </w:tcPr>
          <w:p>
            <w:pPr>
              <w:spacing w:after="0"/>
              <w:rPr>
                <w:sz w:val="22"/>
                <w:szCs w:val="22"/>
                <w:color w:val="auto"/>
              </w:rPr>
            </w:pPr>
          </w:p>
        </w:tc>
        <w:tc>
          <w:tcPr>
            <w:tcW w:w="146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spacing w:after="0"/>
              <w:rPr>
                <w:sz w:val="22"/>
                <w:szCs w:val="22"/>
                <w:color w:val="auto"/>
              </w:rPr>
            </w:pPr>
          </w:p>
        </w:tc>
        <w:tc>
          <w:tcPr>
            <w:tcW w:w="15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30"/>
        </w:trPr>
        <w:tc>
          <w:tcPr>
            <w:tcW w:w="20" w:type="dxa"/>
            <w:vAlign w:val="bottom"/>
            <w:tcBorders>
              <w:bottom w:val="single" w:sz="8" w:color="BFE4FF"/>
            </w:tcBorders>
          </w:tcPr>
          <w:p>
            <w:pPr>
              <w:spacing w:after="0"/>
              <w:rPr>
                <w:sz w:val="20"/>
                <w:szCs w:val="20"/>
                <w:color w:val="auto"/>
              </w:rPr>
            </w:pPr>
          </w:p>
        </w:tc>
        <w:tc>
          <w:tcPr>
            <w:tcW w:w="6820" w:type="dxa"/>
            <w:vAlign w:val="bottom"/>
            <w:tcBorders>
              <w:bottom w:val="single" w:sz="8" w:color="BFE4FF"/>
            </w:tcBorders>
            <w:gridSpan w:val="2"/>
          </w:tcPr>
          <w:p>
            <w:pPr>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2,264</w:t>
            </w:r>
          </w:p>
        </w:tc>
        <w:tc>
          <w:tcPr>
            <w:tcW w:w="120" w:type="dxa"/>
            <w:vAlign w:val="bottom"/>
            <w:tcBorders>
              <w:bottom w:val="single" w:sz="8" w:color="BFE4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2,263</w:t>
            </w:r>
          </w:p>
        </w:tc>
        <w:tc>
          <w:tcPr>
            <w:tcW w:w="0" w:type="dxa"/>
            <w:vAlign w:val="bottom"/>
          </w:tcPr>
          <w:p>
            <w:pPr>
              <w:spacing w:after="0"/>
              <w:rPr>
                <w:sz w:val="1"/>
                <w:szCs w:val="1"/>
                <w:color w:val="auto"/>
              </w:rPr>
            </w:pPr>
          </w:p>
        </w:tc>
      </w:tr>
      <w:tr>
        <w:trPr>
          <w:trHeight w:val="238"/>
        </w:trPr>
        <w:tc>
          <w:tcPr>
            <w:tcW w:w="20" w:type="dxa"/>
            <w:vAlign w:val="bottom"/>
            <w:tcBorders>
              <w:bottom w:val="single" w:sz="8" w:color="BFE4FF"/>
            </w:tcBorders>
            <w:shd w:val="clear" w:color="auto" w:fill="BFE4FF"/>
          </w:tcPr>
          <w:p>
            <w:pPr>
              <w:spacing w:after="0"/>
              <w:rPr>
                <w:sz w:val="20"/>
                <w:szCs w:val="20"/>
                <w:color w:val="auto"/>
              </w:rPr>
            </w:pPr>
          </w:p>
        </w:tc>
        <w:tc>
          <w:tcPr>
            <w:tcW w:w="6820" w:type="dxa"/>
            <w:vAlign w:val="bottom"/>
            <w:tcBorders>
              <w:bottom w:val="single" w:sz="8" w:color="BFE4FF"/>
            </w:tcBorders>
            <w:gridSpan w:val="2"/>
            <w:shd w:val="clear" w:color="auto" w:fill="BFE4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9,555</w:t>
            </w:r>
          </w:p>
        </w:tc>
        <w:tc>
          <w:tcPr>
            <w:tcW w:w="12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color w:val="auto"/>
              </w:rPr>
              <w:t>9,700</w:t>
            </w:r>
          </w:p>
        </w:tc>
        <w:tc>
          <w:tcPr>
            <w:tcW w:w="0" w:type="dxa"/>
            <w:vAlign w:val="bottom"/>
          </w:tcPr>
          <w:p>
            <w:pPr>
              <w:spacing w:after="0"/>
              <w:rPr>
                <w:sz w:val="1"/>
                <w:szCs w:val="1"/>
                <w:color w:val="auto"/>
              </w:rPr>
            </w:pPr>
          </w:p>
        </w:tc>
      </w:tr>
      <w:tr>
        <w:trPr>
          <w:trHeight w:val="20"/>
        </w:trPr>
        <w:tc>
          <w:tcPr>
            <w:tcW w:w="20" w:type="dxa"/>
            <w:vAlign w:val="bottom"/>
            <w:tcBorders>
              <w:top w:val="single" w:sz="8" w:color="BFE4FF"/>
            </w:tcBorders>
          </w:tcPr>
          <w:p>
            <w:pPr>
              <w:spacing w:after="0" w:line="20" w:lineRule="exact"/>
              <w:rPr>
                <w:sz w:val="1"/>
                <w:szCs w:val="1"/>
                <w:color w:val="auto"/>
              </w:rPr>
            </w:pPr>
          </w:p>
        </w:tc>
        <w:tc>
          <w:tcPr>
            <w:tcW w:w="1860" w:type="dxa"/>
            <w:vAlign w:val="bottom"/>
            <w:tcBorders>
              <w:top w:val="single" w:sz="8" w:color="BFE4FF"/>
            </w:tcBorders>
          </w:tcPr>
          <w:p>
            <w:pPr>
              <w:spacing w:after="0" w:line="20" w:lineRule="exact"/>
              <w:rPr>
                <w:sz w:val="1"/>
                <w:szCs w:val="1"/>
                <w:color w:val="auto"/>
              </w:rPr>
            </w:pPr>
          </w:p>
        </w:tc>
        <w:tc>
          <w:tcPr>
            <w:tcW w:w="496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14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5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780" w:top="769" w:right="339" w:bottom="1440" w:gutter="0" w:footer="0" w:header="0"/>
        </w:sectPr>
      </w:pPr>
    </w:p>
    <w:p>
      <w:pPr>
        <w:spacing w:after="0" w:line="357" w:lineRule="exact"/>
        <w:rPr>
          <w:sz w:val="20"/>
          <w:szCs w:val="20"/>
          <w:color w:val="auto"/>
        </w:rPr>
      </w:pPr>
    </w:p>
    <w:p>
      <w:pPr>
        <w:ind w:left="107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780"/>
          </w:cols>
          <w:pgMar w:left="780" w:top="769" w:right="339" w:bottom="1440" w:gutter="0" w:footer="0" w:header="0"/>
          <w:type w:val="continuous"/>
        </w:sectPr>
      </w:pPr>
    </w:p>
    <w:bookmarkStart w:id="12" w:name="page13"/>
    <w:bookmarkEnd w:id="12"/>
    <w:p>
      <w:pPr>
        <w:jc w:val="center"/>
        <w:ind w:right="38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190"/>
        </w:trPr>
        <w:tc>
          <w:tcPr>
            <w:tcW w:w="7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6"/>
                <w:szCs w:val="16"/>
                <w:color w:val="auto"/>
              </w:rPr>
            </w:pPr>
          </w:p>
        </w:tc>
      </w:tr>
      <w:tr>
        <w:trPr>
          <w:trHeight w:val="255"/>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8"/>
                <w:szCs w:val="18"/>
                <w:b w:val="1"/>
                <w:bCs w:val="1"/>
                <w:color w:val="auto"/>
              </w:rPr>
              <w:t>Net loss</w:t>
            </w:r>
          </w:p>
        </w:tc>
        <w:tc>
          <w:tcPr>
            <w:tcW w:w="760" w:type="dxa"/>
            <w:vAlign w:val="bottom"/>
            <w:tcBorders>
              <w:bottom w:val="single" w:sz="8" w:color="BFE4FF"/>
            </w:tcBorders>
            <w:shd w:val="clear" w:color="auto" w:fill="BFE4FF"/>
          </w:tcPr>
          <w:p>
            <w:pPr>
              <w:jc w:val="right"/>
              <w:ind w:right="5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w w:val="90"/>
              </w:rPr>
              <w:t>(107)</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Equity in earnings (losses) of unconsolidated affiliates</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Distributions from unconsolidated affiliates</w:t>
            </w:r>
          </w:p>
        </w:tc>
        <w:tc>
          <w:tcPr>
            <w:tcW w:w="760" w:type="dxa"/>
            <w:vAlign w:val="bottom"/>
          </w:tcPr>
          <w:p>
            <w:pPr>
              <w:spacing w:after="0"/>
              <w:rPr>
                <w:sz w:val="21"/>
                <w:szCs w:val="21"/>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11</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Depreciation, amortization and accretion</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85</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Amortization of financing costs and debt discounts</w:t>
            </w:r>
          </w:p>
        </w:tc>
        <w:tc>
          <w:tcPr>
            <w:tcW w:w="760" w:type="dxa"/>
            <w:vAlign w:val="bottom"/>
          </w:tcPr>
          <w:p>
            <w:pPr>
              <w:spacing w:after="0"/>
              <w:rPr>
                <w:sz w:val="21"/>
                <w:szCs w:val="21"/>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Amortization of intangibles and out-of-market contracts</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17</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760" w:type="dxa"/>
            <w:vAlign w:val="bottom"/>
          </w:tcPr>
          <w:p>
            <w:pPr>
              <w:spacing w:after="0"/>
              <w:rPr>
                <w:sz w:val="21"/>
                <w:szCs w:val="21"/>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Right-of-use asset amortization</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spacing w:after="0"/>
              <w:rPr>
                <w:sz w:val="21"/>
                <w:szCs w:val="21"/>
                <w:color w:val="auto"/>
              </w:rPr>
            </w:pP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Changes in deferred income taxes</w:t>
            </w:r>
          </w:p>
        </w:tc>
        <w:tc>
          <w:tcPr>
            <w:tcW w:w="7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Changes in derivative instruments</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28</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Loss on disposal of asset components</w:t>
            </w:r>
          </w:p>
        </w:tc>
        <w:tc>
          <w:tcPr>
            <w:tcW w:w="76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100"/>
              <w:spacing w:after="0"/>
              <w:rPr>
                <w:sz w:val="20"/>
                <w:szCs w:val="20"/>
                <w:color w:val="auto"/>
              </w:rPr>
            </w:pPr>
            <w:r>
              <w:rPr>
                <w:rFonts w:ascii="Arial" w:cs="Arial" w:eastAsia="Arial" w:hAnsi="Arial"/>
                <w:sz w:val="18"/>
                <w:szCs w:val="18"/>
                <w:color w:val="auto"/>
              </w:rPr>
              <w:t>Cash provided by (used in) changes in other working capital</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spacing w:after="0"/>
              <w:rPr>
                <w:sz w:val="21"/>
                <w:szCs w:val="21"/>
                <w:color w:val="auto"/>
              </w:rPr>
            </w:pP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7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Changes in other working capital</w:t>
            </w:r>
          </w:p>
        </w:tc>
        <w:tc>
          <w:tcPr>
            <w:tcW w:w="76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6</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w:t>
            </w:r>
          </w:p>
        </w:tc>
      </w:tr>
      <w:tr>
        <w:trPr>
          <w:trHeight w:val="27"/>
        </w:trPr>
        <w:tc>
          <w:tcPr>
            <w:tcW w:w="7880" w:type="dxa"/>
            <w:vAlign w:val="bottom"/>
            <w:tcBorders>
              <w:bottom w:val="single" w:sz="8" w:color="BFE4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40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shd w:val="clear" w:color="auto" w:fill="BFE4FF"/>
          </w:tcPr>
          <w:p>
            <w:pPr>
              <w:spacing w:after="0"/>
              <w:rPr>
                <w:sz w:val="20"/>
                <w:szCs w:val="20"/>
                <w:color w:val="auto"/>
              </w:rPr>
            </w:pP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Partnership interest acquisition</w:t>
            </w:r>
          </w:p>
        </w:tc>
        <w:tc>
          <w:tcPr>
            <w:tcW w:w="76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Buyout of Wind TE Holdco noncontrolling interest</w:t>
            </w:r>
          </w:p>
        </w:tc>
        <w:tc>
          <w:tcPr>
            <w:tcW w:w="76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7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Return of investment from unconsolidated affiliates</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14</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Investments in unconsolidated affiliates</w:t>
            </w:r>
          </w:p>
        </w:tc>
        <w:tc>
          <w:tcPr>
            <w:tcW w:w="7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Proceeds from sale of assets</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Insurance proceeds</w:t>
            </w:r>
          </w:p>
        </w:tc>
        <w:tc>
          <w:tcPr>
            <w:tcW w:w="760" w:type="dxa"/>
            <w:vAlign w:val="bottom"/>
          </w:tcPr>
          <w:p>
            <w:pPr>
              <w:spacing w:after="0"/>
              <w:rPr>
                <w:sz w:val="21"/>
                <w:szCs w:val="21"/>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3</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7880" w:type="dxa"/>
            <w:vAlign w:val="bottom"/>
            <w:tcBorders>
              <w:bottom w:val="single" w:sz="8" w:color="BFE4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40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shd w:val="clear" w:color="auto" w:fill="BFE4FF"/>
          </w:tcPr>
          <w:p>
            <w:pPr>
              <w:spacing w:after="0"/>
              <w:rPr>
                <w:sz w:val="20"/>
                <w:szCs w:val="20"/>
                <w:color w:val="auto"/>
              </w:rPr>
            </w:pP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Net contributions from noncontrolling interests</w:t>
            </w:r>
          </w:p>
        </w:tc>
        <w:tc>
          <w:tcPr>
            <w:tcW w:w="760" w:type="dxa"/>
            <w:vAlign w:val="bottom"/>
          </w:tcPr>
          <w:p>
            <w:pPr>
              <w:spacing w:after="0"/>
              <w:rPr>
                <w:sz w:val="21"/>
                <w:szCs w:val="21"/>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19</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Net proceeds from the issuance of common stock</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Payments of dividends and distributions</w:t>
            </w:r>
          </w:p>
        </w:tc>
        <w:tc>
          <w:tcPr>
            <w:tcW w:w="7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Proceeds from the revolving credit facility</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220"/>
              <w:spacing w:after="0"/>
              <w:rPr>
                <w:sz w:val="20"/>
                <w:szCs w:val="20"/>
                <w:color w:val="auto"/>
              </w:rPr>
            </w:pPr>
            <w:r>
              <w:rPr>
                <w:rFonts w:ascii="Arial" w:cs="Arial" w:eastAsia="Arial" w:hAnsi="Arial"/>
                <w:sz w:val="18"/>
                <w:szCs w:val="18"/>
                <w:color w:val="auto"/>
              </w:rPr>
              <w:t>Proceeds from the issuance of long-term debt</w:t>
            </w:r>
          </w:p>
        </w:tc>
        <w:tc>
          <w:tcPr>
            <w:tcW w:w="760" w:type="dxa"/>
            <w:vAlign w:val="bottom"/>
          </w:tcPr>
          <w:p>
            <w:pPr>
              <w:spacing w:after="0"/>
              <w:rPr>
                <w:sz w:val="21"/>
                <w:szCs w:val="21"/>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7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8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Payments for long-term debt - external</w:t>
            </w:r>
          </w:p>
        </w:tc>
        <w:tc>
          <w:tcPr>
            <w:tcW w:w="76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w w:val="90"/>
              </w:rPr>
              <w:t>(437)</w:t>
            </w:r>
          </w:p>
        </w:tc>
        <w:tc>
          <w:tcPr>
            <w:tcW w:w="10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(304)</w:t>
            </w:r>
          </w:p>
        </w:tc>
      </w:tr>
      <w:tr>
        <w:trPr>
          <w:trHeight w:val="236"/>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0"/>
              </w:rPr>
              <w:t>(104)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w:t>
            </w:r>
          </w:p>
        </w:tc>
      </w:tr>
      <w:tr>
        <w:trPr>
          <w:trHeight w:val="27"/>
        </w:trPr>
        <w:tc>
          <w:tcPr>
            <w:tcW w:w="7880" w:type="dxa"/>
            <w:vAlign w:val="bottom"/>
            <w:tcBorders>
              <w:bottom w:val="single" w:sz="8" w:color="BFE4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76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(285)</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760" w:type="dxa"/>
            <w:vAlign w:val="bottom"/>
          </w:tcPr>
          <w:p>
            <w:pPr>
              <w:spacing w:after="0"/>
              <w:rPr>
                <w:sz w:val="21"/>
                <w:szCs w:val="21"/>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583</w:t>
            </w:r>
          </w:p>
        </w:tc>
      </w:tr>
      <w:tr>
        <w:trPr>
          <w:trHeight w:val="27"/>
        </w:trPr>
        <w:tc>
          <w:tcPr>
            <w:tcW w:w="7880" w:type="dxa"/>
            <w:vAlign w:val="bottom"/>
            <w:tcBorders>
              <w:bottom w:val="single" w:sz="8" w:color="BFE4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78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760" w:type="dxa"/>
            <w:vAlign w:val="bottom"/>
            <w:tcBorders>
              <w:bottom w:val="single" w:sz="8" w:color="auto"/>
            </w:tcBorders>
            <w:shd w:val="clear" w:color="auto" w:fill="BFE4FF"/>
          </w:tcPr>
          <w:p>
            <w:pPr>
              <w:jc w:val="right"/>
              <w:ind w:right="5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BFE4FF"/>
            </w:tcBorders>
            <w:shd w:val="clear" w:color="auto" w:fill="BFE4FF"/>
          </w:tcPr>
          <w:p>
            <w:pPr>
              <w:spacing w:after="0"/>
              <w:rPr>
                <w:sz w:val="24"/>
                <w:szCs w:val="24"/>
                <w:color w:val="auto"/>
              </w:rPr>
            </w:pPr>
          </w:p>
        </w:tc>
        <w:tc>
          <w:tcPr>
            <w:tcW w:w="40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BFE4FF"/>
          </w:tcPr>
          <w:p>
            <w:pPr>
              <w:jc w:val="right"/>
              <w:ind w:right="71"/>
              <w:spacing w:after="0"/>
              <w:rPr>
                <w:sz w:val="20"/>
                <w:szCs w:val="20"/>
                <w:color w:val="auto"/>
              </w:rPr>
            </w:pPr>
            <w:r>
              <w:rPr>
                <w:rFonts w:ascii="Arial" w:cs="Arial" w:eastAsia="Arial" w:hAnsi="Arial"/>
                <w:sz w:val="18"/>
                <w:szCs w:val="18"/>
                <w:color w:val="auto"/>
              </w:rPr>
              <w:t>298</w:t>
            </w:r>
          </w:p>
        </w:tc>
      </w:tr>
      <w:tr>
        <w:trPr>
          <w:trHeight w:val="20"/>
        </w:trPr>
        <w:tc>
          <w:tcPr>
            <w:tcW w:w="7880" w:type="dxa"/>
            <w:vAlign w:val="bottom"/>
            <w:tcBorders>
              <w:top w:val="single" w:sz="8" w:color="BFE4FF"/>
            </w:tcBorders>
          </w:tcPr>
          <w:p>
            <w:pPr>
              <w:spacing w:after="0" w:line="20" w:lineRule="exact"/>
              <w:rPr>
                <w:sz w:val="1"/>
                <w:szCs w:val="1"/>
                <w:color w:val="auto"/>
              </w:rPr>
            </w:pPr>
          </w:p>
        </w:tc>
        <w:tc>
          <w:tcPr>
            <w:tcW w:w="760" w:type="dxa"/>
            <w:vAlign w:val="bottom"/>
            <w:tcBorders>
              <w:top w:val="single" w:sz="8" w:color="BFE4FF"/>
              <w:bottom w:val="single" w:sz="8" w:color="auto"/>
            </w:tcBorders>
          </w:tcPr>
          <w:p>
            <w:pPr>
              <w:spacing w:after="0" w:line="20" w:lineRule="exact"/>
              <w:rPr>
                <w:sz w:val="1"/>
                <w:szCs w:val="1"/>
                <w:color w:val="auto"/>
              </w:rPr>
            </w:pPr>
          </w:p>
        </w:tc>
        <w:tc>
          <w:tcPr>
            <w:tcW w:w="5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400" w:type="dxa"/>
            <w:vAlign w:val="bottom"/>
            <w:tcBorders>
              <w:top w:val="single" w:sz="8" w:color="BFE4FF"/>
              <w:bottom w:val="single" w:sz="8" w:color="auto"/>
            </w:tcBorders>
          </w:tcPr>
          <w:p>
            <w:pPr>
              <w:spacing w:after="0" w:line="20" w:lineRule="exact"/>
              <w:rPr>
                <w:sz w:val="1"/>
                <w:szCs w:val="1"/>
                <w:color w:val="auto"/>
              </w:rPr>
            </w:pPr>
          </w:p>
        </w:tc>
        <w:tc>
          <w:tcPr>
            <w:tcW w:w="860" w:type="dxa"/>
            <w:vAlign w:val="bottom"/>
            <w:tcBorders>
              <w:top w:val="single" w:sz="8" w:color="BFE4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700" w:top="769" w:right="339" w:bottom="1440" w:gutter="0" w:footer="0" w:header="0"/>
        </w:sectPr>
      </w:pPr>
    </w:p>
    <w:p>
      <w:pPr>
        <w:spacing w:after="0" w:line="357" w:lineRule="exact"/>
        <w:rPr>
          <w:sz w:val="20"/>
          <w:szCs w:val="20"/>
          <w:color w:val="auto"/>
        </w:rPr>
      </w:pPr>
    </w:p>
    <w:p>
      <w:pPr>
        <w:ind w:left="1070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860"/>
          </w:cols>
          <w:pgMar w:left="700" w:top="769" w:right="339" w:bottom="1440" w:gutter="0" w:footer="0" w:header="0"/>
          <w:type w:val="continuous"/>
        </w:sectPr>
      </w:pPr>
    </w:p>
    <w:bookmarkStart w:id="13" w:name="page14"/>
    <w:bookmarkEnd w:id="13"/>
    <w:p>
      <w:pPr>
        <w:jc w:val="center"/>
        <w:ind w:right="120"/>
        <w:spacing w:after="0"/>
        <w:rPr>
          <w:sz w:val="20"/>
          <w:szCs w:val="20"/>
          <w:color w:val="auto"/>
        </w:rPr>
      </w:pPr>
      <w:r>
        <w:rPr>
          <w:rFonts w:ascii="Arial" w:cs="Arial" w:eastAsia="Arial" w:hAnsi="Arial"/>
          <w:sz w:val="18"/>
          <w:szCs w:val="18"/>
          <w:b w:val="1"/>
          <w:bCs w:val="1"/>
          <w:color w:val="auto"/>
        </w:rPr>
        <w:t>CLEARWAY ENERGY, INC.</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For the Three Months Ended March 31, 2020</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40"/>
        </w:trPr>
        <w:tc>
          <w:tcPr>
            <w:tcW w:w="40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2"/>
                <w:szCs w:val="12"/>
                <w:color w:val="auto"/>
              </w:rPr>
            </w:pPr>
          </w:p>
        </w:tc>
        <w:tc>
          <w:tcPr>
            <w:tcW w:w="720" w:type="dxa"/>
            <w:vAlign w:val="bottom"/>
            <w:gridSpan w:val="2"/>
          </w:tcPr>
          <w:p>
            <w:pPr>
              <w:ind w:left="100"/>
              <w:spacing w:after="0" w:line="140" w:lineRule="exact"/>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2"/>
                <w:szCs w:val="12"/>
                <w:color w:val="auto"/>
              </w:rPr>
            </w:pPr>
          </w:p>
        </w:tc>
        <w:tc>
          <w:tcPr>
            <w:tcW w:w="98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2"/>
                <w:szCs w:val="12"/>
                <w:color w:val="auto"/>
              </w:rPr>
            </w:pPr>
          </w:p>
        </w:tc>
        <w:tc>
          <w:tcPr>
            <w:tcW w:w="860" w:type="dxa"/>
            <w:vAlign w:val="bottom"/>
          </w:tcPr>
          <w:p>
            <w:pPr>
              <w:jc w:val="center"/>
              <w:ind w:right="30"/>
              <w:spacing w:after="0" w:line="140" w:lineRule="exact"/>
              <w:rPr>
                <w:sz w:val="20"/>
                <w:szCs w:val="20"/>
                <w:color w:val="auto"/>
              </w:rPr>
            </w:pPr>
            <w:r>
              <w:rPr>
                <w:rFonts w:ascii="Arial" w:cs="Arial" w:eastAsia="Arial" w:hAnsi="Arial"/>
                <w:sz w:val="13"/>
                <w:szCs w:val="13"/>
                <w:b w:val="1"/>
                <w:bCs w:val="1"/>
                <w:color w:val="auto"/>
                <w:w w:val="90"/>
              </w:rPr>
              <w:t>Equity</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1,936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2,263</w:t>
            </w:r>
          </w:p>
        </w:tc>
      </w:tr>
      <w:tr>
        <w:trPr>
          <w:trHeight w:val="197"/>
        </w:trPr>
        <w:tc>
          <w:tcPr>
            <w:tcW w:w="20" w:type="dxa"/>
            <w:vAlign w:val="bottom"/>
          </w:tcPr>
          <w:p>
            <w:pPr>
              <w:spacing w:after="0"/>
              <w:rPr>
                <w:sz w:val="17"/>
                <w:szCs w:val="17"/>
                <w:color w:val="auto"/>
              </w:rPr>
            </w:pPr>
          </w:p>
        </w:tc>
        <w:tc>
          <w:tcPr>
            <w:tcW w:w="402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(107)</w:t>
            </w:r>
          </w:p>
        </w:tc>
      </w:tr>
      <w:tr>
        <w:trPr>
          <w:trHeight w:val="208"/>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Unrealized loss on derivatives, net of tax</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r>
      <w:tr>
        <w:trPr>
          <w:trHeight w:val="197"/>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rPr>
              <w:t>Contributions to CEG, cash</w:t>
            </w:r>
          </w:p>
        </w:tc>
        <w:tc>
          <w:tcPr>
            <w:tcW w:w="100" w:type="dxa"/>
            <w:vAlign w:val="bottom"/>
          </w:tcPr>
          <w:p>
            <w:pPr>
              <w:spacing w:after="0"/>
              <w:rPr>
                <w:sz w:val="17"/>
                <w:szCs w:val="17"/>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4</w:t>
            </w:r>
          </w:p>
        </w:tc>
      </w:tr>
      <w:tr>
        <w:trPr>
          <w:trHeight w:val="208"/>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8"/>
              </w:rPr>
              <w:t>Contributions from tax equity interests, net of distributions,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150</w:t>
            </w:r>
          </w:p>
        </w:tc>
      </w:tr>
      <w:tr>
        <w:trPr>
          <w:trHeight w:val="196"/>
        </w:trPr>
        <w:tc>
          <w:tcPr>
            <w:tcW w:w="20" w:type="dxa"/>
            <w:vAlign w:val="bottom"/>
          </w:tcPr>
          <w:p>
            <w:pPr>
              <w:spacing w:after="0"/>
              <w:rPr>
                <w:sz w:val="17"/>
                <w:szCs w:val="17"/>
                <w:color w:val="auto"/>
              </w:rPr>
            </w:pPr>
          </w:p>
        </w:tc>
        <w:tc>
          <w:tcPr>
            <w:tcW w:w="4020" w:type="dxa"/>
            <w:vAlign w:val="bottom"/>
            <w:gridSpan w:val="2"/>
          </w:tcPr>
          <w:p>
            <w:pPr>
              <w:ind w:left="100"/>
              <w:spacing w:after="0"/>
              <w:rPr>
                <w:sz w:val="20"/>
                <w:szCs w:val="20"/>
                <w:color w:val="auto"/>
              </w:rPr>
            </w:pPr>
            <w:r>
              <w:rPr>
                <w:rFonts w:ascii="Arial" w:cs="Arial" w:eastAsia="Arial" w:hAnsi="Arial"/>
                <w:sz w:val="14"/>
                <w:szCs w:val="14"/>
                <w:color w:val="auto"/>
                <w:w w:val="96"/>
              </w:rPr>
              <w:t>Net proceeds from the issuance of common stock under the ATM</w:t>
            </w:r>
          </w:p>
        </w:tc>
        <w:tc>
          <w:tcPr>
            <w:tcW w:w="100" w:type="dxa"/>
            <w:vAlign w:val="bottom"/>
          </w:tcPr>
          <w:p>
            <w:pPr>
              <w:spacing w:after="0"/>
              <w:rPr>
                <w:sz w:val="17"/>
                <w:szCs w:val="17"/>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10</w:t>
            </w:r>
          </w:p>
        </w:tc>
      </w:tr>
      <w:tr>
        <w:trPr>
          <w:trHeight w:val="209"/>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Distributions to tax equity investors, non-cash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r>
      <w:tr>
        <w:trPr>
          <w:trHeight w:val="196"/>
        </w:trPr>
        <w:tc>
          <w:tcPr>
            <w:tcW w:w="2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Common stock dividends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w:t>
            </w:r>
          </w:p>
        </w:tc>
      </w:tr>
      <w:tr>
        <w:trPr>
          <w:trHeight w:val="23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2,264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For the Three Months Ended March 31, 2019</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Preferred</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6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40"/>
        </w:trPr>
        <w:tc>
          <w:tcPr>
            <w:tcW w:w="406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2"/>
                <w:szCs w:val="12"/>
                <w:color w:val="auto"/>
              </w:rPr>
            </w:pPr>
          </w:p>
        </w:tc>
        <w:tc>
          <w:tcPr>
            <w:tcW w:w="80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2"/>
                <w:szCs w:val="12"/>
                <w:color w:val="auto"/>
              </w:rPr>
            </w:pPr>
          </w:p>
        </w:tc>
        <w:tc>
          <w:tcPr>
            <w:tcW w:w="940" w:type="dxa"/>
            <w:vAlign w:val="bottom"/>
            <w:gridSpan w:val="2"/>
          </w:tcPr>
          <w:p>
            <w:pPr>
              <w:ind w:left="180"/>
              <w:spacing w:after="0" w:line="140"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78"/>
              </w:rPr>
              <w:t>Loss</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2"/>
                <w:szCs w:val="12"/>
                <w:color w:val="auto"/>
              </w:rPr>
            </w:pPr>
          </w:p>
        </w:tc>
        <w:tc>
          <w:tcPr>
            <w:tcW w:w="860" w:type="dxa"/>
            <w:vAlign w:val="bottom"/>
          </w:tcPr>
          <w:p>
            <w:pPr>
              <w:jc w:val="center"/>
              <w:ind w:right="30"/>
              <w:spacing w:after="0" w:line="140" w:lineRule="exact"/>
              <w:rPr>
                <w:sz w:val="20"/>
                <w:szCs w:val="20"/>
                <w:color w:val="auto"/>
              </w:rPr>
            </w:pPr>
            <w:r>
              <w:rPr>
                <w:rFonts w:ascii="Arial" w:cs="Arial" w:eastAsia="Arial" w:hAnsi="Arial"/>
                <w:sz w:val="13"/>
                <w:szCs w:val="13"/>
                <w:b w:val="1"/>
                <w:bCs w:val="1"/>
                <w:color w:val="auto"/>
                <w:w w:val="90"/>
              </w:rPr>
              <w:t>Equity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2,224</w:t>
            </w:r>
          </w:p>
        </w:tc>
      </w:tr>
      <w:tr>
        <w:trPr>
          <w:trHeight w:val="197"/>
        </w:trPr>
        <w:tc>
          <w:tcPr>
            <w:tcW w:w="20" w:type="dxa"/>
            <w:vAlign w:val="bottom"/>
          </w:tcPr>
          <w:p>
            <w:pPr>
              <w:spacing w:after="0"/>
              <w:rPr>
                <w:sz w:val="17"/>
                <w:szCs w:val="17"/>
                <w:color w:val="auto"/>
              </w:rPr>
            </w:pPr>
          </w:p>
        </w:tc>
        <w:tc>
          <w:tcPr>
            <w:tcW w:w="4040" w:type="dxa"/>
            <w:vAlign w:val="bottom"/>
            <w:gridSpan w:val="2"/>
          </w:tcPr>
          <w:p>
            <w:pPr>
              <w:ind w:left="2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8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(47)</w:t>
            </w:r>
          </w:p>
        </w:tc>
      </w:tr>
      <w:tr>
        <w:trPr>
          <w:trHeight w:val="208"/>
        </w:trPr>
        <w:tc>
          <w:tcPr>
            <w:tcW w:w="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Unrealized loss on derivatives, net of tax</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r>
      <w:tr>
        <w:trPr>
          <w:trHeight w:val="197"/>
        </w:trPr>
        <w:tc>
          <w:tcPr>
            <w:tcW w:w="20" w:type="dxa"/>
            <w:vAlign w:val="bottom"/>
          </w:tcPr>
          <w:p>
            <w:pPr>
              <w:spacing w:after="0"/>
              <w:rPr>
                <w:sz w:val="17"/>
                <w:szCs w:val="17"/>
                <w:color w:val="auto"/>
              </w:rPr>
            </w:pPr>
          </w:p>
        </w:tc>
        <w:tc>
          <w:tcPr>
            <w:tcW w:w="4040" w:type="dxa"/>
            <w:vAlign w:val="bottom"/>
            <w:gridSpan w:val="2"/>
          </w:tcPr>
          <w:p>
            <w:pPr>
              <w:ind w:left="200"/>
              <w:spacing w:after="0"/>
              <w:rPr>
                <w:sz w:val="20"/>
                <w:szCs w:val="20"/>
                <w:color w:val="auto"/>
              </w:rPr>
            </w:pPr>
            <w:r>
              <w:rPr>
                <w:rFonts w:ascii="Arial" w:cs="Arial" w:eastAsia="Arial" w:hAnsi="Arial"/>
                <w:sz w:val="14"/>
                <w:szCs w:val="14"/>
                <w:color w:val="auto"/>
              </w:rPr>
              <w:t>Buyout of Wind TE Holdco non-controlling interest</w:t>
            </w:r>
          </w:p>
        </w:tc>
        <w:tc>
          <w:tcPr>
            <w:tcW w:w="100" w:type="dxa"/>
            <w:vAlign w:val="bottom"/>
          </w:tcPr>
          <w:p>
            <w:pPr>
              <w:spacing w:after="0"/>
              <w:rPr>
                <w:sz w:val="17"/>
                <w:szCs w:val="17"/>
                <w:color w:val="auto"/>
              </w:rPr>
            </w:pPr>
          </w:p>
        </w:tc>
        <w:tc>
          <w:tcPr>
            <w:tcW w:w="8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(19)</w:t>
            </w:r>
          </w:p>
        </w:tc>
      </w:tr>
      <w:tr>
        <w:trPr>
          <w:trHeight w:val="208"/>
        </w:trPr>
        <w:tc>
          <w:tcPr>
            <w:tcW w:w="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7"/>
              </w:rPr>
              <w:t>Contributions from tax equity interests, net of distributions,cash.</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19</w:t>
            </w:r>
          </w:p>
        </w:tc>
      </w:tr>
      <w:tr>
        <w:trPr>
          <w:trHeight w:val="196"/>
        </w:trPr>
        <w:tc>
          <w:tcPr>
            <w:tcW w:w="20" w:type="dxa"/>
            <w:vAlign w:val="bottom"/>
          </w:tcPr>
          <w:p>
            <w:pPr>
              <w:spacing w:after="0"/>
              <w:rPr>
                <w:sz w:val="17"/>
                <w:szCs w:val="17"/>
                <w:color w:val="auto"/>
              </w:rPr>
            </w:pPr>
          </w:p>
        </w:tc>
        <w:tc>
          <w:tcPr>
            <w:tcW w:w="4040" w:type="dxa"/>
            <w:vAlign w:val="bottom"/>
            <w:gridSpan w:val="2"/>
          </w:tcPr>
          <w:p>
            <w:pPr>
              <w:ind w:left="200"/>
              <w:spacing w:after="0"/>
              <w:rPr>
                <w:sz w:val="20"/>
                <w:szCs w:val="20"/>
                <w:color w:val="auto"/>
              </w:rPr>
            </w:pPr>
            <w:r>
              <w:rPr>
                <w:rFonts w:ascii="Arial" w:cs="Arial" w:eastAsia="Arial" w:hAnsi="Arial"/>
                <w:sz w:val="14"/>
                <w:szCs w:val="14"/>
                <w:color w:val="auto"/>
              </w:rPr>
              <w:t>Contributions from CEG for Oahu Partnership, non-cash</w:t>
            </w:r>
          </w:p>
        </w:tc>
        <w:tc>
          <w:tcPr>
            <w:tcW w:w="100" w:type="dxa"/>
            <w:vAlign w:val="bottom"/>
          </w:tcPr>
          <w:p>
            <w:pPr>
              <w:spacing w:after="0"/>
              <w:rPr>
                <w:sz w:val="17"/>
                <w:szCs w:val="17"/>
                <w:color w:val="auto"/>
              </w:rPr>
            </w:pPr>
          </w:p>
        </w:tc>
        <w:tc>
          <w:tcPr>
            <w:tcW w:w="8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12</w:t>
            </w:r>
          </w:p>
        </w:tc>
      </w:tr>
      <w:tr>
        <w:trPr>
          <w:trHeight w:val="208"/>
        </w:trPr>
        <w:tc>
          <w:tcPr>
            <w:tcW w:w="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Cumulative effect of change in the accounting principle.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w:t>
            </w:r>
          </w:p>
        </w:tc>
      </w:tr>
      <w:tr>
        <w:trPr>
          <w:trHeight w:val="197"/>
        </w:trPr>
        <w:tc>
          <w:tcPr>
            <w:tcW w:w="2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Common stock dividends</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(39)</w:t>
            </w:r>
          </w:p>
        </w:tc>
      </w:tr>
      <w:tr>
        <w:trPr>
          <w:trHeight w:val="216"/>
        </w:trPr>
        <w:tc>
          <w:tcPr>
            <w:tcW w:w="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Balances at March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2,145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440" w:top="769"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Appendix Table A-1: Three Months Ended March 31, 2020,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77"/>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180" w:type="dxa"/>
            <w:vAlign w:val="bottom"/>
            <w:gridSpan w:val="2"/>
          </w:tcPr>
          <w:p>
            <w:pPr>
              <w:ind w:left="160"/>
              <w:spacing w:after="0"/>
              <w:rPr>
                <w:sz w:val="20"/>
                <w:szCs w:val="20"/>
                <w:color w:val="auto"/>
              </w:rPr>
            </w:pPr>
            <w:r>
              <w:rPr>
                <w:rFonts w:ascii="Arial" w:cs="Arial" w:eastAsia="Arial" w:hAnsi="Arial"/>
                <w:sz w:val="18"/>
                <w:szCs w:val="18"/>
                <w:color w:val="auto"/>
                <w:w w:val="97"/>
              </w:rPr>
              <w:t>Acquisition-related transaction and integration costs</w:t>
            </w:r>
          </w:p>
        </w:tc>
        <w:tc>
          <w:tcPr>
            <w:tcW w:w="1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non-recurring charges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4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tcPr>
          <w:p>
            <w:pPr>
              <w:spacing w:after="0"/>
              <w:rPr>
                <w:sz w:val="15"/>
                <w:szCs w:val="15"/>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ind w:right="7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180" w:type="dxa"/>
            <w:vAlign w:val="bottom"/>
            <w:gridSpan w:val="2"/>
          </w:tcPr>
          <w:p>
            <w:pPr>
              <w:ind w:left="34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126</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9"/>
              </w:rPr>
              <w:t>17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0"/>
        </w:trPr>
        <w:tc>
          <w:tcPr>
            <w:tcW w:w="4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A-2: Three Months Ended March 31, 2019, Segment Adjusted EBITDA Reconciliation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calculation of Adjusted EBITDA and provides a reconciliation to Net Income/(Loss):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Conventional</w:t>
            </w:r>
          </w:p>
        </w:tc>
        <w:tc>
          <w:tcPr>
            <w:tcW w:w="14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Renewables</w:t>
            </w: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Thermal</w:t>
            </w:r>
          </w:p>
        </w:tc>
        <w:tc>
          <w:tcPr>
            <w:tcW w:w="14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w:t>
            </w:r>
          </w:p>
        </w:tc>
        <w:tc>
          <w:tcPr>
            <w:tcW w:w="16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200" w:type="dxa"/>
            <w:vAlign w:val="bottom"/>
            <w:gridSpan w:val="2"/>
          </w:tcPr>
          <w:p>
            <w:pPr>
              <w:ind w:left="180"/>
              <w:spacing w:after="0"/>
              <w:rPr>
                <w:sz w:val="20"/>
                <w:szCs w:val="20"/>
                <w:color w:val="auto"/>
              </w:rPr>
            </w:pPr>
            <w:r>
              <w:rPr>
                <w:rFonts w:ascii="Arial" w:cs="Arial" w:eastAsia="Arial" w:hAnsi="Arial"/>
                <w:sz w:val="18"/>
                <w:szCs w:val="18"/>
                <w:color w:val="auto"/>
                <w:w w:val="98"/>
              </w:rPr>
              <w:t>Mark to Market (MtM) Losses on economic hedges</w:t>
            </w:r>
          </w:p>
        </w:tc>
        <w:tc>
          <w:tcPr>
            <w:tcW w:w="160" w:type="dxa"/>
            <w:vAlign w:val="bottom"/>
          </w:tcPr>
          <w:p>
            <w:pPr>
              <w:spacing w:after="0"/>
              <w:rPr>
                <w:sz w:val="23"/>
                <w:szCs w:val="2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7</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Acquisition-related transaction and integration costs</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Other non-recurring charges</w:t>
            </w:r>
          </w:p>
        </w:tc>
        <w:tc>
          <w:tcPr>
            <w:tcW w:w="160" w:type="dxa"/>
            <w:vAlign w:val="bottom"/>
          </w:tcPr>
          <w:p>
            <w:pPr>
              <w:spacing w:after="0"/>
              <w:rPr>
                <w:sz w:val="23"/>
                <w:szCs w:val="2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1</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4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reflect CWEN’s pro-rata share of</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Adjusted EBITDA from Unconsolidated Affiliates</w:t>
            </w: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69</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008"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Appendix Table A-3: Cash Available for Distribution Reconciliation</w:t>
      </w:r>
    </w:p>
    <w:p>
      <w:pPr>
        <w:spacing w:after="0" w:line="22" w:lineRule="exact"/>
        <w:rPr>
          <w:sz w:val="20"/>
          <w:szCs w:val="20"/>
          <w:color w:val="auto"/>
        </w:rPr>
      </w:pPr>
    </w:p>
    <w:p>
      <w:pPr>
        <w:ind w:right="460"/>
        <w:spacing w:after="0" w:line="244" w:lineRule="auto"/>
        <w:rPr>
          <w:sz w:val="20"/>
          <w:szCs w:val="20"/>
          <w:color w:val="auto"/>
        </w:rPr>
      </w:pPr>
      <w:r>
        <w:rPr>
          <w:rFonts w:ascii="Arial" w:cs="Arial" w:eastAsia="Arial" w:hAnsi="Arial"/>
          <w:sz w:val="20"/>
          <w:szCs w:val="20"/>
          <w:color w:val="auto"/>
        </w:rPr>
        <w:t>The following table summarizes the calculation of Cash Available for Distribution and provides a reconciliation to Cash from Operating Activities:</w:t>
      </w:r>
    </w:p>
    <w:p>
      <w:pPr>
        <w:spacing w:after="0" w:line="28"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32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3/31/20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3/31/19</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191</w:t>
            </w:r>
          </w:p>
        </w:tc>
      </w:tr>
      <w:tr>
        <w:trPr>
          <w:trHeight w:val="237"/>
        </w:trPr>
        <w:tc>
          <w:tcPr>
            <w:tcW w:w="5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Cash interest paid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Changes in prepaid and accrued liabilities for tolling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Adjustment to reflect Walnut Creek investment payments</w:t>
            </w:r>
          </w:p>
        </w:tc>
        <w:tc>
          <w:tcPr>
            <w:tcW w:w="3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Pro-rata Adjusted EBITDA from unconsolidated affiliates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Distributions from unconsolidated affiliates</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70"/>
        </w:trPr>
        <w:tc>
          <w:tcPr>
            <w:tcW w:w="5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61</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working capital and other</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Development Expenses</w:t>
            </w:r>
            <w:r>
              <w:rPr>
                <w:rFonts w:ascii="Arial" w:cs="Arial" w:eastAsia="Arial" w:hAnsi="Arial"/>
                <w:sz w:val="23"/>
                <w:szCs w:val="23"/>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Net contributions (to)/from non-controlling interest</w:t>
            </w:r>
            <w:r>
              <w:rPr>
                <w:rFonts w:ascii="Arial" w:cs="Arial" w:eastAsia="Arial" w:hAnsi="Arial"/>
                <w:sz w:val="23"/>
                <w:szCs w:val="23"/>
                <w:color w:val="auto"/>
                <w:vertAlign w:val="superscript"/>
              </w:rPr>
              <w:t>5</w:t>
            </w:r>
          </w:p>
        </w:tc>
        <w:tc>
          <w:tcPr>
            <w:tcW w:w="3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w:t>
            </w:r>
          </w:p>
        </w:tc>
      </w:tr>
      <w:tr>
        <w:trPr>
          <w:trHeight w:val="27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 capital expenditures</w:t>
            </w:r>
            <w:r>
              <w:rPr>
                <w:rFonts w:ascii="Arial" w:cs="Arial" w:eastAsia="Arial" w:hAnsi="Arial"/>
                <w:sz w:val="23"/>
                <w:szCs w:val="23"/>
                <w:color w:val="auto"/>
                <w:vertAlign w:val="superscript"/>
              </w:rPr>
              <w:t>6</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5160" w:type="dxa"/>
            <w:vAlign w:val="bottom"/>
          </w:tcPr>
          <w:p>
            <w:pPr>
              <w:ind w:left="140"/>
              <w:spacing w:after="0"/>
              <w:rPr>
                <w:sz w:val="20"/>
                <w:szCs w:val="20"/>
                <w:color w:val="auto"/>
              </w:rPr>
            </w:pPr>
            <w:r>
              <w:rPr>
                <w:rFonts w:ascii="Arial" w:cs="Arial" w:eastAsia="Arial" w:hAnsi="Arial"/>
                <w:sz w:val="18"/>
                <w:szCs w:val="18"/>
                <w:color w:val="auto"/>
              </w:rPr>
              <w:t>Principal amortization of indebtedness</w:t>
            </w:r>
            <w:r>
              <w:rPr>
                <w:rFonts w:ascii="Arial" w:cs="Arial" w:eastAsia="Arial" w:hAnsi="Arial"/>
                <w:sz w:val="23"/>
                <w:szCs w:val="23"/>
                <w:color w:val="auto"/>
                <w:vertAlign w:val="superscript"/>
              </w:rPr>
              <w:t>7</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29"/>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reflect CAFD generated by unconsolidated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investments that are unable to distribute project dividends due to the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62"/>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PG&amp;E bankruptcy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r>
      <w:tr>
        <w:trPr>
          <w:trHeight w:val="237"/>
        </w:trPr>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Available for Distribution</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r>
      <w:tr>
        <w:trPr>
          <w:trHeight w:val="27"/>
        </w:trPr>
        <w:tc>
          <w:tcPr>
            <w:tcW w:w="5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008" w:right="339" w:bottom="1440" w:gutter="0" w:footer="0" w:header="0"/>
        </w:sectPr>
      </w:pPr>
    </w:p>
    <w:bookmarkStart w:id="16" w:name="page17"/>
    <w:bookmarkEnd w:id="16"/>
    <w:p>
      <w:pPr>
        <w:ind w:right="3940"/>
        <w:spacing w:after="0" w:line="284" w:lineRule="auto"/>
        <w:rPr>
          <w:sz w:val="20"/>
          <w:szCs w:val="20"/>
          <w:color w:val="auto"/>
        </w:rPr>
      </w:pPr>
      <w:r>
        <w:rPr>
          <w:rFonts w:ascii="Arial" w:cs="Arial" w:eastAsia="Arial" w:hAnsi="Arial"/>
          <w:sz w:val="19"/>
          <w:szCs w:val="19"/>
          <w:b w:val="1"/>
          <w:bCs w:val="1"/>
          <w:color w:val="auto"/>
        </w:rPr>
        <w:t xml:space="preserve">Appendix Table A-4: </w:t>
      </w:r>
      <w:r>
        <w:rPr>
          <w:rFonts w:ascii="Arial" w:cs="Arial" w:eastAsia="Arial" w:hAnsi="Arial"/>
          <w:sz w:val="16"/>
          <w:szCs w:val="16"/>
          <w:b w:val="1"/>
          <w:bCs w:val="1"/>
          <w:color w:val="auto"/>
        </w:rPr>
        <w:t>Three Months Ended March 31, 2020</w:t>
      </w:r>
      <w:r>
        <w:rPr>
          <w:rFonts w:ascii="Arial" w:cs="Arial" w:eastAsia="Arial" w:hAnsi="Arial"/>
          <w:sz w:val="19"/>
          <w:szCs w:val="19"/>
          <w:b w:val="1"/>
          <w:bCs w:val="1"/>
          <w:color w:val="auto"/>
        </w:rPr>
        <w:t xml:space="preserve">, Sources and Uses of Liquidity </w:t>
      </w:r>
      <w:r>
        <w:rPr>
          <w:rFonts w:ascii="Arial" w:cs="Arial" w:eastAsia="Arial" w:hAnsi="Arial"/>
          <w:sz w:val="19"/>
          <w:szCs w:val="19"/>
          <w:color w:val="auto"/>
        </w:rPr>
        <w:t>The following table summarizes the sources and uses of liquidity in 2020:</w:t>
      </w:r>
    </w:p>
    <w:tbl>
      <w:tblPr>
        <w:tblLayout w:type="fixed"/>
        <w:tblInd w:w="176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31"/>
              <w:spacing w:after="0"/>
              <w:rPr>
                <w:sz w:val="20"/>
                <w:szCs w:val="20"/>
                <w:color w:val="auto"/>
              </w:rPr>
            </w:pPr>
            <w:r>
              <w:rPr>
                <w:rFonts w:ascii="Arial" w:cs="Arial" w:eastAsia="Arial" w:hAnsi="Arial"/>
                <w:sz w:val="18"/>
                <w:szCs w:val="18"/>
                <w:b w:val="1"/>
                <w:bCs w:val="1"/>
                <w:color w:val="auto"/>
                <w:w w:val="91"/>
              </w:rPr>
              <w:t>Three Months</w:t>
            </w:r>
          </w:p>
        </w:tc>
      </w:tr>
      <w:tr>
        <w:trPr>
          <w:trHeight w:val="234"/>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630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3"/>
                <w:szCs w:val="23"/>
                <w:color w:val="auto"/>
              </w:rPr>
            </w:pPr>
          </w:p>
        </w:tc>
        <w:tc>
          <w:tcPr>
            <w:tcW w:w="1280" w:type="dxa"/>
            <w:vAlign w:val="bottom"/>
          </w:tcPr>
          <w:p>
            <w:pPr>
              <w:jc w:val="center"/>
              <w:ind w:right="31"/>
              <w:spacing w:after="0"/>
              <w:rPr>
                <w:sz w:val="20"/>
                <w:szCs w:val="20"/>
                <w:color w:val="auto"/>
              </w:rPr>
            </w:pPr>
            <w:r>
              <w:rPr>
                <w:rFonts w:ascii="Arial" w:cs="Arial" w:eastAsia="Arial" w:hAnsi="Arial"/>
                <w:sz w:val="18"/>
                <w:szCs w:val="18"/>
                <w:b w:val="1"/>
                <w:bCs w:val="1"/>
                <w:color w:val="auto"/>
                <w:w w:val="93"/>
              </w:rPr>
              <w:t>3/31/20</w:t>
            </w:r>
          </w:p>
        </w:tc>
      </w:tr>
      <w:tr>
        <w:trPr>
          <w:trHeight w:val="27"/>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gridSpan w:val="2"/>
          </w:tcPr>
          <w:p>
            <w:pPr>
              <w:ind w:left="160"/>
              <w:spacing w:after="0"/>
              <w:rPr>
                <w:sz w:val="20"/>
                <w:szCs w:val="20"/>
                <w:color w:val="auto"/>
              </w:rPr>
            </w:pPr>
            <w:r>
              <w:rPr>
                <w:rFonts w:ascii="Arial" w:cs="Arial" w:eastAsia="Arial" w:hAnsi="Arial"/>
                <w:sz w:val="16"/>
                <w:szCs w:val="16"/>
                <w:color w:val="auto"/>
              </w:rPr>
              <w:t>Proceeds from the revolving credit facility</w:t>
            </w:r>
          </w:p>
        </w:tc>
        <w:tc>
          <w:tcPr>
            <w:tcW w:w="1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contributions from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r>
      <w:tr>
        <w:trPr>
          <w:trHeight w:val="243"/>
        </w:trPr>
        <w:tc>
          <w:tcPr>
            <w:tcW w:w="6300" w:type="dxa"/>
            <w:vAlign w:val="bottom"/>
            <w:gridSpan w:val="2"/>
          </w:tcPr>
          <w:p>
            <w:pPr>
              <w:ind w:left="16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84</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Proceeds from the issuance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r>
      <w:tr>
        <w:trPr>
          <w:trHeight w:val="243"/>
        </w:trPr>
        <w:tc>
          <w:tcPr>
            <w:tcW w:w="6300" w:type="dxa"/>
            <w:vAlign w:val="bottom"/>
            <w:gridSpan w:val="2"/>
          </w:tcPr>
          <w:p>
            <w:pPr>
              <w:ind w:left="160"/>
              <w:spacing w:after="0"/>
              <w:rPr>
                <w:sz w:val="20"/>
                <w:szCs w:val="20"/>
                <w:color w:val="auto"/>
              </w:rPr>
            </w:pPr>
            <w:r>
              <w:rPr>
                <w:rFonts w:ascii="Arial" w:cs="Arial" w:eastAsia="Arial" w:hAnsi="Arial"/>
                <w:sz w:val="16"/>
                <w:szCs w:val="16"/>
                <w:color w:val="auto"/>
              </w:rPr>
              <w:t>Proceeds from sale of assets</w:t>
            </w:r>
          </w:p>
        </w:tc>
        <w:tc>
          <w:tcPr>
            <w:tcW w:w="1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Proceeds from the issuance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r>
      <w:tr>
        <w:trPr>
          <w:trHeight w:val="243"/>
        </w:trPr>
        <w:tc>
          <w:tcPr>
            <w:tcW w:w="6300" w:type="dxa"/>
            <w:vAlign w:val="bottom"/>
            <w:gridSpan w:val="2"/>
          </w:tcPr>
          <w:p>
            <w:pPr>
              <w:ind w:left="160"/>
              <w:spacing w:after="0"/>
              <w:rPr>
                <w:sz w:val="20"/>
                <w:szCs w:val="20"/>
                <w:color w:val="auto"/>
              </w:rPr>
            </w:pPr>
            <w:r>
              <w:rPr>
                <w:rFonts w:ascii="Arial" w:cs="Arial" w:eastAsia="Arial" w:hAnsi="Arial"/>
                <w:sz w:val="16"/>
                <w:szCs w:val="16"/>
                <w:color w:val="auto"/>
              </w:rPr>
              <w:t>Return of investment from unconsolidated affiliates</w:t>
            </w:r>
          </w:p>
        </w:tc>
        <w:tc>
          <w:tcPr>
            <w:tcW w:w="1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Insurance Proceeds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r>
      <w:tr>
        <w:trPr>
          <w:trHeight w:val="209"/>
        </w:trPr>
        <w:tc>
          <w:tcPr>
            <w:tcW w:w="6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37"/>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Uses:</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gridSpan w:val="2"/>
          </w:tcPr>
          <w:p>
            <w:pPr>
              <w:ind w:left="160"/>
              <w:spacing w:after="0"/>
              <w:rPr>
                <w:sz w:val="20"/>
                <w:szCs w:val="20"/>
                <w:color w:val="auto"/>
              </w:rPr>
            </w:pPr>
            <w:r>
              <w:rPr>
                <w:rFonts w:ascii="Arial" w:cs="Arial" w:eastAsia="Arial" w:hAnsi="Arial"/>
                <w:sz w:val="16"/>
                <w:szCs w:val="16"/>
                <w:color w:val="auto"/>
              </w:rPr>
              <w:t>Payments for long-term debt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Payment of dividends and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300" w:type="dxa"/>
            <w:vAlign w:val="bottom"/>
            <w:gridSpan w:val="2"/>
          </w:tcPr>
          <w:p>
            <w:pPr>
              <w:ind w:left="16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6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2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Change in total cash, cash equivalents, and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r>
      <w:tr>
        <w:trPr>
          <w:trHeight w:val="33"/>
        </w:trPr>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Appendix Table A-5: Adjusted EBITDA and Cash Available for Distribution Guidance</w:t>
      </w:r>
    </w:p>
    <w:p>
      <w:pPr>
        <w:spacing w:after="0" w:line="5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w w:val="97"/>
              </w:rPr>
              <w:t>2020 Full Year</w:t>
            </w: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1100" w:type="dxa"/>
            <w:vAlign w:val="bottom"/>
          </w:tcPr>
          <w:p>
            <w:pPr>
              <w:jc w:val="right"/>
              <w:ind w:right="199"/>
              <w:spacing w:after="0"/>
              <w:rPr>
                <w:sz w:val="20"/>
                <w:szCs w:val="20"/>
                <w:color w:val="auto"/>
              </w:rPr>
            </w:pPr>
            <w:r>
              <w:rPr>
                <w:rFonts w:ascii="Arial" w:cs="Arial" w:eastAsia="Arial" w:hAnsi="Arial"/>
                <w:sz w:val="18"/>
                <w:szCs w:val="18"/>
                <w:b w:val="1"/>
                <w:bCs w:val="1"/>
                <w:color w:val="auto"/>
                <w:w w:val="97"/>
              </w:rPr>
              <w:t>Guidance</w:t>
            </w:r>
          </w:p>
        </w:tc>
        <w:tc>
          <w:tcPr>
            <w:tcW w:w="0" w:type="dxa"/>
            <w:vAlign w:val="bottom"/>
          </w:tcPr>
          <w:p>
            <w:pPr>
              <w:spacing w:after="0"/>
              <w:rPr>
                <w:sz w:val="1"/>
                <w:szCs w:val="1"/>
                <w:color w:val="auto"/>
              </w:rPr>
            </w:pPr>
          </w:p>
        </w:tc>
      </w:tr>
      <w:tr>
        <w:trPr>
          <w:trHeight w:val="27"/>
        </w:trPr>
        <w:tc>
          <w:tcPr>
            <w:tcW w:w="6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160</w:t>
            </w:r>
          </w:p>
        </w:tc>
        <w:tc>
          <w:tcPr>
            <w:tcW w:w="0" w:type="dxa"/>
            <w:vAlign w:val="bottom"/>
          </w:tcPr>
          <w:p>
            <w:pPr>
              <w:spacing w:after="0"/>
              <w:rPr>
                <w:sz w:val="1"/>
                <w:szCs w:val="1"/>
                <w:color w:val="auto"/>
              </w:rPr>
            </w:pPr>
          </w:p>
        </w:tc>
      </w:tr>
      <w:tr>
        <w:trPr>
          <w:trHeight w:val="250"/>
        </w:trPr>
        <w:tc>
          <w:tcPr>
            <w:tcW w:w="61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6"/>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57"/>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20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175"/>
        </w:trPr>
        <w:tc>
          <w:tcPr>
            <w:tcW w:w="6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 to reflect CWEN share of Adjusted EBITDA in unconsolidated</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1,120</w:t>
            </w:r>
          </w:p>
        </w:tc>
        <w:tc>
          <w:tcPr>
            <w:tcW w:w="0" w:type="dxa"/>
            <w:vAlign w:val="bottom"/>
          </w:tcPr>
          <w:p>
            <w:pPr>
              <w:spacing w:after="0"/>
              <w:rPr>
                <w:sz w:val="1"/>
                <w:szCs w:val="1"/>
                <w:color w:val="auto"/>
              </w:rPr>
            </w:pPr>
          </w:p>
        </w:tc>
      </w:tr>
      <w:tr>
        <w:trPr>
          <w:trHeight w:val="27"/>
        </w:trPr>
        <w:tc>
          <w:tcPr>
            <w:tcW w:w="6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interest paid</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56"/>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Pro-rata Adjusted EBITDA from unconsolidated affiliates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57"/>
        </w:trPr>
        <w:tc>
          <w:tcPr>
            <w:tcW w:w="6140" w:type="dxa"/>
            <w:vAlign w:val="bottom"/>
            <w:tcBorders>
              <w:bottom w:val="single" w:sz="8" w:color="auto"/>
            </w:tcBorders>
          </w:tcPr>
          <w:p>
            <w:pPr>
              <w:ind w:left="180"/>
              <w:spacing w:after="0" w:line="256" w:lineRule="exact"/>
              <w:rPr>
                <w:sz w:val="20"/>
                <w:szCs w:val="20"/>
                <w:color w:val="auto"/>
              </w:rPr>
            </w:pPr>
            <w:r>
              <w:rPr>
                <w:rFonts w:ascii="Arial" w:cs="Arial" w:eastAsia="Arial" w:hAnsi="Arial"/>
                <w:sz w:val="18"/>
                <w:szCs w:val="18"/>
                <w:color w:val="auto"/>
              </w:rPr>
              <w:t>Cash distributions from unconsolidated affiliates</w:t>
            </w:r>
            <w:r>
              <w:rPr>
                <w:rFonts w:ascii="Arial" w:cs="Arial" w:eastAsia="Arial" w:hAnsi="Arial"/>
                <w:sz w:val="23"/>
                <w:szCs w:val="23"/>
                <w:color w:val="auto"/>
                <w:vertAlign w:val="superscript"/>
              </w:rPr>
              <w:t>8</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from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701</w:t>
            </w:r>
          </w:p>
        </w:tc>
        <w:tc>
          <w:tcPr>
            <w:tcW w:w="0" w:type="dxa"/>
            <w:vAlign w:val="bottom"/>
          </w:tcPr>
          <w:p>
            <w:pPr>
              <w:spacing w:after="0"/>
              <w:rPr>
                <w:sz w:val="1"/>
                <w:szCs w:val="1"/>
                <w:color w:val="auto"/>
              </w:rPr>
            </w:pPr>
          </w:p>
        </w:tc>
      </w:tr>
      <w:tr>
        <w:trPr>
          <w:trHeight w:val="250"/>
        </w:trPr>
        <w:tc>
          <w:tcPr>
            <w:tcW w:w="6140" w:type="dxa"/>
            <w:vAlign w:val="bottom"/>
            <w:tcBorders>
              <w:top w:val="single" w:sz="8" w:color="auto"/>
            </w:tcBorders>
          </w:tcPr>
          <w:p>
            <w:pPr>
              <w:ind w:left="180"/>
              <w:spacing w:after="0" w:line="250" w:lineRule="exact"/>
              <w:rPr>
                <w:sz w:val="20"/>
                <w:szCs w:val="20"/>
                <w:color w:val="auto"/>
              </w:rPr>
            </w:pPr>
            <w:r>
              <w:rPr>
                <w:rFonts w:ascii="Arial" w:cs="Arial" w:eastAsia="Arial" w:hAnsi="Arial"/>
                <w:sz w:val="18"/>
                <w:szCs w:val="18"/>
                <w:color w:val="auto"/>
              </w:rPr>
              <w:t>Development Expense</w:t>
            </w:r>
            <w:r>
              <w:rPr>
                <w:rFonts w:ascii="Arial" w:cs="Arial" w:eastAsia="Arial" w:hAnsi="Arial"/>
                <w:sz w:val="23"/>
                <w:szCs w:val="23"/>
                <w:color w:val="auto"/>
                <w:vertAlign w:val="superscript"/>
              </w:rPr>
              <w:t>9</w:t>
            </w: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6"/>
        </w:trPr>
        <w:tc>
          <w:tcPr>
            <w:tcW w:w="62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Net contributions to non-controlling interest</w:t>
            </w:r>
            <w:r>
              <w:rPr>
                <w:rFonts w:ascii="Arial" w:cs="Arial" w:eastAsia="Arial" w:hAnsi="Arial"/>
                <w:sz w:val="23"/>
                <w:szCs w:val="23"/>
                <w:color w:val="auto"/>
                <w:vertAlign w:val="superscript"/>
              </w:rPr>
              <w:t>10</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7"/>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Maintenance capital expenditures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56"/>
        </w:trPr>
        <w:tc>
          <w:tcPr>
            <w:tcW w:w="61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3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Cash Available for Distribution</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310</w:t>
            </w:r>
          </w:p>
        </w:tc>
        <w:tc>
          <w:tcPr>
            <w:tcW w:w="0" w:type="dxa"/>
            <w:vAlign w:val="bottom"/>
          </w:tcPr>
          <w:p>
            <w:pPr>
              <w:spacing w:after="0"/>
              <w:rPr>
                <w:sz w:val="1"/>
                <w:szCs w:val="1"/>
                <w:color w:val="auto"/>
              </w:rPr>
            </w:pPr>
          </w:p>
        </w:tc>
      </w:tr>
      <w:tr>
        <w:trPr>
          <w:trHeight w:val="27"/>
        </w:trPr>
        <w:tc>
          <w:tcPr>
            <w:tcW w:w="6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Add Back: Principal amortization of indebtedness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36"/>
        </w:trPr>
        <w:tc>
          <w:tcPr>
            <w:tcW w:w="6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Adjusted Cash from Operations</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649</w:t>
            </w:r>
          </w:p>
        </w:tc>
        <w:tc>
          <w:tcPr>
            <w:tcW w:w="0" w:type="dxa"/>
            <w:vAlign w:val="bottom"/>
          </w:tcPr>
          <w:p>
            <w:pPr>
              <w:spacing w:after="0"/>
              <w:rPr>
                <w:sz w:val="1"/>
                <w:szCs w:val="1"/>
                <w:color w:val="auto"/>
              </w:rPr>
            </w:pPr>
          </w:p>
        </w:tc>
      </w:tr>
      <w:tr>
        <w:trPr>
          <w:trHeight w:val="27"/>
        </w:trPr>
        <w:tc>
          <w:tcPr>
            <w:tcW w:w="6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8" w:right="339" w:bottom="1440" w:gutter="0" w:footer="0" w:header="0"/>
        </w:sectPr>
      </w:pPr>
    </w:p>
    <w:p>
      <w:pPr>
        <w:spacing w:after="0" w:line="35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00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Appendix Table A-6: Growth Investments 5 Year Average CAFD</w:t>
      </w:r>
    </w:p>
    <w:p>
      <w:pPr>
        <w:spacing w:after="0" w:line="301"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Dropdown Portfolio</w:t>
            </w:r>
          </w:p>
        </w:tc>
      </w:tr>
      <w:tr>
        <w:trPr>
          <w:trHeight w:val="216"/>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5 Year Ave. - 2021-</w:t>
            </w:r>
          </w:p>
        </w:tc>
      </w:tr>
      <w:tr>
        <w:trPr>
          <w:trHeight w:val="234"/>
        </w:trPr>
        <w:tc>
          <w:tcPr>
            <w:tcW w:w="4480" w:type="dxa"/>
            <w:vAlign w:val="bottom"/>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360" w:type="dxa"/>
            <w:vAlign w:val="bottom"/>
          </w:tcPr>
          <w:p>
            <w:pPr>
              <w:spacing w:after="0"/>
              <w:rPr>
                <w:sz w:val="20"/>
                <w:szCs w:val="20"/>
                <w:color w:val="auto"/>
              </w:rPr>
            </w:pPr>
          </w:p>
        </w:tc>
        <w:tc>
          <w:tcPr>
            <w:tcW w:w="1240" w:type="dxa"/>
            <w:vAlign w:val="bottom"/>
          </w:tcPr>
          <w:p>
            <w:pPr>
              <w:jc w:val="center"/>
              <w:ind w:right="278"/>
              <w:spacing w:after="0"/>
              <w:rPr>
                <w:sz w:val="20"/>
                <w:szCs w:val="20"/>
                <w:color w:val="auto"/>
              </w:rPr>
            </w:pPr>
            <w:r>
              <w:rPr>
                <w:rFonts w:ascii="Arial" w:cs="Arial" w:eastAsia="Arial" w:hAnsi="Arial"/>
                <w:sz w:val="18"/>
                <w:szCs w:val="18"/>
                <w:b w:val="1"/>
                <w:bCs w:val="1"/>
                <w:color w:val="auto"/>
                <w:w w:val="89"/>
              </w:rPr>
              <w:t>2025</w:t>
            </w:r>
          </w:p>
        </w:tc>
      </w:tr>
      <w:tr>
        <w:trPr>
          <w:trHeight w:val="27"/>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4</w:t>
            </w:r>
          </w:p>
        </w:tc>
      </w:tr>
      <w:tr>
        <w:trPr>
          <w:trHeight w:val="250"/>
        </w:trPr>
        <w:tc>
          <w:tcPr>
            <w:tcW w:w="4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56"/>
        </w:trPr>
        <w:tc>
          <w:tcPr>
            <w:tcW w:w="4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ARO Expense</w:t>
            </w:r>
          </w:p>
        </w:tc>
        <w:tc>
          <w:tcPr>
            <w:tcW w:w="1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8</w:t>
            </w: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Pr>
          <w:p>
            <w:pPr>
              <w:spacing w:after="0"/>
              <w:rPr>
                <w:sz w:val="20"/>
                <w:szCs w:val="20"/>
                <w:color w:val="auto"/>
              </w:rPr>
            </w:pPr>
          </w:p>
        </w:tc>
        <w:tc>
          <w:tcPr>
            <w:tcW w:w="1240" w:type="dxa"/>
            <w:vAlign w:val="bottom"/>
          </w:tcPr>
          <w:p>
            <w:pPr>
              <w:jc w:val="right"/>
              <w:ind w:right="38"/>
              <w:spacing w:after="0"/>
              <w:rPr>
                <w:sz w:val="20"/>
                <w:szCs w:val="20"/>
                <w:color w:val="auto"/>
              </w:rPr>
            </w:pPr>
            <w:r>
              <w:rPr>
                <w:rFonts w:ascii="Arial" w:cs="Arial" w:eastAsia="Arial" w:hAnsi="Arial"/>
                <w:sz w:val="16"/>
                <w:szCs w:val="16"/>
                <w:b w:val="1"/>
                <w:bCs w:val="1"/>
                <w:color w:val="auto"/>
              </w:rPr>
              <w:t>8</w:t>
            </w:r>
          </w:p>
        </w:tc>
      </w:tr>
      <w:tr>
        <w:trPr>
          <w:trHeight w:val="27"/>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Cash interest paid</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w:t>
            </w: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from Operating Activities</w:t>
            </w:r>
          </w:p>
        </w:tc>
        <w:tc>
          <w:tcPr>
            <w:tcW w:w="360" w:type="dxa"/>
            <w:vAlign w:val="bottom"/>
          </w:tcPr>
          <w:p>
            <w:pPr>
              <w:spacing w:after="0"/>
              <w:rPr>
                <w:sz w:val="20"/>
                <w:szCs w:val="20"/>
                <w:color w:val="auto"/>
              </w:rPr>
            </w:pPr>
          </w:p>
        </w:tc>
        <w:tc>
          <w:tcPr>
            <w:tcW w:w="1240" w:type="dxa"/>
            <w:vAlign w:val="bottom"/>
          </w:tcPr>
          <w:p>
            <w:pPr>
              <w:jc w:val="right"/>
              <w:ind w:right="38"/>
              <w:spacing w:after="0"/>
              <w:rPr>
                <w:sz w:val="20"/>
                <w:szCs w:val="20"/>
                <w:color w:val="auto"/>
              </w:rPr>
            </w:pPr>
            <w:r>
              <w:rPr>
                <w:rFonts w:ascii="Arial" w:cs="Arial" w:eastAsia="Arial" w:hAnsi="Arial"/>
                <w:sz w:val="16"/>
                <w:szCs w:val="16"/>
                <w:b w:val="1"/>
                <w:bCs w:val="1"/>
                <w:color w:val="auto"/>
              </w:rPr>
              <w:t>12</w:t>
            </w:r>
          </w:p>
        </w:tc>
      </w:tr>
      <w:tr>
        <w:trPr>
          <w:trHeight w:val="27"/>
        </w:trPr>
        <w:tc>
          <w:tcPr>
            <w:tcW w:w="4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distributions from non-controlling interest</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w:t>
            </w:r>
          </w:p>
        </w:tc>
      </w:tr>
      <w:tr>
        <w:trPr>
          <w:trHeight w:val="257"/>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Maintenance capital expenditures</w:t>
            </w:r>
          </w:p>
        </w:tc>
        <w:tc>
          <w:tcPr>
            <w:tcW w:w="36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6"/>
                <w:szCs w:val="16"/>
                <w:color w:val="auto"/>
              </w:rPr>
              <w:t>1</w:t>
            </w:r>
          </w:p>
        </w:tc>
      </w:tr>
      <w:tr>
        <w:trPr>
          <w:trHeight w:val="257"/>
        </w:trPr>
        <w:tc>
          <w:tcPr>
            <w:tcW w:w="4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Principal amortization of indebtedness</w:t>
            </w:r>
          </w:p>
        </w:tc>
        <w:tc>
          <w:tcPr>
            <w:tcW w:w="1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8"/>
                <w:szCs w:val="18"/>
                <w:b w:val="1"/>
                <w:bCs w:val="1"/>
                <w:color w:val="auto"/>
              </w:rPr>
              <w:t>Estimated Cash Available for Distribution</w:t>
            </w:r>
          </w:p>
        </w:tc>
        <w:tc>
          <w:tcPr>
            <w:tcW w:w="360" w:type="dxa"/>
            <w:vAlign w:val="bottom"/>
          </w:tcPr>
          <w:p>
            <w:pPr>
              <w:spacing w:after="0"/>
              <w:rPr>
                <w:sz w:val="20"/>
                <w:szCs w:val="20"/>
                <w:color w:val="auto"/>
              </w:rPr>
            </w:pPr>
          </w:p>
        </w:tc>
        <w:tc>
          <w:tcPr>
            <w:tcW w:w="1240" w:type="dxa"/>
            <w:vAlign w:val="bottom"/>
          </w:tcPr>
          <w:p>
            <w:pPr>
              <w:jc w:val="right"/>
              <w:ind w:right="38"/>
              <w:spacing w:after="0"/>
              <w:rPr>
                <w:sz w:val="20"/>
                <w:szCs w:val="20"/>
                <w:color w:val="auto"/>
              </w:rPr>
            </w:pPr>
            <w:r>
              <w:rPr>
                <w:rFonts w:ascii="Arial" w:cs="Arial" w:eastAsia="Arial" w:hAnsi="Arial"/>
                <w:sz w:val="16"/>
                <w:szCs w:val="16"/>
                <w:b w:val="1"/>
                <w:bCs w:val="1"/>
                <w:color w:val="auto"/>
              </w:rPr>
              <w:t>23</w:t>
            </w:r>
          </w:p>
        </w:tc>
      </w:tr>
      <w:tr>
        <w:trPr>
          <w:trHeight w:val="27"/>
        </w:trPr>
        <w:tc>
          <w:tcPr>
            <w:tcW w:w="4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008"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companies in this industry may calculate EBITDA differently than Clearway Energy does, limiting its usefulness as a comparative measure.</w:t>
      </w:r>
    </w:p>
    <w:p>
      <w:pPr>
        <w:spacing w:after="0" w:line="2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30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Cash Available for Distribution</w:t>
      </w: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Available for Distribution (CAFD) is a non-GAAP financial measure. We define CAFD as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2788920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80" w:hanging="330"/>
        <w:spacing w:after="0"/>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adjustments to reflect CAFD generated by unconsolidated investments that are unable to distribute project dividends due to the PG&amp;E bankruptcy</w:t>
      </w:r>
    </w:p>
    <w:p>
      <w:pPr>
        <w:ind w:left="680" w:hanging="330"/>
        <w:spacing w:after="0" w:line="201"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unconsolidated projects</w:t>
      </w:r>
    </w:p>
    <w:p>
      <w:pPr>
        <w:ind w:left="680" w:hanging="330"/>
        <w:spacing w:after="0" w:line="201"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Generation sold excludes MWh that are reimbursable for economic curtailment</w:t>
      </w:r>
    </w:p>
    <w:p>
      <w:pPr>
        <w:ind w:left="680" w:hanging="330"/>
        <w:spacing w:after="0" w:line="201"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Primarily relates to Thermal Development Expenses</w:t>
      </w:r>
    </w:p>
    <w:p>
      <w:pPr>
        <w:ind w:left="680" w:right="380" w:hanging="330"/>
        <w:spacing w:after="0" w:line="201"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2020 excludes $152 million of contributions relating to funding of Repowering 1.0 Partnership; 2019 excludes $18 million of contributions related to funding of Oahu tax equity partnership;</w:t>
      </w:r>
    </w:p>
    <w:p>
      <w:pPr>
        <w:ind w:left="680" w:hanging="330"/>
        <w:spacing w:after="0" w:line="201"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allocated insurance proceeds</w:t>
      </w:r>
    </w:p>
    <w:p>
      <w:pPr>
        <w:ind w:left="680" w:right="140" w:hanging="330"/>
        <w:spacing w:after="0" w:line="201"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2020 excludes $260 million for the repayment of construction financing in connection with the Repowering 1.0 Partnership and $90 million total consideration for the redemption of Corporate Notes; 2019 excludes $220 million for the redemption of Corporate Notes</w:t>
      </w:r>
    </w:p>
    <w:p>
      <w:pPr>
        <w:ind w:left="680" w:right="480" w:hanging="330"/>
        <w:spacing w:after="0" w:line="201"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Distribution from unconsolidated affiliates can be classified as Return of Investment on Unconsolidated Affiliates when actuals are reported. This is below cash from operating activities</w:t>
      </w:r>
    </w:p>
    <w:p>
      <w:pPr>
        <w:ind w:left="680" w:hanging="330"/>
        <w:spacing w:after="0" w:line="201"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Primarily relates to Thermal Development Expenses</w:t>
      </w:r>
    </w:p>
    <w:p>
      <w:pPr>
        <w:ind w:left="660" w:hanging="310"/>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tax equity proceeds and distributions to tax equity partners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sectPr>
      <w:pgSz w:w="11900" w:h="16838" w:orient="portrait"/>
      <w:cols w:equalWidth="0" w:num="1">
        <w:col w:w="11240"/>
      </w:cols>
      <w:pgMar w:left="320" w:top="8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2020-05-07T05:16:35Z</dcterms:created>
  <dcterms:modified xsi:type="dcterms:W3CDTF">2020-05-07T05:16:35Z</dcterms:modified>
</cp:coreProperties>
</file>