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333-224684</w:t>
      </w:r>
    </w:p>
    <w:p>
      <w:pPr>
        <w:spacing w:after="0" w:line="213" w:lineRule="exact"/>
        <w:rPr>
          <w:sz w:val="24"/>
          <w:szCs w:val="24"/>
          <w:color w:val="auto"/>
        </w:rPr>
      </w:pPr>
    </w:p>
    <w:p>
      <w:pPr>
        <w:ind w:right="140"/>
        <w:spacing w:after="0" w:line="275" w:lineRule="auto"/>
        <w:rPr>
          <w:sz w:val="20"/>
          <w:szCs w:val="20"/>
          <w:color w:val="auto"/>
        </w:rPr>
      </w:pPr>
      <w:r>
        <w:rPr>
          <w:rFonts w:ascii="Arial" w:cs="Arial" w:eastAsia="Arial" w:hAnsi="Arial"/>
          <w:sz w:val="18"/>
          <w:szCs w:val="18"/>
          <w:b w:val="1"/>
          <w:bCs w:val="1"/>
          <w:color w:val="EF505F"/>
        </w:rPr>
        <w:t>The information in this preliminary prospectus supplement is not complete and may be changed. This preliminary prospectus is not an offer to sell nor does it seek an offer to buy these securities in any jurisdiction where the offer or sale is not permitted.</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December 2,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4, 2018)</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5,405,405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160020</wp:posOffset>
            </wp:positionV>
            <wp:extent cx="4013200"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1320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Clearway Energy, Inc. is offering 5,405,405 shares of our Class C common stock to be sold in this offering.</w:t>
      </w:r>
    </w:p>
    <w:p>
      <w:pPr>
        <w:spacing w:after="0" w:line="225" w:lineRule="exact"/>
        <w:rPr>
          <w:sz w:val="24"/>
          <w:szCs w:val="24"/>
          <w:color w:val="auto"/>
        </w:rPr>
      </w:pPr>
    </w:p>
    <w:p>
      <w:pPr>
        <w:ind w:right="160" w:firstLine="348"/>
        <w:spacing w:after="0" w:line="268" w:lineRule="auto"/>
        <w:rPr>
          <w:sz w:val="20"/>
          <w:szCs w:val="20"/>
          <w:color w:val="auto"/>
        </w:rPr>
      </w:pPr>
      <w:r>
        <w:rPr>
          <w:rFonts w:ascii="Arial" w:cs="Arial" w:eastAsia="Arial" w:hAnsi="Arial"/>
          <w:sz w:val="18"/>
          <w:szCs w:val="18"/>
          <w:color w:val="auto"/>
        </w:rPr>
        <w:t>The Class C common stock is listed on the New York Stock Exchange (the "NYSE") under the symbol "CWEN." The last reported sale price on the NYSE of the Class C common stock on November 29, 2019 was $19.83 per share.</w:t>
      </w:r>
    </w:p>
    <w:p>
      <w:pPr>
        <w:spacing w:after="0" w:line="167" w:lineRule="exact"/>
        <w:rPr>
          <w:sz w:val="24"/>
          <w:szCs w:val="24"/>
          <w:color w:val="auto"/>
        </w:rPr>
      </w:pPr>
    </w:p>
    <w:p>
      <w:pPr>
        <w:ind w:right="540" w:firstLine="351"/>
        <w:spacing w:after="0" w:line="280" w:lineRule="auto"/>
        <w:rPr>
          <w:sz w:val="20"/>
          <w:szCs w:val="20"/>
          <w:color w:val="auto"/>
        </w:rPr>
      </w:pPr>
      <w:r>
        <w:rPr>
          <w:rFonts w:ascii="Arial" w:cs="Arial" w:eastAsia="Arial" w:hAnsi="Arial"/>
          <w:sz w:val="21"/>
          <w:szCs w:val="21"/>
          <w:b w:val="1"/>
          <w:bCs w:val="1"/>
          <w:color w:val="auto"/>
        </w:rPr>
        <w:t>Investing in shares of the Class C common stock involves risks. See "Risk Factors" beginning on page S-13 to read about factors you should consider before buying shares of the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105410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right="360" w:firstLine="351"/>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or other regulatory body has approved or disapproved of these securities or passed upon the accuracy or adequacy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75565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17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6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Per Share</w:t>
            </w:r>
          </w:p>
        </w:tc>
        <w:tc>
          <w:tcPr>
            <w:tcW w:w="140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Total</w:t>
            </w:r>
          </w:p>
        </w:tc>
      </w:tr>
      <w:tr>
        <w:trPr>
          <w:trHeight w:val="217"/>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Initial price to public</w:t>
            </w:r>
          </w:p>
        </w:tc>
        <w:tc>
          <w:tcPr>
            <w:tcW w:w="1820" w:type="dxa"/>
            <w:vAlign w:val="bottom"/>
          </w:tcPr>
          <w:p>
            <w:pPr>
              <w:jc w:val="right"/>
              <w:ind w:right="85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97"/>
              <w:spacing w:after="0"/>
              <w:rPr>
                <w:sz w:val="20"/>
                <w:szCs w:val="20"/>
                <w:color w:val="auto"/>
              </w:rPr>
            </w:pPr>
            <w:r>
              <w:rPr>
                <w:rFonts w:ascii="Arial" w:cs="Arial" w:eastAsia="Arial" w:hAnsi="Arial"/>
                <w:sz w:val="18"/>
                <w:szCs w:val="18"/>
                <w:color w:val="auto"/>
              </w:rPr>
              <w:t>$</w:t>
            </w:r>
          </w:p>
        </w:tc>
      </w:tr>
      <w:tr>
        <w:trPr>
          <w:trHeight w:val="21"/>
        </w:trPr>
        <w:tc>
          <w:tcPr>
            <w:tcW w:w="466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Underwriting discount(1)</w:t>
            </w:r>
          </w:p>
        </w:tc>
        <w:tc>
          <w:tcPr>
            <w:tcW w:w="1820" w:type="dxa"/>
            <w:vAlign w:val="bottom"/>
          </w:tcPr>
          <w:p>
            <w:pPr>
              <w:jc w:val="right"/>
              <w:ind w:right="85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97"/>
              <w:spacing w:after="0"/>
              <w:rPr>
                <w:sz w:val="20"/>
                <w:szCs w:val="20"/>
                <w:color w:val="auto"/>
              </w:rPr>
            </w:pPr>
            <w:r>
              <w:rPr>
                <w:rFonts w:ascii="Arial" w:cs="Arial" w:eastAsia="Arial" w:hAnsi="Arial"/>
                <w:sz w:val="18"/>
                <w:szCs w:val="18"/>
                <w:color w:val="auto"/>
              </w:rPr>
              <w:t>$</w:t>
            </w:r>
          </w:p>
        </w:tc>
      </w:tr>
      <w:tr>
        <w:trPr>
          <w:trHeight w:val="21"/>
        </w:trPr>
        <w:tc>
          <w:tcPr>
            <w:tcW w:w="466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Proceeds, before expenses, to Clearway Energy, Inc.(1)</w:t>
            </w:r>
          </w:p>
        </w:tc>
        <w:tc>
          <w:tcPr>
            <w:tcW w:w="1820" w:type="dxa"/>
            <w:vAlign w:val="bottom"/>
          </w:tcPr>
          <w:p>
            <w:pPr>
              <w:jc w:val="right"/>
              <w:ind w:right="85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97"/>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2"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We refer you to "Underwriting" beginning on page S-31 of this prospectus supplement for additional information regarding underwriter compensation and expenses of the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150495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left="360"/>
        <w:spacing w:after="0"/>
        <w:tabs>
          <w:tab w:leader="none" w:pos="5880" w:val="left"/>
        </w:tabs>
        <w:rPr>
          <w:sz w:val="20"/>
          <w:szCs w:val="20"/>
          <w:color w:val="auto"/>
        </w:rPr>
      </w:pPr>
      <w:r>
        <w:rPr>
          <w:rFonts w:ascii="Arial" w:cs="Arial" w:eastAsia="Arial" w:hAnsi="Arial"/>
          <w:sz w:val="16"/>
          <w:szCs w:val="16"/>
          <w:color w:val="auto"/>
        </w:rPr>
        <w:t>The underwriter expects to deliver the shares against payment on December</w:t>
        <w:tab/>
        <w:t>, 2019.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RBC Capital Markets</w:t>
      </w:r>
    </w:p>
    <w:p>
      <w:pPr>
        <w:sectPr>
          <w:pgSz w:w="11900" w:h="16838" w:orient="portrait"/>
          <w:cols w:equalWidth="0" w:num="1">
            <w:col w:w="11420"/>
          </w:cols>
          <w:pgMar w:left="240" w:top="685" w:right="239" w:bottom="647" w:gutter="0" w:footer="0" w:header="0"/>
        </w:sectPr>
      </w:pPr>
    </w:p>
    <w:p>
      <w:pPr>
        <w:spacing w:after="0" w:line="200" w:lineRule="exact"/>
        <w:rPr>
          <w:sz w:val="24"/>
          <w:szCs w:val="24"/>
          <w:color w:val="auto"/>
        </w:rPr>
      </w:pPr>
    </w:p>
    <w:p>
      <w:pPr>
        <w:spacing w:after="0" w:line="329" w:lineRule="exact"/>
        <w:rPr>
          <w:sz w:val="24"/>
          <w:szCs w:val="24"/>
          <w:color w:val="auto"/>
        </w:rPr>
      </w:pPr>
    </w:p>
    <w:p>
      <w:pPr>
        <w:ind w:left="3940"/>
        <w:spacing w:after="0"/>
        <w:tabs>
          <w:tab w:leader="none" w:pos="7020" w:val="left"/>
        </w:tabs>
        <w:rPr>
          <w:sz w:val="20"/>
          <w:szCs w:val="20"/>
          <w:color w:val="auto"/>
        </w:rPr>
      </w:pPr>
      <w:r>
        <w:rPr>
          <w:rFonts w:ascii="Arial" w:cs="Arial" w:eastAsia="Arial" w:hAnsi="Arial"/>
          <w:sz w:val="18"/>
          <w:szCs w:val="18"/>
          <w:color w:val="auto"/>
        </w:rPr>
        <w:t>Prospectus supplement dated</w:t>
      </w:r>
      <w:r>
        <w:rPr>
          <w:sz w:val="20"/>
          <w:szCs w:val="20"/>
          <w:color w:val="auto"/>
        </w:rPr>
        <w:tab/>
      </w:r>
      <w:r>
        <w:rPr>
          <w:rFonts w:ascii="Arial" w:cs="Arial" w:eastAsia="Arial" w:hAnsi="Arial"/>
          <w:sz w:val="15"/>
          <w:szCs w:val="15"/>
          <w:color w:val="auto"/>
        </w:rPr>
        <w:t>,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64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780" w:type="dxa"/>
            <w:vAlign w:val="bottom"/>
            <w:gridSpan w:val="2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60" w:type="dxa"/>
            <w:vAlign w:val="bottom"/>
            <w:gridSpan w:val="2"/>
          </w:tcPr>
          <w:p>
            <w:pPr>
              <w:jc w:val="center"/>
              <w:ind w:right="3100"/>
              <w:spacing w:after="0"/>
              <w:rPr>
                <w:sz w:val="20"/>
                <w:szCs w:val="20"/>
                <w:color w:val="auto"/>
              </w:rPr>
            </w:pPr>
            <w:r>
              <w:rPr>
                <w:rFonts w:ascii="Arial" w:cs="Arial" w:eastAsia="Arial" w:hAnsi="Arial"/>
                <w:sz w:val="18"/>
                <w:szCs w:val="18"/>
                <w:b w:val="1"/>
                <w:bCs w:val="1"/>
                <w:color w:val="auto"/>
                <w:w w:val="96"/>
              </w:rPr>
              <w:t>TABLE OF CONTENTS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gridSpan w:val="3"/>
          </w:tcPr>
          <w:p>
            <w:pPr>
              <w:jc w:val="center"/>
              <w:ind w:right="2340"/>
              <w:spacing w:after="0"/>
              <w:rPr>
                <w:sz w:val="20"/>
                <w:szCs w:val="20"/>
                <w:color w:val="auto"/>
              </w:rPr>
            </w:pPr>
            <w:r>
              <w:rPr>
                <w:rFonts w:ascii="Arial" w:cs="Arial" w:eastAsia="Arial" w:hAnsi="Arial"/>
                <w:sz w:val="18"/>
                <w:szCs w:val="18"/>
                <w:b w:val="1"/>
                <w:bCs w:val="1"/>
                <w:color w:val="auto"/>
                <w:w w:val="95"/>
              </w:rPr>
              <w:t>PROSPECTUS SUPPLEMENT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24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About this Prospectus Supplement</w:t>
              </w:r>
            </w:hyperlink>
          </w:p>
        </w:tc>
        <w:tc>
          <w:tcPr>
            <w:tcW w:w="62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0000EE"/>
            </w:tcBorders>
            <w:gridSpan w:val="3"/>
          </w:tcPr>
          <w:p>
            <w:pPr>
              <w:jc w:val="right"/>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S-iv</w:t>
              </w:r>
            </w:hyperlink>
          </w:p>
        </w:tc>
      </w:tr>
      <w:tr>
        <w:trPr>
          <w:trHeight w:val="196"/>
        </w:trPr>
        <w:tc>
          <w:tcPr>
            <w:tcW w:w="1140" w:type="dxa"/>
            <w:vAlign w:val="bottom"/>
          </w:tcPr>
          <w:p>
            <w:pPr>
              <w:spacing w:after="0"/>
              <w:rPr>
                <w:sz w:val="17"/>
                <w:szCs w:val="17"/>
                <w:color w:val="auto"/>
              </w:rPr>
            </w:pPr>
          </w:p>
        </w:tc>
        <w:tc>
          <w:tcPr>
            <w:tcW w:w="20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656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S-iv</w:t>
              </w:r>
            </w:hyperlink>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Summary</w:t>
              </w:r>
            </w:hyperlink>
          </w:p>
        </w:tc>
        <w:tc>
          <w:tcPr>
            <w:tcW w:w="7940" w:type="dxa"/>
            <w:vAlign w:val="bottom"/>
            <w:gridSpan w:val="17"/>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0"/>
                <w:szCs w:val="10"/>
                <w:color w:val="0000EE"/>
                <w:w w:val="76"/>
              </w:rPr>
            </w:pPr>
            <w:hyperlink w:anchor="page7">
              <w:r>
                <w:rPr>
                  <w:rFonts w:ascii="Arial" w:cs="Arial" w:eastAsia="Arial" w:hAnsi="Arial"/>
                  <w:sz w:val="10"/>
                  <w:szCs w:val="10"/>
                  <w:color w:val="0000EE"/>
                  <w:w w:val="76"/>
                </w:rPr>
                <w:t>S-1</w:t>
              </w:r>
            </w:hyperlink>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Offering</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2"/>
          </w:tcPr>
          <w:p>
            <w:pPr>
              <w:jc w:val="right"/>
              <w:spacing w:after="0"/>
              <w:rPr>
                <w:rFonts w:ascii="Arial" w:cs="Arial" w:eastAsia="Arial" w:hAnsi="Arial"/>
                <w:sz w:val="10"/>
                <w:szCs w:val="10"/>
                <w:color w:val="0000EE"/>
                <w:w w:val="76"/>
              </w:rPr>
            </w:pPr>
            <w:hyperlink w:anchor="page15">
              <w:r>
                <w:rPr>
                  <w:rFonts w:ascii="Arial" w:cs="Arial" w:eastAsia="Arial" w:hAnsi="Arial"/>
                  <w:sz w:val="10"/>
                  <w:szCs w:val="10"/>
                  <w:color w:val="0000EE"/>
                  <w:w w:val="76"/>
                </w:rPr>
                <w:t>S-9</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Summary Historical Financial Data</w:t>
              </w:r>
            </w:hyperlink>
          </w:p>
        </w:tc>
        <w:tc>
          <w:tcPr>
            <w:tcW w:w="340" w:type="dxa"/>
            <w:vAlign w:val="bottom"/>
            <w:gridSpan w:val="4"/>
          </w:tcPr>
          <w:p>
            <w:pPr>
              <w:jc w:val="right"/>
              <w:spacing w:after="0" w:line="19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S-12</w:t>
              </w:r>
            </w:hyperlink>
          </w:p>
        </w:tc>
      </w:tr>
      <w:tr>
        <w:trPr>
          <w:trHeight w:val="196"/>
        </w:trPr>
        <w:tc>
          <w:tcPr>
            <w:tcW w:w="11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Risk Factors</w:t>
              </w:r>
            </w:hyperlink>
          </w:p>
        </w:tc>
        <w:tc>
          <w:tcPr>
            <w:tcW w:w="1600" w:type="dxa"/>
            <w:vAlign w:val="bottom"/>
            <w:tcBorders>
              <w:top w:val="single" w:sz="8" w:color="0000EE"/>
            </w:tcBorders>
            <w:gridSpan w:val="12"/>
          </w:tcPr>
          <w:p>
            <w:pPr>
              <w:spacing w:after="0"/>
              <w:rPr>
                <w:sz w:val="17"/>
                <w:szCs w:val="17"/>
                <w:color w:val="auto"/>
              </w:rPr>
            </w:pPr>
          </w:p>
        </w:tc>
        <w:tc>
          <w:tcPr>
            <w:tcW w:w="6140" w:type="dxa"/>
            <w:vAlign w:val="bottom"/>
            <w:gridSpan w:val="4"/>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S-13</w:t>
              </w:r>
            </w:hyperlink>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Use of Proceeds</w:t>
              </w:r>
            </w:hyperlink>
          </w:p>
        </w:tc>
        <w:tc>
          <w:tcPr>
            <w:tcW w:w="7480" w:type="dxa"/>
            <w:vAlign w:val="bottom"/>
            <w:gridSpan w:val="12"/>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S-20</w:t>
              </w:r>
            </w:hyperlink>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Capitalization</w:t>
              </w:r>
            </w:hyperlink>
          </w:p>
        </w:tc>
        <w:tc>
          <w:tcPr>
            <w:tcW w:w="7640" w:type="dxa"/>
            <w:vAlign w:val="bottom"/>
            <w:gridSpan w:val="13"/>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S-21</w:t>
              </w:r>
            </w:hyperlink>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Our Common Stock</w:t>
              </w:r>
            </w:hyperlink>
          </w:p>
        </w:tc>
        <w:tc>
          <w:tcPr>
            <w:tcW w:w="340" w:type="dxa"/>
            <w:vAlign w:val="bottom"/>
            <w:gridSpan w:val="4"/>
          </w:tcPr>
          <w:p>
            <w:pPr>
              <w:jc w:val="right"/>
              <w:spacing w:after="0" w:line="19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S-23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Cash Dividend Policy</w:t>
              </w:r>
            </w:hyperlink>
          </w:p>
        </w:tc>
        <w:tc>
          <w:tcPr>
            <w:tcW w:w="7080" w:type="dxa"/>
            <w:vAlign w:val="bottom"/>
            <w:gridSpan w:val="10"/>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S-24</w:t>
              </w:r>
            </w:hyperlink>
          </w:p>
        </w:tc>
      </w:tr>
      <w:tr>
        <w:trPr>
          <w:trHeight w:val="196"/>
        </w:trPr>
        <w:tc>
          <w:tcPr>
            <w:tcW w:w="1140" w:type="dxa"/>
            <w:vAlign w:val="bottom"/>
          </w:tcPr>
          <w:p>
            <w:pPr>
              <w:spacing w:after="0"/>
              <w:rPr>
                <w:sz w:val="17"/>
                <w:szCs w:val="17"/>
                <w:color w:val="auto"/>
              </w:rPr>
            </w:pPr>
          </w:p>
        </w:tc>
        <w:tc>
          <w:tcPr>
            <w:tcW w:w="50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Material U.S. Federal Income Tax Consequences To Non-U.S. Holders</w:t>
              </w:r>
            </w:hyperlink>
          </w:p>
        </w:tc>
        <w:tc>
          <w:tcPr>
            <w:tcW w:w="364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S-27</w:t>
              </w:r>
            </w:hyperlink>
          </w:p>
        </w:tc>
      </w:tr>
      <w:tr>
        <w:trPr>
          <w:trHeight w:val="196"/>
        </w:trPr>
        <w:tc>
          <w:tcPr>
            <w:tcW w:w="114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Underwriting</w:t>
              </w:r>
            </w:hyperlink>
          </w:p>
        </w:tc>
        <w:tc>
          <w:tcPr>
            <w:tcW w:w="7680" w:type="dxa"/>
            <w:vAlign w:val="bottom"/>
            <w:gridSpan w:val="15"/>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S-31</w:t>
              </w:r>
            </w:hyperlink>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340" w:type="dxa"/>
            <w:vAlign w:val="bottom"/>
            <w:gridSpan w:val="4"/>
          </w:tcPr>
          <w:p>
            <w:pPr>
              <w:jc w:val="right"/>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S-38</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7660" w:type="dxa"/>
            <w:vAlign w:val="bottom"/>
            <w:gridSpan w:val="14"/>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S-38</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Incorporation of Certain Information by Reference</w:t>
              </w:r>
            </w:hyperlink>
          </w:p>
        </w:tc>
        <w:tc>
          <w:tcPr>
            <w:tcW w:w="5060" w:type="dxa"/>
            <w:vAlign w:val="bottom"/>
            <w:gridSpan w:val="2"/>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S-38</w:t>
              </w:r>
            </w:hyperlink>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340" w:type="dxa"/>
            <w:vAlign w:val="bottom"/>
            <w:gridSpan w:val="4"/>
          </w:tcPr>
          <w:p>
            <w:pPr>
              <w:jc w:val="right"/>
              <w:spacing w:after="0" w:line="196" w:lineRule="exact"/>
              <w:rPr>
                <w:rFonts w:ascii="Arial" w:cs="Arial" w:eastAsia="Arial" w:hAnsi="Arial"/>
                <w:sz w:val="18"/>
                <w:szCs w:val="18"/>
                <w:color w:val="0000EE"/>
                <w:w w:val="84"/>
              </w:rPr>
            </w:pPr>
            <w:hyperlink w:anchor="page45">
              <w:r>
                <w:rPr>
                  <w:rFonts w:ascii="Arial" w:cs="Arial" w:eastAsia="Arial" w:hAnsi="Arial"/>
                  <w:sz w:val="18"/>
                  <w:szCs w:val="18"/>
                  <w:color w:val="0000EE"/>
                  <w:w w:val="84"/>
                </w:rPr>
                <w:t>S-39</w:t>
              </w:r>
            </w:hyperlink>
          </w:p>
        </w:tc>
      </w:tr>
      <w:tr>
        <w:trPr>
          <w:trHeight w:val="667"/>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5060" w:type="dxa"/>
            <w:vAlign w:val="bottom"/>
            <w:gridSpan w:val="2"/>
          </w:tcPr>
          <w:p>
            <w:pPr>
              <w:jc w:val="center"/>
              <w:ind w:right="3100"/>
              <w:spacing w:after="0"/>
              <w:rPr>
                <w:sz w:val="20"/>
                <w:szCs w:val="20"/>
                <w:color w:val="auto"/>
              </w:rPr>
            </w:pPr>
            <w:r>
              <w:rPr>
                <w:rFonts w:ascii="Arial" w:cs="Arial" w:eastAsia="Arial" w:hAnsi="Arial"/>
                <w:sz w:val="18"/>
                <w:szCs w:val="18"/>
                <w:b w:val="1"/>
                <w:bCs w:val="1"/>
                <w:color w:val="auto"/>
                <w:w w:val="93"/>
              </w:rPr>
              <w:t>PROSPECTUS</w:t>
            </w: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1560" w:type="dxa"/>
            <w:vAlign w:val="bottom"/>
            <w:gridSpan w:val="10"/>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About this Prospectus</w:t>
              </w:r>
            </w:hyperlink>
          </w:p>
        </w:tc>
        <w:tc>
          <w:tcPr>
            <w:tcW w:w="708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gridSpan w:val="2"/>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1420" w:type="dxa"/>
            <w:vAlign w:val="bottom"/>
            <w:tcBorders>
              <w:right w:val="single" w:sz="8" w:color="0000EE"/>
            </w:tcBorders>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80" w:type="dxa"/>
            <w:vAlign w:val="bottom"/>
            <w:gridSpan w:val="12"/>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Forward-Looking Statements</w:t>
              </w:r>
            </w:hyperlink>
          </w:p>
        </w:tc>
        <w:tc>
          <w:tcPr>
            <w:tcW w:w="656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2"/>
          </w:tcPr>
          <w:p>
            <w:pPr>
              <w:jc w:val="right"/>
              <w:spacing w:after="0" w:line="196"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iii</w:t>
              </w:r>
            </w:hyperlink>
          </w:p>
        </w:tc>
      </w:tr>
      <w:tr>
        <w:trPr>
          <w:trHeight w:val="196"/>
        </w:trPr>
        <w:tc>
          <w:tcPr>
            <w:tcW w:w="1140" w:type="dxa"/>
            <w:vAlign w:val="bottom"/>
          </w:tcPr>
          <w:p>
            <w:pPr>
              <w:spacing w:after="0"/>
              <w:rPr>
                <w:sz w:val="17"/>
                <w:szCs w:val="17"/>
                <w:color w:val="auto"/>
              </w:rPr>
            </w:pPr>
          </w:p>
        </w:tc>
        <w:tc>
          <w:tcPr>
            <w:tcW w:w="700" w:type="dxa"/>
            <w:vAlign w:val="bottom"/>
            <w:tcBorders>
              <w:top w:val="single" w:sz="8" w:color="0000EE"/>
            </w:tcBorders>
            <w:gridSpan w:val="3"/>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Summary</w:t>
              </w:r>
            </w:hyperlink>
          </w:p>
        </w:tc>
        <w:tc>
          <w:tcPr>
            <w:tcW w:w="1380" w:type="dxa"/>
            <w:vAlign w:val="bottom"/>
            <w:tcBorders>
              <w:top w:val="single" w:sz="8" w:color="0000EE"/>
            </w:tcBorders>
            <w:gridSpan w:val="9"/>
          </w:tcPr>
          <w:p>
            <w:pPr>
              <w:spacing w:after="0"/>
              <w:rPr>
                <w:sz w:val="17"/>
                <w:szCs w:val="17"/>
                <w:color w:val="auto"/>
              </w:rPr>
            </w:pPr>
          </w:p>
        </w:tc>
        <w:tc>
          <w:tcPr>
            <w:tcW w:w="6560" w:type="dxa"/>
            <w:vAlign w:val="bottom"/>
            <w:gridSpan w:val="8"/>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4"/>
          </w:tcPr>
          <w:p>
            <w:pPr>
              <w:spacing w:after="0" w:line="196"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Risk Factors</w:t>
              </w:r>
            </w:hyperlink>
          </w:p>
        </w:tc>
        <w:tc>
          <w:tcPr>
            <w:tcW w:w="7740" w:type="dxa"/>
            <w:vAlign w:val="bottom"/>
            <w:gridSpan w:val="16"/>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8"/>
          </w:tcPr>
          <w:p>
            <w:pPr>
              <w:spacing w:after="0" w:line="196"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Use of Proceeds</w:t>
              </w:r>
            </w:hyperlink>
          </w:p>
        </w:tc>
        <w:tc>
          <w:tcPr>
            <w:tcW w:w="7480" w:type="dxa"/>
            <w:vAlign w:val="bottom"/>
            <w:gridSpan w:val="12"/>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Ratio of Earnings to Fixed Charges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420" w:type="dxa"/>
            <w:vAlign w:val="bottom"/>
            <w:tcBorders>
              <w:right w:val="single" w:sz="8" w:color="0000EE"/>
            </w:tcBorders>
            <w:gridSpan w:val="9"/>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20" w:type="dxa"/>
            <w:vAlign w:val="bottom"/>
            <w:gridSpan w:val="11"/>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Description of Capital Stock</w:t>
              </w:r>
            </w:hyperlink>
          </w:p>
        </w:tc>
        <w:tc>
          <w:tcPr>
            <w:tcW w:w="460" w:type="dxa"/>
            <w:vAlign w:val="bottom"/>
            <w:gridSpan w:val="4"/>
          </w:tcPr>
          <w:p>
            <w:pPr>
              <w:spacing w:after="0"/>
              <w:rPr>
                <w:sz w:val="17"/>
                <w:szCs w:val="17"/>
                <w:color w:val="auto"/>
              </w:rPr>
            </w:pPr>
          </w:p>
        </w:tc>
        <w:tc>
          <w:tcPr>
            <w:tcW w:w="6160" w:type="dxa"/>
            <w:vAlign w:val="bottom"/>
            <w:gridSpan w:val="5"/>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20" w:type="dxa"/>
            <w:vAlign w:val="bottom"/>
            <w:tcBorders>
              <w:right w:val="single" w:sz="8" w:color="0000EE"/>
            </w:tcBorders>
            <w:gridSpan w:val="9"/>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Debt Securities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13</w:t>
              </w:r>
            </w:hyperlink>
          </w:p>
        </w:tc>
      </w:tr>
      <w:tr>
        <w:trPr>
          <w:trHeight w:val="196"/>
        </w:trPr>
        <w:tc>
          <w:tcPr>
            <w:tcW w:w="1140" w:type="dxa"/>
            <w:vAlign w:val="bottom"/>
          </w:tcPr>
          <w:p>
            <w:pPr>
              <w:spacing w:after="0"/>
              <w:rPr>
                <w:sz w:val="17"/>
                <w:szCs w:val="17"/>
                <w:color w:val="auto"/>
              </w:rPr>
            </w:pPr>
          </w:p>
        </w:tc>
        <w:tc>
          <w:tcPr>
            <w:tcW w:w="2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Plan of Distribution</w:t>
              </w:r>
            </w:hyperlink>
          </w:p>
        </w:tc>
        <w:tc>
          <w:tcPr>
            <w:tcW w:w="6500" w:type="dxa"/>
            <w:vAlign w:val="bottom"/>
            <w:gridSpan w:val="7"/>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Borders>
              <w:top w:val="single" w:sz="8" w:color="0000EE"/>
            </w:tcBorders>
            <w:gridSpan w:val="2"/>
          </w:tcPr>
          <w:p>
            <w:pPr>
              <w:jc w:val="right"/>
              <w:spacing w:after="0"/>
              <w:rPr>
                <w:rFonts w:ascii="Arial" w:cs="Arial" w:eastAsia="Arial" w:hAnsi="Arial"/>
                <w:sz w:val="15"/>
                <w:szCs w:val="15"/>
                <w:color w:val="0000EE"/>
                <w:w w:val="71"/>
              </w:rPr>
            </w:pPr>
            <w:hyperlink w:anchor="page66">
              <w:r>
                <w:rPr>
                  <w:rFonts w:ascii="Arial" w:cs="Arial" w:eastAsia="Arial" w:hAnsi="Arial"/>
                  <w:sz w:val="15"/>
                  <w:szCs w:val="15"/>
                  <w:color w:val="0000EE"/>
                  <w:w w:val="71"/>
                </w:rPr>
                <w:t>16</w:t>
              </w:r>
            </w:hyperlink>
          </w:p>
        </w:tc>
      </w:tr>
      <w:tr>
        <w:trPr>
          <w:trHeight w:val="196"/>
        </w:trPr>
        <w:tc>
          <w:tcPr>
            <w:tcW w:w="1140" w:type="dxa"/>
            <w:vAlign w:val="bottom"/>
          </w:tcPr>
          <w:p>
            <w:pPr>
              <w:spacing w:after="0"/>
              <w:rPr>
                <w:sz w:val="17"/>
                <w:szCs w:val="17"/>
                <w:color w:val="auto"/>
              </w:rPr>
            </w:pPr>
          </w:p>
        </w:tc>
        <w:tc>
          <w:tcPr>
            <w:tcW w:w="14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Legal Matters</w:t>
              </w:r>
            </w:hyperlink>
          </w:p>
        </w:tc>
        <w:tc>
          <w:tcPr>
            <w:tcW w:w="7220" w:type="dxa"/>
            <w:vAlign w:val="bottom"/>
            <w:gridSpan w:val="11"/>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Borders>
              <w:top w:val="single" w:sz="8" w:color="0000EE"/>
            </w:tcBorders>
            <w:gridSpan w:val="2"/>
          </w:tcPr>
          <w:p>
            <w:pPr>
              <w:jc w:val="right"/>
              <w:spacing w:after="0"/>
              <w:rPr>
                <w:rFonts w:ascii="Arial" w:cs="Arial" w:eastAsia="Arial" w:hAnsi="Arial"/>
                <w:sz w:val="15"/>
                <w:szCs w:val="15"/>
                <w:color w:val="0000EE"/>
                <w:w w:val="71"/>
              </w:rPr>
            </w:pPr>
            <w:hyperlink w:anchor="page68">
              <w:r>
                <w:rPr>
                  <w:rFonts w:ascii="Arial" w:cs="Arial" w:eastAsia="Arial" w:hAnsi="Arial"/>
                  <w:sz w:val="15"/>
                  <w:szCs w:val="15"/>
                  <w:color w:val="0000EE"/>
                  <w:w w:val="71"/>
                </w:rPr>
                <w:t>18</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Experts</w:t>
              </w:r>
            </w:hyperlink>
          </w:p>
        </w:tc>
        <w:tc>
          <w:tcPr>
            <w:tcW w:w="7660" w:type="dxa"/>
            <w:vAlign w:val="bottom"/>
            <w:gridSpan w:val="14"/>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Borders>
              <w:top w:val="single" w:sz="8" w:color="0000EE"/>
            </w:tcBorders>
            <w:gridSpan w:val="2"/>
          </w:tcPr>
          <w:p>
            <w:pPr>
              <w:jc w:val="right"/>
              <w:spacing w:after="0"/>
              <w:rPr>
                <w:rFonts w:ascii="Arial" w:cs="Arial" w:eastAsia="Arial" w:hAnsi="Arial"/>
                <w:sz w:val="15"/>
                <w:szCs w:val="15"/>
                <w:color w:val="0000EE"/>
                <w:w w:val="71"/>
              </w:rPr>
            </w:pPr>
            <w:hyperlink w:anchor="page68">
              <w:r>
                <w:rPr>
                  <w:rFonts w:ascii="Arial" w:cs="Arial" w:eastAsia="Arial" w:hAnsi="Arial"/>
                  <w:sz w:val="15"/>
                  <w:szCs w:val="15"/>
                  <w:color w:val="0000EE"/>
                  <w:w w:val="71"/>
                </w:rPr>
                <w:t>18</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Incorporation by Reference of Certain Information</w:t>
              </w:r>
            </w:hyperlink>
          </w:p>
        </w:tc>
        <w:tc>
          <w:tcPr>
            <w:tcW w:w="506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68">
              <w:r>
                <w:rPr>
                  <w:rFonts w:ascii="Arial" w:cs="Arial" w:eastAsia="Arial" w:hAnsi="Arial"/>
                  <w:sz w:val="15"/>
                  <w:szCs w:val="15"/>
                  <w:color w:val="0000EE"/>
                  <w:w w:val="71"/>
                </w:rPr>
                <w:t>18</w:t>
              </w:r>
            </w:hyperlink>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Where You Can Find More Information</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231" w:lineRule="exact"/>
        <w:rPr>
          <w:sz w:val="20"/>
          <w:szCs w:val="20"/>
          <w:color w:val="auto"/>
        </w:rPr>
      </w:pPr>
    </w:p>
    <w:p>
      <w:pPr>
        <w:ind w:right="20" w:firstLine="341"/>
        <w:spacing w:after="0" w:line="284" w:lineRule="auto"/>
        <w:rPr>
          <w:sz w:val="20"/>
          <w:szCs w:val="20"/>
          <w:color w:val="auto"/>
        </w:rPr>
      </w:pPr>
      <w:r>
        <w:rPr>
          <w:rFonts w:ascii="Arial" w:cs="Arial" w:eastAsia="Arial" w:hAnsi="Arial"/>
          <w:sz w:val="16"/>
          <w:szCs w:val="16"/>
          <w:color w:val="auto"/>
        </w:rPr>
        <w:t>A number of our subsidiaries are "public utilities" (as defined in the Federal Power Act ("FPA")) subject to the jurisdiction of the U.S. Federal Energy Regulatory Commission ("FERC") because they own or operate FERC jurisdictional facilities, including certain generation interconnection facilities and various "paper" facilities, such as wholesale power sales contracts and market based rate tariffs. The FPA requires us either to obtain prior authorization from FERC prior to the transfer of an amount of our Class A common stock or Class C common stock sufficient to convey direct or indirect "control" over any of our public utility subsidiaries or to qualify for a blanket authorization granted under FERC's regulations for certain types of transfers generally deemed by FERC not to convey direct or indirect "control." We intend to conduct this offering in a manner consistent with FERC's guidance on "control" and the requirements for blanket authorizations granted under FERC's regulations. Our Restated Certificate of Incorporation (our "Charter") prohibits any person and any of its associate or affiliate companies in the aggregate, any "public utility" (as defined in the FPA), or any "holding company" (as defined in the Public Utility Holding Company Act of 2005 ("PUHCA")) from acquiring, through this offering or in subsequent purchases other than secondary market transactions (as discussed under "Business—Regulatory Matters—FERC" and "Business—Regulatory Matters" in our Annual Report on Form 10-K for the year ended December 31, 2018 filed on February 28, 2019 (our "2018 Annual Report")), an amount of our Class A common stock or Class C common stock sufficient to convey direct or indirect "control" over any of our public utility subsidiaries without the prior written consent of our board of directors (our "Board"). For the purposes of this offering, "control" is defined to be a direct and/or indirect voting interest of 10% or more in any of the public utility subsidiaries of our direct subsidiary, Clearway Energy LLC (formerly NRG Yield LLC) ("Clearway LLC"). Because Clearway LLC indirectly owns as much as 100% of the voting interests in certain of these public utility subsidiaries, "control" of such public utility subsidiaries would be deemed to be present if the sum of (i) the percentage ownership of an individual investor and any of its associate or affiliate companies in the aggregate of Clearway Energy Group LLC's (formerly known as Zephyr Renewables LLC) ("CEG") voting securities multiplied by the aggregate voting power of each class of our common stock held, directly or indirectly, by CEG, plus (ii) such investor's percentage ownership of each class of our common stock multiplied by the aggregate voting power of each such class not held, directly or indirectly, by GIP (as defined below), exceeds 10%. "Control" could also be present, and pursuant to our Charter, prior written consent of our Board would be required, if the aggregate direct and/or indirect voting interest in us held by an individual investor and any of its associate or affiliate companies together with a separate investment in another public utility subsidiary of ours not wholly owned by Clearway LLC exceeded the 10% threshold. This prospectus supplement does not constitute an offer to sell any shares of our Class C common stock to any person in violation of these or any other provisions of our Charter.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Used in this Prospectus Supplement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indicates, references within this prospectus supplement to:</w:t>
      </w:r>
    </w:p>
    <w:p>
      <w:pPr>
        <w:spacing w:after="0" w:line="239" w:lineRule="exact"/>
        <w:rPr>
          <w:sz w:val="20"/>
          <w:szCs w:val="20"/>
          <w:color w:val="auto"/>
        </w:rPr>
      </w:pPr>
    </w:p>
    <w:p>
      <w:pPr>
        <w:ind w:left="1080" w:right="4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refers to EBITDA adjusted for mark-to-market gains or losses, asset write offs and impairments, and factors which the Company does not consider indicative of future operating performance;</w:t>
      </w:r>
    </w:p>
    <w:p>
      <w:pPr>
        <w:spacing w:after="0" w:line="21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"CAFD" or "cash available for distribution" for any particular period refers to Adjusted EBITDA plus cash distributions/return of investment from unconsolidated affiliates, adjustments to reflect CAFD generated by unconsolidated investments that are not 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paid, income taxes paid, principal amortization of indebtedness, Walnut Creek investment payments, and changes in prepaid and accrued capacity payments;</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"CEG" refers to Clearway Energy Group LLC, a Delaware limited liability company (formerly known as Zephyr Renewables LLC);</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"Clearway Inc." refers to Clearway Energy, Inc., a Delaware corporation (formerly known as NRG Yield, Inc.), and the issuer of the shares of Class C common stock being offered hereby;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"Clearway LLC" refers to Clearway Energy LLC, a Delaware limited liability company (formerly known as NRG Yield LLC);</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"Clearway Operating LLC" refers to Clearway Energy Operating LLC, a Delaware limited liability company (formerly known as NRG Yield Operating LLC);</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"COD" refers to the commercial operation date of the applicable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"Code" refers to the U.S. Internal Revenue Code of 1986, as amended;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"DGCL" refers to Delaware General Corporation Law;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refers to earnings before interest, tax, depreciation and amortization;</w:t>
      </w:r>
    </w:p>
    <w:p>
      <w:pPr>
        <w:spacing w:after="0" w:line="238" w:lineRule="exact"/>
        <w:rPr>
          <w:rFonts w:ascii="Arial" w:cs="Arial" w:eastAsia="Arial" w:hAnsi="Arial"/>
          <w:sz w:val="18"/>
          <w:szCs w:val="18"/>
          <w:color w:val="auto"/>
        </w:rPr>
      </w:pPr>
    </w:p>
    <w:p>
      <w:pPr>
        <w:jc w:val="both"/>
        <w:ind w:left="1080" w:right="30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"GIP" collectively, refers to Global Infrastructure Partners III-C Intermediate AIV 3, L.P., Global Infrastructure Partners III-A/B AIV 3, L.P., Global Infrastructure Partners III-C Intermediate AIV 2, L.P., Global Infrastructure Partners III-C2 Intermediate AIV, L.P. and GIP III Zephyr Friends &amp; Family, LLC;</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"IRS" refers to the U.S. Internal Revenue Service;</w:t>
      </w:r>
    </w:p>
    <w:p>
      <w:pPr>
        <w:spacing w:after="0" w:line="252"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"membership interest" refers to the ownership interest in the applicable entity, including such economic interest and right, if any, to participate in the management of the business and affairs of the entity, including the right, if any, to vote on, consent to or otherwise participate in any decision or action of or by the members of the entity and the right to receive information concerning the business and affairs of the entity, in each case to the extent expressly provided in the relevant operating agreement;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"MW" refers to Megawatts;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"MWt" refers to Megawatt Thermal Equivalents;</w:t>
      </w:r>
    </w:p>
    <w:p>
      <w:pPr>
        <w:spacing w:after="0" w:line="252" w:lineRule="exact"/>
        <w:rPr>
          <w:rFonts w:ascii="Arial" w:cs="Arial" w:eastAsia="Arial" w:hAnsi="Arial"/>
          <w:sz w:val="18"/>
          <w:szCs w:val="18"/>
          <w:color w:val="auto"/>
        </w:rPr>
      </w:pPr>
    </w:p>
    <w:p>
      <w:pPr>
        <w:ind w:left="1080" w:right="50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capacity" or "net MW" refers to the maximum, or rated, power generating capacity, in MW or MWt, of a facility or group of facilities multiplied by our percentage ownership interest in such facility as of the date of this prospectus supplement;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"NOLs" refers to Net Operating Losses;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"NRG" refers to NRG Energy, Inc., a Delaware corporation, and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"renewable" refers to wind or solar;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managing member" means Clearway Inc., the sole managing member of Clearway LLC having the sole power to manage the business of Clearway LLC and all powers and rights necessary, appropriate or advisable to effectuate and carry out the purposes and business of Clearway LLC.</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This document is in two parts. The first part consists of this prospectus supplement, which describes the specific terms of this offering. The second part consists of the accompanying prospectus, which gives more general information, some of which may not be applicable to this offering.</w:t>
      </w:r>
    </w:p>
    <w:p>
      <w:pPr>
        <w:spacing w:after="0" w:line="139"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If the description of the offering varies between this prospectus supplement and the accompanying prospectus, you should rely on the information in this prospectus supplement. You should rely only on the information contained or incorporated by reference in this prospectus supplement and the accompanying prospectus.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not, and the underwriter has not, authorized any other person to provide you with different information. If anyone provides you with different or inconsistent information, you should not rely on it. We are not, and the underwriter is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context otherwise requires or as otherwise expressly stated, references in this prospectus to "Clearway Energy," "the Company," "we," "us" and "our" and similar terms refer to Clearway Energy, Inc. and its direct and indirect subsidiaries on a consolidated basis. References in this prospectus to Clearway Inc. refer to Clearway Energy, Inc. and not any of its subsidiaries, unless the context otherwise requires. References to our "common stock" or our "preferred stock" refer to the common stock or preferred stock of Clearway Energy, Inc. and not any of its subsidiaries, unless the context otherwise requires.</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This prospectus supplement, including the information incorporated into this prospectus supplement by reference, contains "forward-looking statements" within the meaning of Section 27A of the Securities Act of 1933, as amended, (the "Securities Act") and Section 21E of the Securities Exchange Act of 1934, as amended, (the "Exchange Act"). All statements, other than statements of historical facts, that are included in or incorporated by reference into this prospectus supplement,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the factors described elsewhere in this prospectus supplement, under Item 1A—Risk Factors in Part I, of the 2018 Annual Report, as well as the following:</w:t>
      </w:r>
    </w:p>
    <w:p>
      <w:pPr>
        <w:spacing w:after="0" w:line="190"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risks related to the PG&amp;E Bankruptcy (as defined below);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grow our quarterly dividend;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risks related to our relationships with GIP and CEG;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transition services previously provided by NRG;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acquire assets from GIP or CEG;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238" w:lineRule="exact"/>
        <w:rPr>
          <w:rFonts w:ascii="Arial" w:cs="Arial" w:eastAsia="Arial" w:hAnsi="Arial"/>
          <w:sz w:val="18"/>
          <w:szCs w:val="18"/>
          <w:color w:val="auto"/>
        </w:rPr>
      </w:pPr>
    </w:p>
    <w:p>
      <w:pPr>
        <w:ind w:left="1080" w:right="40" w:hanging="532"/>
        <w:spacing w:after="0" w:line="294"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183"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willingness and ability of counterparties to our offtake agreements to fulfill their obligations under such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enter into contracts to sell power and procure fuel on acceptable terms and prices as current offtake agreements expire;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275"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and financial restrictions placed on us that are contained in the project-level debt facilities and other agreements of certain subsidiaries and project-level subsidiaries generally, in our revolving credit facility, in the indentures governing the $500.0 million aggregate principal amount of our 5.375% senior notes due 2024 (the "2024 Senior Notes"), the $600.0 million aggregate principal amount of our 5.750% unsecured senior notes due 2025 (the "2025 Senior Notes"), the $350.0 million aggregate principal amount of our 5.00% unsecured senior notes due 2026 (the "2026 Senior Notes"), and in the indenture governing the $45.0 million aggregate principal amount of our 3.25% convertible senior notes due 2020 (the "2020 Convertible Notes");</w:t>
      </w:r>
    </w:p>
    <w:p>
      <w:pPr>
        <w:spacing w:after="0" w:line="21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engage in successful mergers and acquisitions activity; and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borrow additional funds and access capital markets, as well as our substantial indebtedness and the possibility that we may incur additional indebtedness going forward.</w:t>
      </w:r>
    </w:p>
    <w:p>
      <w:pPr>
        <w:spacing w:after="0" w:line="186"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The foregoing review of factors that could cause our actual results to differ from those contemplated in any forward-looking statements included in this prospectus supplement or incorporated herein by reference should not be construed as exhaustive.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4832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83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left="240" w:firstLine="351"/>
        <w:spacing w:after="0" w:line="294" w:lineRule="auto"/>
        <w:rPr>
          <w:sz w:val="20"/>
          <w:szCs w:val="20"/>
          <w:color w:val="auto"/>
        </w:rPr>
      </w:pPr>
      <w:r>
        <w:rPr>
          <w:rFonts w:ascii="Arial" w:cs="Arial" w:eastAsia="Arial" w:hAnsi="Arial"/>
          <w:sz w:val="16"/>
          <w:szCs w:val="16"/>
          <w:i w:val="1"/>
          <w:iCs w:val="1"/>
          <w:color w:val="auto"/>
        </w:rPr>
        <w:t>This summary highlights selected information appearing elsewhere, or incorporated by reference, in this prospectus supplement. This summary is not complete and does not contain all of the information that you should consider before investing in shares of our Class C common stock. You should carefully read this summary together with the entire prospectus supplement, the accompanying prospectus, including the information set forth in the section entitled "Risk Factors" and the information that is incorporated by reference into this prospectus supplement. See the sections entitled "Available Information" and "Incorporation of Certain Information by Reference" for a further discussion on incorporation by reference.</w:t>
      </w:r>
    </w:p>
    <w:p>
      <w:pPr>
        <w:spacing w:after="0" w:line="170" w:lineRule="exact"/>
        <w:rPr>
          <w:sz w:val="20"/>
          <w:szCs w:val="20"/>
          <w:color w:val="auto"/>
        </w:rPr>
      </w:pPr>
    </w:p>
    <w:p>
      <w:pPr>
        <w:ind w:left="240" w:right="100" w:firstLine="351"/>
        <w:spacing w:after="0" w:line="306" w:lineRule="auto"/>
        <w:rPr>
          <w:sz w:val="20"/>
          <w:szCs w:val="20"/>
          <w:color w:val="auto"/>
        </w:rPr>
      </w:pPr>
      <w:r>
        <w:rPr>
          <w:rFonts w:ascii="Arial" w:cs="Arial" w:eastAsia="Arial" w:hAnsi="Arial"/>
          <w:sz w:val="16"/>
          <w:szCs w:val="16"/>
          <w:i w:val="1"/>
          <w:iCs w:val="1"/>
          <w:color w:val="auto"/>
        </w:rPr>
        <w:t>Unless the context otherwise requires or as otherwise indicated, references in this prospectus supplement to "we," "our," "us," "the Company" and "Clearway" refer to Clearway Inc., together with its consolidated subsidiaries, including Clearway LLC and Clearway Operating LLC. References in this prospectus supplement to Clearway Inc. refer to Clearway Energy, Inc. and not any of its subsidiaries, unless the context otherwise requires.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right="20" w:firstLine="348"/>
        <w:spacing w:after="0" w:line="306" w:lineRule="auto"/>
        <w:rPr>
          <w:sz w:val="20"/>
          <w:szCs w:val="20"/>
          <w:color w:val="auto"/>
        </w:rPr>
      </w:pPr>
      <w:r>
        <w:rPr>
          <w:rFonts w:ascii="Arial" w:cs="Arial" w:eastAsia="Arial" w:hAnsi="Arial"/>
          <w:sz w:val="16"/>
          <w:szCs w:val="16"/>
          <w:color w:val="auto"/>
        </w:rPr>
        <w:t>We are an energy infrastructure investor in and owner of modern, sustainable and long-term contracted assets across North America. We are indirectly owned by GIP. Global Infrastructure Management, LLC is an independent fund manager of funds that invests in infrastructure assets in the energy and transport sectors, and GIP is its third equity fund. We are sponsored by GIP through GIP's portfolio company, CEG.</w:t>
      </w:r>
    </w:p>
    <w:p>
      <w:pPr>
        <w:spacing w:after="0" w:line="161" w:lineRule="exact"/>
        <w:rPr>
          <w:sz w:val="20"/>
          <w:szCs w:val="20"/>
          <w:color w:val="auto"/>
        </w:rPr>
      </w:pPr>
    </w:p>
    <w:p>
      <w:pPr>
        <w:ind w:left="240" w:right="60" w:firstLine="351"/>
        <w:spacing w:after="0" w:line="291" w:lineRule="auto"/>
        <w:rPr>
          <w:sz w:val="20"/>
          <w:szCs w:val="20"/>
          <w:color w:val="auto"/>
        </w:rPr>
      </w:pPr>
      <w:r>
        <w:rPr>
          <w:rFonts w:ascii="Arial" w:cs="Arial" w:eastAsia="Arial" w:hAnsi="Arial"/>
          <w:sz w:val="16"/>
          <w:szCs w:val="16"/>
          <w:color w:val="auto"/>
        </w:rPr>
        <w:t>Our environmentally sound asset portfolio includes over 5,330 Megawatts ("MW") of wind, solar and natural gas-fired power generation facilities, as well as district energy systems. Through this diversified and contracted portfolio, we endeavor to provide our investors with stable and growing dividend income. Substantially all of our generation assets are under long-term contractual arrangements for the output or capacity from these assets. Our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GIP Transaction</w:t>
      </w:r>
    </w:p>
    <w:p>
      <w:pPr>
        <w:spacing w:after="0" w:line="231" w:lineRule="exact"/>
        <w:rPr>
          <w:sz w:val="20"/>
          <w:szCs w:val="20"/>
          <w:color w:val="auto"/>
        </w:rPr>
      </w:pPr>
    </w:p>
    <w:p>
      <w:pPr>
        <w:ind w:left="240" w:right="360" w:firstLine="351"/>
        <w:spacing w:after="0" w:line="306" w:lineRule="auto"/>
        <w:rPr>
          <w:sz w:val="20"/>
          <w:szCs w:val="20"/>
          <w:color w:val="auto"/>
        </w:rPr>
      </w:pPr>
      <w:r>
        <w:rPr>
          <w:rFonts w:ascii="Arial" w:cs="Arial" w:eastAsia="Arial" w:hAnsi="Arial"/>
          <w:sz w:val="16"/>
          <w:szCs w:val="16"/>
          <w:color w:val="auto"/>
        </w:rPr>
        <w:t>On August 31, 2018, NRG transferred its full ownership interest in Clearway Operating LLC to CEG, the holder of NRG's renewable energy development and operations platform, and NRG subsequently sold 100% of its interest in CEG to an affiliate of GIP. As a result of this, GIP indirectly acquired a 45.2% economic interest in Clearway LLC and a 55.0% voting interest in Clearway Operating LLC.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83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83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Committed Investments with CEG</w:t>
      </w:r>
    </w:p>
    <w:p>
      <w:pPr>
        <w:spacing w:after="0" w:line="231" w:lineRule="exact"/>
        <w:rPr>
          <w:sz w:val="20"/>
          <w:szCs w:val="20"/>
          <w:color w:val="auto"/>
        </w:rPr>
      </w:pPr>
    </w:p>
    <w:p>
      <w:pPr>
        <w:ind w:left="240" w:right="220" w:firstLine="348"/>
        <w:spacing w:after="0" w:line="268" w:lineRule="auto"/>
        <w:rPr>
          <w:sz w:val="20"/>
          <w:szCs w:val="20"/>
          <w:color w:val="auto"/>
        </w:rPr>
      </w:pPr>
      <w:r>
        <w:rPr>
          <w:rFonts w:ascii="Arial" w:cs="Arial" w:eastAsia="Arial" w:hAnsi="Arial"/>
          <w:sz w:val="18"/>
          <w:szCs w:val="18"/>
          <w:color w:val="auto"/>
        </w:rPr>
        <w:t>The assets listed below represent our currently committed investments in projects with CEG, as well as the assets subject to our ROFO Agreement with CEG (the "CEG ROFO Agreement"):</w:t>
      </w:r>
    </w:p>
    <w:p>
      <w:pPr>
        <w:spacing w:after="0" w:line="182"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Committed Investments</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Asset</w:t>
            </w: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Technology</w:t>
            </w:r>
          </w:p>
        </w:tc>
        <w:tc>
          <w:tcPr>
            <w:tcW w:w="1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(MW)</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State</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COD</w:t>
            </w:r>
          </w:p>
        </w:tc>
        <w:tc>
          <w:tcPr>
            <w:tcW w:w="0" w:type="dxa"/>
            <w:vAlign w:val="bottom"/>
          </w:tcPr>
          <w:p>
            <w:pPr>
              <w:spacing w:after="0"/>
              <w:rPr>
                <w:sz w:val="1"/>
                <w:szCs w:val="1"/>
                <w:color w:val="auto"/>
              </w:rPr>
            </w:pPr>
          </w:p>
        </w:tc>
      </w:tr>
      <w:tr>
        <w:trPr>
          <w:trHeight w:val="190"/>
        </w:trPr>
        <w:tc>
          <w:tcPr>
            <w:tcW w:w="138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86"/>
              </w:rPr>
              <w:t>Hawaii Solar Phase</w:t>
            </w:r>
          </w:p>
        </w:tc>
        <w:tc>
          <w:tcPr>
            <w:tcW w:w="4120" w:type="dxa"/>
            <w:vAlign w:val="bottom"/>
            <w:tcBorders>
              <w:top w:val="single" w:sz="8" w:color="CCEEFF"/>
            </w:tcBorders>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(a)</w:t>
            </w:r>
          </w:p>
        </w:tc>
        <w:tc>
          <w:tcPr>
            <w:tcW w:w="9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PV</w:t>
            </w:r>
          </w:p>
        </w:tc>
        <w:tc>
          <w:tcPr>
            <w:tcW w:w="72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Arial" w:cs="Arial" w:eastAsia="Arial" w:hAnsi="Arial"/>
                <w:sz w:val="18"/>
                <w:szCs w:val="18"/>
                <w:color w:val="auto"/>
                <w:w w:val="89"/>
              </w:rPr>
              <w:t>80</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HI</w:t>
            </w:r>
          </w:p>
        </w:tc>
        <w:tc>
          <w:tcPr>
            <w:tcW w:w="76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Arial" w:cs="Arial" w:eastAsia="Arial" w:hAnsi="Arial"/>
                <w:sz w:val="18"/>
                <w:szCs w:val="18"/>
                <w:color w:val="auto"/>
                <w:w w:val="84"/>
              </w:rPr>
              <w:t>2019</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Arial" w:cs="Arial" w:eastAsia="Arial" w:hAnsi="Arial"/>
                <w:sz w:val="18"/>
                <w:szCs w:val="18"/>
                <w:color w:val="auto"/>
              </w:rPr>
              <w:t>$33 MM remaining in distributed and community solar partnership</w:t>
            </w:r>
            <w:r>
              <w:rPr>
                <w:rFonts w:ascii="Arial" w:cs="Arial" w:eastAsia="Arial" w:hAnsi="Arial"/>
                <w:sz w:val="13"/>
                <w:szCs w:val="13"/>
                <w:color w:val="auto"/>
              </w:rPr>
              <w:t>(b)</w:t>
            </w:r>
          </w:p>
        </w:tc>
        <w:tc>
          <w:tcPr>
            <w:tcW w:w="980" w:type="dxa"/>
            <w:vAlign w:val="bottom"/>
          </w:tcPr>
          <w:p>
            <w:pPr>
              <w:spacing w:after="0"/>
              <w:rPr>
                <w:sz w:val="20"/>
                <w:szCs w:val="20"/>
                <w:color w:val="auto"/>
              </w:rPr>
            </w:pPr>
            <w:r>
              <w:rPr>
                <w:rFonts w:ascii="Arial" w:cs="Arial" w:eastAsia="Arial" w:hAnsi="Arial"/>
                <w:sz w:val="18"/>
                <w:szCs w:val="18"/>
                <w:color w:val="auto"/>
              </w:rPr>
              <w:t>PV</w:t>
            </w:r>
          </w:p>
        </w:tc>
        <w:tc>
          <w:tcPr>
            <w:tcW w:w="1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Repowering Partnership with CEG</w:t>
            </w:r>
            <w:r>
              <w:rPr>
                <w:rFonts w:ascii="Arial" w:cs="Arial" w:eastAsia="Arial" w:hAnsi="Arial"/>
                <w:sz w:val="13"/>
                <w:szCs w:val="13"/>
                <w:color w:val="auto"/>
              </w:rPr>
              <w:t>(c)</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7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283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4"/>
              </w:rPr>
              <w:t>2019</w:t>
            </w:r>
          </w:p>
        </w:tc>
        <w:tc>
          <w:tcPr>
            <w:tcW w:w="0" w:type="dxa"/>
            <w:vAlign w:val="bottom"/>
          </w:tcPr>
          <w:p>
            <w:pPr>
              <w:spacing w:after="0"/>
              <w:rPr>
                <w:sz w:val="1"/>
                <w:szCs w:val="1"/>
                <w:color w:val="auto"/>
              </w:rPr>
            </w:pPr>
          </w:p>
        </w:tc>
      </w:tr>
      <w:tr>
        <w:trPr>
          <w:trHeight w:val="810"/>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CEG ROFO</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Asset</w:t>
            </w: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Technology</w:t>
            </w:r>
          </w:p>
        </w:tc>
        <w:tc>
          <w:tcPr>
            <w:tcW w:w="1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(MW)</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State</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COD</w:t>
            </w:r>
          </w:p>
        </w:tc>
        <w:tc>
          <w:tcPr>
            <w:tcW w:w="0" w:type="dxa"/>
            <w:vAlign w:val="bottom"/>
          </w:tcPr>
          <w:p>
            <w:pPr>
              <w:spacing w:after="0"/>
              <w:rPr>
                <w:sz w:val="1"/>
                <w:szCs w:val="1"/>
                <w:color w:val="auto"/>
              </w:rPr>
            </w:pPr>
          </w:p>
        </w:tc>
      </w:tr>
      <w:tr>
        <w:trPr>
          <w:trHeight w:val="190"/>
        </w:trPr>
        <w:tc>
          <w:tcPr>
            <w:tcW w:w="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Mililani I</w:t>
            </w:r>
          </w:p>
        </w:tc>
        <w:tc>
          <w:tcPr>
            <w:tcW w:w="4780" w:type="dxa"/>
            <w:vAlign w:val="bottom"/>
            <w:tcBorders>
              <w:top w:val="single" w:sz="8" w:color="CCEEFF"/>
            </w:tcBorders>
            <w:gridSpan w:val="3"/>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PV</w:t>
            </w:r>
          </w:p>
        </w:tc>
        <w:tc>
          <w:tcPr>
            <w:tcW w:w="72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Arial" w:cs="Arial" w:eastAsia="Arial" w:hAnsi="Arial"/>
                <w:sz w:val="18"/>
                <w:szCs w:val="18"/>
                <w:color w:val="auto"/>
                <w:w w:val="89"/>
              </w:rPr>
              <w:t>39</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HI</w:t>
            </w:r>
          </w:p>
        </w:tc>
        <w:tc>
          <w:tcPr>
            <w:tcW w:w="76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Arial" w:cs="Arial" w:eastAsia="Arial" w:hAnsi="Arial"/>
                <w:sz w:val="18"/>
                <w:szCs w:val="18"/>
                <w:color w:val="auto"/>
              </w:rPr>
              <w:t>Waiawa</w:t>
            </w:r>
          </w:p>
        </w:tc>
        <w:tc>
          <w:tcPr>
            <w:tcW w:w="980" w:type="dxa"/>
            <w:vAlign w:val="bottom"/>
          </w:tcPr>
          <w:p>
            <w:pPr>
              <w:spacing w:after="0"/>
              <w:rPr>
                <w:sz w:val="20"/>
                <w:szCs w:val="20"/>
                <w:color w:val="auto"/>
              </w:rPr>
            </w:pPr>
            <w:r>
              <w:rPr>
                <w:rFonts w:ascii="Arial" w:cs="Arial" w:eastAsia="Arial" w:hAnsi="Arial"/>
                <w:sz w:val="18"/>
                <w:szCs w:val="18"/>
                <w:color w:val="auto"/>
              </w:rPr>
              <w:t>PV</w:t>
            </w:r>
          </w:p>
        </w:tc>
        <w:tc>
          <w:tcPr>
            <w:tcW w:w="72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36</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HI</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Langford</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7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150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Arial" w:cs="Arial" w:eastAsia="Arial" w:hAnsi="Arial"/>
                <w:sz w:val="18"/>
                <w:szCs w:val="18"/>
                <w:color w:val="auto"/>
              </w:rPr>
              <w:t>Carlsbad</w:t>
            </w:r>
            <w:r>
              <w:rPr>
                <w:rFonts w:ascii="Arial" w:cs="Arial" w:eastAsia="Arial" w:hAnsi="Arial"/>
                <w:sz w:val="13"/>
                <w:szCs w:val="13"/>
                <w:color w:val="auto"/>
              </w:rPr>
              <w:t>(d)</w:t>
            </w:r>
          </w:p>
        </w:tc>
        <w:tc>
          <w:tcPr>
            <w:tcW w:w="980" w:type="dxa"/>
            <w:vAlign w:val="bottom"/>
          </w:tcPr>
          <w:p>
            <w:pPr>
              <w:spacing w:after="0"/>
              <w:rPr>
                <w:sz w:val="20"/>
                <w:szCs w:val="20"/>
                <w:color w:val="auto"/>
              </w:rPr>
            </w:pPr>
            <w:r>
              <w:rPr>
                <w:rFonts w:ascii="Arial" w:cs="Arial" w:eastAsia="Arial" w:hAnsi="Arial"/>
                <w:sz w:val="18"/>
                <w:szCs w:val="18"/>
                <w:color w:val="auto"/>
                <w:w w:val="99"/>
              </w:rPr>
              <w:t>Natural Gas</w:t>
            </w:r>
          </w:p>
        </w:tc>
        <w:tc>
          <w:tcPr>
            <w:tcW w:w="7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527</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2018</w:t>
            </w: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Up to $170 MM equity investment in business renewables</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PV</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TBD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TBD</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Arial" w:cs="Arial" w:eastAsia="Arial" w:hAnsi="Arial"/>
                <w:sz w:val="18"/>
                <w:szCs w:val="18"/>
                <w:color w:val="auto"/>
              </w:rPr>
              <w:t>Rattlesnake</w:t>
            </w:r>
          </w:p>
        </w:tc>
        <w:tc>
          <w:tcPr>
            <w:tcW w:w="980" w:type="dxa"/>
            <w:vAlign w:val="bottom"/>
          </w:tcPr>
          <w:p>
            <w:pPr>
              <w:spacing w:after="0"/>
              <w:rPr>
                <w:sz w:val="20"/>
                <w:szCs w:val="20"/>
                <w:color w:val="auto"/>
              </w:rPr>
            </w:pPr>
            <w:r>
              <w:rPr>
                <w:rFonts w:ascii="Arial" w:cs="Arial" w:eastAsia="Arial" w:hAnsi="Arial"/>
                <w:sz w:val="18"/>
                <w:szCs w:val="18"/>
                <w:color w:val="auto"/>
              </w:rPr>
              <w:t>Wind</w:t>
            </w:r>
          </w:p>
        </w:tc>
        <w:tc>
          <w:tcPr>
            <w:tcW w:w="7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144</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6"/>
              </w:rPr>
              <w:t>WA</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2020</w:t>
            </w: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Black Rock</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7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110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WV</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Arial" w:cs="Arial" w:eastAsia="Arial" w:hAnsi="Arial"/>
                <w:sz w:val="18"/>
                <w:szCs w:val="18"/>
                <w:color w:val="auto"/>
              </w:rPr>
              <w:t>Wildflower</w:t>
            </w:r>
          </w:p>
        </w:tc>
        <w:tc>
          <w:tcPr>
            <w:tcW w:w="980" w:type="dxa"/>
            <w:vAlign w:val="bottom"/>
          </w:tcPr>
          <w:p>
            <w:pPr>
              <w:spacing w:after="0"/>
              <w:rPr>
                <w:sz w:val="20"/>
                <w:szCs w:val="20"/>
                <w:color w:val="auto"/>
              </w:rPr>
            </w:pPr>
            <w:r>
              <w:rPr>
                <w:rFonts w:ascii="Arial" w:cs="Arial" w:eastAsia="Arial" w:hAnsi="Arial"/>
                <w:sz w:val="18"/>
                <w:szCs w:val="18"/>
                <w:color w:val="auto"/>
              </w:rPr>
              <w:t>Solar</w:t>
            </w:r>
          </w:p>
        </w:tc>
        <w:tc>
          <w:tcPr>
            <w:tcW w:w="72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100</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6"/>
              </w:rPr>
              <w:t>MS</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Repowering 2.0</w:t>
            </w: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TBD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TBD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TBD</w:t>
            </w:r>
          </w:p>
        </w:tc>
        <w:tc>
          <w:tcPr>
            <w:tcW w:w="0" w:type="dxa"/>
            <w:vAlign w:val="bottom"/>
          </w:tcPr>
          <w:p>
            <w:pPr>
              <w:spacing w:after="0"/>
              <w:rPr>
                <w:sz w:val="1"/>
                <w:szCs w:val="1"/>
                <w:color w:val="auto"/>
              </w:rPr>
            </w:pPr>
          </w:p>
        </w:tc>
      </w:tr>
      <w:tr>
        <w:trPr>
          <w:trHeight w:val="108"/>
        </w:trPr>
        <w:tc>
          <w:tcPr>
            <w:tcW w:w="7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right="160" w:hanging="544"/>
        <w:spacing w:after="0" w:line="239" w:lineRule="auto"/>
        <w:tabs>
          <w:tab w:leader="none" w:pos="1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August 31, 2018, we and CEG executed a purchase agreement pursuant to which we will acquire effective equity ownership in 80 MW of utility-scale solar projects (Waipao, Mililani II and Kawailoa Solar) located in Oahu, Hawaii.</w:t>
      </w:r>
    </w:p>
    <w:p>
      <w:pPr>
        <w:spacing w:after="0" w:line="111" w:lineRule="exact"/>
        <w:rPr>
          <w:rFonts w:ascii="Arial" w:cs="Arial" w:eastAsia="Arial" w:hAnsi="Arial"/>
          <w:sz w:val="14"/>
          <w:szCs w:val="14"/>
          <w:color w:val="auto"/>
        </w:rPr>
      </w:pPr>
    </w:p>
    <w:p>
      <w:pPr>
        <w:ind w:left="1880" w:hanging="544"/>
        <w:spacing w:after="0"/>
        <w:tabs>
          <w:tab w:leader="none" w:pos="1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On December 26, 2018, we and CEG amended the DGPV Holdco 3 partnership agreement to increase the capital commitment of $50 million to $70 million.</w:t>
      </w:r>
    </w:p>
    <w:p>
      <w:pPr>
        <w:spacing w:after="0" w:line="145" w:lineRule="exact"/>
        <w:rPr>
          <w:rFonts w:ascii="Arial" w:cs="Arial" w:eastAsia="Arial" w:hAnsi="Arial"/>
          <w:sz w:val="12"/>
          <w:szCs w:val="12"/>
          <w:color w:val="auto"/>
        </w:rPr>
      </w:pPr>
    </w:p>
    <w:p>
      <w:pPr>
        <w:ind w:left="1880" w:right="360" w:hanging="544"/>
        <w:spacing w:after="0" w:line="239" w:lineRule="auto"/>
        <w:tabs>
          <w:tab w:leader="none" w:pos="1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Investment in the Repowering Partnership with CEG is contingent upon obtaining related construction and tax equity financing. As of November 29, 2019, we have invested $4 million with respect to the repowering of the Elbow Creek wind project.</w:t>
      </w:r>
    </w:p>
    <w:p>
      <w:pPr>
        <w:spacing w:after="0" w:line="111" w:lineRule="exact"/>
        <w:rPr>
          <w:rFonts w:ascii="Arial" w:cs="Arial" w:eastAsia="Arial" w:hAnsi="Arial"/>
          <w:sz w:val="14"/>
          <w:szCs w:val="14"/>
          <w:color w:val="auto"/>
        </w:rPr>
      </w:pPr>
    </w:p>
    <w:p>
      <w:pPr>
        <w:ind w:left="1880" w:hanging="544"/>
        <w:spacing w:after="0"/>
        <w:tabs>
          <w:tab w:leader="none" w:pos="1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maintain the option until August 2020 to acquire Carlsbad from GIP. See "—Recent Developments—Carlsbad Drop Down Acquisition" below.</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we have currently committed investments with respect to projects in our Thermal segment.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jc w:val="both"/>
        <w:ind w:left="240" w:right="80" w:firstLine="351"/>
        <w:spacing w:after="0" w:line="259" w:lineRule="auto"/>
        <w:rPr>
          <w:sz w:val="20"/>
          <w:szCs w:val="20"/>
          <w:color w:val="auto"/>
        </w:rPr>
      </w:pPr>
      <w:r>
        <w:rPr>
          <w:rFonts w:ascii="Arial" w:cs="Arial" w:eastAsia="Arial" w:hAnsi="Arial"/>
          <w:sz w:val="18"/>
          <w:szCs w:val="18"/>
          <w:color w:val="auto"/>
        </w:rPr>
        <w:t>Our primary business strategy is to focus on the acquisition and ownership of assets with predictable, long-term cash flows in order that we may be able to increase our cash distributions over time without compromising the ongoing stability of the business. Our plan for executing this strategy includes the following key components:</w:t>
      </w:r>
    </w:p>
    <w:p>
      <w:pPr>
        <w:spacing w:after="0" w:line="194"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Focus on contracted renewable energy and conventional generation and thermal infrastructure assets. </w:t>
      </w:r>
      <w:r>
        <w:rPr>
          <w:rFonts w:ascii="Arial" w:cs="Arial" w:eastAsia="Arial" w:hAnsi="Arial"/>
          <w:sz w:val="16"/>
          <w:szCs w:val="16"/>
          <w:color w:val="auto"/>
        </w:rPr>
        <w:t>We own and operate utility scale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distributed renewable energy and natural gas-fired generation, thermal and other infrastructure assets with proven technologies, low operating risks and stable cash flows. We believe by focusing on this core asset class and leveraging our industry knowledge, we will maximize our strategic opportunities, be a leader in operational efficiency and maximize our overall financial performance.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380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38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0" w:firstLine="351"/>
        <w:spacing w:after="0" w:line="289" w:lineRule="auto"/>
        <w:rPr>
          <w:sz w:val="20"/>
          <w:szCs w:val="20"/>
          <w:color w:val="auto"/>
        </w:rPr>
      </w:pPr>
      <w:r>
        <w:rPr>
          <w:rFonts w:ascii="Arial" w:cs="Arial" w:eastAsia="Arial" w:hAnsi="Arial"/>
          <w:sz w:val="16"/>
          <w:szCs w:val="16"/>
          <w:b w:val="1"/>
          <w:bCs w:val="1"/>
          <w:i w:val="1"/>
          <w:iCs w:val="1"/>
          <w:color w:val="auto"/>
        </w:rPr>
        <w:t xml:space="preserve">Growing the business through acquisitions of contracted operating assets. </w:t>
      </w:r>
      <w:r>
        <w:rPr>
          <w:rFonts w:ascii="Arial" w:cs="Arial" w:eastAsia="Arial" w:hAnsi="Arial"/>
          <w:sz w:val="16"/>
          <w:szCs w:val="16"/>
          <w:color w:val="auto"/>
        </w:rPr>
        <w:t>We believe that our base of operations provides a platform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conventional and renewable power generation and thermal sectors for strategic growth through cash accretive and tax advantaged acquisitions complementary to our existing portfolio. In addition to acquiring renewable generation, conventional generation and thermal infrastructure assets from other third parties where we believe our knowledge of the market and operating expertise provides us with a competitive advantage, we entered into the CEG ROFO Agreement. Under the CEG ROFO Agreement, CEG has granted us and our affiliates a right of first offer on any proposed sale, transfer or other disposition of certain assets of CEG (the "CEG ROFO Assets") until August 31, 2023, as listed in the table under "—Committed Investments with CEG" above. CEG is not obligated to sell the remaining CEG ROFO Assets to us and, if offered by CEG, we cannot be sure whether these assets will be offered on acceptable terms or that we will choose to consummate such acquisitions.</w:t>
      </w:r>
    </w:p>
    <w:p>
      <w:pPr>
        <w:spacing w:after="0" w:line="172"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Primary focus on North America. </w:t>
      </w:r>
      <w:r>
        <w:rPr>
          <w:rFonts w:ascii="Arial" w:cs="Arial" w:eastAsia="Arial" w:hAnsi="Arial"/>
          <w:sz w:val="16"/>
          <w:szCs w:val="16"/>
          <w:color w:val="auto"/>
        </w:rPr>
        <w:t>We intend to primarily focus our investments in North America (including the unincorporated territories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We believe that industry fundamentals in North America present us with significant opportunity to acquire renewable, natural gas-fired generation and thermal infrastructure assets, without creating significant exposure to currency and sovereign risk. By primarily focusing our efforts on North America, we believe we will best leverage our regional knowledge of power markets, industry relationships and skill sets to maximize our performance.</w:t>
      </w:r>
    </w:p>
    <w:p>
      <w:pPr>
        <w:spacing w:after="0" w:line="167" w:lineRule="exact"/>
        <w:rPr>
          <w:sz w:val="20"/>
          <w:szCs w:val="20"/>
          <w:color w:val="auto"/>
        </w:rPr>
      </w:pPr>
    </w:p>
    <w:p>
      <w:pPr>
        <w:ind w:left="240" w:right="200" w:firstLine="351"/>
        <w:spacing w:after="0" w:line="288" w:lineRule="auto"/>
        <w:rPr>
          <w:sz w:val="20"/>
          <w:szCs w:val="20"/>
          <w:color w:val="auto"/>
        </w:rPr>
      </w:pPr>
      <w:r>
        <w:rPr>
          <w:rFonts w:ascii="Arial" w:cs="Arial" w:eastAsia="Arial" w:hAnsi="Arial"/>
          <w:sz w:val="16"/>
          <w:szCs w:val="16"/>
          <w:b w:val="1"/>
          <w:bCs w:val="1"/>
          <w:i w:val="1"/>
          <w:iCs w:val="1"/>
          <w:color w:val="auto"/>
        </w:rPr>
        <w:t xml:space="preserve">Maintain sound financial practices to grow the dividend. </w:t>
      </w:r>
      <w:r>
        <w:rPr>
          <w:rFonts w:ascii="Arial" w:cs="Arial" w:eastAsia="Arial" w:hAnsi="Arial"/>
          <w:sz w:val="16"/>
          <w:szCs w:val="16"/>
          <w:color w:val="auto"/>
        </w:rPr>
        <w:t>We intend to maintain a commitment to disciplined financial analysis and a balanced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structure to enable us to increase our quarterly dividend over time and serve the long-term interests of our stockholders. Our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we receive from our subsidiaries, subject to available capital, market conditions, and compliance with associated laws, regulations and other contractual obligations. We intend to evaluate various alternatives for financing future acquisitions and refinancing of existing project-level debt, in each case, to reduce the cost of debt, extend maturities and maximize CAFD. We believe we have additional flexibility to seek alternative financing arrangements, including, but not limited to, debt financings and equity-like instruments.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240" w:right="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Stable, high quality cash flows. </w:t>
      </w:r>
      <w:r>
        <w:rPr>
          <w:rFonts w:ascii="Arial" w:cs="Arial" w:eastAsia="Arial" w:hAnsi="Arial"/>
          <w:sz w:val="16"/>
          <w:szCs w:val="16"/>
          <w:color w:val="auto"/>
        </w:rPr>
        <w:t>Our facilities have a stable, predictable cash flow profile consisting of predominantly long-life electric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that sell electricity under long-term fixed priced contracts or pursuant to regulated rates with investment grade and certain other credit-worthy counterparties. As discussed above, PG&amp;E, one of our significant customers, filed for bankruptcy on January 29, 2019. Additionally, our facilities have minimal fuel risk. For our conventional assets, fuel is provided by the toll counterparty or the cost thereof is a pass-through cost under the Contract for Differences. Renewable facilities have no fuel costs, and most of our thermal infrastructure assets have contractual or regulatory tariff mechanisms for fuel cost recovery. The offtake agreements for our conventional and renewable generation facilities have a weighted-average remaining duration, based on CAFD, of approximately 15 years as of September 30, 2019, providing long-term cash flow stability. Our generation offtake agreements with counterparties for whom credit ratings are available have a weighted-average Ba1 rating of Moody's Investors Service, Inc. ("Moody's") (post PG&amp;E Bankruptcy) based on rated capacity under contract. All of our assets are in the U.S. and accordingly have no currency or repatriation risks.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518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51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High quality, long-lived assets with low operating and capital requirements. </w:t>
      </w:r>
      <w:r>
        <w:rPr>
          <w:rFonts w:ascii="Arial" w:cs="Arial" w:eastAsia="Arial" w:hAnsi="Arial"/>
          <w:sz w:val="16"/>
          <w:szCs w:val="16"/>
          <w:color w:val="auto"/>
        </w:rPr>
        <w:t>We benefit from a portfolio of relatively younger assets,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thermal infrastructure assets. Our assets are 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we expect to achieve high fleet availability and expend modest maintenance-related capital expenditures.</w:t>
      </w:r>
    </w:p>
    <w:p>
      <w:pPr>
        <w:spacing w:after="0" w:line="170"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Significant scale and diversity. </w:t>
      </w:r>
      <w:r>
        <w:rPr>
          <w:rFonts w:ascii="Arial" w:cs="Arial" w:eastAsia="Arial" w:hAnsi="Arial"/>
          <w:sz w:val="16"/>
          <w:szCs w:val="16"/>
          <w:color w:val="auto"/>
        </w:rPr>
        <w:t>We own and operate a large and diverse portfolio of contracted electric generation and thermal infrastructure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September 30, 2019, our 5,330 net MW contracted generation portfolio benefits from significant diversification in terms of technology, fuel type, counterparty and geography. Our thermal business consists of seven district energy centers that provide steam and chilled water to approximately 695 customers and six combined heat and power facilities that provide generation and thermal energy. We believe our scale and access to best practices across the fleet improves our business development opportunities through enhanced industry relationships, reputation and understanding of regional power market dynamics. Furthermore, our diversification reduces our operating risk profile and reliance on any single market.</w:t>
      </w:r>
    </w:p>
    <w:p>
      <w:pPr>
        <w:spacing w:after="0" w:line="174" w:lineRule="exact"/>
        <w:rPr>
          <w:sz w:val="20"/>
          <w:szCs w:val="20"/>
          <w:color w:val="auto"/>
        </w:rPr>
      </w:pPr>
    </w:p>
    <w:p>
      <w:pPr>
        <w:ind w:left="240"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Relationship with GIP and CEG. </w:t>
      </w:r>
      <w:r>
        <w:rPr>
          <w:rFonts w:ascii="Arial" w:cs="Arial" w:eastAsia="Arial" w:hAnsi="Arial"/>
          <w:sz w:val="16"/>
          <w:szCs w:val="16"/>
          <w:color w:val="auto"/>
        </w:rPr>
        <w:t>We believe our relationship with GIP and CEG provides significant benefits to us. Global Infrastructure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LLC ("GIM"), the manager of GIP, is an independent infrastructure fund manager that invests in infrastructure assets and businesses in both OECD and select emerging market countries. GIM has a strong track record of investment and value creation in the renewable energy sector. Additionally, GIM has extensive experience with publicly traded yield vehicles and development platforms, ranging from Europe's first application of a yield company/development company model to the largest renewable platform in Asia-Pacific. Additionally, we believe that CEG provides us access to a highly capable renewable development and operating platform that is fully aligned to support our growth.</w:t>
      </w:r>
    </w:p>
    <w:p>
      <w:pPr>
        <w:spacing w:after="0" w:line="174" w:lineRule="exact"/>
        <w:rPr>
          <w:sz w:val="20"/>
          <w:szCs w:val="20"/>
          <w:color w:val="auto"/>
        </w:rPr>
      </w:pPr>
    </w:p>
    <w:p>
      <w:pPr>
        <w:ind w:left="240"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Environmentally well-positioned portfolio of assets. </w:t>
      </w:r>
      <w:r>
        <w:rPr>
          <w:rFonts w:ascii="Arial" w:cs="Arial" w:eastAsia="Arial" w:hAnsi="Arial"/>
          <w:sz w:val="16"/>
          <w:szCs w:val="16"/>
          <w:color w:val="auto"/>
        </w:rPr>
        <w:t>Our portfolio of electric generation assets consists of 3,385 net MW of renewable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that are non-emitting sources of power generation. Our conventional assets consist of the dual fuel-fired GenConn Energy LLC assets, as well as the Marsh Landing and Walnut Creek simple cycle natural gas-fired peaking generation facilities and the El Segundo combined cycle natural gas-fired peaking facility. We do not anticipate having to expend any significant capital expenditures in the foreseeable future to comply with current environmental regulations applicable to our generation assets. Taken as a whole, we believe our strategy will be a net beneficiary of current and potential environmental legislation and regulatory requirements that may serve as a catalyst for capacity retirements and improve market opportunities for environmentally well-positioned assets like our assets once our current offtake agreements expire.</w:t>
      </w:r>
    </w:p>
    <w:p>
      <w:pPr>
        <w:spacing w:after="0" w:line="172"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Thermal infrastructure business has high entry costs. </w:t>
      </w:r>
      <w:r>
        <w:rPr>
          <w:rFonts w:ascii="Arial" w:cs="Arial" w:eastAsia="Arial" w:hAnsi="Arial"/>
          <w:sz w:val="16"/>
          <w:szCs w:val="16"/>
          <w:color w:val="auto"/>
        </w:rPr>
        <w:t>Significant capital has been invested to construct our thermal infrastructure assets, serving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barrier to entry in the markets in which such assets operate. As of September 30, 2019, our thermal gross property, plant and equipment was approximately $644 million. Our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we believe that we have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Our system technologies often provide economies of scale in terms of fuel procurement,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55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ability to switch between multiple types of fuel to generate thermal energy and fuel conversion efficiency.</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Pacific Gas and Electric Company Bankruptcy. </w:t>
      </w:r>
      <w:r>
        <w:rPr>
          <w:rFonts w:ascii="Arial" w:cs="Arial" w:eastAsia="Arial" w:hAnsi="Arial"/>
          <w:sz w:val="16"/>
          <w:szCs w:val="16"/>
          <w:color w:val="auto"/>
        </w:rPr>
        <w:t>On January 29, 2019, Pacific Gas &amp; Electric Company ("PG&amp;E") filed for reorganization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Chapter 11 of the U.S. Bankruptcy Code in the U.S. Bankruptcy Court for the Northern District of California (the "Bankruptcy Court" and such bankruptcy proceedings, the "PG&amp;E Bankruptcy"). Certain of our subsidiaries, which hold interests in 6 solar facilities totaling 480 MW and Marsh Landing with capacity of 720 MW, sell the output of their facilities to PG&amp;E under long-term power purchase agreements ("PPAs"). We consolidate three of the solar facilities and Marsh Landing and record our interest in the other solar facilities as equity method investments. As of September 30, 2019, we had</w:t>
      </w:r>
    </w:p>
    <w:p>
      <w:pPr>
        <w:spacing w:after="0" w:line="2" w:lineRule="exact"/>
        <w:rPr>
          <w:sz w:val="20"/>
          <w:szCs w:val="20"/>
          <w:color w:val="auto"/>
        </w:rPr>
      </w:pPr>
    </w:p>
    <w:p>
      <w:pPr>
        <w:ind w:left="240"/>
        <w:spacing w:after="0" w:line="253" w:lineRule="auto"/>
        <w:rPr>
          <w:sz w:val="20"/>
          <w:szCs w:val="20"/>
          <w:color w:val="auto"/>
        </w:rPr>
      </w:pPr>
      <w:r>
        <w:rPr>
          <w:rFonts w:ascii="Arial" w:cs="Arial" w:eastAsia="Arial" w:hAnsi="Arial"/>
          <w:sz w:val="18"/>
          <w:szCs w:val="18"/>
          <w:color w:val="auto"/>
        </w:rPr>
        <w:t>$147 million in restricted cash, $1.4 billion of property, plant and equipment, net, $370 million investments in unconsolidated affiliates and $1.3 billion of borrowings with final maturity dates ranging from 2023 - 2038 related to these facilities. Our related subsidiaries are parties to financing agreements consisting of non-recourse project level debt and, in certain cases, non-recourse holding company debt. The PG&amp;E Bankruptcy triggered defaults under the PPAs with PG&amp;E and such related project-level financing agreements. As a result, we recorded $1.3 billion of principal, net of the related unamortized debt issuance costs, as short-term debt as of September 30, 2019.</w:t>
      </w:r>
    </w:p>
    <w:p>
      <w:pPr>
        <w:spacing w:after="0" w:line="199" w:lineRule="exact"/>
        <w:rPr>
          <w:sz w:val="20"/>
          <w:szCs w:val="20"/>
          <w:color w:val="auto"/>
        </w:rPr>
      </w:pPr>
    </w:p>
    <w:p>
      <w:pPr>
        <w:ind w:left="240" w:firstLine="342"/>
        <w:spacing w:after="0" w:line="288" w:lineRule="auto"/>
        <w:rPr>
          <w:sz w:val="20"/>
          <w:szCs w:val="20"/>
          <w:color w:val="auto"/>
        </w:rPr>
      </w:pPr>
      <w:r>
        <w:rPr>
          <w:rFonts w:ascii="Arial" w:cs="Arial" w:eastAsia="Arial" w:hAnsi="Arial"/>
          <w:sz w:val="16"/>
          <w:szCs w:val="16"/>
          <w:color w:val="auto"/>
        </w:rPr>
        <w:t xml:space="preserve">As of November 29, 2019, our contracts with PG&amp;E have operated in the normal course and we currently expect these contracts to continue as such. On September 23, 2019, PG&amp;E filed the </w:t>
      </w:r>
      <w:r>
        <w:rPr>
          <w:rFonts w:ascii="Arial" w:cs="Arial" w:eastAsia="Arial" w:hAnsi="Arial"/>
          <w:sz w:val="16"/>
          <w:szCs w:val="16"/>
          <w:i w:val="1"/>
          <w:iCs w:val="1"/>
          <w:color w:val="auto"/>
        </w:rPr>
        <w:t>Debtors' First Amended Joint Chapter 11 Plan of Reorganization</w:t>
      </w:r>
      <w:r>
        <w:rPr>
          <w:rFonts w:ascii="Arial" w:cs="Arial" w:eastAsia="Arial" w:hAnsi="Arial"/>
          <w:sz w:val="16"/>
          <w:szCs w:val="16"/>
          <w:color w:val="auto"/>
        </w:rPr>
        <w:t xml:space="preserve"> (the "PG&amp;E Plan"), which would provide for PG&amp;E to assume all of its PPAs with us. The PG&amp;E Plan is not expected to be considered for confirmation by the Bankruptcy Court until the conclusion of a proceeding to estimate PG&amp;E's liability for prior wildfires, now pending before the United States District Court for the Northern District of California, and scheduled for trial commencing on February 18, 2020. Additionally, on October 9, 2019, the Bankruptcy Court entered an order terminating the period in which PG&amp;E had the exclusive right to prosecute a plan of reorganization. On October 17, 2019, an ad hoc group of senior noteholders filed a competing plan of reorganization, which would also provide for PG&amp;E to assume all of its PPAs with us. As of November 29, 2019, we have entered into forbearance agreements for certain project-level financing arrangements and continue to seek forbearance agreements for our other project-level financing arrangements affected by the PG&amp;E Bankruptcy. We continue to assess the potential future impacts of the PG&amp;E Bankruptcy as events occur.</w:t>
      </w:r>
    </w:p>
    <w:p>
      <w:pPr>
        <w:spacing w:after="0" w:line="174"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Carlsbad Drop Down Acquisition. </w:t>
      </w:r>
      <w:r>
        <w:rPr>
          <w:rFonts w:ascii="Arial" w:cs="Arial" w:eastAsia="Arial" w:hAnsi="Arial"/>
          <w:sz w:val="16"/>
          <w:szCs w:val="16"/>
          <w:color w:val="auto"/>
        </w:rPr>
        <w:t>On November 4, 2019, Carlsbad Energy Holdings LLC, a subsidiary of GIP and owner of the 527 MW Carlsbad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Center ("Carlsbad"), issued $216 million of investment grade rated, senior secured, non-recourse notes. These notes bear an interest rate of 4.21% and are fully amortizing over 19 years. As previously disclosed, we executed an equity backstop agreement with GIP for the future acquisition of Carlsbad. Pursuant to the terms previously agreed by and between GIP and us, we maintain the option until August 2020 to acquire Carlsbad from GIP. Should we not exercise the call right to acquire the asset by August 2020, Carlsbad will become part of our right of first offer pipeline thereafter. As a result of the non-recourse financing, we expect the cash consideration for the potential acquisition to be approximately $180 million plus the assumption of non-recourse debt of $803 million as of November 29, 2019, subject to purchase price adjustments (the "Carlsbad Purchase Price"). We expect to exercise the option and acquire Carlsbad (the "Carlsbad Acquisition") by the end of January 2020.</w:t>
      </w:r>
    </w:p>
    <w:p>
      <w:pPr>
        <w:spacing w:after="0" w:line="172" w:lineRule="exact"/>
        <w:rPr>
          <w:sz w:val="20"/>
          <w:szCs w:val="20"/>
          <w:color w:val="auto"/>
        </w:rPr>
      </w:pPr>
    </w:p>
    <w:p>
      <w:pPr>
        <w:ind w:left="240" w:right="2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Drop Down Offer. </w:t>
      </w:r>
      <w:r>
        <w:rPr>
          <w:rFonts w:ascii="Arial" w:cs="Arial" w:eastAsia="Arial" w:hAnsi="Arial"/>
          <w:sz w:val="16"/>
          <w:szCs w:val="16"/>
          <w:color w:val="auto"/>
        </w:rPr>
        <w:t>On June 18, 2019, CEG offered us the opportunity to purchase 100% of CEG's interests in Mesquite Star Pledgor LLC,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owns the Mesquite Star wind project, a 419 MW utility scale wind facility expected to reach COD in 2020. On August 1, 2019, we and CEG agreed to extend the negotiation period for the Mesquite Star project. We elected not to pursue this investment.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460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46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6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Repowering Transaction with CEG. </w:t>
      </w:r>
      <w:r>
        <w:rPr>
          <w:rFonts w:ascii="Arial" w:cs="Arial" w:eastAsia="Arial" w:hAnsi="Arial"/>
          <w:sz w:val="18"/>
          <w:szCs w:val="18"/>
          <w:color w:val="auto"/>
        </w:rPr>
        <w:t>On June 14, 2019, we, through an indirect subsidiary, entered into binding equity commitment agreements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previously announced partnership with CEG to enable the repowering of two of its existing wind assets, Wildorado and Elbow Creek, which total a combined 283 MW. In connection with the completion of the financing, and after taking into account the higher cash flow from the reduction in debt service in 2019 resulting from the partial repayment of the Viento financing, we committed to invest an estimated $111 million in net corporate capital to fund the repowering of the wind facilities, subject to closing adjustments. As of November 29, 2019, we have invested $4 million with respect to the repowering of the Elbow Creek wind project.</w:t>
      </w:r>
    </w:p>
    <w:p>
      <w:pPr>
        <w:spacing w:after="0" w:line="198" w:lineRule="exact"/>
        <w:rPr>
          <w:sz w:val="20"/>
          <w:szCs w:val="20"/>
          <w:color w:val="auto"/>
        </w:rPr>
      </w:pPr>
    </w:p>
    <w:p>
      <w:pPr>
        <w:jc w:val="both"/>
        <w:ind w:left="240"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CVSR Outage. </w:t>
      </w:r>
      <w:r>
        <w:rPr>
          <w:rFonts w:ascii="Arial" w:cs="Arial" w:eastAsia="Arial" w:hAnsi="Arial"/>
          <w:sz w:val="16"/>
          <w:szCs w:val="16"/>
          <w:color w:val="auto"/>
        </w:rPr>
        <w:t>On June 5, 2019, a fire occurred at the California Valley Solar Ranch project, which affected approximately 1,200 acres of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While the fire did not impact solar arrays, damage occurred to associated infrastructure including distribution poles and cabling. The facility was restored to full operations on July 1, 2019. The full year impact of the fire is approximately $9 million of lost revenue.</w:t>
      </w:r>
    </w:p>
    <w:p>
      <w:pPr>
        <w:spacing w:after="0" w:line="161" w:lineRule="exact"/>
        <w:rPr>
          <w:sz w:val="20"/>
          <w:szCs w:val="20"/>
          <w:color w:val="auto"/>
        </w:rPr>
      </w:pPr>
    </w:p>
    <w:p>
      <w:pPr>
        <w:ind w:left="240"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Kawailoa Solar Partnership. </w:t>
      </w:r>
      <w:r>
        <w:rPr>
          <w:rFonts w:ascii="Arial" w:cs="Arial" w:eastAsia="Arial" w:hAnsi="Arial"/>
          <w:sz w:val="18"/>
          <w:szCs w:val="18"/>
          <w:color w:val="auto"/>
        </w:rPr>
        <w:t>On May 1, 2019, we entered into a partnership with Clearway Renew LLC, a subsidiary of CEG, to own,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 and maintain the Kawailoa Solar Partnership, which consists of the Kawailoa Solar Project, a 49 MW utility-scale solar generation project developed in Oahu, Hawaii. The Company made an original capital contribution in the amount of $2 million and has a $7 million payable due to Clearway Renew LLC, which will be funded on the date the project reaches certain milestones.</w:t>
      </w:r>
    </w:p>
    <w:p>
      <w:pPr>
        <w:spacing w:after="0" w:line="197" w:lineRule="exact"/>
        <w:rPr>
          <w:sz w:val="20"/>
          <w:szCs w:val="20"/>
          <w:color w:val="auto"/>
        </w:rPr>
      </w:pPr>
    </w:p>
    <w:p>
      <w:pPr>
        <w:ind w:left="240" w:firstLine="351"/>
        <w:spacing w:after="0" w:line="318" w:lineRule="auto"/>
        <w:rPr>
          <w:sz w:val="20"/>
          <w:szCs w:val="20"/>
          <w:color w:val="auto"/>
        </w:rPr>
      </w:pPr>
      <w:r>
        <w:rPr>
          <w:rFonts w:ascii="Arial" w:cs="Arial" w:eastAsia="Arial" w:hAnsi="Arial"/>
          <w:sz w:val="15"/>
          <w:szCs w:val="15"/>
          <w:b w:val="1"/>
          <w:bCs w:val="1"/>
          <w:i w:val="1"/>
          <w:iCs w:val="1"/>
          <w:color w:val="auto"/>
        </w:rPr>
        <w:t xml:space="preserve">Duquesne Thermal. </w:t>
      </w:r>
      <w:r>
        <w:rPr>
          <w:rFonts w:ascii="Arial" w:cs="Arial" w:eastAsia="Arial" w:hAnsi="Arial"/>
          <w:sz w:val="15"/>
          <w:szCs w:val="15"/>
          <w:color w:val="auto"/>
        </w:rPr>
        <w:t>On May 1, 2019, we, through our indirect subsidiary ECP Uptown Campus LLC, acquired the Duquesne University district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energy system, totaling 82 combined MWt, located in Pittsburgh, Pennsylvania. The total investment for the project is approximately $107 million. This includes $100 million related to the purchase of district energy assets, which was funded through a combination of issuance of non-recourse debt in the amount of $95 million, as well as cash on hand.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8220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8220075"/>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Organizational Structure</w:t>
      </w:r>
    </w:p>
    <w:p>
      <w:pPr>
        <w:spacing w:after="0" w:line="231" w:lineRule="exact"/>
        <w:rPr>
          <w:sz w:val="20"/>
          <w:szCs w:val="20"/>
          <w:color w:val="auto"/>
        </w:rPr>
      </w:pPr>
    </w:p>
    <w:p>
      <w:pPr>
        <w:ind w:left="240" w:firstLine="348"/>
        <w:spacing w:after="0" w:line="268" w:lineRule="auto"/>
        <w:rPr>
          <w:sz w:val="20"/>
          <w:szCs w:val="20"/>
          <w:color w:val="auto"/>
        </w:rPr>
      </w:pPr>
      <w:r>
        <w:rPr>
          <w:rFonts w:ascii="Arial" w:cs="Arial" w:eastAsia="Arial" w:hAnsi="Arial"/>
          <w:sz w:val="18"/>
          <w:szCs w:val="18"/>
          <w:color w:val="auto"/>
        </w:rPr>
        <w:t>The following organizational chart summarizes certain relevant aspects of our organizational structure as of the date of this prospectus supplement (prior to the issuance of the shares of Class C common stock to be sold in this offering):</w:t>
      </w:r>
    </w:p>
    <w:p>
      <w:pPr>
        <w:sectPr>
          <w:pgSz w:w="11900" w:h="16838" w:orient="portrait"/>
          <w:cols w:equalWidth="0" w:num="1">
            <w:col w:w="10880"/>
          </w:cols>
          <w:pgMar w:left="240" w:top="131"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813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181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color w:val="auto"/>
        </w:rPr>
        <w:t>Our principal executive offices are located at Clearway Energy, Inc., 300 Carnegie Center, Suite 300, Princeton, New Jersey 08540. Our telephone number is (609) 608-1525. Our website is located at http://www.clearwayenergy.com. We make our periodic reports and other information filed with or furnished to the U.S. Securities and Exchange Commission ("SEC") pursuant to Section 13(a) or 15(d) of the Exchange Act, available, free of charge, through our website, as soon as reasonably practicable after those reports and other information are electronically filed with or furnished to the SEC. Information on our website or any other website is not incorporated by reference into this prospectus supplement and does not constitute a part of this prospectus supplement. The SEC maintains a website at http://www.sec.gov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31" w:right="7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876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787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219"/>
          </w:cols>
          <w:pgMar w:left="240" w:top="131" w:right="1440" w:bottom="1440" w:gutter="0" w:footer="0" w:header="0"/>
        </w:sectPr>
      </w:pPr>
    </w:p>
    <w:p>
      <w:pPr>
        <w:spacing w:after="0" w:line="2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Shares of Class C common stock offered by us</w:t>
      </w:r>
    </w:p>
    <w:p>
      <w:pPr>
        <w:spacing w:after="0" w:line="225" w:lineRule="exact"/>
        <w:rPr>
          <w:sz w:val="20"/>
          <w:szCs w:val="20"/>
          <w:color w:val="auto"/>
        </w:rPr>
      </w:pPr>
    </w:p>
    <w:p>
      <w:pPr>
        <w:ind w:left="1520" w:right="20" w:hanging="179"/>
        <w:spacing w:after="0" w:line="268" w:lineRule="auto"/>
        <w:rPr>
          <w:sz w:val="20"/>
          <w:szCs w:val="20"/>
          <w:color w:val="auto"/>
        </w:rPr>
      </w:pPr>
      <w:r>
        <w:rPr>
          <w:rFonts w:ascii="Arial" w:cs="Arial" w:eastAsia="Arial" w:hAnsi="Arial"/>
          <w:sz w:val="18"/>
          <w:szCs w:val="18"/>
          <w:color w:val="auto"/>
        </w:rPr>
        <w:t>Shares of Class C common stock outstanding after this offering</w:t>
      </w:r>
    </w:p>
    <w:p>
      <w:pPr>
        <w:spacing w:after="0" w:line="186" w:lineRule="exact"/>
        <w:rPr>
          <w:sz w:val="20"/>
          <w:szCs w:val="20"/>
          <w:color w:val="auto"/>
        </w:rPr>
      </w:pPr>
    </w:p>
    <w:p>
      <w:pPr>
        <w:ind w:left="1520" w:right="20" w:hanging="179"/>
        <w:spacing w:after="0" w:line="268" w:lineRule="auto"/>
        <w:rPr>
          <w:sz w:val="20"/>
          <w:szCs w:val="20"/>
          <w:color w:val="auto"/>
        </w:rPr>
      </w:pPr>
      <w:r>
        <w:rPr>
          <w:rFonts w:ascii="Arial" w:cs="Arial" w:eastAsia="Arial" w:hAnsi="Arial"/>
          <w:sz w:val="18"/>
          <w:szCs w:val="18"/>
          <w:color w:val="auto"/>
        </w:rPr>
        <w:t>Shares of Class A common stock outstanding after this offering</w:t>
      </w:r>
    </w:p>
    <w:p>
      <w:pPr>
        <w:spacing w:after="0" w:line="186" w:lineRule="exact"/>
        <w:rPr>
          <w:sz w:val="20"/>
          <w:szCs w:val="20"/>
          <w:color w:val="auto"/>
        </w:rPr>
      </w:pPr>
    </w:p>
    <w:p>
      <w:pPr>
        <w:ind w:left="1520" w:right="20" w:hanging="179"/>
        <w:spacing w:after="0" w:line="268" w:lineRule="auto"/>
        <w:rPr>
          <w:sz w:val="20"/>
          <w:szCs w:val="20"/>
          <w:color w:val="auto"/>
        </w:rPr>
      </w:pPr>
      <w:r>
        <w:rPr>
          <w:rFonts w:ascii="Arial" w:cs="Arial" w:eastAsia="Arial" w:hAnsi="Arial"/>
          <w:sz w:val="18"/>
          <w:szCs w:val="18"/>
          <w:color w:val="auto"/>
        </w:rPr>
        <w:t>Shares of Class B common stock outstanding after this offering</w:t>
      </w:r>
    </w:p>
    <w:p>
      <w:pPr>
        <w:spacing w:after="0" w:line="200" w:lineRule="exact"/>
        <w:rPr>
          <w:sz w:val="20"/>
          <w:szCs w:val="20"/>
          <w:color w:val="auto"/>
        </w:rPr>
      </w:pPr>
    </w:p>
    <w:p>
      <w:pPr>
        <w:spacing w:after="0" w:line="202" w:lineRule="exact"/>
        <w:rPr>
          <w:sz w:val="20"/>
          <w:szCs w:val="20"/>
          <w:color w:val="auto"/>
        </w:rPr>
      </w:pPr>
    </w:p>
    <w:p>
      <w:pPr>
        <w:ind w:left="1520" w:hanging="179"/>
        <w:spacing w:after="0" w:line="268" w:lineRule="auto"/>
        <w:rPr>
          <w:sz w:val="20"/>
          <w:szCs w:val="20"/>
          <w:color w:val="auto"/>
        </w:rPr>
      </w:pPr>
      <w:r>
        <w:rPr>
          <w:rFonts w:ascii="Arial" w:cs="Arial" w:eastAsia="Arial" w:hAnsi="Arial"/>
          <w:sz w:val="18"/>
          <w:szCs w:val="18"/>
          <w:color w:val="auto"/>
        </w:rPr>
        <w:t>Shares of Class D common stock outstanding after this offering</w:t>
      </w:r>
    </w:p>
    <w:p>
      <w:pPr>
        <w:spacing w:after="0" w:line="200" w:lineRule="exact"/>
        <w:rPr>
          <w:sz w:val="20"/>
          <w:szCs w:val="20"/>
          <w:color w:val="auto"/>
        </w:rPr>
      </w:pPr>
    </w:p>
    <w:p>
      <w:pPr>
        <w:spacing w:after="0" w:line="20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Units of Clearway LLC outstanding after this offering</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5,405,405 shares of our Class C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78,742,395 shares of our Class C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34,599,645 shares of our Class A common stock.</w:t>
      </w:r>
    </w:p>
    <w:p>
      <w:pPr>
        <w:spacing w:after="0" w:line="225" w:lineRule="exact"/>
        <w:rPr>
          <w:sz w:val="20"/>
          <w:szCs w:val="20"/>
          <w:color w:val="auto"/>
        </w:rPr>
      </w:pPr>
    </w:p>
    <w:p>
      <w:pPr>
        <w:ind w:right="259"/>
        <w:spacing w:after="0" w:line="259" w:lineRule="auto"/>
        <w:rPr>
          <w:sz w:val="20"/>
          <w:szCs w:val="20"/>
          <w:color w:val="auto"/>
        </w:rPr>
      </w:pPr>
      <w:r>
        <w:rPr>
          <w:rFonts w:ascii="Arial" w:cs="Arial" w:eastAsia="Arial" w:hAnsi="Arial"/>
          <w:sz w:val="18"/>
          <w:szCs w:val="18"/>
          <w:color w:val="auto"/>
        </w:rPr>
        <w:t>42,738,750 shares of our Class B common stock, which GIP will continue to beneficially own upon completion of this offering.</w:t>
      </w:r>
    </w:p>
    <w:p>
      <w:pPr>
        <w:spacing w:after="0" w:line="194" w:lineRule="exact"/>
        <w:rPr>
          <w:sz w:val="20"/>
          <w:szCs w:val="20"/>
          <w:color w:val="auto"/>
        </w:rPr>
      </w:pPr>
    </w:p>
    <w:p>
      <w:pPr>
        <w:ind w:right="259"/>
        <w:spacing w:after="0" w:line="259" w:lineRule="auto"/>
        <w:rPr>
          <w:sz w:val="20"/>
          <w:szCs w:val="20"/>
          <w:color w:val="auto"/>
        </w:rPr>
      </w:pPr>
      <w:r>
        <w:rPr>
          <w:rFonts w:ascii="Arial" w:cs="Arial" w:eastAsia="Arial" w:hAnsi="Arial"/>
          <w:sz w:val="18"/>
          <w:szCs w:val="18"/>
          <w:color w:val="auto"/>
        </w:rPr>
        <w:t>42,738,750 shares of our Class D common stock, which GIP will continue to beneficially own upon completion of this offering.</w:t>
      </w:r>
    </w:p>
    <w:p>
      <w:pPr>
        <w:spacing w:after="0" w:line="194" w:lineRule="exact"/>
        <w:rPr>
          <w:sz w:val="20"/>
          <w:szCs w:val="20"/>
          <w:color w:val="auto"/>
        </w:rPr>
      </w:pPr>
    </w:p>
    <w:p>
      <w:pPr>
        <w:jc w:val="both"/>
        <w:ind w:right="379"/>
        <w:spacing w:after="0" w:line="306" w:lineRule="auto"/>
        <w:rPr>
          <w:sz w:val="20"/>
          <w:szCs w:val="20"/>
          <w:color w:val="auto"/>
        </w:rPr>
      </w:pPr>
      <w:r>
        <w:rPr>
          <w:rFonts w:ascii="Arial" w:cs="Arial" w:eastAsia="Arial" w:hAnsi="Arial"/>
          <w:sz w:val="16"/>
          <w:szCs w:val="16"/>
          <w:color w:val="auto"/>
        </w:rPr>
        <w:t>34,599,645 Class A units of Clearway LLC, 42,738,750 Class B units, 78,742,395 Class C Units and 42,738,750 Class D Units of Clearway LLC.</w:t>
      </w:r>
    </w:p>
    <w:p>
      <w:pPr>
        <w:spacing w:after="0" w:line="161" w:lineRule="exact"/>
        <w:rPr>
          <w:sz w:val="20"/>
          <w:szCs w:val="20"/>
          <w:color w:val="auto"/>
        </w:rPr>
      </w:pPr>
    </w:p>
    <w:p>
      <w:pPr>
        <w:sectPr>
          <w:pgSz w:w="11900" w:h="16838" w:orient="portrait"/>
          <w:cols w:equalWidth="0" w:num="2">
            <w:col w:w="5200" w:space="680"/>
            <w:col w:w="4339"/>
          </w:cols>
          <w:pgMar w:left="240" w:top="131" w:right="1440" w:bottom="1440" w:gutter="0" w:footer="0" w:header="0"/>
          <w:type w:val="continuous"/>
        </w:sectPr>
      </w:pPr>
    </w:p>
    <w:p>
      <w:pPr>
        <w:ind w:left="1340"/>
        <w:spacing w:after="0"/>
        <w:tabs>
          <w:tab w:leader="none" w:pos="58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5"/>
          <w:szCs w:val="15"/>
          <w:color w:val="auto"/>
        </w:rPr>
        <w:t>We intend to use the net proceeds from this offering to</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acquire newly issued Clearway LLC Class C units from</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Clearway LLC. We intend to cause Clearway LLC to use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such proceeds to partially fund the Carlsbad Purchase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Price, to pay transaction fees and expenses and for general</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corporate purposes. Please see "Summary—Recent</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Developments—Carlsbad Drop Down Acquisition."</w:t>
      </w:r>
    </w:p>
    <w:p>
      <w:pPr>
        <w:spacing w:after="0" w:line="219" w:lineRule="exact"/>
        <w:rPr>
          <w:sz w:val="20"/>
          <w:szCs w:val="20"/>
          <w:color w:val="auto"/>
        </w:rPr>
      </w:pPr>
    </w:p>
    <w:p>
      <w:pPr>
        <w:ind w:left="1340"/>
        <w:spacing w:after="0"/>
        <w:tabs>
          <w:tab w:leader="none" w:pos="586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5"/>
          <w:szCs w:val="15"/>
          <w:color w:val="auto"/>
        </w:rPr>
        <w:t>Each share of our Class A common stock and Class B</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common stock entitles its holder to one vote on all matters</w:t>
      </w:r>
    </w:p>
    <w:p>
      <w:pPr>
        <w:spacing w:after="0" w:line="32"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to be voted on by stockholders generally. Each share of our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Class C common stock and Class D common stock entitles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its holder to 1/100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one vote on all matters to be voted</w:t>
      </w:r>
    </w:p>
    <w:p>
      <w:pPr>
        <w:ind w:left="5880"/>
        <w:spacing w:after="0"/>
        <w:rPr>
          <w:sz w:val="20"/>
          <w:szCs w:val="20"/>
          <w:color w:val="auto"/>
        </w:rPr>
      </w:pPr>
      <w:r>
        <w:rPr>
          <w:rFonts w:ascii="Arial" w:cs="Arial" w:eastAsia="Arial" w:hAnsi="Arial"/>
          <w:sz w:val="16"/>
          <w:szCs w:val="16"/>
          <w:color w:val="auto"/>
        </w:rPr>
        <w:t>on by stockholders generally. Holders of our shares of</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Class A common stock, Class B common stock, Class C</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common stock and Class D common stock vote together as</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 single class on all matters presented to stockholders for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their vote or approval, except as otherwise required by law.</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See "Description of Capital Stock" in the accompanying</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prospectus.</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Through its indirect ownership of our Class B common</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stock and Class D common stock, GIP will hold shares of</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our common stock having 54.95% of the combined voting</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power of all of our common stock outstanding upon</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completion of this offering. As a result, GIP will continue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to be able to exercise control over matters requiring the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approval of our stockholders, including the election of our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directors and the approval of significant corporate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transactions.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458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Economic interest</w:t>
            </w:r>
          </w:p>
        </w:tc>
        <w:tc>
          <w:tcPr>
            <w:tcW w:w="6840" w:type="dxa"/>
            <w:vAlign w:val="bottom"/>
            <w:tcBorders>
              <w:top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Immediately following this offering, the holders of our</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Class A common stock and Class C common stock will</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own in the aggregate a 57.01% economic interest in our</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business through our ownership of Class A units and</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Class C units of Clearway LLC and GIP will indirectly</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own in the aggregate a 42.99% economic interest in our</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business through its indirect ownership of Class B units</w:t>
            </w:r>
          </w:p>
        </w:tc>
      </w:tr>
      <w:tr>
        <w:trPr>
          <w:trHeight w:val="222"/>
        </w:trPr>
        <w:tc>
          <w:tcPr>
            <w:tcW w:w="4580" w:type="dxa"/>
            <w:vAlign w:val="bottom"/>
            <w:tcBorders>
              <w:left w:val="single" w:sz="8" w:color="auto"/>
            </w:tcBorders>
          </w:tcPr>
          <w:p>
            <w:pPr>
              <w:spacing w:after="0"/>
              <w:rPr>
                <w:sz w:val="19"/>
                <w:szCs w:val="19"/>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and Class D units of Clearway LLC.</w:t>
            </w:r>
          </w:p>
        </w:tc>
      </w:tr>
      <w:tr>
        <w:trPr>
          <w:trHeight w:val="426"/>
        </w:trPr>
        <w:tc>
          <w:tcPr>
            <w:tcW w:w="45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Exchange and registration rights</w:t>
            </w: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Each Class D unit of Clearway LLC is exchangeable for a</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share of our Class C common stock and each Class B unit</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of Clearway LLC is exchangeable for a share of our</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Class A common stock, in each case, subject to equitable</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adjustments for stock splits, stock dividends and</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reclassifications in accordance with the terms of the</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Exchange Agreement (defined below). When GIP</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exchanges a Class D unit of Clearway LLC for a share of</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our Class C common stock, we will automatically redeem</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and cancel a corresponding share of our Class D common</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stock and the Class D unit will automatically convert into a</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Class C unit of Clearway LLC issued to us. When GIP</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exchanges a Class B unit of Clearway LLC for a share of</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our Class A common stock, we will automatically redeem</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and cancel a corresponding share of our Class B common</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stock and the Class B unit will automatically convert into a</w:t>
            </w:r>
          </w:p>
        </w:tc>
      </w:tr>
      <w:tr>
        <w:trPr>
          <w:trHeight w:val="222"/>
        </w:trPr>
        <w:tc>
          <w:tcPr>
            <w:tcW w:w="4580" w:type="dxa"/>
            <w:vAlign w:val="bottom"/>
            <w:tcBorders>
              <w:left w:val="single" w:sz="8" w:color="auto"/>
            </w:tcBorders>
          </w:tcPr>
          <w:p>
            <w:pPr>
              <w:spacing w:after="0"/>
              <w:rPr>
                <w:sz w:val="19"/>
                <w:szCs w:val="19"/>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Class A unit of Clearway LLC issued to us.</w:t>
            </w:r>
          </w:p>
        </w:tc>
      </w:tr>
      <w:tr>
        <w:trPr>
          <w:trHeight w:val="426"/>
        </w:trPr>
        <w:tc>
          <w:tcPr>
            <w:tcW w:w="458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Pursuant to a registration rights agreement with CEG, we</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agreed to file a registration statement for the sale of the</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shares of our Class A common stock and Class C common</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stock that are issuable upon exchange of Class B units and</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Class D units, respectively, of Clearway LLC upon request</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and cause that registration statement to be declared</w:t>
            </w:r>
          </w:p>
        </w:tc>
      </w:tr>
      <w:tr>
        <w:trPr>
          <w:trHeight w:val="222"/>
        </w:trPr>
        <w:tc>
          <w:tcPr>
            <w:tcW w:w="4580" w:type="dxa"/>
            <w:vAlign w:val="bottom"/>
            <w:tcBorders>
              <w:left w:val="single" w:sz="8" w:color="auto"/>
            </w:tcBorders>
          </w:tcPr>
          <w:p>
            <w:pPr>
              <w:spacing w:after="0"/>
              <w:rPr>
                <w:sz w:val="19"/>
                <w:szCs w:val="19"/>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effective by the SEC as soon as practicable thereafter.</w:t>
            </w:r>
          </w:p>
        </w:tc>
      </w:tr>
      <w:tr>
        <w:trPr>
          <w:trHeight w:val="426"/>
        </w:trPr>
        <w:tc>
          <w:tcPr>
            <w:tcW w:w="45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Cash dividends</w:t>
            </w: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Our ability to pay the regular quarterly dividend is subject</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to various restrictions and other factors described in more</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detail under the caption "Cash Dividend Policy." We expect</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to pay a quarterly dividend on or about the 75th day</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following the expiration of each fiscal quarter to holders of</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our Class C common stock and our Class A common stock</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of record on or about the 60th day following the last day of</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such fiscal quarter. However, we do not have a legal</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obligation to declare or pay dividends at a specific</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quarterly dividend level or at all. See "Cash Dividend</w:t>
            </w:r>
          </w:p>
        </w:tc>
      </w:tr>
      <w:tr>
        <w:trPr>
          <w:trHeight w:val="222"/>
        </w:trPr>
        <w:tc>
          <w:tcPr>
            <w:tcW w:w="4580" w:type="dxa"/>
            <w:vAlign w:val="bottom"/>
            <w:tcBorders>
              <w:left w:val="single" w:sz="8" w:color="auto"/>
            </w:tcBorders>
          </w:tcPr>
          <w:p>
            <w:pPr>
              <w:spacing w:after="0"/>
              <w:rPr>
                <w:sz w:val="19"/>
                <w:szCs w:val="19"/>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Policy."</w:t>
            </w:r>
          </w:p>
        </w:tc>
      </w:tr>
      <w:tr>
        <w:trPr>
          <w:trHeight w:val="426"/>
        </w:trPr>
        <w:tc>
          <w:tcPr>
            <w:tcW w:w="458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On October 29, 2019, our Board declared a quarterly</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dividend of $0.20 per share ($0.80 per share annualized) on</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our outstanding Class A common stock and our Class C</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common stock, which dividend will be payable on</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December 16, 2019 to holders of record as of December 2,</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2019. See "Cash Dividend Policy" for a description of our</w:t>
            </w:r>
          </w:p>
        </w:tc>
      </w:tr>
      <w:tr>
        <w:trPr>
          <w:trHeight w:val="222"/>
        </w:trPr>
        <w:tc>
          <w:tcPr>
            <w:tcW w:w="4580" w:type="dxa"/>
            <w:vAlign w:val="bottom"/>
            <w:tcBorders>
              <w:left w:val="single" w:sz="8" w:color="auto"/>
            </w:tcBorders>
          </w:tcPr>
          <w:p>
            <w:pPr>
              <w:spacing w:after="0"/>
              <w:rPr>
                <w:sz w:val="19"/>
                <w:szCs w:val="19"/>
                <w:color w:val="auto"/>
              </w:rPr>
            </w:pPr>
          </w:p>
        </w:tc>
        <w:tc>
          <w:tcPr>
            <w:tcW w:w="68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dividend history.</w:t>
            </w:r>
          </w:p>
        </w:tc>
      </w:tr>
      <w:tr>
        <w:trPr>
          <w:trHeight w:val="444"/>
        </w:trPr>
        <w:tc>
          <w:tcPr>
            <w:tcW w:w="4580" w:type="dxa"/>
            <w:vAlign w:val="bottom"/>
            <w:tcBorders>
              <w:left w:val="single" w:sz="8" w:color="auto"/>
              <w:bottom w:val="single" w:sz="8" w:color="auto"/>
            </w:tcBorders>
          </w:tcPr>
          <w:p>
            <w:pPr>
              <w:spacing w:after="0"/>
              <w:rPr>
                <w:sz w:val="24"/>
                <w:szCs w:val="24"/>
                <w:color w:val="auto"/>
              </w:rPr>
            </w:pPr>
          </w:p>
        </w:tc>
        <w:tc>
          <w:tcPr>
            <w:tcW w:w="6840" w:type="dxa"/>
            <w:vAlign w:val="bottom"/>
            <w:tcBorders>
              <w:bottom w:val="single" w:sz="8" w:color="auto"/>
              <w:right w:val="single" w:sz="8" w:color="auto"/>
            </w:tcBorders>
          </w:tcPr>
          <w:p>
            <w:pPr>
              <w:spacing w:after="0"/>
              <w:rPr>
                <w:sz w:val="24"/>
                <w:szCs w:val="24"/>
                <w:color w:val="auto"/>
              </w:rPr>
            </w:pPr>
          </w:p>
        </w:tc>
      </w:tr>
      <w:tr>
        <w:trPr>
          <w:trHeight w:val="427"/>
        </w:trPr>
        <w:tc>
          <w:tcPr>
            <w:tcW w:w="4580" w:type="dxa"/>
            <w:vAlign w:val="bottom"/>
          </w:tcPr>
          <w:p>
            <w:pPr>
              <w:spacing w:after="0"/>
              <w:rPr>
                <w:sz w:val="24"/>
                <w:szCs w:val="24"/>
                <w:color w:val="auto"/>
              </w:rPr>
            </w:pPr>
          </w:p>
        </w:tc>
        <w:tc>
          <w:tcPr>
            <w:tcW w:w="6840" w:type="dxa"/>
            <w:vAlign w:val="bottom"/>
          </w:tcPr>
          <w:p>
            <w:pPr>
              <w:ind w:left="960"/>
              <w:spacing w:after="0"/>
              <w:rPr>
                <w:sz w:val="20"/>
                <w:szCs w:val="20"/>
                <w:color w:val="auto"/>
              </w:rPr>
            </w:pPr>
            <w:r>
              <w:rPr>
                <w:rFonts w:ascii="Arial" w:cs="Arial" w:eastAsia="Arial" w:hAnsi="Arial"/>
                <w:sz w:val="18"/>
                <w:szCs w:val="18"/>
                <w:color w:val="auto"/>
              </w:rPr>
              <w:t>S-10</w:t>
            </w:r>
          </w:p>
        </w:tc>
      </w:tr>
      <w:tr>
        <w:trPr>
          <w:trHeight w:val="228"/>
        </w:trPr>
        <w:tc>
          <w:tcPr>
            <w:tcW w:w="458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4558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55803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Material U.S. federal income tax consequences to non-U.S.</w:t>
      </w:r>
    </w:p>
    <w:p>
      <w:pPr>
        <w:spacing w:after="0" w:line="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FERC-related purchase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Exchange listing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right="960"/>
        <w:spacing w:after="0" w:line="255" w:lineRule="auto"/>
        <w:rPr>
          <w:sz w:val="20"/>
          <w:szCs w:val="20"/>
          <w:color w:val="auto"/>
        </w:rPr>
      </w:pPr>
      <w:r>
        <w:rPr>
          <w:rFonts w:ascii="Arial" w:cs="Arial" w:eastAsia="Arial" w:hAnsi="Arial"/>
          <w:sz w:val="18"/>
          <w:szCs w:val="18"/>
          <w:color w:val="auto"/>
        </w:rPr>
        <w:t>For a discussion of the material U.S. federal income tax consequences that may be relevant to prospective investors who are non-U.S. holders (as defined herein), please read "Material U.S. Federal Income Tax Consequences to Non-U.S. Holders."</w:t>
      </w:r>
    </w:p>
    <w:p>
      <w:pPr>
        <w:spacing w:after="0" w:line="197" w:lineRule="exact"/>
        <w:rPr>
          <w:sz w:val="20"/>
          <w:szCs w:val="20"/>
          <w:color w:val="auto"/>
        </w:rPr>
      </w:pPr>
    </w:p>
    <w:p>
      <w:pPr>
        <w:ind w:right="920"/>
        <w:spacing w:after="0" w:line="290" w:lineRule="auto"/>
        <w:rPr>
          <w:sz w:val="20"/>
          <w:szCs w:val="20"/>
          <w:color w:val="auto"/>
        </w:rPr>
      </w:pPr>
      <w:r>
        <w:rPr>
          <w:rFonts w:ascii="Arial" w:cs="Arial" w:eastAsia="Arial" w:hAnsi="Arial"/>
          <w:sz w:val="16"/>
          <w:szCs w:val="16"/>
          <w:color w:val="auto"/>
        </w:rPr>
        <w:t>No purchaser of Class C common stock in this offering will be permitted to purchase an amount of our Class C common stock that would cause such purchaser and its associate or affiliate companies in the aggregate to hold a large enough voting interest to convey direct or indirect "control" over any of Clearway LLC's public utility subsidiaries. See "Notice to Investors."</w:t>
      </w:r>
    </w:p>
    <w:p>
      <w:pPr>
        <w:spacing w:after="0" w:line="172" w:lineRule="exact"/>
        <w:rPr>
          <w:sz w:val="20"/>
          <w:szCs w:val="20"/>
          <w:color w:val="auto"/>
        </w:rPr>
      </w:pPr>
    </w:p>
    <w:p>
      <w:pPr>
        <w:ind w:right="960"/>
        <w:spacing w:after="0" w:line="294" w:lineRule="auto"/>
        <w:rPr>
          <w:sz w:val="20"/>
          <w:szCs w:val="20"/>
          <w:color w:val="auto"/>
        </w:rPr>
      </w:pPr>
      <w:r>
        <w:rPr>
          <w:rFonts w:ascii="Arial" w:cs="Arial" w:eastAsia="Arial" w:hAnsi="Arial"/>
          <w:sz w:val="16"/>
          <w:szCs w:val="16"/>
          <w:color w:val="auto"/>
        </w:rPr>
        <w:t>You should carefully consider the information set forth in the "Risk Factors" section of this prospectus supplement as well as all other information included in or incorporated by reference in this prospectus supplement before deciding whether to invest in our Class C common stock.</w:t>
      </w:r>
    </w:p>
    <w:p>
      <w:pPr>
        <w:spacing w:after="0" w:line="170" w:lineRule="exact"/>
        <w:rPr>
          <w:sz w:val="20"/>
          <w:szCs w:val="20"/>
          <w:color w:val="auto"/>
        </w:rPr>
      </w:pPr>
    </w:p>
    <w:p>
      <w:pPr>
        <w:ind w:right="1200"/>
        <w:spacing w:after="0" w:line="332" w:lineRule="auto"/>
        <w:rPr>
          <w:sz w:val="20"/>
          <w:szCs w:val="20"/>
          <w:color w:val="auto"/>
        </w:rPr>
      </w:pPr>
      <w:r>
        <w:rPr>
          <w:rFonts w:ascii="Arial" w:cs="Arial" w:eastAsia="Arial" w:hAnsi="Arial"/>
          <w:sz w:val="16"/>
          <w:szCs w:val="16"/>
          <w:color w:val="auto"/>
        </w:rPr>
        <w:t>Our Class C common stock is traded on the New York Stock Exchange ("NYSE") under the symbol "CWEN."</w:t>
      </w:r>
    </w:p>
    <w:p>
      <w:pPr>
        <w:spacing w:after="0" w:line="139" w:lineRule="exact"/>
        <w:rPr>
          <w:sz w:val="20"/>
          <w:szCs w:val="20"/>
          <w:color w:val="auto"/>
        </w:rPr>
      </w:pPr>
    </w:p>
    <w:p>
      <w:pPr>
        <w:sectPr>
          <w:pgSz w:w="11900" w:h="16838" w:orient="portrait"/>
          <w:cols w:equalWidth="0" w:num="2">
            <w:col w:w="5500" w:space="380"/>
            <w:col w:w="5120"/>
          </w:cols>
          <w:pgMar w:left="240" w:top="131" w:right="659" w:bottom="1440" w:gutter="0" w:footer="0" w:header="0"/>
          <w:type w:val="continuous"/>
        </w:sectPr>
      </w:pPr>
    </w:p>
    <w:p>
      <w:pPr>
        <w:ind w:left="240" w:firstLine="348"/>
        <w:spacing w:after="0" w:line="302" w:lineRule="auto"/>
        <w:rPr>
          <w:sz w:val="20"/>
          <w:szCs w:val="20"/>
          <w:color w:val="auto"/>
        </w:rPr>
      </w:pPr>
      <w:r>
        <w:rPr>
          <w:rFonts w:ascii="Arial" w:cs="Arial" w:eastAsia="Arial" w:hAnsi="Arial"/>
          <w:sz w:val="15"/>
          <w:szCs w:val="15"/>
          <w:color w:val="auto"/>
        </w:rPr>
        <w:t>The number of shares of our common stock to be outstanding after this offering is based on 73,336,990 shares of our Class C common stock, 34,599,645 shares of our Class A common stock, 42,738,750 shares of our Class B common stock, and 42,738,750 shares of our Class D common stock outstanding as of November 29, 2019 and excludes (i) 42,738,750 shares of our Class C common stock reserved for issuance upon the subsequent exchange of Class D units of Clearway LLC that will be outstanding immediately after this offering; (ii) 42,738,750 shares of our Class A common stock reserved for issuance upon the subsequent exchange of Class B units of Clearway LLC that will be outstanding immediately after this offering;</w:t>
      </w:r>
    </w:p>
    <w:p>
      <w:pPr>
        <w:spacing w:after="0" w:line="2" w:lineRule="exact"/>
        <w:rPr>
          <w:sz w:val="20"/>
          <w:szCs w:val="20"/>
          <w:color w:val="auto"/>
        </w:rPr>
      </w:pPr>
    </w:p>
    <w:p>
      <w:pPr>
        <w:ind w:left="540" w:hanging="298"/>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1,063,364 shares of our Class A common stock and Class C common stock reserved for issuance under our equity-based compensation plans; and</w:t>
      </w:r>
    </w:p>
    <w:p>
      <w:pPr>
        <w:spacing w:after="0" w:line="32" w:lineRule="exact"/>
        <w:rPr>
          <w:rFonts w:ascii="Arial" w:cs="Arial" w:eastAsia="Arial" w:hAnsi="Arial"/>
          <w:sz w:val="16"/>
          <w:szCs w:val="16"/>
          <w:color w:val="auto"/>
        </w:rPr>
      </w:pPr>
    </w:p>
    <w:p>
      <w:pPr>
        <w:ind w:left="540" w:hanging="298"/>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13,053,806 shares of our Class C common stock reserved for issuance upon conversion of our outstanding 2020 Convertible Notes.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5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645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FINANCIAL DATA</w:t>
      </w:r>
    </w:p>
    <w:p>
      <w:pPr>
        <w:spacing w:after="0" w:line="231" w:lineRule="exact"/>
        <w:rPr>
          <w:sz w:val="20"/>
          <w:szCs w:val="20"/>
          <w:color w:val="auto"/>
        </w:rPr>
      </w:pPr>
    </w:p>
    <w:p>
      <w:pPr>
        <w:ind w:left="240" w:firstLine="348"/>
        <w:spacing w:after="0" w:line="289" w:lineRule="auto"/>
        <w:rPr>
          <w:sz w:val="20"/>
          <w:szCs w:val="20"/>
          <w:color w:val="auto"/>
        </w:rPr>
      </w:pPr>
      <w:r>
        <w:rPr>
          <w:rFonts w:ascii="Arial" w:cs="Arial" w:eastAsia="Arial" w:hAnsi="Arial"/>
          <w:sz w:val="16"/>
          <w:szCs w:val="16"/>
          <w:color w:val="auto"/>
        </w:rPr>
        <w:t>The following table shows summary historical financial data at the dates and for the periods indicated. The summary historical financial data as of and for the years ended December 31, 2016, 2017 and 2018 have been derived from our audited consolidated financial statements included in our 2018 Annual Report, which is incorporated herein by reference. The summary historical financial data as of and for the nine months ended September 30, 2018 and 2019 were derived from our unaudited consolidated financial statements included in our quarterly report on Form 10-Q for the nine months ended September 30, 2019 (the "Third Quarter 10-Q") which is incorporated herein by reference, and include all adjustments, consisting of normal recurring adjustments, which management considers necessary for a fair presentation of the financial position and the results of operations for such periods, and results for the interim periods are not necessarily indicative of the results for the full year. The summary historical financial data are not necessarily indicative of results to be expected in future periods.</w:t>
      </w:r>
    </w:p>
    <w:p>
      <w:pPr>
        <w:spacing w:after="0" w:line="172" w:lineRule="exact"/>
        <w:rPr>
          <w:sz w:val="20"/>
          <w:szCs w:val="20"/>
          <w:color w:val="auto"/>
        </w:rPr>
      </w:pPr>
    </w:p>
    <w:p>
      <w:pPr>
        <w:ind w:left="240" w:firstLine="348"/>
        <w:spacing w:after="0" w:line="291" w:lineRule="auto"/>
        <w:rPr>
          <w:sz w:val="20"/>
          <w:szCs w:val="20"/>
          <w:color w:val="auto"/>
        </w:rPr>
      </w:pPr>
      <w:r>
        <w:rPr>
          <w:rFonts w:ascii="Arial" w:cs="Arial" w:eastAsia="Arial" w:hAnsi="Arial"/>
          <w:sz w:val="16"/>
          <w:szCs w:val="16"/>
          <w:color w:val="auto"/>
        </w:rPr>
        <w:t>The following table should be read together with, and is qualified in its entirety by reference to, the historical consolidated financial statements and the accompanying notes incorporated by reference in this prospectus supplement. Among other things, the historical consolidated statements include more detailed information regarding the basis of presentation for the information in the following table. The table should also be read together with "Management's Discussion and Analysis of Financial Condition and Results of Operations" included in our 2018 Annual Report, our Form 10-Q for the three months ended March 31, 2019 (the "First Quarter 10-Q"), our Form 10-Q for the six months ended June 30, 2019 (the "Second Quarter 10-Q") and the Third Quarter 10-Q, which are incorporated herein by reference.</w:t>
      </w:r>
    </w:p>
    <w:p>
      <w:pPr>
        <w:spacing w:after="0" w:line="15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7"/>
          </w:tcPr>
          <w:p>
            <w:pPr>
              <w:jc w:val="center"/>
              <w:ind w:left="312"/>
              <w:spacing w:after="0" w:line="149" w:lineRule="exact"/>
              <w:rPr>
                <w:sz w:val="20"/>
                <w:szCs w:val="20"/>
                <w:color w:val="auto"/>
              </w:rPr>
            </w:pPr>
            <w:r>
              <w:rPr>
                <w:rFonts w:ascii="Arial" w:cs="Arial" w:eastAsia="Arial" w:hAnsi="Arial"/>
                <w:sz w:val="14"/>
                <w:szCs w:val="14"/>
                <w:b w:val="1"/>
                <w:bCs w:val="1"/>
                <w:color w:val="auto"/>
                <w:w w:val="87"/>
              </w:rPr>
              <w:t>Fiscal Year 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right"/>
              <w:ind w:right="372"/>
              <w:spacing w:after="0" w:line="142" w:lineRule="exact"/>
              <w:rPr>
                <w:sz w:val="20"/>
                <w:szCs w:val="20"/>
                <w:color w:val="auto"/>
              </w:rPr>
            </w:pPr>
            <w:r>
              <w:rPr>
                <w:rFonts w:ascii="Arial" w:cs="Arial" w:eastAsia="Arial" w:hAnsi="Arial"/>
                <w:sz w:val="14"/>
                <w:szCs w:val="14"/>
                <w:b w:val="1"/>
                <w:bCs w:val="1"/>
                <w:color w:val="auto"/>
                <w:w w:val="73"/>
              </w:rPr>
              <w:t>(unaudited)</w:t>
            </w:r>
          </w:p>
        </w:tc>
        <w:tc>
          <w:tcPr>
            <w:tcW w:w="160" w:type="dxa"/>
            <w:vAlign w:val="bottom"/>
          </w:tcPr>
          <w:p>
            <w:pPr>
              <w:spacing w:after="0"/>
              <w:rPr>
                <w:sz w:val="12"/>
                <w:szCs w:val="12"/>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revenue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1,035</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824</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797</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Total operating costs and expenses</w:t>
            </w: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726</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706</w:t>
            </w:r>
          </w:p>
        </w:tc>
        <w:tc>
          <w:tcPr>
            <w:tcW w:w="100" w:type="dxa"/>
            <w:vAlign w:val="bottom"/>
          </w:tcPr>
          <w:p>
            <w:pPr>
              <w:spacing w:after="0"/>
              <w:rPr>
                <w:sz w:val="12"/>
                <w:szCs w:val="12"/>
                <w:color w:val="auto"/>
              </w:rPr>
            </w:pPr>
          </w:p>
        </w:tc>
        <w:tc>
          <w:tcPr>
            <w:tcW w:w="62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531</w:t>
            </w:r>
          </w:p>
        </w:tc>
        <w:tc>
          <w:tcPr>
            <w:tcW w:w="2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579</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145</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Net (Loss) Income attributable to noncontrolling interests</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62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25</w:t>
            </w: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Clearway, Inc.</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116</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b w:val="1"/>
                <w:bCs w:val="1"/>
                <w:color w:val="auto"/>
              </w:rPr>
              <w:t>Other Financial Data</w:t>
            </w: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(62)</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517</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498</w:t>
            </w:r>
          </w:p>
        </w:tc>
        <w:tc>
          <w:tcPr>
            <w:tcW w:w="100" w:type="dxa"/>
            <w:vAlign w:val="bottom"/>
          </w:tcPr>
          <w:p>
            <w:pPr>
              <w:spacing w:after="0"/>
              <w:rPr>
                <w:sz w:val="12"/>
                <w:szCs w:val="12"/>
                <w:color w:val="auto"/>
              </w:rPr>
            </w:pPr>
          </w:p>
        </w:tc>
        <w:tc>
          <w:tcPr>
            <w:tcW w:w="62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396</w:t>
            </w:r>
          </w:p>
        </w:tc>
        <w:tc>
          <w:tcPr>
            <w:tcW w:w="2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374</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(175)</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w:t>
            </w:r>
          </w:p>
        </w:tc>
      </w:tr>
      <w:tr>
        <w:trPr>
          <w:trHeight w:val="172"/>
        </w:trPr>
        <w:tc>
          <w:tcPr>
            <w:tcW w:w="466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(202)</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(257)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tcPr>
          <w:p>
            <w:pPr>
              <w:jc w:val="right"/>
              <w:ind w:right="52"/>
              <w:spacing w:after="0"/>
              <w:rPr>
                <w:sz w:val="20"/>
                <w:szCs w:val="20"/>
                <w:color w:val="auto"/>
              </w:rPr>
            </w:pPr>
            <w:r>
              <w:rPr>
                <w:rFonts w:ascii="Arial" w:cs="Arial" w:eastAsia="Arial" w:hAnsi="Arial"/>
                <w:sz w:val="14"/>
                <w:szCs w:val="14"/>
                <w:color w:val="auto"/>
              </w:rPr>
              <w:t>(148)</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(260)</w:t>
            </w:r>
          </w:p>
        </w:tc>
      </w:tr>
      <w:tr>
        <w:trPr>
          <w:trHeight w:val="827"/>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 2019</w:t>
            </w:r>
          </w:p>
        </w:tc>
      </w:tr>
      <w:tr>
        <w:trPr>
          <w:trHeight w:val="142"/>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center"/>
              <w:ind w:right="232"/>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459"/>
        </w:trPr>
        <w:tc>
          <w:tcPr>
            <w:tcW w:w="4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center"/>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148</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249</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5,562</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1,103</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8,838</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including current portion of long-term debt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6,108</w:t>
            </w:r>
          </w:p>
        </w:tc>
      </w:tr>
      <w:tr>
        <w:trPr>
          <w:trHeight w:val="172"/>
        </w:trPr>
        <w:tc>
          <w:tcPr>
            <w:tcW w:w="46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center"/>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2,046</w:t>
            </w:r>
          </w:p>
        </w:tc>
      </w:tr>
    </w:tbl>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An investment in our Class C common stock involves significant risks. Before making an investment decision, and in consultation with your own financial and legal advisors, you should carefully read and consider the risk factors described below as well as the other information included or incorporated by reference in this prospectus supplement and under "Risk Factors" in our 2018 Annual Report, which are incorporated in this prospectus supplement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an Investment in Us</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not be able to continue paying comparable or growing cash dividends to holders of our Class A common stock or our Class C common stock in the future.</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amount of our CAFD principally depends upon the amount of cash we generate from our operations, which will fluctuate from quarter to quarter based on, among other things:</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and timing of capital expenditures we make;</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operating and general and administrative expenses, including reimbursements to CEG for services provided to us in accordance with the Master Services Agreement with CEG;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variations in revenues generated by the business due to seasonality, weather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debt service requirements and other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borrow funds and access capital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contained in our debt agreements (including our project-level financing and, if applicable, our corporate debt);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business risks affecting our cash levels.</w:t>
      </w:r>
    </w:p>
    <w:p>
      <w:pPr>
        <w:spacing w:after="0" w:line="225" w:lineRule="exact"/>
        <w:rPr>
          <w:sz w:val="20"/>
          <w:szCs w:val="20"/>
          <w:color w:val="auto"/>
        </w:rPr>
      </w:pPr>
    </w:p>
    <w:p>
      <w:pPr>
        <w:ind w:right="100" w:firstLine="341"/>
        <w:spacing w:after="0" w:line="335" w:lineRule="auto"/>
        <w:rPr>
          <w:sz w:val="20"/>
          <w:szCs w:val="20"/>
          <w:color w:val="auto"/>
        </w:rPr>
      </w:pPr>
      <w:r>
        <w:rPr>
          <w:rFonts w:ascii="Arial" w:cs="Arial" w:eastAsia="Arial" w:hAnsi="Arial"/>
          <w:sz w:val="15"/>
          <w:szCs w:val="15"/>
          <w:color w:val="auto"/>
        </w:rPr>
        <w:t>As a result of all these factors, we cannot guarantee that we will have sufficient cash generated from operations to pay a specific level of cash dividends to holders of our Class A common stock or our Class C common stock. Furthermore, holders of our Class A common stock or our Class C common stock should be aware that the amount of CAFD depends primarily on our operating cash flow, and is not solely a function of profitability, which is affected by non-cash items.</w:t>
      </w:r>
    </w:p>
    <w:p>
      <w:pPr>
        <w:spacing w:after="0" w:line="142"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may incur other expenses or liabilities during a period that could significantly reduce or eliminate our CAFD and, in turn, impair our ability to pay dividends to holders of our Class A common stock or our Class C common stock during the period. Because we are a holding company, our ability to pay dividends on our Class A common stock or our Class C common stock is limited by the ability of our subsidiaries to make distributions to us, including restrictions under the terms of the agreements governing our corporate debt and project-level financing. For example, as a result of the PG&amp;E Bankruptcy, certain of our unconsolidated investments have been unable to distribute project dividends to us during 2019. Our project-level financing agreements generally prohibit distributions from the project entities prior to COD and thereafter prohibit distributions to us unless certain specific conditions are met, including the satisfaction of financial ratios. Our Revolving Credit Facility also restricts our ability to declare and pay dividends if an event of default has occurred and is continuing or if the payment of the dividend would result in an event of default.</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Clearway LLC's CAFD will likely fluctuate from quarter to quarter, in some cases significantly, due to seasonality. As a result, we may cause Clearway LLC to reduce the amount of cash it distributes to its members in a particular quarter to establish reserves to fund distributions to its members in future periods for which the cash distributions we would otherwise receive from Clearway LLC would be insufficient to fund our quarterly dividend. If we fail to cause Clearway LLC to establish sufficient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reserves, we may not be able to maintain our quarterly dividend with respect to a quarter adversely affected by seasonality.</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Finally, dividends to holders of our Class A common stock and our Class C common stock will be paid at the discretion of our Board. Our Board may decrease the level, or entirely discontinue payment, of dividends. For a description of additional restrictions and factors that may affect our ability to pay cash dividends, please read "Cash Dividend Policy."</w:t>
      </w:r>
    </w:p>
    <w:p>
      <w:pPr>
        <w:spacing w:after="0" w:line="194"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interest in Clearway LLC, and we are accordingly dependent upon distributions from Clearway LLC and its subsidiaries to pay dividends and taxes and other expenses.</w:t>
      </w:r>
    </w:p>
    <w:p>
      <w:pPr>
        <w:spacing w:after="0" w:line="186"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We are a holding company and have no material assets other than our ownership of membership interests in Clearway LLC, a holding company that has no material assets other than its interest in Clearway Operating LLC, whose sole material assets are the project companies. None of Clearway Inc., Clearway LLC, nor Clearway Operating LLC has any independent means of generating revenue. We intend to continue to cause Clearway Operating LLC's subsidiaries to make distributions to Clearway Operating LLC and, in turn, make distributions to Clearway LLC, and, in turn, to make distributions to us in an amount sufficient to cover all applicable taxes payable and dividends, if any, declared by us. To the extent that we need funds for a quarterly cash dividend to holders of our Class A common stock or our Class C common stock or otherwise, and Clearway Operating LLC or Clearway LLC is restricted from making such distributions under applicable law or regulation or is otherwise unable to provide such funds (including as a result of Clearway Operating LLC's operating subsidiaries being unable to make distributions), it could materially adversely affect our liquidity and financial condition and limit our ability to pay dividends to holders of our Class A common stock and our Class C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interest rates may have an effect on the value of our Class C common stock.</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One of the factors that influences the price of shares of our Class C common stock is the effective dividend yield of such shares (i.e., the yield as a percentage of the then market price of our shares) relative to market interest rates. An increase in market interest rates, which are currently at low levels relative to historical rates but are rising, may lead investors of shares of our Class C common stock to expect a higher dividend yield and, our inability to increase our dividend as a result of an increase in borrowing costs, insufficient CAFD or otherwise, could result in selling pressure on, and a decrease in the market prices of our Class C common stock as investors seek alternative investments with higher yield.</w:t>
      </w:r>
    </w:p>
    <w:p>
      <w:pPr>
        <w:spacing w:after="0" w:line="17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strategic acquisitions or effect combinations.</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If we are deemed to be an investment company under the Investment Company Act of 1940 (the "Investment Company Act"), our business would be subject to applicable restrictions under the Investment Company Act, which could make it impracticable for us to continue our business as contemplated.</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believe our company is not an investment company under Section 3(b)(1) of the Investment Company Act because we are primarily engaged in a non-investment company business. We intend to conduct our operations so that we will not be deemed an investment company. However, if we were to be deemed an investment company, restrictions imposed by the Investment Company Act, including limitations on our capital structure and our ability to transact with affiliates, could make it impractical for us to continue our business as contemplated.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the price of our Class C common stock and the value of your investment.</w:t>
      </w:r>
    </w:p>
    <w:p>
      <w:pPr>
        <w:spacing w:after="0" w:line="225"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market prices of our Class C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natural disasters, wildfires and other weather-related events; changes in our investments or asset composition; write-downs or perceived credit or liquidity issues affecting our assets; market perception of GIP or CEG, our business and our assets; our level of indebtedness and/or adverse market reaction to any indebtedness that we may incur in the future; our ability to raise capital on favorable terms or at all; loss of any major funding source; changes in market valuations of similar power generation companies; and speculation in the press or investment community regarding us, GIP or CEG.</w:t>
      </w:r>
    </w:p>
    <w:p>
      <w:pPr>
        <w:spacing w:after="0" w:line="20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of market conditions may increase certain of the risks we face.</w:t>
      </w:r>
    </w:p>
    <w:p>
      <w:pPr>
        <w:spacing w:after="0" w:line="225" w:lineRule="exact"/>
        <w:rPr>
          <w:sz w:val="20"/>
          <w:szCs w:val="20"/>
          <w:color w:val="auto"/>
        </w:rPr>
      </w:pPr>
    </w:p>
    <w:p>
      <w:pPr>
        <w:jc w:val="both"/>
        <w:ind w:right="260" w:firstLine="348"/>
        <w:spacing w:after="0" w:line="306" w:lineRule="auto"/>
        <w:rPr>
          <w:sz w:val="20"/>
          <w:szCs w:val="20"/>
          <w:color w:val="auto"/>
        </w:rPr>
      </w:pPr>
      <w:r>
        <w:rPr>
          <w:rFonts w:ascii="Arial" w:cs="Arial" w:eastAsia="Arial" w:hAnsi="Arial"/>
          <w:sz w:val="16"/>
          <w:szCs w:val="16"/>
          <w:color w:val="auto"/>
        </w:rPr>
        <w:t>The capital markets in general are often subject to volatility that is unrelated to the operating performance of particular companies. Market volatility can affect the plans and perspectives of various market participants, including operating entities, consumers and financing providers, and may increase uncertainty and heighten some of the risks we face. We and other companies may have to adjust our plans and priorities in light of such volatility.</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Risks that may increase as a result of market volatility include, but are not limited to, risks related to access to capital and liquidity and risks related to the performance of third parties, including GIP. We have significant relationships with, and in certain areas depend significantly on, GIP and CEG. In particular, CEG provides operational services and other support. Our growth strategy depends on our ability to identify and acquire additional facilities from CEG and unaffiliated third parties. We interact with or depend on CEG for assistance related to many third-party acquisition opportunities and for operations and maintenance support on various pending and completed transactions. As a result, our financial and operating performance and prospects, including our ability to grow our dividend per share, may be affected by the performance, prospects, and priorities of GIP and CEG, and material adverse developments at GIP or CEG, or changes in their strategic priorities may materially affect our business, financial condition and results of operations.</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Furthermore, any significant disruption to our ability to access the capital markets, or a significant increase in interest rates, could make it difficult for us to successfully acquire attractive projects from third parties and may also limit our ability to obtain debt or equity financing to complete such acquisitions. If we are unable to raise adequate proceeds when needed to fund such acquisitions, our ability to grow our project portfolio may be limited, which could have a material adverse effect on our ability to implement our growth strategy and, ultimately, our business, financial condition, results of operations and cash flows.</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are a "controlled company," controlled by GIP, and as a result, are exempt from certain corporate governance requirements that are designed to provide protection to stockholders of companies that are not controlled companies.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GIP indirectly controls approximately 54.95% (after the consummation of this offering) of our combined voting power and is able to elect all of our Board. As a result, we are considered a "controlled company" for the purposes of the NYSE listing requirements. As a "controlled company," we are permitted to, and we may, opt out of the NYSE listing requirements that would require (i) a majority of the members of our Board to be independent, (ii) that we establish a compensation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we have elected to have a Corporate Governance, Conflicts and Nominating Committee consisting entirely of independent directors and to conduct an annual performance evaluation of this committee, the majority of the members of our Board are not considered independent. Therefore, our stockholders may not have the same protections afforded to stockholders of companies that are subject to all of the applicable NYSE listing requirements. It is also possible that the interests of GIP may in some circumstances conflict with our interests and the interests of holders of our Class C common stock.</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holders of our Class C common stock, and could make it more difficult for you to change management.</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Provisions of our Charter and bylaws may discourage, delay or prevent a merger, acquisition or other change in control that holders of our Class C common stock may consider favorable, including transactions in which such stockholders might otherwise receive a premium for their shares. This is because these provisions may prevent or frustrate attempts by stockholders to replace or remove members of our management. These provisions include:</w:t>
      </w:r>
    </w:p>
    <w:p>
      <w:pPr>
        <w:spacing w:after="0" w:line="174"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requirement that special meetings of stockholders be called upon a resolution approved by a majority of our directors then in office;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authority of our Board to issue preferred stock with such terms as our Board may determine.</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Section 203 of the DGCL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As a result of these provisions in our charter documents, the price investors may be willing to pay in the future for shares of our Class C common stock may be limited. See "Description of Capital Stock—Antitakeover Effects of Delaware Law and Our Certificate of Incorporation and Bylaws" in the accompanying prospectus.</w:t>
      </w:r>
    </w:p>
    <w:p>
      <w:pPr>
        <w:spacing w:after="0" w:line="170"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Additionally, our Charter prohibits any person and any of its associate or affiliate companies in the aggregate, public utility or holding company from acquiring, through this offering or in subsequent purchases other than secondary market transactions, an amount of our Class A common stock or our Class C common stock sufficient to result in a transfer of control without the prior written consent of our Board. See "Notice to Investors." While we do not anticipate that this offering will result in a transfer of control over any public utility owned by us, any such change of control, in addition to prior approval from our Board, would require prior authorization from FERC. Similar restrictions may apply to certain purchasers of our securities which are holding companies regardless of whether our securities are purchased in this offering or subsequent offerings by us, in open market transactions or otherwise. A purchaser of our securities which is a holding company will need to determine whether a given purchase of our securities may require prior FERC approval.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experience dilution of your ownership interest due to the future issuance of additional shares of our Class C common stock.</w:t>
      </w:r>
    </w:p>
    <w:p>
      <w:pPr>
        <w:spacing w:after="0" w:line="24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are in a capital intensive business, and may not have sufficient funds to finance the growth of our business, future acquisitions or to support our projected capital expenditures. As a result, we may require additional funds from further equity or debt financings, including tax equity financing transactions, sales under our at-the-market equity offering program (the "ATM Program") or sales of preferred shares or convertible debt to complete future acquisitions, expansions and capital expenditures and pay the general and administrative costs of our business. In the future, we may issue shares under our ATM Program and our previously authorized and unissued securities, resulting in the dilution of the ownership interests of purchasers of our Class C common stock offered hereby. Under our Charter, we are authorized to issue 500,000,000 shares of Class A common stock, 500,000,000 shares of Class B common stock, 1,000,000,000 shares of Class C common stock, 1,000,000,000 shares of Class D common stock and 10,000,000 shares of preferred stock with preferences and rights as determined by the Board. The potential issuance of additional shares of common stock or preferred stock or convertible debt may create downward pressure on the trading price of our Class C common stock. We may also issue additional shares of our Class C common stock or other securities that are convertible into or exercisable for our Class C common stock in future public offerings or private placements for capital raising purposes or for other business purposes, potentially at an offering price, conversion price or exercise price that is below the offering price for our Class C common stock in this offering.</w:t>
      </w:r>
    </w:p>
    <w:p>
      <w:pPr>
        <w:spacing w:after="0" w:line="181"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change their recommendations regarding our Class C common stock adversely, the stock price and trading volume of our Class C common stock could decline.</w:t>
      </w:r>
    </w:p>
    <w:p>
      <w:pPr>
        <w:spacing w:after="0" w:line="11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trading market for our Class C common stock will be influenced by the research and reports that industry or securities analysts may publish about us, our business, our market or our competitors. If any of the analysts who may cover us change their recommendation regarding our Class C common stock adversely, or provide more favorable relative recommendations about our competitors, the price of our Class C common stock would likely decline. If any analyst who covers us were to cease coverage of our company or fail to regularly publish reports on us, we could lose visibility in the financial markets, which in turn could cause the stock price or trading volume of our Class C common stock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our Class A common stock or Class C common stock by GIP may cause the price of our Class C common stock to fall.</w:t>
      </w:r>
    </w:p>
    <w:p>
      <w:pPr>
        <w:spacing w:after="0" w:line="24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market price of our Class C common stock could decline as a result of sales by GIP of shares of our Class A common stock or our Class C common stock (issuable to GIP upon the exchange of some or all of its Clearway LLC Class B units or Class D units, respectively) in the market, or the perception that these sales could occur. The market price of our Class C common stock may also decline as a result of GIP disposing or transferring some or all of our outstanding Class B or Class D common stock, which disposals or transfers would reduce GIP's ownership interest in, and voting control over, us. These sales might also make it more difficult for us to sell equity securities at a time and price that we deem appropriate. GIP and certain of its affiliates have certain demand and piggyback registration rights with respect to shares of our Class A common stock issuable upon the exchange of Clearway LLC's Class B units and/or Class C common stock issuable upon the exchange of Clearway LLC's Class D units. The presence of additional shares of our Class A and/or Class C common stock trading in the public market, as a result of the exercise of such registration rights, may have a material adverse effect on the market price of the Company's securities.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23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to reading the following risk factors, if you are a non-U.S. investor, please read "Material U.S. Federal Income Tax Consequences to Non-U.S. Holders" for a more complete discussion of the expected material federal income tax consequences of owning and disposing of shares of our Class C common stock.</w:t>
      </w:r>
    </w:p>
    <w:p>
      <w:pPr>
        <w:spacing w:after="0" w:line="19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Our future tax liability may be greater than expected if we do not generate NOLs sufficient to offset taxable income, if federal, state and local tax authorities challenge certain of our tax positions and exemptions or if changes in federal, state and local tax laws occur.</w:t>
      </w:r>
    </w:p>
    <w:p>
      <w:pPr>
        <w:spacing w:after="0" w:line="139"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expect to generate NOLs and carryforward prior year NOL balances to offset future taxable income. Based on our current portfolio of assets, which include renewable assets that benefit from accelerated tax depreciation deductions and federal tax credits, we do not expect to pay significant federal income tax for a period of approximately ten years. While we expect these NOLs will be available to us as future benefits, in the event that they are not generated as expected, successfully challenged by the IRS or state and local jurisdictions (in a tax audit or otherwise) or subject to future limitations from a potential change in ownership as discussed below, our ability to realize these future benefits may be limited. In addition, our ability to realize state and local tax exemptions, including property or sales and use tax exemptions, is subject to various tax laws. If these exemptions are successfully challenged by state and local jurisdictions or if a change in tax law occurs, our ability to realize these exemptions could be affected. A reduction in our expected NOLs, a limitation on our ability to use such NOLs or our tax credits and challenges by tax authorities to the Company's tax positions, may result in a material increase in our estimated future income, sales/use and property tax liability and may negatively impact our liquidity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NOLs to offset future income may be limited.</w:t>
      </w:r>
    </w:p>
    <w:p>
      <w:pPr>
        <w:spacing w:after="0" w:line="225"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Our ability to use NOLs could be substantially limited if we were unable to generate future taxable income or were to experience an "ownership change" as defined under Section 382 of the Code. In general, an "ownership change" would occur if our "5-percent shareholders," as defined under Section 382 of the Code, collectively increased their ownership in us by more than 50 percentage points over a rolling three-year period. A corporation that experiences an ownership change will generally be subject to an annual limitation on the use of its pre-ownership change deferred tax assets (including NOLs and tax credits) equal to the equity value of the corporation immediately before the ownership change, multiplied by the long-term tax-exempt rate for the month in which the ownership change occurs. Future sales of any class of our common stock by GIP, as well as future issuances by us, could contribute to a potential ownership change.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may be required for our deferred tax assets.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expected NOLs and tax credits will be reflected as a deferred tax asset as they are generated until utilized to offset income. Valuation allowances may need to be maintained for deferred tax assets that our estimates are more likely than not to be unrealizable, based on available evidence at the time the estimate is made. Valuation allowances related to deferred tax assets can be affected by changes to tax laws, statutory tax rates and future taxable income levels. In the event that we were to determine that we would not be able to realize all or a portion of the net deferred tax assets in the future, we would reduce such amounts through a charge to income tax expense in the period in which that determination was made, which could have a material adverse impact on our financial condition and results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holders of our Class C common stock may be taxable.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amount of distributions that will be treated as taxable for U.S. federal income tax purposes will depend on the amount of our current and accumulated earnings and profits. It is difficult to predict whether we will generate earnings or profits as computed for federal income tax purposes in any given tax year. Generally, a corporation's earnings and profits are computed based upon taxable income, with certain specified adjustments. Distributions will constitute ordinary dividend income to the extent paid from our current or accumulated earnings and profits, and a nontaxable return of capital to the extent of a stockholder's basis in his or her Class A or Class C common stock. Distributions in excess of our current and accumulated earnings and profits and in excess of a stockholder's basis will be treated as gain from the sale of the common stock.</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"Material U.S. Federal Income Tax Consequences to Non-U.S. Holders"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expect to receive approximately $102.5 million of net proceeds from the sale of the Class C common stock offered hereby based upon the assumed offering price of $19.83 per share, the last reported sale price of our Class C common stock on November 29, 2019, after deducting underwriting discounts and commissions and estimated offering expenses.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intend to use the net proceeds from this offering to acquire newly issued Clearway LLC Class C units from Clearway LLC. We intend to cause Clearway LLC to use such proceeds to partially fund the Carlsbad Purchase Price, to pay transaction fees and expenses and for general corporate purposes. Please see "Summary—Recent Developments—Carlsbad Drop Down Acquisition."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sets forth the cash, cash equivalents, restricted cash and consolidated capitalization as of September 30, 2019 on (i) a historical basis and</w:t>
      </w:r>
    </w:p>
    <w:p>
      <w:pPr>
        <w:spacing w:after="0" w:line="50" w:lineRule="exact"/>
        <w:rPr>
          <w:sz w:val="20"/>
          <w:szCs w:val="20"/>
          <w:color w:val="auto"/>
        </w:rPr>
      </w:pPr>
    </w:p>
    <w:p>
      <w:pPr>
        <w:ind w:right="60" w:firstLine="8"/>
        <w:spacing w:after="0" w:line="261" w:lineRule="auto"/>
        <w:tabs>
          <w:tab w:leader="none" w:pos="2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as adjusted basis to give effect to this offering and the use of proceeds therefrom, including to partially fund the Carlsbad Purchase Price, as if this offering and the Carlsbad Acquisition had occurred on September 30, 2019.</w:t>
      </w:r>
    </w:p>
    <w:p>
      <w:pPr>
        <w:spacing w:after="0" w:line="192" w:lineRule="exact"/>
        <w:rPr>
          <w:sz w:val="20"/>
          <w:szCs w:val="20"/>
          <w:color w:val="auto"/>
        </w:rPr>
      </w:pPr>
    </w:p>
    <w:p>
      <w:pPr>
        <w:ind w:right="240" w:firstLine="345"/>
        <w:spacing w:after="0" w:line="256" w:lineRule="auto"/>
        <w:rPr>
          <w:sz w:val="20"/>
          <w:szCs w:val="20"/>
          <w:color w:val="auto"/>
        </w:rPr>
      </w:pPr>
      <w:r>
        <w:rPr>
          <w:rFonts w:ascii="Arial" w:cs="Arial" w:eastAsia="Arial" w:hAnsi="Arial"/>
          <w:sz w:val="18"/>
          <w:szCs w:val="18"/>
          <w:color w:val="auto"/>
        </w:rPr>
        <w:t>You should read the following table in conjunction with the sections entitled "Use of Proceeds," "Summary—Summary Historical Financial Data" and "Management's Discussion and Analysis of Financial Condition and Results of Operations" which is incorporated by reference into this prospectus supplement from our 2018 Annual Report, Third Quarter 10-Q, and our unaudited financial statements and related notes thereto included elsewhere or incorporated by reference in this prospectus supplement.</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September 30,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As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36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Actual</w:t>
            </w:r>
          </w:p>
        </w:tc>
        <w:tc>
          <w:tcPr>
            <w:tcW w:w="6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cash and restricted cash</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center"/>
              <w:ind w:right="3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3.250% Convertible Senior Notes due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5.375% Senior Notes due 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5.750% Senior Notes due 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5.000% Senior Notes due 2026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Clearway LLC and Clearway Operating LLC Revolving Credit Facility</w:t>
            </w:r>
            <w:r>
              <w:rPr>
                <w:rFonts w:ascii="Arial" w:cs="Arial" w:eastAsia="Arial" w:hAnsi="Arial"/>
                <w:sz w:val="13"/>
                <w:szCs w:val="13"/>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Project-level debt</w:t>
            </w:r>
            <w:r>
              <w:rPr>
                <w:rFonts w:ascii="Arial" w:cs="Arial" w:eastAsia="Arial" w:hAnsi="Arial"/>
                <w:sz w:val="13"/>
                <w:szCs w:val="13"/>
                <w:color w:val="auto"/>
              </w:rPr>
              <w:t>(3)</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long-term debt</w:t>
            </w:r>
            <w:r>
              <w:rPr>
                <w:rFonts w:ascii="Arial" w:cs="Arial" w:eastAsia="Arial" w:hAnsi="Arial"/>
                <w:sz w:val="13"/>
                <w:szCs w:val="13"/>
                <w:b w:val="1"/>
                <w:bCs w:val="1"/>
                <w:color w:val="auto"/>
              </w:rPr>
              <w:t>(4)</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center"/>
              <w:ind w:right="3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w w:val="92"/>
              </w:rPr>
              <w:t>Class A common stock, par value $0.01 per share, 500,000,000 authorized; 34,599,645 issued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3"/>
          </w:tcPr>
          <w:p>
            <w:pPr>
              <w:ind w:left="160"/>
              <w:spacing w:after="0"/>
              <w:rPr>
                <w:sz w:val="20"/>
                <w:szCs w:val="20"/>
                <w:color w:val="auto"/>
              </w:rPr>
            </w:pPr>
            <w:r>
              <w:rPr>
                <w:rFonts w:ascii="Arial" w:cs="Arial" w:eastAsia="Arial" w:hAnsi="Arial"/>
                <w:sz w:val="18"/>
                <w:szCs w:val="18"/>
                <w:color w:val="auto"/>
              </w:rPr>
              <w:t>outstanding actual and as adjusted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Class B common stock, par value $0.01 per share, 500,000,000 authorized; 42,738,750 issued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outstanding, actual and as adjusted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w w:val="94"/>
              </w:rPr>
              <w:t>Class C common stock, par value $0.01 per share, 1,000,000,000 authorized; 73,336,698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3"/>
          </w:tcPr>
          <w:p>
            <w:pPr>
              <w:ind w:left="160"/>
              <w:spacing w:after="0"/>
              <w:rPr>
                <w:sz w:val="20"/>
                <w:szCs w:val="20"/>
                <w:color w:val="auto"/>
              </w:rPr>
            </w:pPr>
            <w:r>
              <w:rPr>
                <w:rFonts w:ascii="Arial" w:cs="Arial" w:eastAsia="Arial" w:hAnsi="Arial"/>
                <w:sz w:val="18"/>
                <w:szCs w:val="18"/>
                <w:color w:val="auto"/>
              </w:rPr>
              <w:t>issued and outstanding, actual; and 78,742,103 issued and outstanding as adjusted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Class D common stock, par value $0.01 per share, 1,000,000,000 authorized; 42,738,750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issued and outstanding, actual and as adjusted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w w:val="95"/>
              </w:rPr>
              <w:t>Preferred stock, par value $0.01 per share, 10,000,000 shares authorized; no shares issued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3"/>
          </w:tcPr>
          <w:p>
            <w:pPr>
              <w:ind w:left="160"/>
              <w:spacing w:after="0"/>
              <w:rPr>
                <w:sz w:val="20"/>
                <w:szCs w:val="20"/>
                <w:color w:val="auto"/>
              </w:rPr>
            </w:pPr>
            <w:r>
              <w:rPr>
                <w:rFonts w:ascii="Arial" w:cs="Arial" w:eastAsia="Arial" w:hAnsi="Arial"/>
                <w:sz w:val="18"/>
                <w:szCs w:val="18"/>
                <w:color w:val="auto"/>
              </w:rPr>
              <w:t>outstanding, actual and as adjusted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capitalization</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center"/>
              <w:ind w:right="3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as adjusted for this offering assume proceeds from this offering of approximately $102.5 million, based on 5,405,405 shares at a closing price of $19.83 on November 29, 2019, after deducting underwriting discounts and commissions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and estimated offering expenses payable by us. Additionally, as adjusted amounts reflect the net cash paid to partially fund the Carlsbad Purchase Price.</w:t>
      </w:r>
    </w:p>
    <w:p>
      <w:pPr>
        <w:spacing w:after="0" w:line="190" w:lineRule="exact"/>
        <w:rPr>
          <w:sz w:val="20"/>
          <w:szCs w:val="20"/>
          <w:color w:val="auto"/>
        </w:rPr>
      </w:pPr>
    </w:p>
    <w:p>
      <w:pPr>
        <w:ind w:left="1680" w:hanging="531"/>
        <w:spacing w:after="0" w:line="239" w:lineRule="auto"/>
        <w:tabs>
          <w:tab w:leader="none" w:pos="1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November 6, 2019, we had $40 million outstanding under the Revolving Credit Facility and we had $71 million of letters of credit outstanding. As adjusted amounts reflect the use of $80 million under the Revolving Credit Facility to partially fund the Carlsbad Purchase Price.</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adjusted amounts reflect the assumption of debt related to the Carlsbad Acquisition.</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Actual and as adjusted amounts do not reflect a reduction for net debt issuance costs of approximately $71 million and $83 million, respectively.</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COMMON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common stock is listed on the NYSE under the symbol "CWEN.A" and our Class C common stock is listed as "CWEN".</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November 29, 2019, the last reported sale price of our Class A common stock on the NYSE was $18.98 per share and the last reported sale price of our Class C common stock on the NYSE was $19.83 per share. As of November 29, 2019, there were two holders of record of our Class A common stock and three holders of record of our Class C common stock. The number of record holders does not include persons who held our Class A common stock or our Class C common stock in nominee or "street name" accounts through brokers.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DIVIDEND POLICY</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intend to pay a regular quarterly dividend to holders of our Class A common stock and Class C common stock. We expect to pay a quarterly dividend on or about the 75th day following the expiration of each fiscal quarter to holders of our Class A common stock and Class C common stock of record on or about the 60th day following the last day of such fiscal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Our Dividend</w:t>
      </w:r>
    </w:p>
    <w:p>
      <w:pPr>
        <w:spacing w:after="0" w:line="231"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accordance with its operating agreement and in our capacity as the sole managing member, we intend to cause Clearway LLC to make regular quarterly cash distributions to its members in an amount equal to the CAFD generated during a given quarter less reserves for the prudent conduct of our business (including for, among other things, unplanned capital expenditures and dividend shortfalls as a result of seasonality in our cash flows), and to use the amount distributed to Clearway Inc. to pay regular quarterly dividends to holders of our Class A common stock and our Class C common stock.</w:t>
      </w:r>
    </w:p>
    <w:p>
      <w:pPr>
        <w:spacing w:after="0" w:line="16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Our dividend policy reflects a basic judgment that holders of our Class A common stock and our Class C common stock will be better served by distributing all of the cash distributions we receive from Clearway LLC each quarter in the form of a quarterly dividend rather than retaining it. In addition, by providing for the provision of reserves each quarter after calculating CAFD and thereby enabling Clearway LLC to retain a portion of its cash generated from operations, we believe we will also provide better value to holders of our Class A common stock and our Class C common stock by maintaining the operating capacity of our assets and, in turn, dividend paying capacity.</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CAFD is likely to fluctuate from quarter to quarter, in some cases significantly, as a result of the seasonality of our assets, maintenance and outage schedules among other factors. Accordingly, during quarters in which Clearway LLC generates CAFD in excess of the amount necessary to distribute to us to pay our stated quarterly dividend, we may cause it to reserve a portion of the excess to fund its cash distribution in future quarters. In quarters in which we do not generate sufficient CAFD to fund our stated quarterly cash dividend, if our Board so determines, we may use sources of cash not included in our calculation of CAFD, such as net cash provided by financing activities, network upgrade reimbursements, all or any portion of the cash on hand or, if applicable, borrowings under our amended and restated credit agreement, to pay dividends to holders of our Class A common stock and our Class C common stock. Although these other sources of cash may be substantial and available to fund a dividend payment in a particular period, we exclude these items from our calculation of CAFD because we consider them non-recurring or otherwise not representative of the operating cash flows we typically expect to generate.</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In general, we expect that CAFD each quarter will equal Adjusted EBITDA generated during the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cash distributions received from unconsolidated affiliates, </w:t>
      </w:r>
      <w:r>
        <w:rPr>
          <w:rFonts w:ascii="Arial" w:cs="Arial" w:eastAsia="Arial" w:hAnsi="Arial"/>
          <w:sz w:val="18"/>
          <w:szCs w:val="18"/>
          <w:i w:val="1"/>
          <w:iCs w:val="1"/>
          <w:color w:val="auto"/>
        </w:rPr>
        <w:t>less</w:t>
      </w:r>
      <w:r>
        <w:rPr>
          <w:rFonts w:ascii="Arial" w:cs="Arial" w:eastAsia="Arial" w:hAnsi="Arial"/>
          <w:sz w:val="18"/>
          <w:szCs w:val="18"/>
          <w:color w:val="auto"/>
        </w:rPr>
        <w:t>:</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pro-rata Adjusted EBITDA from unconsolidated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interest paid;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 paid;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in other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principal payments on indebtedness in accordance with the related loan amortization schedules.</w:t>
      </w:r>
    </w:p>
    <w:p>
      <w:pPr>
        <w:spacing w:after="0" w:line="22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Our CAFD during 2019 was impacted by our unconsolidated investments that are unable to distribute project dividends due to the PG&amp;E Bankruptcy. We will continue to assess the level of our quarterly dividends pending developments in the PG&amp;E Bankruptcy, including our ability to receive unrestricted project distributions.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Cash Dividends and Our Ability to Change Our Dividend Policy</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There is no guarantee that we will pay quarterly cash dividends to holders of our Class A common stock and our Class C common stock. We do not have a legal obligation to pay dividends. Our dividend policy may be changed at any time and is subject to certain restrictions and uncertainties, including the following:</w:t>
      </w:r>
    </w:p>
    <w:p>
      <w:pPr>
        <w:spacing w:after="0" w:line="153" w:lineRule="exact"/>
        <w:rPr>
          <w:sz w:val="20"/>
          <w:szCs w:val="20"/>
          <w:color w:val="auto"/>
        </w:rPr>
      </w:pPr>
    </w:p>
    <w:p>
      <w:pPr>
        <w:ind w:left="1080" w:right="40" w:hanging="532"/>
        <w:spacing w:after="0" w:line="318" w:lineRule="auto"/>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 described above with respect to the PG&amp;E Bankruptcy, the amount of our quarterly CAFD could be impacted by restrictions on cash distributions contained in our project-level financing arrangements, which require that our project-level subsidiaries comply with certain financial tests and covenants in order to make such cash distributions. Similar restrictions are contained in our amended and restated credit agreement. Should we or any of our project-level subsidiaries be unable to satisfy these covenants or if any of us are otherwise in default under such facilities, we may be unable to receive sufficient cash distributions to pay our stated quarterly cash dividends notwithstanding our stated dividend policy.</w:t>
      </w:r>
    </w:p>
    <w:p>
      <w:pPr>
        <w:spacing w:after="0" w:line="180" w:lineRule="exact"/>
        <w:rPr>
          <w:rFonts w:ascii="Arial" w:cs="Arial" w:eastAsia="Arial" w:hAnsi="Arial"/>
          <w:sz w:val="15"/>
          <w:szCs w:val="15"/>
          <w:color w:val="auto"/>
        </w:rPr>
      </w:pPr>
    </w:p>
    <w:p>
      <w:pPr>
        <w:ind w:left="1080" w:hanging="532"/>
        <w:spacing w:after="0" w:line="287"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the sole managing member of Clearway LLC, we and, accordingly, our Board, has the authority to establish, or cause Clearway LLC to establish, cash reserves for the prudent conduct of our business and for future cash dividends to holders of our Class A common stock and our Class C common stock, and the establishment of or increase in those reserves could result in a reduction in cash dividends from levels we currently anticipate pursuant to our stated dividend policy. These reserves may account for the fact that our project-level cash flows may vary from year to year based on, among other things, changes in prices under offtake agreements, fuel supply and transportation agreements and other project contracts, changes in regulated transmission rates, compliance with the terms of non-recourse project-level financing including debt repayment schedules, the transition to market or recontracted pricing following the expiration of offtake agreements, working capital requirements and the operating performance of the assets. Furthermore, our Board may increase, or cause Clearway LLC to increase reserves to account for the seasonality that has historically existed in our assets cash flows and the variances in the pattern and frequency of distributions to us from our assets during the year.</w:t>
      </w:r>
    </w:p>
    <w:p>
      <w:pPr>
        <w:spacing w:after="0" w:line="190"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170 of the DGCL allows our Board to declare and pay dividends on the shares of our Class A common stock and our Class C common stock either: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out of its surplus, as defined in and computed in accordance with the DGCL; or</w:t>
      </w:r>
    </w:p>
    <w:p>
      <w:pPr>
        <w:spacing w:after="0" w:line="252" w:lineRule="exact"/>
        <w:rPr>
          <w:rFonts w:ascii="Arial" w:cs="Arial" w:eastAsia="Arial" w:hAnsi="Arial"/>
          <w:sz w:val="18"/>
          <w:szCs w:val="18"/>
          <w:color w:val="auto"/>
        </w:rPr>
      </w:pPr>
    </w:p>
    <w:p>
      <w:pPr>
        <w:ind w:left="1620" w:right="160" w:hanging="532"/>
        <w:spacing w:after="0" w:line="268"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case there shall be no such surplus, out of its net profits for the fiscal year in which the dividend is declared and/or the preceding fiscal year.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lack sufficient cash to pay dividends to holders of our Class A common stock and our Class C common stock due to cash flow shortfalls attributable to a number of operational, commercial or other factors, including low availability, as well as increases in our operating and/or general and administrative expenses, principal and interest payments on our outstanding debt, income tax expenses, working capital requirements or anticipated cash needs at our project-level subsidiaries.</w:t>
      </w:r>
    </w:p>
    <w:p>
      <w:pPr>
        <w:spacing w:after="0" w:line="210"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Clearway LLC's cash distributions to us and, as a result, our ability to pay or grow our dividends is dependent upon the performance of our subsidiaries and their ability to distribute cash to us. The ability of our project-level subsidiaries to make cash distributions to Clearway LLC may be restricted by, among other things, the provisions of existing and future indebtedness, applicable state corporation laws and other laws and regulations.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our Business and Dividend</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intend to grow our business primarily through the acquisition of contracted power assets, which, we believe, will facilitate the growth of our CAFD and enable us to increase our dividend per share over time. However, the determination of the amount of cash dividends to be paid to holders of our Class A common stock and our Class C common stock will be made by our Board and will depend upon our financial condition, results of operations, cash flow, long-term prospects and any other matters that our Board deem relevant.</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expect that we will rely primarily upon external financing sources, including commercial bank borrowings and issuances of debt and equity securities, to fund any future growth capital expenditures. To the extent we are unable to finance growth externally, our dividend policy could significantly impair our ability to grow because we do not currently intend to reserve a substantial amount of cash generated from operations to fund growth opportunities. If external financing is not available to us on acceptable terms, our Board may decide to finance acquisitions with cash from operations, which would reduce or even eliminate our CAFD and, in turn, impair our ability to pay dividends to holders of our Class A common stock and our Class C common stock. To the extent we issue additional shares of capital stock to fund growth capital expenditures, the payment of dividends on those additional shares may increase the risk that we will be unable to maintain or increase our per share dividend level. There are no limitations in our bylaws, and there will not be any limitations under our amended and restated credit agreement, on our ability to issue additional shares of capital stock, including preferred stock that would have priority over our Class A common stock and our Class C common stock with respect to the payment of dividends. Additionally, the incurrence of additional commercial bank borrowings or other debt to finance our growth would result in increased interest expense, which in turn may impact our CAFD and, in turn, our ability to pay dividends to holders of our Class A common stock and our Class C common stock.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31"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following is a summary of the material U.S. federal income tax consequences (and to a limited extent U.S. federal estate tax consequences) to non-U.S. holders, defined below, of the purchase, ownership and disposition of shares of our Class C common stock as of the date of this prospectus. Except where noted, this summary deals only with shares of our Class C common stock purchased in this offering that are held as capital assets by a non-U.S. holder.</w:t>
      </w:r>
    </w:p>
    <w:p>
      <w:pPr>
        <w:spacing w:after="0" w:line="16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For purposes of this discussion, a "non-U.S. holder" means a beneficial owner of shares of our Class C common stock that is not for U.S. federal income tax purposes any of the following:</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entity or arrangement treated as a partnership for U.S. federal income tax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any entity or arrangement treated as a partnership for U.S. federal income tax purposes holds shares of our Class C common stock, the tax treatment of a partner will generally depend upon the status of the partner and the activities of the partnership. If you are a partner of a partnership holding shares of our Class C common stock, you should consult your tax advisors.</w:t>
      </w:r>
    </w:p>
    <w:p>
      <w:pPr>
        <w:spacing w:after="0" w:line="19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This summary is based upon provisions of the Code, applicable U.S. Treasury regulations, rulings and judicial decisions, all as of the date of the prospectus. Those authorities are subject to different interpretations and may be changed, perhaps retroactively, so as to result in U.S. federal income tax consequences different from those summarized below. This summary does not address all aspects of U.S. federal income taxes and does not deal with foreign, state, local, alternative minimum or other tax considerations that may be relevant to non-U.S. holders in light of their particular circumstances. In addition, this summary does not represent a detailed description of the U.S. federal income tax consequences applicable to you if you are subject to special treatment under the U.S. federal income tax laws (including, without limitation, if you are a U.S. expatriate, financial institution, insurance company, tax-exempt organization, dealer in securities, broker, "controlled foreign corporation," "passive foreign investment company," a partnership or other pass-through entity for U.S. federal income tax purposes (or an investor in such a pass-through entity), a person who acquired shares of our Class C common stock as compensation or otherwise in connection with the performance of services, or a person who has acquired shares of our Class C common stock as part of a straddle, hedge, conversion transaction or other integrated investment). We cannot assure you that a change in law will not alter significantly the tax considerations that we describe in this summary.</w:t>
      </w:r>
    </w:p>
    <w:p>
      <w:pPr>
        <w:spacing w:after="0" w:line="177"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have not and will not seek any rulings from the IRS regarding the matters discussed below. There can be no assurance that the IRS will not take positions concerning the tax consequences of the purchase, ownership or disposition of shares of our Class C common stock that are different from those discussed below.</w:t>
      </w:r>
    </w:p>
    <w:p>
      <w:pPr>
        <w:spacing w:after="0" w:line="110"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If you are considering the purchase of shares of our Class C common stock, you should consult your own tax advisors concerning the particular U.S. federal income, estate and gift tax consequences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to you of the ownership and disposition of the shares of our Class C common stock, as well as the consequences to you arising under the laws of any other applicable taxing jurisdiction in light of your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intend to pay regular cash distributions on shares of our Class C common stock for the foreseeable future. See "Cash Dividend Policy." Distributions on our Class C common stock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C common stock (determined on a share by share basis), but not below zero, and then to the extent of any excess over basis, will be treated as gain from the sale of stock.</w:t>
      </w:r>
    </w:p>
    <w:p>
      <w:pPr>
        <w:spacing w:after="0" w:line="17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gross amount of 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tax treaty, attributable to a permanent establishment maintained by the non-U.S. holder in the United States) generally are not subject to the withholding tax, provided certain certification and disclosure requirements are satisfied. Instead, such dividends are generally subject to U.S. federal income tax on a net income basis in the same manner as if the non-U.S. holder were a U.S. person as defined under the Code (unless an applicable income tax treaty provides otherwise). To obtain the exemption from withholding on effectively connected income, a non-U.S. holder must provide us, our paying agent or other applicable withholding agent with a properly executed IRS Form W-8ECI (or successor form) prior to the payment of the dividend. A corporate non-U.S. holder may be subject to an additional "branch profits tax" at a 30% rate (or such lower rate as may be specified by an applicable income tax treaty) on its effectively connected earnings and profits attributable to such dividends.</w:t>
      </w:r>
    </w:p>
    <w:p>
      <w:pPr>
        <w:spacing w:after="0" w:line="174"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non-U.S. holder of shares of our Class C common stock who wishes to claim the benefit of an applicable treaty rate for dividends will be required (a) to complete IRS Form W-8BEN or Form W-8BEN-E (or other applicable or successor form) and to certify under penalty of perjury that such holder is not a U.S. person as defined under the Code and is eligible for treaty benefits or (b) if shares of our Class C common stock are held through certain foreign intermediaries, satisfy the relevant certification requirements of applicable U.S. Treasury regulations. A non-U.S. holder who provides us, our paying agent or other applicable withholding agent with an IRS Form W-8BEN, Form W-8BEN-E, Form W-8ECI or other form must update the form or submit a new form, as applicable, if there is a change in circumstances that makes any information on such form incorrect. Special certification and other requirements apply to certain non-U.S. holders that are pass-through entities rather than corporations or individuals.</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It is possible that a distribution made to a non-U.S. holder may be subject to over-withholding because, for example, at the time of the distribution we or the relevant withholding agent may not be able to determine how much of the distribution constitutes dividends or the proper documentation establishing the benefits of any applicable treaty has not been properly supplied. If there is any over-withholding on distributions made to a non-U.S. holder, such non-U.S. holder may obtain a refund of the over-withheld amount by timely filing an appropriate claim for refund with the IRS. Non-U.S. holders should consult their tax advisors regarding the applicable withholding tax rules and the possibility of obtaining a refund of any over-withheld amounts.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Our Class C Common Stock</w:t>
      </w:r>
    </w:p>
    <w:p>
      <w:pPr>
        <w:spacing w:after="0" w:line="231"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Any gain realized by a non-U.S. holder on the disposition of shares of our Class C common stock generally will not be subject to U.S. federal income tax unless:</w:t>
      </w:r>
    </w:p>
    <w:p>
      <w:pPr>
        <w:spacing w:after="0" w:line="199" w:lineRule="exact"/>
        <w:rPr>
          <w:sz w:val="20"/>
          <w:szCs w:val="20"/>
          <w:color w:val="auto"/>
        </w:rPr>
      </w:pPr>
    </w:p>
    <w:p>
      <w:pPr>
        <w:ind w:left="1080" w:right="2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tax treaty, attributable to a permanent establishment maintained by the non-U.S. holder in the United States);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Class C common stock constitutes a U.S. real property interest by reason of our status as a "United States real property holding corporation" (a "USRPHC") for U.S. federal income tax purposes at any time during the shorter of the five-year period ending on the date of the disposition or the period that the non-U.S. holder held shares of our Class C common stock.</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the case of a non-U.S. holder described in the first bullet point above, any gain will be subject to U.S. federal income tax on a net income basis generally in the same manner as if the non-U.S. holder were a U.S. person as defined under the Code (unless an applicable income tax treaty provides otherwise), and a non-U.S. holder that is a foreign corporation may be subject to the branch profits tax equal to 30% of its effectively connected earnings and profits attributable to such gain (or at such lower rate as may be specified by an applicable income tax treaty). In the case of a non-U.S. holder described in the second bullet point above, except as otherwise provided by an applicable income tax treaty, any gain, which may be offset by certain U.S. source capital losses, will be subject to a 30% tax even though the individual is not considered a resident of the U.S. under the Code.</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that we are not currently and will not become a USRPHC. However, because the determination of whether we are a USRPHC depends on the fair market value of our U.S. real property relative to the fair market value of our other business assets and because the definition of U.S. real property is not entirely clear, there can be no assurance that we are not a USRPHC now or will not become one in the future. Even if we become a USRPHC, however, as long as our Class C common stock is regularly traded on an established securities market, as to which there can be no assurance, such Class C common stock will be treated as a U.S. real property interest only if you actually or constructively hold more than five percent of such regularly traded Class C common stock at any time during the applicable period described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must report annually to the IRS and to you the amount of dividends paid to you and the amount of tax, if any, withheld with respect to such dividends.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IRS may make this information available to the tax authorities in the country in which you are resident.</w:t>
      </w:r>
    </w:p>
    <w:p>
      <w:pPr>
        <w:spacing w:after="0" w:line="219" w:lineRule="exact"/>
        <w:rPr>
          <w:sz w:val="20"/>
          <w:szCs w:val="20"/>
          <w:color w:val="auto"/>
        </w:rPr>
      </w:pPr>
    </w:p>
    <w:p>
      <w:pPr>
        <w:jc w:val="both"/>
        <w:ind w:right="240" w:firstLine="351"/>
        <w:spacing w:after="0" w:line="298" w:lineRule="auto"/>
        <w:rPr>
          <w:sz w:val="20"/>
          <w:szCs w:val="20"/>
          <w:color w:val="auto"/>
        </w:rPr>
      </w:pPr>
      <w:r>
        <w:rPr>
          <w:rFonts w:ascii="Arial" w:cs="Arial" w:eastAsia="Arial" w:hAnsi="Arial"/>
          <w:sz w:val="16"/>
          <w:szCs w:val="16"/>
          <w:color w:val="auto"/>
        </w:rPr>
        <w:t>In addition, you may be subject to information reporting requirements and backup withholding tax with respect to dividends paid on, and the proceeds of disposition of, shares of our Class C common stock, unless, generally, you certify under penalties of perjury (usually on IRS Form W-8BEN) that you are not a United States person, as defined under the Code, or you otherwise establish an exemption. Additional rules relating to information reporting requirements and backup withholding tax with respect to payments of the proceeds from the disposition of shares of our Class C common stock are as follows:</w:t>
      </w:r>
    </w:p>
    <w:p>
      <w:pPr>
        <w:spacing w:after="0" w:line="180" w:lineRule="exact"/>
        <w:rPr>
          <w:sz w:val="20"/>
          <w:szCs w:val="20"/>
          <w:color w:val="auto"/>
        </w:rPr>
      </w:pPr>
    </w:p>
    <w:p>
      <w:pPr>
        <w:ind w:left="1080" w:right="4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proceeds are paid to or through the U.S. office of a broker, the proceeds generally will be subject to backup withholding tax and information reporting, unless you certify under penalties of perjury (usually on IRS Form W-8BEN) that you are not a United States person or you otherwise establish an exemption.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2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proceeds are paid to or through a non-U.S. office of a broker that is not a United States person and is not a foreign person with certain specified U.S. connections (a "U.S.-related person"), information reporting and backup withholding tax generally will not apply.</w:t>
      </w:r>
    </w:p>
    <w:p>
      <w:pPr>
        <w:spacing w:after="0" w:line="166"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proceeds are paid to or through a non-U.S. office of a broker that is a United States person or a U.S.-related person, the proceeds generally will be subject to information reporting (but not to backup withholding tax), unless you certify under penalties of perjury (usually on IRS Form W-8BEN) that you are not a United States person or you otherwise establish an exemption.</w:t>
      </w:r>
    </w:p>
    <w:p>
      <w:pPr>
        <w:spacing w:after="0" w:line="194"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Any amounts withheld under the backup withholding tax rules may be allowed as a refund or a credit against your U.S. federal income tax liability, provided the required information is timely furnished by you to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Foreign Account Tax Compliance Act (the "FATCA"), generally imposes a U.S. federal withholding tax of 30% on dividends on our Class C common stock, paid to a "foreign financial institution" (as specifically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our Class C common stock paid to a "non-financial foreign entity" (as specifically defined for purposes of these rules) unless such entity provides the withholding agent with a certification identifying certain substantial direct and indirect U.S. owners of the entity, certifies that there are none or otherwise establishes an exemption. The withholding provisions under FATCA generally apply to dividends on our Class C common stock. Prior to the issuance of proposed Treasury Regulations, withholding taxes under FATCA also would have applied to gross proceeds from the sale or other disposition of our Class C common stock. The proposed Treasury Regulations provide that such gross proceeds are generally not subject to withholding taxes under FATCA. Taxpayers may rely on these proposed Treasury Regulations until they are revoked or final Treasury Regulations are issued. Under certain circumstances, a non-U.S. holder might be eligible for refunds or credits of taxes withheld under the FATCA. An intergovernmental agreement between the U.S. and an applicable foreign country may modify the requirements described in this paragraph. Prospective investors are encouraged to consult with their own tax advisors regarding the possible implications of this legislation on their investment in our Class C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Shares of our Class C common stock that are owned (or treated as owned) by an individual who is not a citizen or resident of the U.S. (as specially defined for U.S. federal estate tax purposes) at the time of death will be included in such individual's gross estate for U.S. federal estate tax purposes, unless an applicable estate or other tax treaty provides otherwise, and, therefore, may be subject to U.S. federal estate tax.</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RBC Capital Markets, LLC is acting as underwriter of the offering. Subject to the terms and conditions set forth in an underwriting agreement between us and the underwriter, we have agreed to sell to the underwriter, and the underwriter has agreed to purchase from us 5,405,405 shares of our common stock.</w:t>
      </w:r>
    </w:p>
    <w:p>
      <w:pPr>
        <w:spacing w:after="0" w:line="139"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Subject to the terms and conditions set forth in the underwriting agreement, the underwriter has agreed to purchase all of the shares sold under the underwriting agreement if any of these shares are purchased.</w:t>
      </w:r>
    </w:p>
    <w:p>
      <w:pPr>
        <w:spacing w:after="0" w:line="186"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or to contribute to payments the underwriter may be required to make in respect of those liabilities.</w:t>
      </w:r>
    </w:p>
    <w:p>
      <w:pPr>
        <w:spacing w:after="0" w:line="186" w:lineRule="exact"/>
        <w:rPr>
          <w:sz w:val="20"/>
          <w:szCs w:val="20"/>
          <w:color w:val="auto"/>
        </w:rPr>
      </w:pPr>
    </w:p>
    <w:p>
      <w:pPr>
        <w:jc w:val="both"/>
        <w:ind w:right="340" w:firstLine="348"/>
        <w:spacing w:after="0" w:line="335" w:lineRule="auto"/>
        <w:rPr>
          <w:sz w:val="20"/>
          <w:szCs w:val="20"/>
          <w:color w:val="auto"/>
        </w:rPr>
      </w:pPr>
      <w:r>
        <w:rPr>
          <w:rFonts w:ascii="Arial" w:cs="Arial" w:eastAsia="Arial" w:hAnsi="Arial"/>
          <w:sz w:val="15"/>
          <w:szCs w:val="15"/>
          <w:color w:val="auto"/>
        </w:rPr>
        <w:t>The underwriter is offering the shares, subject to prior sale, when, as and if issued to and accepted by them, subject to approval of legal matters by their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per share and total underwriting discount and commissions to be paid to the underwriter by the Company.</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87"/>
              </w:rPr>
              <w:t>Paid by the Company</w:t>
            </w:r>
          </w:p>
        </w:tc>
        <w:tc>
          <w:tcPr>
            <w:tcW w:w="67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67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Total</w:t>
            </w:r>
          </w:p>
        </w:tc>
        <w:tc>
          <w:tcPr>
            <w:tcW w:w="6720" w:type="dxa"/>
            <w:vAlign w:val="bottom"/>
          </w:tcPr>
          <w:p>
            <w:pPr>
              <w:jc w:val="right"/>
              <w:ind w:right="732"/>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right="40" w:firstLine="351"/>
        <w:spacing w:after="0" w:line="286" w:lineRule="auto"/>
        <w:rPr>
          <w:sz w:val="20"/>
          <w:szCs w:val="20"/>
          <w:color w:val="auto"/>
        </w:rPr>
      </w:pPr>
      <w:r>
        <w:rPr>
          <w:rFonts w:ascii="Arial" w:cs="Arial" w:eastAsia="Arial" w:hAnsi="Arial"/>
          <w:sz w:val="16"/>
          <w:szCs w:val="16"/>
          <w:color w:val="auto"/>
        </w:rPr>
        <w:t>Shares sold by the underwriter to the public will initially be offered at the offering price set forth on the cover of this prospectus supplement. Shares sold by the underwriter to the public will be offered (i) at market prices prevailing at the time of sale; (ii) at prices related to the prevailing market prices; or (iii) at</w:t>
      </w:r>
    </w:p>
    <w:p>
      <w:pPr>
        <w:jc w:val="both"/>
        <w:ind w:right="40"/>
        <w:spacing w:after="0" w:line="255" w:lineRule="auto"/>
        <w:rPr>
          <w:sz w:val="20"/>
          <w:szCs w:val="20"/>
          <w:color w:val="auto"/>
        </w:rPr>
      </w:pPr>
      <w:r>
        <w:rPr>
          <w:rFonts w:ascii="Arial" w:cs="Arial" w:eastAsia="Arial" w:hAnsi="Arial"/>
          <w:sz w:val="18"/>
          <w:szCs w:val="18"/>
          <w:color w:val="auto"/>
        </w:rPr>
        <w:t>negotiated prices. Any shares sold by the underwriter to securities dealers may be sold at a discount of up to $ per share from the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w:t>
      </w:r>
    </w:p>
    <w:p>
      <w:pPr>
        <w:spacing w:after="0" w:line="19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expenses of the offering, not including the underwriting discounts, are estimated at $300,000 and are payable by us. We have agreed to reimburse the underwriter for certain expenses incurred in connection with this offering in an amount up to $30,000.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shares are listed on the NYSE under the symbol "CWEN."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our executive officers and directors and GIP (through Clearway Energy Group) have agreed not to sell or transfer any common stock or securities convertible into, exchangeable for, exercisable for, or repayable with common stock, for 30 days after the date of this prospectus supplement, with certain limited exceptions, without first obtaining the written consent of the underwriter. 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Short Positions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connection with the offering, the underwriter may purchase and sell our common stock in the open market. These transactions may include short sales and purchases on the open market to cover positions created by short sales. Short sales involve the sale by the underwriter of a greater number of shares than they are required to purchase in the offering. "Covered" short sales are sales made in an amount not greater than the underwriter's option to purchase additional shares described above. The underwriter may close out any covered short position by either exercising their option to purchase additional shares or purchasing shares in the open market. In determining the source of shares to close out the covered short position, the underwriter will consider, among other things, the price of shares available for purchase in the open market as compared to the price at which they may purchase shares through the option granted to them. "Naked" short sales are sales in excess of such option. The underwriter must close out any naked short position by purchasing shares in the open market. A naked short position is more likely to be created if the underwriter is concerned that there may be downward pressure on the price of our common stock in the open market after pricing that could adversely affect investors who purchase in the offering.</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Class C common stock or preventing or retarding a decline in the market price of our Class C common stock. As a result, the price of our Class C common stock may be higher than the price that might otherwise exist in the open market. The underwriter may conduct these transactions on the NYSE, in the over-the-counter market or otherwise.</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None of us or the underwriter make any representation or prediction as to the direction or magnitude of any effect that the transactions described above may have on the price of our Class C common stock. In addition, neither we nor the underwriter make any representation that the underwriter will engage in these transactions or that these transactions, once commenced, will not be discontinued without notice.</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Passive Market Making</w:t>
      </w:r>
    </w:p>
    <w:p>
      <w:pPr>
        <w:spacing w:after="0" w:line="231" w:lineRule="exact"/>
        <w:rPr>
          <w:sz w:val="20"/>
          <w:szCs w:val="20"/>
          <w:color w:val="auto"/>
        </w:rPr>
      </w:pPr>
    </w:p>
    <w:p>
      <w:pPr>
        <w:ind w:right="100" w:firstLine="351"/>
        <w:spacing w:after="0" w:line="314" w:lineRule="auto"/>
        <w:rPr>
          <w:sz w:val="20"/>
          <w:szCs w:val="20"/>
          <w:color w:val="auto"/>
        </w:rPr>
      </w:pPr>
      <w:r>
        <w:rPr>
          <w:rFonts w:ascii="Arial" w:cs="Arial" w:eastAsia="Arial" w:hAnsi="Arial"/>
          <w:sz w:val="15"/>
          <w:szCs w:val="15"/>
          <w:color w:val="auto"/>
        </w:rPr>
        <w:t>In connection with this offering, the underwriter may engage in passive market making transactions in the Class C common stock on the NYSE in accordance with Rule 103 of Regulation M under the Exchange Act during a period before the commencement of offers or sales of Class C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Class C common stock to be higher than the price that otherwise would exist in the open market in the absence of those transactions. The underwriter is not required to engage in passive market making and may end passive market making activities at any time.</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the offering, the underwriter may distribute prospectuses by electronic means, such as e-mail.</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underwriter and its affiliates have engaged in, and may in the future engage in, investment banking and other commercial dealings in the ordinary course of business with us or our affiliates. The underwriter has received, or may in the future receive, customary fees and commissions for these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transactions. An affiliate of RBC Capital Markets, LLC is a lender and L/C Issuer under our revolving credit facility.</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addition, in the ordinary course of its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relation to each member state of the European Economic Area, no offer of ordinary shares which are the subject of the offering has been, or will be made to the public in that Member State, other than under the following exemptions under the Prospectus Directive:</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ordinary shares referred to in (a) to (c) above shall result in a requirement for the Company or any Representative to publish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pursuant to Article 3 of the Prospectus Directive, or supplement a prospectus pursuant to Article 16 of the Prospectus Directive.</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person located in a Member State to whom any offer of ordinary shares is made or who receives any communication in respect of an offer of ordinary shares, or who initially acquires any ordinary shares will be deemed to have represented, warranted, acknowledged and agreed to and with each Representative and the Company that (1) it is a "qualified investor" within the meaning of the law in that Member State implementing Article 2(1)(e) of the Prospectus Directive; and (2) in the case of any ordinary shares acquired by it as a financial intermediary as that term is used in Article 3(2) of the Prospectus Directive, the ordinary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72"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our representatives and their respective affiliates will rely upon the truth and accuracy of the foregoing representations, acknowledgments and agreements.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This prospectus supplement has been prepared on the basis that any offer of shares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authorize, the making of any offer of shares in circumstances in which an obligation arises for the Company or the Representatives to publish a prospectus for such offer.</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For the purposes of this provision, the expression an "offer of ordinary shares to the public" in relation to any ordinary shares in any Member State means the communication in any form and by any means of sufficient information on the terms of the offer and the ordinary shares to be offered so as to enable an investor to decide to purchase or subscribe the ordinary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0"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offered should conduct their own due diligence on the shares. If you do not understand the contents of this prospectus supplement you should consult an authorized financial advisor.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have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6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53" w:lineRule="exact"/>
        <w:rPr>
          <w:sz w:val="20"/>
          <w:szCs w:val="20"/>
          <w:color w:val="auto"/>
        </w:rPr>
      </w:pPr>
    </w:p>
    <w:p>
      <w:pPr>
        <w:ind w:left="1080" w:right="5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 xml:space="preserve">The shares of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xml:space="preserve"> . Any resale of the shares of common stock must be made in accordance with an exemption from, or in a transaction not subject to, the prospectus requirements of applicable securities laws.</w:t>
      </w:r>
    </w:p>
    <w:p>
      <w:pPr>
        <w:spacing w:after="0" w:line="167"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94"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w:t>
      </w:r>
      <w:r>
        <w:rPr>
          <w:rFonts w:ascii="Arial" w:cs="Arial" w:eastAsia="Arial" w:hAnsi="Arial"/>
          <w:sz w:val="18"/>
          <w:szCs w:val="18"/>
          <w:b w:val="1"/>
          <w:bCs w:val="1"/>
          <w:color w:val="auto"/>
        </w:rPr>
        <w:t>NI 33-105</w:t>
      </w:r>
      <w:r>
        <w:rPr>
          <w:rFonts w:ascii="Arial" w:cs="Arial" w:eastAsia="Arial" w:hAnsi="Arial"/>
          <w:sz w:val="18"/>
          <w:szCs w:val="18"/>
          <w:color w:val="auto"/>
        </w:rPr>
        <w:t>), the underwriter is not required to comply with the disclosure requirements of NI 33-105 regarding underwriter conflicts of interest in connection with this offering.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validity of the Class C common stock offered hereby will be passed upon for us by Baker Botts L.L.P., Dallas, Texas. The underwriter has been represented by Latham &amp; Watkins, LLP, New York, New York.</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 xml:space="preserve">The consolidated financial statements and schedules of Clearway Energy, Inc. as of December 31, 2018 and 2017, and for each of the three years in the period ended December 31, 2018, and management's assessment of the effectiveness of internal control over financial reporting as of December 31, 2018 have been incorporated by reference herein and in the prospectus, in reliance upon the reports of KPMG LLP, independent registered public accounting firm, as stated in their report appearing therein. The audit report covering the December 31, 2018 consolidated financial statements refers to a change in accounting principle, the Company's adoption of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that are either (1) described in paragraph (e) of Item 201 of Registration S-K or paragraphs (d)(1)-(3) and (e)(5) of Item 407 of Regulation S-K promulgated by the SEC or (2) furnished under Item 2.02 or Item 7.01 of a Current Report on Form 8-K) are incorporated by reference herein:</w:t>
      </w:r>
    </w:p>
    <w:p>
      <w:pPr>
        <w:spacing w:after="0" w:line="188" w:lineRule="exact"/>
        <w:rPr>
          <w:sz w:val="20"/>
          <w:szCs w:val="20"/>
          <w:color w:val="auto"/>
        </w:rPr>
      </w:pPr>
    </w:p>
    <w:p>
      <w:pPr>
        <w:ind w:left="1080" w:right="100" w:hanging="532"/>
        <w:spacing w:after="0" w:line="268" w:lineRule="auto"/>
        <w:tabs>
          <w:tab w:leader="none" w:pos="1080" w:val="left"/>
        </w:tabs>
        <w:numPr>
          <w:ilvl w:val="0"/>
          <w:numId w:val="22"/>
        </w:numPr>
        <w:rPr>
          <w:rFonts w:ascii="Arial" w:cs="Arial" w:eastAsia="Arial" w:hAnsi="Arial"/>
          <w:sz w:val="18"/>
          <w:szCs w:val="18"/>
          <w:u w:val="single" w:color="auto"/>
          <w:color w:val="0000EE"/>
        </w:rPr>
      </w:pPr>
      <w:hyperlink r:id="rId68">
        <w:r>
          <w:rPr>
            <w:rFonts w:ascii="Arial" w:cs="Arial" w:eastAsia="Arial" w:hAnsi="Arial"/>
            <w:sz w:val="18"/>
            <w:szCs w:val="18"/>
            <w:color w:val="auto"/>
          </w:rPr>
          <w:t xml:space="preserve">Our </w:t>
        </w:r>
        <w:r>
          <w:rPr>
            <w:rFonts w:ascii="Arial" w:cs="Arial" w:eastAsia="Arial" w:hAnsi="Arial"/>
            <w:sz w:val="18"/>
            <w:szCs w:val="18"/>
            <w:u w:val="single" w:color="auto"/>
            <w:color w:val="0000EE"/>
          </w:rPr>
          <w:t>Annual Report on Form 10-K for the year ended December 31, 2018 filed on February 28, 2019</w:t>
        </w:r>
        <w:r>
          <w:rPr>
            <w:rFonts w:ascii="Arial" w:cs="Arial" w:eastAsia="Arial" w:hAnsi="Arial"/>
            <w:sz w:val="18"/>
            <w:szCs w:val="18"/>
            <w:color w:val="auto"/>
          </w:rPr>
          <w:t xml:space="preserve"> and our </w:t>
        </w:r>
        <w:r>
          <w:rPr>
            <w:rFonts w:ascii="Arial" w:cs="Arial" w:eastAsia="Arial" w:hAnsi="Arial"/>
            <w:sz w:val="18"/>
            <w:szCs w:val="18"/>
            <w:u w:val="single" w:color="auto"/>
            <w:color w:val="0000EE"/>
          </w:rPr>
          <w:t>Amendment No. 1 on Form 10-K/A</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to such annual report filed on March 29, 2019;</w:t>
        </w:r>
      </w:hyperlink>
    </w:p>
    <w:p>
      <w:pPr>
        <w:spacing w:after="0" w:line="212"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22"/>
        </w:numPr>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Our Quarterly Report on Form 10-Q for the quarter ended March 31, 2019, filed on May 7, 2019;</w:t>
        </w:r>
      </w:hyperlink>
    </w:p>
    <w:p>
      <w:pPr>
        <w:spacing w:after="0" w:line="238"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22"/>
        </w:numPr>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Our Quarterly Report on Form 10-Q for the quarter ended June 30, 2019, filed on August 6, 2019;</w:t>
        </w:r>
      </w:hyperlink>
    </w:p>
    <w:p>
      <w:pPr>
        <w:spacing w:after="0" w:line="238"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22"/>
        </w:numPr>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Our Quarterly Report on Form 10-Q for the quarter ended September 30, 2019, filed on November 6, 2019;</w:t>
        </w:r>
      </w:hyperlink>
    </w:p>
    <w:p>
      <w:pPr>
        <w:spacing w:after="0" w:line="252" w:lineRule="exact"/>
        <w:rPr>
          <w:rFonts w:ascii="Arial" w:cs="Arial" w:eastAsia="Arial" w:hAnsi="Arial"/>
          <w:sz w:val="18"/>
          <w:szCs w:val="18"/>
          <w:u w:val="single" w:color="auto"/>
          <w:color w:val="0000EE"/>
        </w:rPr>
      </w:pPr>
    </w:p>
    <w:p>
      <w:pPr>
        <w:ind w:left="1080" w:right="20" w:hanging="532"/>
        <w:spacing w:after="0" w:line="268" w:lineRule="auto"/>
        <w:tabs>
          <w:tab w:leader="none" w:pos="1080" w:val="left"/>
        </w:tabs>
        <w:numPr>
          <w:ilvl w:val="0"/>
          <w:numId w:val="22"/>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72">
        <w:r>
          <w:rPr>
            <w:rFonts w:ascii="Arial" w:cs="Arial" w:eastAsia="Arial" w:hAnsi="Arial"/>
            <w:sz w:val="18"/>
            <w:szCs w:val="18"/>
            <w:u w:val="single" w:color="auto"/>
            <w:color w:val="0000EE"/>
          </w:rPr>
          <w:t>January 9, 2019</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EE"/>
          </w:rPr>
          <w:t>January 30, 2019</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EE"/>
          </w:rPr>
          <w:t>February 14, 2019</w:t>
        </w:r>
      </w:hyperlink>
      <w:r>
        <w:rPr>
          <w:rFonts w:ascii="Arial" w:cs="Arial" w:eastAsia="Arial" w:hAnsi="Arial"/>
          <w:sz w:val="18"/>
          <w:szCs w:val="18"/>
          <w:color w:val="auto"/>
        </w:rPr>
        <w:t xml:space="preserve">, </w:t>
      </w:r>
      <w:hyperlink r:id="rId75">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EE"/>
          </w:rPr>
          <w:t>May 2, 2019</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EE"/>
          </w:rPr>
          <w:t>June 17, 2019</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EE"/>
          </w:rPr>
          <w:t>June 19,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9">
        <w:r>
          <w:rPr>
            <w:rFonts w:ascii="Arial" w:cs="Arial" w:eastAsia="Arial" w:hAnsi="Arial"/>
            <w:sz w:val="18"/>
            <w:szCs w:val="18"/>
            <w:u w:val="single" w:color="auto"/>
            <w:color w:val="0000EE"/>
          </w:rPr>
          <w:t xml:space="preserve">September 12,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0">
        <w:r>
          <w:rPr>
            <w:rFonts w:ascii="Arial" w:cs="Arial" w:eastAsia="Arial" w:hAnsi="Arial"/>
            <w:sz w:val="18"/>
            <w:szCs w:val="18"/>
            <w:u w:val="single" w:color="auto"/>
            <w:color w:val="0000EE"/>
          </w:rPr>
          <w:t>November 22,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99" w:lineRule="exact"/>
        <w:rPr>
          <w:rFonts w:ascii="Arial" w:cs="Arial" w:eastAsia="Arial" w:hAnsi="Arial"/>
          <w:sz w:val="18"/>
          <w:szCs w:val="18"/>
          <w:color w:val="0000EE"/>
        </w:rPr>
      </w:pPr>
    </w:p>
    <w:p>
      <w:pPr>
        <w:ind w:left="1080" w:right="240" w:hanging="532"/>
        <w:spacing w:after="0" w:line="268" w:lineRule="auto"/>
        <w:tabs>
          <w:tab w:leader="none" w:pos="1080" w:val="left"/>
        </w:tabs>
        <w:numPr>
          <w:ilvl w:val="0"/>
          <w:numId w:val="22"/>
        </w:numPr>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"Certain Relationships and Related Party Transactions," "Governance of the Company" and "Executive Compensation" in our Definitive Proxy</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Statement for the 2019 Annual Meeting of Stockholders on Schedule 14A filed on March 19, 2019.</w:t>
        </w:r>
      </w:hyperlink>
    </w:p>
    <w:p>
      <w:pPr>
        <w:spacing w:after="0" w:line="186" w:lineRule="exact"/>
        <w:rPr>
          <w:rFonts w:ascii="Arial" w:cs="Arial" w:eastAsia="Arial" w:hAnsi="Arial"/>
          <w:sz w:val="18"/>
          <w:szCs w:val="18"/>
          <w:color w:val="auto"/>
        </w:rPr>
      </w:pPr>
    </w:p>
    <w:p>
      <w:pPr>
        <w:ind w:right="20" w:firstLine="341"/>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supplement) are available to the public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 xml:space="preserve">Additionally, our filings with the SEC, including our 2018 Annual Report, First Quarter 10-Q, Second Quarter 10-Q, Third Quarter 10-Q, Current Reports on Form 8-K, 2019 Proxy Statement and amendments to those reports and schedules filed or furnished pursuant to section 13(a) or 15(d) of the Exchange Act are available free of charge through the "Investor Relations" section of our website, </w:t>
      </w:r>
      <w:r>
        <w:rPr>
          <w:rFonts w:ascii="Arial" w:cs="Arial" w:eastAsia="Arial" w:hAnsi="Arial"/>
          <w:sz w:val="16"/>
          <w:szCs w:val="16"/>
          <w:i w:val="1"/>
          <w:iCs w:val="1"/>
          <w:color w:val="auto"/>
        </w:rPr>
        <w:t>http://www.clearwayenergy.com</w:t>
      </w:r>
      <w:r>
        <w:rPr>
          <w:rFonts w:ascii="Arial" w:cs="Arial" w:eastAsia="Arial" w:hAnsi="Arial"/>
          <w:sz w:val="16"/>
          <w:szCs w:val="16"/>
          <w:color w:val="auto"/>
        </w:rPr>
        <w:t>, as soon as reasonably practicable after they are electronically filed with, or furnished to, the SEC. Our website and the information contained on that site, or connected to that site, are not incorporated into and are not a part of this prospectus except for the documents specifically incorporated by reference as noted above. This reference to our website is an inactive textual reference only and is not a hyperlink. The contents of our website are not part of this prospectus supplement, and you should not consider the contents of our website in making an investment decision with respect to our Class C common stock. You may also obtain a copy of these filings at no cost by writing or telephoning us at the following address:</w:t>
      </w:r>
    </w:p>
    <w:p>
      <w:pPr>
        <w:spacing w:after="0" w:line="17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Clearway Energy, Inc.</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5600" w:hanging="427"/>
        <w:spacing w:after="0"/>
        <w:tabs>
          <w:tab w:leader="none" w:pos="5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608 1525</w:t>
      </w:r>
    </w:p>
    <w:p>
      <w:pPr>
        <w:spacing w:after="0" w:line="9" w:lineRule="exact"/>
        <w:rPr>
          <w:rFonts w:ascii="Arial" w:cs="Arial" w:eastAsia="Arial" w:hAnsi="Arial"/>
          <w:sz w:val="18"/>
          <w:szCs w:val="18"/>
          <w:color w:val="auto"/>
        </w:rPr>
      </w:pPr>
    </w:p>
    <w:p>
      <w:pPr>
        <w:ind w:left="464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152400</wp:posOffset>
            </wp:positionV>
            <wp:extent cx="2778760" cy="643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27787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NRG Yield,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Common Stock</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C Common Stock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Preferred Stock</w:t>
      </w:r>
    </w:p>
    <w:p>
      <w:pPr>
        <w:spacing w:after="0" w:line="21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NRG Yield, Inc., from time to time, may offer to sell Class A common stock, Class C common stock, senior or subordinated debt securities, and preferred stock. The debt securities and preferred stock may be convertible into or exercisable or exchangeable for our Class A common stock,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or through a combination of these methods, on a continuous or delayed basis.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Class A common stock is traded on the New York Stock Exchange under the symbol "NYLD.A." Our Class C common stock is traded on the New York Stock Exchange under the symbol "NYLD."</w:t>
      </w:r>
    </w:p>
    <w:p>
      <w:pPr>
        <w:spacing w:after="0" w:line="167" w:lineRule="exact"/>
        <w:rPr>
          <w:sz w:val="20"/>
          <w:szCs w:val="20"/>
          <w:color w:val="auto"/>
        </w:rPr>
      </w:pPr>
    </w:p>
    <w:p>
      <w:pPr>
        <w:ind w:right="6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You should carefully consider the risks described under "Risk Factors" on page 2 of this prospectus, as well as the other information contained or incorporated by reference in this prospectus and the related prospectus supplement, before making a decision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9940" w:type="dxa"/>
            <w:vAlign w:val="bottom"/>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Table of Contents</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gridSpan w:val="3"/>
          </w:tcPr>
          <w:p>
            <w:pPr>
              <w:ind w:left="20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ABOUT THIS PROSPECTUS</w:t>
              </w:r>
            </w:hyperlink>
          </w:p>
        </w:tc>
        <w:tc>
          <w:tcPr>
            <w:tcW w:w="40" w:type="dxa"/>
            <w:vAlign w:val="bottom"/>
          </w:tcPr>
          <w:p>
            <w:pPr>
              <w:spacing w:after="0"/>
              <w:rPr>
                <w:sz w:val="24"/>
                <w:szCs w:val="24"/>
                <w:color w:val="auto"/>
              </w:rPr>
            </w:pPr>
          </w:p>
        </w:tc>
        <w:tc>
          <w:tcPr>
            <w:tcW w:w="140" w:type="dxa"/>
            <w:vAlign w:val="bottom"/>
            <w:gridSpan w:val="2"/>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FORWARD-LOOKING STATEMENTS</w:t>
              </w:r>
            </w:hyperlink>
          </w:p>
        </w:tc>
        <w:tc>
          <w:tcPr>
            <w:tcW w:w="180" w:type="dxa"/>
            <w:vAlign w:val="bottom"/>
            <w:gridSpan w:val="3"/>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iii</w:t>
              </w:r>
            </w:hyperlink>
          </w:p>
        </w:tc>
      </w:tr>
      <w:tr>
        <w:trPr>
          <w:trHeight w:val="196"/>
        </w:trPr>
        <w:tc>
          <w:tcPr>
            <w:tcW w:w="1140" w:type="dxa"/>
            <w:vAlign w:val="bottom"/>
          </w:tcPr>
          <w:p>
            <w:pPr>
              <w:spacing w:after="0"/>
              <w:rPr>
                <w:sz w:val="17"/>
                <w:szCs w:val="17"/>
                <w:color w:val="auto"/>
              </w:rPr>
            </w:pPr>
          </w:p>
        </w:tc>
        <w:tc>
          <w:tcPr>
            <w:tcW w:w="2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SUMMARY</w:t>
              </w:r>
            </w:hyperlink>
          </w:p>
        </w:tc>
        <w:tc>
          <w:tcPr>
            <w:tcW w:w="594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180" w:type="dxa"/>
            <w:vAlign w:val="bottom"/>
            <w:gridSpan w:val="3"/>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gridSpan w:val="6"/>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USE OF PROCEEDS</w:t>
              </w:r>
            </w:hyperlink>
          </w:p>
        </w:tc>
        <w:tc>
          <w:tcPr>
            <w:tcW w:w="7240" w:type="dxa"/>
            <w:vAlign w:val="bottom"/>
            <w:gridSpan w:val="9"/>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RATIO OF EARNINGS TO FIXED CHARGES</w:t>
              </w:r>
            </w:hyperlink>
          </w:p>
        </w:tc>
        <w:tc>
          <w:tcPr>
            <w:tcW w:w="180" w:type="dxa"/>
            <w:vAlign w:val="bottom"/>
            <w:gridSpan w:val="3"/>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20" w:type="dxa"/>
            <w:vAlign w:val="bottom"/>
            <w:gridSpan w:val="1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CAPITAL STOCK</w:t>
              </w:r>
            </w:hyperlink>
          </w:p>
        </w:tc>
        <w:tc>
          <w:tcPr>
            <w:tcW w:w="5380" w:type="dxa"/>
            <w:vAlign w:val="bottom"/>
            <w:gridSpan w:val="3"/>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DESCRIPTION OF DEBT SECURITIES</w:t>
              </w:r>
            </w:hyperlink>
          </w:p>
        </w:tc>
        <w:tc>
          <w:tcPr>
            <w:tcW w:w="5840" w:type="dxa"/>
            <w:vAlign w:val="bottom"/>
            <w:gridSpan w:val="4"/>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13</w:t>
              </w:r>
            </w:hyperlink>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PLAN OF DISTRIBUTION</w:t>
              </w:r>
            </w:hyperlink>
          </w:p>
        </w:tc>
        <w:tc>
          <w:tcPr>
            <w:tcW w:w="180" w:type="dxa"/>
            <w:vAlign w:val="bottom"/>
            <w:gridSpan w:val="3"/>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16</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LEGAL MATTERS</w:t>
              </w:r>
            </w:hyperlink>
          </w:p>
        </w:tc>
        <w:tc>
          <w:tcPr>
            <w:tcW w:w="6800" w:type="dxa"/>
            <w:vAlign w:val="bottom"/>
            <w:gridSpan w:val="8"/>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18</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7380" w:type="dxa"/>
            <w:vAlign w:val="bottom"/>
            <w:gridSpan w:val="10"/>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18</w:t>
              </w:r>
            </w:hyperlink>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INCORPORATION BY REFERENCE OF CERTAIN INFORMATION</w:t>
              </w:r>
            </w:hyperlink>
          </w:p>
        </w:tc>
        <w:tc>
          <w:tcPr>
            <w:tcW w:w="180" w:type="dxa"/>
            <w:vAlign w:val="bottom"/>
            <w:gridSpan w:val="3"/>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18</w:t>
              </w:r>
            </w:hyperlink>
          </w:p>
        </w:tc>
      </w:tr>
      <w:tr>
        <w:trPr>
          <w:trHeight w:val="196"/>
        </w:trPr>
        <w:tc>
          <w:tcPr>
            <w:tcW w:w="114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WHERE YOU CAN FIND MORE INFORMATION</w:t>
              </w:r>
            </w:hyperlink>
          </w:p>
        </w:tc>
        <w:tc>
          <w:tcPr>
            <w:tcW w:w="1320" w:type="dxa"/>
            <w:vAlign w:val="bottom"/>
            <w:tcBorders>
              <w:top w:val="single" w:sz="8" w:color="0000EE"/>
            </w:tcBorders>
          </w:tcPr>
          <w:p>
            <w:pPr>
              <w:spacing w:after="0"/>
              <w:rPr>
                <w:sz w:val="17"/>
                <w:szCs w:val="17"/>
                <w:color w:val="auto"/>
              </w:rPr>
            </w:pPr>
          </w:p>
        </w:tc>
        <w:tc>
          <w:tcPr>
            <w:tcW w:w="37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19</w:t>
              </w:r>
            </w:hyperlink>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is a part of a registration statement that we filed with the Securities and Exchange Commission (the "SEC") utilizing a "shelf" registration process. Under this shelf registration process, we may sell any combination of the securities described in this prospectus in one or more offerings from time to time.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both this prospectus and any prospectus supplement, together with additional information described under the heading "Where You Can Find More Information."</w:t>
      </w:r>
    </w:p>
    <w:p>
      <w:pPr>
        <w:spacing w:after="0" w:line="172"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context otherwise requires or as otherwise expressly stated, references in this prospectus to "Yield," "the Company," "we," "us" and "our" and similar terms refer to NRG Yield, Inc. and its direct and indirect subsidiaries on a consolidated basis. References in this prospectus to Yield Inc. refer to NRG Yield, Inc. and not any of its subsidiaries, unless the context otherwise requires. References to our "common stock" or our "preferred stock" refer to the common stock or preferred stock of NRG Yield, Inc. and not any of its subsidiaries, unless the context otherwise requires.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The words "believes," "projects," "anticipates," "plans," "expects," "intends," "estimates" and similar expressions are intended to identify forward-looking statements. These forward-looking statements involve known and unknown risks, uncertainties and other factors that may cause our actual results, performance and achievements, or industry results, to be materially different from any future results, performance or achievements expressed or implied by such forward-looking statements. We believe these factors include but are not limited to those described under "Risk Factors" in this prospectus, any related prospectus supplement, and the documents incorporated by reference herein or therein. These factors, risks and uncertainties include, but are not limited to, the following:</w:t>
      </w:r>
    </w:p>
    <w:p>
      <w:pPr>
        <w:spacing w:after="0" w:line="18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and grow our quarterly dividend;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NRG Transaction (as defined below);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acquire assets from NRG Energy,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238"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19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willingness and ability of counterparties to our offtake agreements to fulfill their obligations under such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enter into contracts to sell power and procure fuel on acceptable terms and prices as current offtake agreements expire;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government regulation, including compliance with regulatory requirements and changes in market rules, rates, tariffs and environmental laws;</w:t>
      </w:r>
    </w:p>
    <w:p>
      <w:pPr>
        <w:spacing w:after="0" w:line="261"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and financial restrictions placed on us and our subsidiaries that are contained in the project-level debt facilities and other agreements of certain subsidiaries and project-level subsidiaries generally, in the NRG Yield Operating LLC amended and restated revolving credit facility, in the indentures governing the $500 million aggregate principal amount of 5.375% unsecured senior notes due 2024, issued by NRG Yield Operating LLC and the $350 million aggregate principal amount of 5.00% unsecured senior notes due 2026, issued by NRG Yield Operating LLC and in the indentures governing the Company's $345 million aggregate principal amount of 3.50% convertible notes due 2019 (the "3.50% Convertible Notes")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$287.5 million aggregate principal amount of 3.25% Convertible Notes due 2020 (the "3.25% Convertible Notes");</w:t>
      </w:r>
    </w:p>
    <w:p>
      <w:pPr>
        <w:spacing w:after="0" w:line="239" w:lineRule="exact"/>
        <w:rPr>
          <w:sz w:val="20"/>
          <w:szCs w:val="20"/>
          <w:color w:val="auto"/>
        </w:rPr>
      </w:pPr>
    </w:p>
    <w:p>
      <w:pPr>
        <w:ind w:left="108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238"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86"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Forward-looking statements speak only as of the date they were made, and we undertake no obligation to publicly update or revise any forward looking statements, whether as a result of new information, future events or otherwise. The foregoing review of factors that could cause our actual results to differ materially from those contemplated in any forward looking statements included in this prospectus should not be construed as exhaustive.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Because it is a summary, it does not contain all of the information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are a dividend growth-oriented company that has historically served as the primary vehicle through which NRG Energy, Inc. (NYSE: NRG) ("NRG") owns, operates and acquires contracted renewable and conventional generation and thermal infrastructure assets. NRG, through its holdings of NRG Yield, Inc.'s Class B and Class D common stock, has a 55.1% voting interest in NRG Yield, Inc. as of March 31, 2018. On February 6, 2018, Global Infrastructure Partners ("GIP") entered into a purchase and sale agreement with NRG (the "NRG Transaction") for the acquisition of NRG's full ownership interest in NRG Yield, Inc. and NRG's renewable energy development and operations platform. The aggregate purchase price to be paid by GIP to NRG under the purchase and sale agreement is approximately $1.375 billion, subject to certain adjustments. The NRG Transaction is subject to certain closing conditions, including customary legal and regulatory approvals. The Company expects the NRG Transaction to close in the second half of 2018.</w:t>
      </w:r>
    </w:p>
    <w:p>
      <w:pPr>
        <w:spacing w:after="0" w:line="17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connection with the NRG Transaction, we entered into a consent and indemnity agreement (the "Consent and Indemnity Agreement") with NRG and GIP setting forth key terms and conditions of our consent to the NRG Transaction. Key provisions of the Consent and Indemnity Agreement include:</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Minimized impact to cash available for distribution ("CAFD") from potential change in control costs </w:t>
      </w:r>
      <w:r>
        <w:rPr>
          <w:rFonts w:ascii="Arial" w:cs="Arial" w:eastAsia="Arial" w:hAnsi="Arial"/>
          <w:sz w:val="18"/>
          <w:szCs w:val="18"/>
          <w:color w:val="auto"/>
        </w:rPr>
        <w:t>—No more than $10 million in reduced annual CAFD</w:t>
      </w:r>
      <w:r>
        <w:rPr>
          <w:rFonts w:ascii="Arial" w:cs="Arial" w:eastAsia="Arial" w:hAnsi="Arial"/>
          <w:sz w:val="18"/>
          <w:szCs w:val="18"/>
          <w:i w:val="1"/>
          <w:iCs w:val="1"/>
          <w:color w:val="auto"/>
        </w:rPr>
        <w:t xml:space="preserve"> </w:t>
      </w:r>
      <w:r>
        <w:rPr>
          <w:rFonts w:ascii="Arial" w:cs="Arial" w:eastAsia="Arial" w:hAnsi="Arial"/>
          <w:sz w:val="18"/>
          <w:szCs w:val="18"/>
          <w:color w:val="auto"/>
        </w:rPr>
        <w:t>on a recurring basis that would result from changes in our cost structure or any impact from various consents.</w:t>
      </w:r>
    </w:p>
    <w:p>
      <w:pPr>
        <w:spacing w:after="0" w:line="186"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i w:val="1"/>
          <w:iCs w:val="1"/>
          <w:color w:val="auto"/>
        </w:rPr>
        <w:t>Enhanced Right of First Offer ("ROFO") pipeline</w:t>
      </w:r>
      <w:r>
        <w:rPr>
          <w:rFonts w:ascii="Arial" w:cs="Arial" w:eastAsia="Arial" w:hAnsi="Arial"/>
          <w:sz w:val="16"/>
          <w:szCs w:val="16"/>
          <w:color w:val="auto"/>
        </w:rPr>
        <w:t>—Upon closing of the NRG Transaction, we will enter into a new right of first offer agreement with GIP</w:t>
      </w:r>
      <w:r>
        <w:rPr>
          <w:rFonts w:ascii="Arial" w:cs="Arial" w:eastAsia="Arial" w:hAnsi="Arial"/>
          <w:sz w:val="16"/>
          <w:szCs w:val="16"/>
          <w:i w:val="1"/>
          <w:iCs w:val="1"/>
          <w:color w:val="auto"/>
        </w:rPr>
        <w:t xml:space="preserve"> </w:t>
      </w:r>
      <w:r>
        <w:rPr>
          <w:rFonts w:ascii="Arial" w:cs="Arial" w:eastAsia="Arial" w:hAnsi="Arial"/>
          <w:sz w:val="16"/>
          <w:szCs w:val="16"/>
          <w:color w:val="auto"/>
        </w:rPr>
        <w:t>that adds 550 MW to the current pipeline through the operational 150 MW Langford Wind project and the 400 MW Mesquite Star Wind project which is under development. The ROFO Agreement with NRG will be amended to remove the Ivanpah solar facility.</w:t>
      </w:r>
    </w:p>
    <w:p>
      <w:pPr>
        <w:spacing w:after="0" w:line="161"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i w:val="1"/>
          <w:iCs w:val="1"/>
          <w:color w:val="auto"/>
        </w:rPr>
        <w:t>Financial cooperation and support</w:t>
      </w:r>
      <w:r>
        <w:rPr>
          <w:rFonts w:ascii="Arial" w:cs="Arial" w:eastAsia="Arial" w:hAnsi="Arial"/>
          <w:sz w:val="16"/>
          <w:szCs w:val="16"/>
          <w:color w:val="auto"/>
        </w:rPr>
        <w:t>—GIP has arranged a $1.5 billion backstop credit facility to manage any change of control costs associated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debt. GIP has also committed to provide up to $400 million in financial support, if necessary, for our purchase of the Carlsbad Energy Center.</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Voting and Governance Agreement</w:t>
      </w:r>
      <w:r>
        <w:rPr>
          <w:rFonts w:ascii="Arial" w:cs="Arial" w:eastAsia="Arial" w:hAnsi="Arial"/>
          <w:sz w:val="18"/>
          <w:szCs w:val="18"/>
          <w:color w:val="auto"/>
        </w:rPr>
        <w:t>—As part of the NRG Transaction, the parties have agreed to enter into a voting and governance agreement, which would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that:</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Chief Executive Officer will at all times be a full-time Company employee appointed by the Board of Directors of the Company (the "Board");</w:t>
      </w:r>
    </w:p>
    <w:p>
      <w:pPr>
        <w:spacing w:after="0" w:line="275"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parties thereto will use their commercially reasonable efforts to submit to our stockholders at our 2019 Annual Meeting of Stockholders a charter amendment to classify the Board into two classes (with the independent directors and directors designated by an affiliate of GIP allocated across the two classes); and</w:t>
      </w:r>
    </w:p>
    <w:p>
      <w:pPr>
        <w:spacing w:after="0" w:line="207"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will be expanded to nine members at the closing of the NRG Transaction, comprised at that date of five directors designated by GIP, three independent directors and our Chief Executive Officer.</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believe we are well positioned to be a premier company for investors seeking stable and growing dividend income from a diversified portfolio of lower-risk assets. We own a diversified portfolio of contracted renewable and conventional generation and thermal infrastructure assets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U.S. Our contracted generation portfolio collectively represents 5,118 net Megawatts ("MWs") as of March 31, 2018. Nearly all of these assets sell substantially all of their output pursuant to long-term offtake agreements with creditworthy counterparties. The weighted average remaining contract duration of these offtake agreements was approximately 15 years as of March 31, 2018 based on CAFD. We also own thermal infrastructure assets with an aggregate steam and chilled water capacity of 1,319 net Megawatts Thermal ("MWt") and electric generation capacity of 123 net MWs.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7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were incorporated as a Delaware corporation on December 20, 2012. Our Class A common stock is listed on the New York Stock Exchange under the symbol "NYLD.A," and our Class C common stock is listed on the New York Stock Exchange under the symbol "NYLD." Our headquarters and principal executive offices are located at 804 Carnegie Center, Princeton, New Jersey 08540. Our telephone number is (609) 524-4500. Our website is www.nrgyield.com. Information on our website is not part of this prospectus and is not incorporated into this prospectus by reference.</w:t>
      </w:r>
    </w:p>
    <w:p>
      <w:pPr>
        <w:spacing w:after="0" w:line="167" w:lineRule="exact"/>
        <w:rPr>
          <w:sz w:val="20"/>
          <w:szCs w:val="20"/>
          <w:color w:val="auto"/>
        </w:rPr>
      </w:pPr>
    </w:p>
    <w:p>
      <w:pPr>
        <w:ind w:right="440" w:firstLine="345"/>
        <w:spacing w:after="0" w:line="259" w:lineRule="auto"/>
        <w:rPr>
          <w:sz w:val="20"/>
          <w:szCs w:val="20"/>
          <w:color w:val="auto"/>
        </w:rPr>
      </w:pPr>
      <w:r>
        <w:rPr>
          <w:rFonts w:ascii="Arial" w:cs="Arial" w:eastAsia="Arial" w:hAnsi="Arial"/>
          <w:sz w:val="18"/>
          <w:szCs w:val="18"/>
          <w:color w:val="auto"/>
        </w:rPr>
        <w:t>You can get more information regarding our business by reading our Annual Report on Form 10-K for the fiscal year ended December 31, 2017, our Quarterly Report on Form 10-Q for the quarterly period ended March 31, 2018, and the other reports we file with the SEC. See "Where You Can Find More Information."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sales of the securities as set forth in the applicable prospectus supplement.</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ratios of earnings to fixed charges and earnings to combined fixed charges and preference dividends for the periods indicated are stated below. For this purpose, "earnings" include pre-tax income (loss) before adjustments for minority interest in our consolidated subsidiaries and income or loss from equity investees, plus fixed charges and distributed income of equity investees, reduced by interest capitalized. "Fixed charges" include interest, whether expensed or capitalized, amortization of debt expense and the portion of rental expense that is representative of the interest factor in these rentals.</w:t>
      </w:r>
    </w:p>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3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gridSpan w:val="5"/>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do not have any shares of preferred stock outstanding as of March 31, 2018. Our ratio of earnings to combined fixed charges and preference dividends for any given period is equivalent to our ratio of earnings to fixed charges.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following is a description of the material terms of our restated certificate of incorporation and our third amended and restated bylaws. The following description may not contain all of the information that is important to you. To understand them fully, you should read our restated certificate of incorporation and our third amended and restated bylaws, both of which have been filed with the SEC as exhibits to our registration statement of which this prospectus forms a part.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authorized capital stock consists, as of March 31, 2018, of:</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500,000,000 shares of Class A common stock, par value $0.01 per share, of which 34,586,250 shares are issued and outstanding;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500,000,000 shares of Class B common stock, par value $0.01 per share, of which 42,738,750 shares are issued and outstanding;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1,000,000,000 shares of Class C common stock, par value $0.01 per share, of which 65,343,576 shares are issued and outstanding;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1,000,000,000 shares of Class D common stock, par value $0.01 per share, of which 42,738,750 shares are issued and outstanding;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10,000,000 shares of preferred stock, par value $0.01 per share, none of which are issued and outstanding.</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as of March 31, 2018, (i) an aggregate of 2,000,000 shares of our Class A common stock and Class C common stock are reserved for issuance under our equity-based compensation plans, (ii) an aggregate of 42,738,750 shares of our Class A common stock are reserved for issuance upon the exchange of Class B units, (iii) an aggregate of 65,343,576 shares of our Class C common stock are reserved for issuance upon the exchange of Class D units, (iv) 18,898,893 shares of our Class A common stock are reserved for issuance upon conversion of our outstanding 3.50% Convertible Notes and (v) 13,068,169 shares of our Class C common stock are reserved for issuance upon conversion of our outstanding 3.25% Convertible Notes. Unless our Board of Directors determines otherwise, we will issue all shares of our capital stock in uncertificated form.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share of Class A common stock entitles the holder to one vote with respect to each matter presented to our stockholders on which the holders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stock are entitled to vote. Holders of shares of our Class A common stock, Class B common stock, Class C common stock and Class D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requirements of any exchange on which shares of our common stock are listed. Holders of our Class A common stock will not have cumulative voting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Except in respect of matters relating to the election and removal of directors on our Board of Directors and as otherwise provided in our restated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incorporation or required by law, all matters to be voted on by holders of our Class A common stock, Class B common stock, Class C common stock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Class D common stock must be approved by a majority, on a combined basis, of such shares present in person or by proxy at the meeting and entitled to vote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subject matter. In the case of election of directors, all matters to be voted on by our stockholders must be approved by a plurality of the votes entitled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cast by all shares of our common stock on a combined basis.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Class A common stock are entitled to receive dividends, if any, as may be declared from time to time by our Board of Directors out of legally available funds. Dividends upon our Class A common stock may be declared by our Board of Directors at any regular or special meeting, and may be paid in cash, in property or in shares of capital stock. The holders of Class A common stock and Class C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our Class A common stock is limited by restrictions on the ability of our subsidiaries to pay dividends or make other distributions to us, including restrictions under the terms of the agreements governing our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In the event of any voluntary or involuntary liquidation, dissolution or winding up of our affairs, holders of our Class A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Holders of our Class A common stock have no preemptive, conversion or other rights to subscribe for additional shares. All outstanding shares are, and all shares offered by this prospectus will be, when sold, validly issued, fully paid and nonassessable.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common stock is listed on the NYSE under the symbol "NYLD.A."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Class A common stock is Computershare Shareowner Services,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share of Class B common stock entitles the holder to one vote with respect to each matter presented to our stockholders on which the holders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Class B common stock are entitled to vote. Holders of shares of our Class A common stock, Class B common stock, Class C common stock and Class D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requirements of any exchange on which shares of our common stock are listed. Holders of our Class B common stock do not have cumulative voting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Except in respect of matters relating to the election and removal 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directors on our Board of Directors and as otherwise provided in our restated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Holders of our Class B common stock do not have any right to receive dividends, other than dividends payable solely in shares of Class B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B common stock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Shares of Class B common stock are subject to redemption at a price per share equal to par value upon the conversion of Class B units of NRG Yield LLC ("Yield LLC") to Class A units. Shares of Class B common stock so redeemed are automatically cancelled and are not available to be reissued.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share of Class C common stock entitles the holder to 1/100th of one vote with respect to each matter presented to our stockholders on which the holders of Class C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C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Class C common stock will be entitled to receive dividends, if any, as may be declared from time to time by our Board of Directors out of legally available funds. Dividends upon shares of our Class C common stock may be declared by our Board of Directors at any regular or special meeting, and may be paid in cash, in property or in shares of capital stock. The holders of shares of Class C common stock and Class A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may modify or abolish any such reserve. Furthermore, because we are a holding company, our ability to pay dividends on shares of our Class C common stock will be limited by restrictions on the ability of our subsidiaries to pay dividends or make other distributions to us, including restrictions under the terms of the agreements governing our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the event of any voluntary or involuntary liquidation, dissolution or winding up of our affairs, holders of shares of our Class C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Holders of shares of our Class C common stock have no preemptive, conversion or other rights to subscribe for additional shares. All outstanding shares are, and all shares offered by this prospectus will be, when issued, validly issued, fully paid and nonassessable. The rights, preferences and privileges of the holders of shares of our Class C common stock are subject to, and may be adversely affected by, the rights of the holders of shares of any series of our preferred stock that we may designate and issue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Status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Except as expressly provided in our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our stockholders entitled to vote thereon (whether or not we are the surviving entity), the holders of shares of Class C common stock shall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shall receive in any such merger, consolidation or combination with respect to their shares of Class A common stock, then the holders of shares of Class C common stock shall be entitled to make the same election as to their shares of Class C common stock). In the event of any (i) tender or exchange offer to acquire any shares of Class A common stock or Class B common stock by any third party pursuant to an agreement to which we are a party; or (ii) any tender or exchange offer or any other redemption or repurchase by us to acquire any shares of Class A common stock or Class B common stock, the holders of shares of Class C common stock shall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shall receive in any such tender or exchange offer or other repurchase with respect to their shares of Class A common stock, then the holders of shares of Class C common stock shall be entitled to make the same election as to their shares of Class C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C common stock is listed on the NYSE under the symbol "NYLD."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Class C common stock is Computershare Shareowner Services,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D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share of Class D common stock entitles the holder to 1/100th of one vote with respect to each matter presented to our stockholders on which the holders of Class D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D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225"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Holders of shares of our Class D common stock do not have any right to receive dividends, other than dividends payable solely in shares of Class D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D common stock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Shares of Class D common stock are subject to redemption at a price per share equal to par value upon the conversion of Class D units of Yield LLC. Shares of Class D common stock so redeemed are automatically cancelled and are not available to be reissued.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31"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15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Under our restated certificate of incorporation, we will continue to be authorized to issue up to 10,000,000 shares of preferred stock, par value $0.01 per share, none of which is issued and outstanding.</w:t>
      </w:r>
    </w:p>
    <w:p>
      <w:pPr>
        <w:spacing w:after="0" w:line="186"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231"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permitted under the Delaware General Corporation Law ("DGCL"), in our restated certificate of incorporation, we renounced any interest or expectancy in, or any offer of an opportunity to participate in, specified business opportunities that are presented to us or one or more of our officers, directors or stockholders. In recognition that directors, officers and/or employees of NRG may serve as our directors and/or officers, and NRG and its affiliates, not including us (the "NRG Entities") may engage in similar activities or lines of business that we do, our restated certificate of incorporation provides for the allocation of certain corporate opportunities between us and the NRG Entities. Specifically, none of the NRG Entities will have any duty to refrain from engaging directly or indirectly in the same or similar business activities or lines of business that we do. In the event that a director or officer of any NRG Entity who also is one of our directors or officers acquires knowledge of a potential transaction or matter which may be a corporate opportunity for any of the NRG Entities and us, we will not have any expectancy in such corporate opportunity, and the director or officer will not have any duty to present such corporate opportunity to us and may pursue or acquire such corporate opportunity for himself/herself or direct such opportunity to another person. A corporate opportunity that an officer or director of ours who is also a director or officer of any of the NRG Entities acquires knowledge of will not belong to us unless the corporate opportunity at issue is expressly offered in writing to such person solely in his or her capacity as a director or officer of ours. In addition, even if a business opportunity is presented to an officer or director of any of the NRG Entities, the following corporate opportunities will not belong to us: (1) those we are not financially able, contractually permitted or legally able to undertake; (2) those not in our line of business; (3) those of no practical advantage to us; and (4) those in which we have no interest or reasonable expectancy. Except with respect to our directors and/or officers who are also directors and/or officers of any of the NRG Entities, the corporate opportunity doctrine applies as construed pursuant to applicable Delaware laws, without limitation.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to the disproportionate voting rights that NRG will have following this offering as a result of its ownership of our Class B common stock and Class D common stock, some provisions of Delaware law contain, and our restated certificate of incorporation and our third amended and restated bylaws described below contain, a number of provisions which may have the effect of encouraging persons considering unsolicited tender offers or other unilateral takeover proposals to negotiate with our Board of Directors rather than pursue non-negotiated takeover attempts, which we believe may result in an improvement of the terms of any such acquisition in favor of our stockholders. However, they also give our Board of Directors the power to discourage acquisitions that some stockholders may favor.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ability to authorize undesignated preferred stock will make it possible for our Board of Directors to issue preferred stock with superior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Elections of Directors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Special Meetings of Stockholders. </w:t>
      </w:r>
      <w:r>
        <w:rPr>
          <w:rFonts w:ascii="Arial" w:cs="Arial" w:eastAsia="Arial" w:hAnsi="Arial"/>
          <w:sz w:val="18"/>
          <w:szCs w:val="18"/>
          <w:color w:val="auto"/>
        </w:rPr>
        <w:t>Our restated certificate of incorporation provides that a special meeting of stockholders may be called only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by a resolution adopted by the affirmative vote of a majority of the total number of directors then in office.</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Elimination of Stockholder Action by Written Consent. </w:t>
      </w:r>
      <w:r>
        <w:rPr>
          <w:rFonts w:ascii="Arial" w:cs="Arial" w:eastAsia="Arial" w:hAnsi="Arial"/>
          <w:sz w:val="18"/>
          <w:szCs w:val="18"/>
          <w:color w:val="auto"/>
        </w:rPr>
        <w:t>Our restated certificate of incorporation and our third amended and restated bylaws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common stock cannot act by written consent in lieu of a meeting.</w:t>
      </w:r>
    </w:p>
    <w:p>
      <w:pPr>
        <w:spacing w:after="0" w:line="186"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i w:val="1"/>
          <w:iCs w:val="1"/>
          <w:color w:val="auto"/>
        </w:rPr>
        <w:t xml:space="preserve">Vacancies. </w:t>
      </w:r>
      <w:r>
        <w:rPr>
          <w:rFonts w:ascii="Arial" w:cs="Arial" w:eastAsia="Arial" w:hAnsi="Arial"/>
          <w:sz w:val="18"/>
          <w:szCs w:val="18"/>
          <w:color w:val="auto"/>
        </w:rPr>
        <w:t>Any vacancy occurring on our Board of Directors and any newly created directorship may be filled only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in office (even if less than a quorum), subject to the rights of holders of any series of preferred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i w:val="1"/>
          <w:iCs w:val="1"/>
          <w:color w:val="auto"/>
        </w:rPr>
        <w:t xml:space="preserve">Amendments of Certificate of Incorporation. </w:t>
      </w:r>
      <w:r>
        <w:rPr>
          <w:rFonts w:ascii="Arial" w:cs="Arial" w:eastAsia="Arial" w:hAnsi="Arial"/>
          <w:sz w:val="16"/>
          <w:szCs w:val="16"/>
          <w:color w:val="auto"/>
        </w:rPr>
        <w:t>The provisions described above under "—Special Meetings of Stockholders," "—Elimination of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Action by Written Consent" and "—Vacancies" may be amended only by the affirmative vote of holders of at least two-thirds of the combined voting power of outstanding shares of our capital stock entitled to vote in the election of directors, voting together as a single class.</w:t>
      </w:r>
    </w:p>
    <w:p>
      <w:pPr>
        <w:spacing w:after="0" w:line="16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i w:val="1"/>
          <w:iCs w:val="1"/>
          <w:color w:val="auto"/>
        </w:rPr>
        <w:t xml:space="preserve">Amendment of Bylaws. </w:t>
      </w:r>
      <w:r>
        <w:rPr>
          <w:rFonts w:ascii="Arial" w:cs="Arial" w:eastAsia="Arial" w:hAnsi="Arial"/>
          <w:sz w:val="18"/>
          <w:szCs w:val="18"/>
          <w:color w:val="auto"/>
        </w:rPr>
        <w:t>Our Board of Directors has the power to make, alter, amend, change or repeal our bylaws or adopt new bylaws by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the total number of directors then in office.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Provisions Relating to Stockholder Proposals and Nominees</w:t>
      </w:r>
    </w:p>
    <w:p>
      <w:pPr>
        <w:spacing w:after="0" w:line="22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Our third amended and restated bylaws also impose some procedural requirements on stockholders who wish to make nominations in the election of directors or propose any other business to be brought before an annual or special meeting of stockholders.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Specifically, a stockholder may (i) bring a proposal before an annual meeting of stockholders, (ii) nominate a candidate for election to our Board of Directors at an annual meeting of stockholders, or (iii) nominate a candidate for election to our Board of Directors at a special meeting of stockholders that has been called for the purpose of electing directors, only if such stockholder delivers timely notice to our corporate secretary. The notice must be in writing and must include certain information and comply with the delivery requirements as set forth in the bylaws.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be timely, a stockholder's notice must be received at our principal executive offices:</w:t>
      </w:r>
    </w:p>
    <w:p>
      <w:pPr>
        <w:spacing w:after="0" w:line="239" w:lineRule="exact"/>
        <w:rPr>
          <w:sz w:val="20"/>
          <w:szCs w:val="20"/>
          <w:color w:val="auto"/>
        </w:rPr>
      </w:pPr>
    </w:p>
    <w:p>
      <w:pPr>
        <w:ind w:left="1080" w:right="20" w:hanging="532"/>
        <w:spacing w:after="0" w:line="298"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date of the annual meeting is advanced more than 30 days before or delayed more than 70 days after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preceding year's annual meeting, notice by the stockholder must be delivered not earlier than the close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00"/>
        <w:spacing w:after="0" w:line="332" w:lineRule="auto"/>
        <w:rPr>
          <w:sz w:val="20"/>
          <w:szCs w:val="20"/>
          <w:color w:val="auto"/>
        </w:rPr>
      </w:pPr>
      <w:r>
        <w:rPr>
          <w:rFonts w:ascii="Arial" w:cs="Arial" w:eastAsia="Arial" w:hAnsi="Arial"/>
          <w:sz w:val="16"/>
          <w:szCs w:val="16"/>
          <w:color w:val="auto"/>
        </w:rPr>
        <w:t>business on the 120th day prior to such annual meeting and not later than the close of business on the later of the 90th day prior to such annual meeting or the 10th day following the day on which public announcement of the date of such meeting is first made by us;</w:t>
      </w:r>
    </w:p>
    <w:p>
      <w:pPr>
        <w:spacing w:after="0" w:line="153" w:lineRule="exact"/>
        <w:rPr>
          <w:sz w:val="20"/>
          <w:szCs w:val="20"/>
          <w:color w:val="auto"/>
        </w:rPr>
      </w:pPr>
    </w:p>
    <w:p>
      <w:pPr>
        <w:ind w:left="1080" w:right="16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us.</w:t>
      </w:r>
    </w:p>
    <w:p>
      <w:pPr>
        <w:spacing w:after="0" w:line="194"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With respect to special meetings of stockholders, our third amended and restated bylaws provide that only such business shall be conducted as shall have been stated in the notice of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have opted out of Section 203 of the DGCL. However, our restated certificate of incorporation provides that in the event NRG and its affiliates cease to beneficially own at least 5% of the total voting power of all the then outstanding shares of our capital stock, we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94" w:lineRule="exact"/>
        <w:rPr>
          <w:sz w:val="20"/>
          <w:szCs w:val="20"/>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199"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52"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31"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Any amendments to our restated certificate of incorporation, subject to the rights of holders of our preferred stock, regarding the provisions thereof summarized under "—Corporate Opportunity" or "—Antitakeover Effects of Delaware Law and Our Certificate of Incorporation and Bylaws" will require the affirmative vote of at least 66 2/3% of the voting power of all shares of our common stock then outstanding.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Amended and Restated Limited Liability Company Agreement of Yield LLC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description of the material terms of Yield LLC's third amended and restated limited liability company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25" w:lineRule="exact"/>
        <w:rPr>
          <w:sz w:val="20"/>
          <w:szCs w:val="20"/>
          <w:color w:val="auto"/>
        </w:rPr>
      </w:pPr>
    </w:p>
    <w:p>
      <w:pPr>
        <w:ind w:right="40" w:firstLine="345"/>
        <w:spacing w:after="0" w:line="256" w:lineRule="auto"/>
        <w:rPr>
          <w:sz w:val="20"/>
          <w:szCs w:val="20"/>
          <w:color w:val="auto"/>
        </w:rPr>
      </w:pPr>
      <w:r>
        <w:rPr>
          <w:rFonts w:ascii="Arial" w:cs="Arial" w:eastAsia="Arial" w:hAnsi="Arial"/>
          <w:sz w:val="18"/>
          <w:szCs w:val="18"/>
          <w:color w:val="auto"/>
        </w:rPr>
        <w:t>Yield Inc. serves as the sole managing member of Yield LLC. As such, Yield Inc., and effectively our Board of Directors, controls the business and affairs of Yield LLC and is responsible for the management of its business. No other member of Yield LLC, in its capacity as such, has any authority or right to control the management of Yield LLC or to bind it in connection with any matter. Any amendment, supplement or waiver of the Yield LLC operating agreement must be approved by a majority of our independent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225"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color w:val="auto"/>
        </w:rPr>
        <w:t>Yield LLC has issued four classes of units: Class A units and Class C units, which may only be issued to Yield Inc., as the sole managing member, and Class B units and Class D units, which may only be issued to NRG and held by NRG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subject to equitable adjustments for stock splits, dividends and reclassifications in accordance with the terms of the Amended and Restated Exchange Agreement (as described below), and each Class D unit is exchangeable for a share of our Class C common stock, subject to equitable adjustments for stock splits, dividends and reclassifications in accordance with the terms of the Amended and Restated Exchange Agreement. When NRG or its permitted transferee exchanges a Class B unit of Yield LLC for a share of our Class A common stock, we will automatically redeem and cancel a corresponding share of our Class B common stock, and the Class B unit will automatically convert into a Class A unit of Yield LLC issued to us. When NRG or its permitted transferee exchanges a Class D unit of Yield LLC for a share of our Class C common stock, we will automatically redeem and cancel a corresponding share of our Class D common stock, and the Class D unit will automatically convert into a Class C unit of Yield LLC issued to us. None of the units have any voting rights.</w:t>
      </w:r>
    </w:p>
    <w:p>
      <w:pPr>
        <w:spacing w:after="0" w:line="18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Net profits and net losses and distributions by Yield LLC are allocated and made to holders of units in accordance with the respective number of membership units of Yield LLC held. Yield LLC will make distributions to us and NRG for the purpose of funding tax obligations in respect of income of Yield LLC that is allocated to the members of Yield LLC. However, Yield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our operations are conducted through NRG Yield Operating, LLC ("Yield Operating LLC"), and Yield Operating LLC's Amended and Restated Credit Agreement restricts the ability of Yield Operating LLC to make distributions to Yield LLC, Yield LLC may not have any funds available to make distributions to us and NRG (including with respect to tax obligations).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Coordination of Yield Inc. and Yield LLC</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any time Yield Inc. issues a share of its Class A common stock or Class C common stock for cash, the net proceeds therefrom will promptly be transferred to Yield LLC and Yield LLC will either:</w:t>
      </w:r>
    </w:p>
    <w:p>
      <w:pPr>
        <w:spacing w:after="0" w:line="199" w:lineRule="exact"/>
        <w:rPr>
          <w:sz w:val="20"/>
          <w:szCs w:val="20"/>
          <w:color w:val="auto"/>
        </w:rPr>
      </w:pPr>
    </w:p>
    <w:p>
      <w:pPr>
        <w:ind w:left="1080" w:right="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a newly issued Class A unit of Yield LLC to Yield Inc. in the case of the issuance of a share of Class A common stock, or transfer a newly issued Class C unit of Yield LLC to Yield Inc. in the case of the issuance of a share of Class C common stock; or</w:t>
      </w:r>
    </w:p>
    <w:p>
      <w:pPr>
        <w:spacing w:after="0" w:line="212" w:lineRule="exact"/>
        <w:rPr>
          <w:rFonts w:ascii="Arial" w:cs="Arial" w:eastAsia="Arial" w:hAnsi="Arial"/>
          <w:sz w:val="18"/>
          <w:szCs w:val="18"/>
          <w:color w:val="auto"/>
        </w:rPr>
      </w:pPr>
    </w:p>
    <w:p>
      <w:pPr>
        <w:ind w:left="1080" w:right="280" w:hanging="532"/>
        <w:spacing w:after="0" w:line="256"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use the net proceeds to purchase a Class B unit of Yield LLC from NRG in the case of the issuance of a share of Class A common stock, which Class B unit will automatically convert into a Class A unit of Yield LLC when transferred to Yield Inc. or use the net proceeds to purchase a Class D unit of Yield LLC from NRG in the case of the issuance of a share of Class C common stock, which Class D unit will automatically convert into a Class C unit of Yield LLC when transferred to Yield Inc.</w:t>
      </w:r>
    </w:p>
    <w:p>
      <w:pPr>
        <w:spacing w:after="0" w:line="197"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color w:val="auto"/>
        </w:rPr>
        <w:t>In the event Yield LLC purchases a Class B unit or a Class D unit of Yield LLC from NRG, Yield Inc. will concurrently redeem and cancel the corresponding share of its Class B common stock or Class D common stock, as applicable.</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If Yield Inc. issues other classes or series of equity securities, Yield LLC will issue, and Yield Inc. will use the net proceeds therefrom to purchase, an equal amount of units with designations, preferences and other rights and terms that are substantially the same as Yield Inc.'s newly-issued equity securities. Conversely, if Yield Inc. elects to redeem any shares of its Class A common stock or Class C common stock (or its equity securities of other classes or series) for cash, Yield LLC will, immediately prior to such redemption, redeem an equal number of Class A units or Class C units (or its units of the corresponding classes or series) held by Yield Inc. upon the same terms and for the same price, as the shares of Class A common stock or Class C common stock (or equity securities of such other classes or series) so redeemed.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and Transfer of Units</w:t>
      </w:r>
    </w:p>
    <w:p>
      <w:pPr>
        <w:spacing w:after="0" w:line="22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Class A units and Class C units may only be issued to Yield Inc., as the sole managing member of Yield LLC, and are non-transferable except upon redemption by Yield LLC. Class B units and Class D units may only be issued to NRG. Class B units and Class D units may not be transferred without our consent, subject to such conditions as we may specify, except NRG may transfer Class B units or Class D units to a permitted transferee (including an affiliate) without our consent. NRG may not transfer any Class B units or Class D units to any person unless NRG transfers an equal number of shares of our Class B common stock or Class D common stock, as applicable, to the same transferee.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Exchange Agreement</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entered into an amended and restated exchange agreement pursuant to which NRG (and certain permitted assignees and permitted transferees who acquire Class B units or Class D units of Yield LLC) may from time to time cause Yield LLC to exchange its Class B units for shares of our Class A common stock on a one-for-one basis, subject to adjustments for stock splits, stock dividends and reclassifications, or to exchange its Class D units for shares of our Class C common stock on a one-for-one basis, subject to adjustments for stock splits, stock dividends, and reclassifications (the "Amended and Restated Exchange Agreement"). The Amended and Restated Exchange Agreement also provides that, subject to certain exceptions, holders do not have the right to cause Yield LLC to exchange Class B or Class D units if Yield LLC determines that such exchange would be prohibited by law or regulation or would violate other agreements to which Yield Inc. may be subject, and Yield Inc. may impose additional restrictions on exchange that it determines necessary or advisable so that Yield LLC is not treated as a "publicly traded partnership" for U.S. federal income tax purposes.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When NRG or its permitted transferee exchanges a Class B unit of Yield LLC for a share of our Class A common stock, we will automatically redeem and cancel a corresponding share of our Class B common stock and the Class B unit will automatically convert into a Class A unit when issued to Yield Inc. Similarly, when NRG or its permitted transferee exchanges a Class D unit of Yield LLC for a share of our Class C common stock, we will automatically redeem and cancel a corresponding share of our Class D common stock and the Class D unit will automatically convert into a Class C unit when issued to Yield Inc. As a result, when a holder exchanges its Class B units for shares of our Class A common stock, or its Class D units for shares of our Class C common stock, our interest in Yield LLC will be correspondingly increased. We have reserved for issuance 42,738,750 shares of our Class A common stock, which is the aggregate number of shares of Class A common stock expected to be issued over time upon the exchange of all Class B units of Yield LLC currently outstanding, and 42,738,750 shares of our Class C common stock, which is the aggregate number of shares of Class C common stock expected to be issued over time upon the exchange of all Class D units of Yield LLC currently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Exculpation</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 the extent permitted by applicable law, Yield LLC will indemnify its managing member, our authorized officers and our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Such authorized officers and other employees and agents will not be liable to Yield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entered into an amended and restated registration rights agreement with NRG pursuant to which NRG and its affiliates will be entitled to demand registration rights, including the right to demand that a shelf registration statement be filed, and "piggyback" registration rights, for shares of our Class A common stock that are issuable upon exchange of Class B units of Yield LLC that it owns, and for shares of our Class C common stock that are issuable upon exchange of Class D units of Yield LLC that it owns.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may offer secured or unsecured debt securities, which may be convertible or non-convertible. Our debt securities will be issued under an indenture to be entered into between us and Delaware Trust Company.</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aggregate principal amount of debt securities that may be issued under the indenture is unlimited. The debt securities may be issued in one or more series as may be authorized from time to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the applicable prospectus supplement for the following terms of the debt securities (if applicable):</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title and aggregate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securities will be senior or subordinated;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applicable subordination provisions,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securities issued by us will be entitled to the benefits of any form of guarantee;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conversion or exchange into other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securities issued by us will be secured or unsecured, and if secured, what the collateral will consist 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percentage or percentages of principal amount at which such securities will be issued;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maturity 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rate(s) or the method for determining the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dates on which interest will accrue or the method for determining dates on which interest will accrue and dates on which interest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 (including upon a "change of control") or early repayment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securities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such securities will be issued in whole or in part in the form of one or more global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identity of the depositary for global securities;</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conversion or exchange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defaults and events of default applicable to the particular debt securities being issued;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currency, currencies or currency units in which the purchase price for, the principal of and any premium and any interest on, such securities will be payable;</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time period within which, the manner in which and the terms and conditions upon which the purchaser of the securities can select the payment currency;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securities exchange(s) on which the securities will be listed,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any underwriter(s) will act as market maker(s) for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extent to which a secondary market for the securities is expected to develop;</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and interest with respect to such securities to be due and payable;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relating to covenant defeasance and legal defeasance;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relating to satisfaction and discharge of the indenture;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terms not inconsistent with the provisions of the indenture.</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the applicable prospectus supplement.</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9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 without giving effect to the principles thereof relating to conflicts of law.</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Offering and Sale of Securities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Agents whom we designate may solicit offers to purchase the securities.</w:t>
      </w:r>
    </w:p>
    <w:p>
      <w:pPr>
        <w:spacing w:after="0" w:line="239" w:lineRule="exact"/>
        <w:rPr>
          <w:sz w:val="20"/>
          <w:szCs w:val="20"/>
          <w:color w:val="auto"/>
        </w:rPr>
      </w:pPr>
    </w:p>
    <w:p>
      <w:pPr>
        <w:ind w:left="1080" w:right="2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required, we will name any agent involved in offering or selling securities, and disclose any commissions that we will pay to the agent, in the applicable prospectus supplement.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Unless we indicate otherwise in the applicable prospectus supplement, agents will act on a best efforts basis for the period of their appointment.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Agents may be deemed to be underwriters under the Securities Act of 1933, of any of the securities that they offer or sell.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use an underwriter or underwriters in the offer or sale of the securities.</w:t>
      </w:r>
    </w:p>
    <w:p>
      <w:pPr>
        <w:spacing w:after="0" w:line="239" w:lineRule="exact"/>
        <w:rPr>
          <w:sz w:val="20"/>
          <w:szCs w:val="20"/>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use an underwriter or underwriters, we will execute an underwriting agreement with the underwriter or underwriters at the time that we reach an agreement for the sale of the securities.</w:t>
      </w:r>
    </w:p>
    <w:p>
      <w:pPr>
        <w:spacing w:after="0" w:line="21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underwriters will use the applicable prospectus supplement, together with this prospectus, to sell the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use a dealer to sell the securities.</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use a dealer, we will sell the securities to the dealer, as principal.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dealer will then sell the securities to the public at varying prices that the dealer will determine at the time it sells the securities.</w:t>
      </w:r>
    </w:p>
    <w:p>
      <w:pPr>
        <w:spacing w:after="0" w:line="238" w:lineRule="exact"/>
        <w:rPr>
          <w:rFonts w:ascii="Arial" w:cs="Arial" w:eastAsia="Arial" w:hAnsi="Arial"/>
          <w:sz w:val="18"/>
          <w:szCs w:val="18"/>
          <w:color w:val="auto"/>
        </w:rPr>
      </w:pPr>
    </w:p>
    <w:p>
      <w:pPr>
        <w:jc w:val="center"/>
        <w:ind w:left="5620" w:right="1320" w:hanging="5072"/>
        <w:spacing w:after="0" w:line="519" w:lineRule="auto"/>
        <w:tabs>
          <w:tab w:leader="none" w:pos="10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include the name of the dealer and the terms of the transactions with the dealer in the applicable prospectus supplement.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may solicit directly offers to purchase the securities, and we may directly sell the securities to institutional or other investors. We will describe the terms of direct sales in the applicable prospectus supplement.</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engage in "at the market offerings" within the meaning of Rule 415(a)(4) of the Securities Act, to or through a market maker or into an existing trading market on an exchange or otherwise.</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w:t>
      </w:r>
    </w:p>
    <w:p>
      <w:pPr>
        <w:spacing w:after="0" w:line="197"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We may indemnify agents, underwriters, dealers and remarketing firms against certain liabilities, including liabilities under the Securities Act. Agents, underwriters, dealers and remarketing firms, or their affiliates, may be customers of, engage in transactions with or perform services for us or our respective affiliates, in the ordinary course of business.</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authorize agents and underwriters to solicit offers by certain institutions to purchase the securities at the public offering price under delayed delivery contracts.</w:t>
      </w:r>
    </w:p>
    <w:p>
      <w:pPr>
        <w:spacing w:after="0" w:line="199" w:lineRule="exact"/>
        <w:rPr>
          <w:sz w:val="20"/>
          <w:szCs w:val="20"/>
          <w:color w:val="auto"/>
        </w:rPr>
      </w:pPr>
    </w:p>
    <w:p>
      <w:pPr>
        <w:ind w:left="1080" w:right="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delayed delivery contracts will be subject only to the conditions that we describe in the prospectus supplement.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describe in the applicable prospectus supplement the commission that underwriters and agents soliciting purchases of the securities under delayed contracts will be entitled to receive.</w:t>
      </w:r>
    </w:p>
    <w:p>
      <w:pPr>
        <w:spacing w:after="0" w:line="18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Any underwriter, agent or dealer that is a Financial Industry Regulatory Authority member is not permitted to sell securities in an offering to accounts over which it exercises discretionary authority without the prior specific written approval of its customer.</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w:t>
      </w:r>
    </w:p>
    <w:p>
      <w:pPr>
        <w:spacing w:after="0" w:line="139"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sell shares of our common stock under a direct stock purchase and dividend reinvestment plan to be established after the date of this prospectus. The terms of any such plan will be set forth in the applicable prospectus supplement.</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Unless otherwise indicated in the applicable prospectus supplement, the validity of the securities that may be offered hereby will be passed upon for us by Ballard Spahr LLP, Philadelphia, Pennsylvania. If legal matters in connection with the offering made by this prospectus are passed on by counsel for the underwriters, dealers or agents, if any, that counsel will be named in the applicable prospectus supplement.</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consolidated financial statements and schedule of NRG Yield, Inc. as of December 31, 2017 and 2016, and for each of the years in the three-year period ended December 31, 2017, and management's assessment of the effectiveness of internal control over financial reporting as of December 31, 2017 have been incorporated by reference herein and in the prospectus, in reliance upon the reports of KPMG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BY REFERENCE OF CERTAIN INFORMATION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are incorporated by reference herein:</w:t>
      </w:r>
    </w:p>
    <w:p>
      <w:pPr>
        <w:spacing w:after="0" w:line="210"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Our Annual Report on Form 10-K for the year ended December 31, 2017, filed on March 1, 2018.</w:t>
        </w:r>
      </w:hyperlink>
    </w:p>
    <w:p>
      <w:pPr>
        <w:spacing w:after="0" w:line="252" w:lineRule="exact"/>
        <w:rPr>
          <w:rFonts w:ascii="Arial" w:cs="Arial" w:eastAsia="Arial" w:hAnsi="Arial"/>
          <w:sz w:val="18"/>
          <w:szCs w:val="18"/>
          <w:u w:val="single" w:color="auto"/>
          <w:color w:val="0000EE"/>
        </w:rPr>
      </w:pPr>
    </w:p>
    <w:p>
      <w:pPr>
        <w:ind w:left="1080" w:right="960" w:hanging="532"/>
        <w:spacing w:after="0" w:line="268" w:lineRule="auto"/>
        <w:tabs>
          <w:tab w:leader="none" w:pos="1080" w:val="left"/>
        </w:tabs>
        <w:numPr>
          <w:ilvl w:val="0"/>
          <w:numId w:val="38"/>
        </w:numPr>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The information specifically incorporated by reference into our Annual Report on Form 10-K from our definitive proxy statement on</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Schedule 14A, filed on March 15, 2018.</w:t>
        </w:r>
      </w:hyperlink>
    </w:p>
    <w:p>
      <w:pPr>
        <w:spacing w:after="0" w:line="199"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38"/>
        </w:numPr>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Our Quarterly Report on Form 10-Q for the quarterly period ended March 31, 2018, filed on May 3, 2018.</w:t>
        </w:r>
      </w:hyperlink>
    </w:p>
    <w:p>
      <w:pPr>
        <w:spacing w:after="0" w:line="225"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Our Current Reports on Form 8-K filed on </w:t>
      </w:r>
      <w:hyperlink r:id="rId113">
        <w:r>
          <w:rPr>
            <w:rFonts w:ascii="Arial" w:cs="Arial" w:eastAsia="Arial" w:hAnsi="Arial"/>
            <w:sz w:val="16"/>
            <w:szCs w:val="16"/>
            <w:u w:val="single" w:color="auto"/>
            <w:color w:val="0000EE"/>
          </w:rPr>
          <w:t>February 7, 2018</w:t>
        </w:r>
      </w:hyperlink>
      <w:r>
        <w:rPr>
          <w:rFonts w:ascii="Arial" w:cs="Arial" w:eastAsia="Arial" w:hAnsi="Arial"/>
          <w:sz w:val="16"/>
          <w:szCs w:val="16"/>
          <w:color w:val="auto"/>
        </w:rPr>
        <w:t xml:space="preserve">, </w:t>
      </w:r>
      <w:hyperlink r:id="rId114">
        <w:r>
          <w:rPr>
            <w:rFonts w:ascii="Arial" w:cs="Arial" w:eastAsia="Arial" w:hAnsi="Arial"/>
            <w:sz w:val="16"/>
            <w:szCs w:val="16"/>
            <w:u w:val="single" w:color="auto"/>
            <w:color w:val="0000EE"/>
          </w:rPr>
          <w:t>February 12, 2018</w:t>
        </w:r>
      </w:hyperlink>
      <w:r>
        <w:rPr>
          <w:rFonts w:ascii="Arial" w:cs="Arial" w:eastAsia="Arial" w:hAnsi="Arial"/>
          <w:sz w:val="16"/>
          <w:szCs w:val="16"/>
          <w:color w:val="auto"/>
        </w:rPr>
        <w:t xml:space="preserve">, </w:t>
      </w:r>
      <w:hyperlink r:id="rId115">
        <w:r>
          <w:rPr>
            <w:rFonts w:ascii="Arial" w:cs="Arial" w:eastAsia="Arial" w:hAnsi="Arial"/>
            <w:sz w:val="16"/>
            <w:szCs w:val="16"/>
            <w:u w:val="single" w:color="auto"/>
            <w:color w:val="0000EE"/>
          </w:rPr>
          <w:t>March 22, 2018</w:t>
        </w:r>
      </w:hyperlink>
      <w:r>
        <w:rPr>
          <w:rFonts w:ascii="Arial" w:cs="Arial" w:eastAsia="Arial" w:hAnsi="Arial"/>
          <w:sz w:val="16"/>
          <w:szCs w:val="16"/>
          <w:color w:val="auto"/>
        </w:rPr>
        <w:t xml:space="preserve">, </w:t>
      </w:r>
      <w:hyperlink r:id="rId116">
        <w:r>
          <w:rPr>
            <w:rFonts w:ascii="Arial" w:cs="Arial" w:eastAsia="Arial" w:hAnsi="Arial"/>
            <w:sz w:val="16"/>
            <w:szCs w:val="16"/>
            <w:u w:val="single" w:color="auto"/>
            <w:color w:val="0000EE"/>
          </w:rPr>
          <w:t>April 2, 2018</w:t>
        </w:r>
      </w:hyperlink>
      <w:r>
        <w:rPr>
          <w:rFonts w:ascii="Arial" w:cs="Arial" w:eastAsia="Arial" w:hAnsi="Arial"/>
          <w:sz w:val="16"/>
          <w:szCs w:val="16"/>
          <w:color w:val="auto"/>
        </w:rPr>
        <w:t xml:space="preserve">, </w:t>
      </w:r>
      <w:hyperlink r:id="rId117">
        <w:r>
          <w:rPr>
            <w:rFonts w:ascii="Arial" w:cs="Arial" w:eastAsia="Arial" w:hAnsi="Arial"/>
            <w:sz w:val="16"/>
            <w:szCs w:val="16"/>
            <w:u w:val="single" w:color="auto"/>
            <w:color w:val="0000EE"/>
          </w:rPr>
          <w:t>April 5,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118">
        <w:r>
          <w:rPr>
            <w:rFonts w:ascii="Arial" w:cs="Arial" w:eastAsia="Arial" w:hAnsi="Arial"/>
            <w:sz w:val="16"/>
            <w:szCs w:val="16"/>
            <w:u w:val="single" w:color="auto"/>
            <w:color w:val="0000EE"/>
          </w:rPr>
          <w:t>April 27, 2018</w:t>
        </w:r>
      </w:hyperlink>
      <w:r>
        <w:rPr>
          <w:rFonts w:ascii="Arial" w:cs="Arial" w:eastAsia="Arial" w:hAnsi="Arial"/>
          <w:sz w:val="16"/>
          <w:szCs w:val="16"/>
          <w:color w:val="auto"/>
        </w:rPr>
        <w:t>.</w:t>
      </w:r>
    </w:p>
    <w:p>
      <w:pPr>
        <w:spacing w:after="0" w:line="275" w:lineRule="exact"/>
        <w:rPr>
          <w:rFonts w:ascii="Arial" w:cs="Arial" w:eastAsia="Arial" w:hAnsi="Arial"/>
          <w:sz w:val="16"/>
          <w:szCs w:val="16"/>
          <w:color w:val="auto"/>
        </w:rPr>
      </w:pPr>
    </w:p>
    <w:p>
      <w:pPr>
        <w:jc w:val="both"/>
        <w:ind w:left="1080" w:right="140" w:hanging="532"/>
        <w:spacing w:after="0" w:line="259" w:lineRule="auto"/>
        <w:tabs>
          <w:tab w:leader="none" w:pos="1080" w:val="left"/>
        </w:tabs>
        <w:numPr>
          <w:ilvl w:val="0"/>
          <w:numId w:val="39"/>
        </w:numPr>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The description of our Class A common stock and our Class C common stock contained in the Registration Statement on Form 8-A/A filed with</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the SEC on May 8, 2015, to register such securities under the Exchange Act including any amendment or report filed for the purpose of updating</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such description.</w:t>
        </w:r>
      </w:hyperlink>
    </w:p>
    <w:p>
      <w:pPr>
        <w:spacing w:after="0" w:line="194" w:lineRule="exact"/>
        <w:rPr>
          <w:rFonts w:ascii="Arial" w:cs="Arial" w:eastAsia="Arial" w:hAnsi="Arial"/>
          <w:sz w:val="18"/>
          <w:szCs w:val="18"/>
          <w:u w:val="single" w:color="auto"/>
          <w:color w:val="0000EE"/>
        </w:rPr>
      </w:pPr>
    </w:p>
    <w:p>
      <w:pPr>
        <w:ind w:right="760" w:firstLine="351"/>
        <w:spacing w:after="0" w:line="268" w:lineRule="auto"/>
        <w:rPr>
          <w:sz w:val="20"/>
          <w:szCs w:val="20"/>
          <w:color w:val="auto"/>
        </w:rPr>
      </w:pPr>
      <w:r>
        <w:rPr>
          <w:rFonts w:ascii="Arial" w:cs="Arial" w:eastAsia="Arial" w:hAnsi="Arial"/>
          <w:sz w:val="18"/>
          <w:szCs w:val="18"/>
          <w:color w:val="auto"/>
        </w:rPr>
        <w:t>If you make a request for such information in writing or by telephone, we will provide you, without charge, a copy of any or all of the information incorporated by reference into this prospectus. Any such request should be directed to:</w:t>
      </w:r>
    </w:p>
    <w:p>
      <w:pPr>
        <w:spacing w:after="0" w:line="186"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NRG Yield, Inc.</w:t>
      </w:r>
    </w:p>
    <w:p>
      <w:pPr>
        <w:spacing w:after="0" w:line="15"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804 Carnegie Center</w:t>
      </w:r>
    </w:p>
    <w:p>
      <w:pPr>
        <w:spacing w:after="0" w:line="9"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Princeton, NJ 08540</w:t>
      </w:r>
    </w:p>
    <w:p>
      <w:pPr>
        <w:spacing w:after="0" w:line="9" w:lineRule="exact"/>
        <w:rPr>
          <w:rFonts w:ascii="Arial" w:cs="Arial" w:eastAsia="Arial" w:hAnsi="Arial"/>
          <w:sz w:val="18"/>
          <w:szCs w:val="18"/>
          <w:u w:val="single" w:color="auto"/>
          <w:color w:val="0000EE"/>
        </w:rPr>
      </w:pPr>
    </w:p>
    <w:p>
      <w:pPr>
        <w:ind w:left="5580" w:hanging="415"/>
        <w:spacing w:after="0"/>
        <w:tabs>
          <w:tab w:leader="none" w:pos="5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524-4500</w:t>
      </w:r>
    </w:p>
    <w:p>
      <w:pPr>
        <w:spacing w:after="0" w:line="32" w:lineRule="exact"/>
        <w:rPr>
          <w:rFonts w:ascii="Arial" w:cs="Arial" w:eastAsia="Arial" w:hAnsi="Arial"/>
          <w:sz w:val="16"/>
          <w:szCs w:val="16"/>
          <w:color w:val="auto"/>
        </w:rPr>
      </w:pPr>
    </w:p>
    <w:p>
      <w:pPr>
        <w:ind w:left="4640"/>
        <w:spacing w:after="0"/>
        <w:rPr>
          <w:rFonts w:ascii="Arial" w:cs="Arial" w:eastAsia="Arial" w:hAnsi="Arial"/>
          <w:sz w:val="16"/>
          <w:szCs w:val="16"/>
          <w:color w:val="auto"/>
        </w:rPr>
      </w:pPr>
      <w:r>
        <w:rPr>
          <w:rFonts w:ascii="Arial" w:cs="Arial" w:eastAsia="Arial" w:hAnsi="Arial"/>
          <w:sz w:val="18"/>
          <w:szCs w:val="18"/>
          <w:color w:val="auto"/>
        </w:rPr>
        <w:t>Attention: Corporate Secretary</w:t>
      </w:r>
    </w:p>
    <w:p>
      <w:pPr>
        <w:spacing w:after="0" w:line="200" w:lineRule="exact"/>
        <w:rPr>
          <w:rFonts w:ascii="Arial" w:cs="Arial" w:eastAsia="Arial" w:hAnsi="Arial"/>
          <w:sz w:val="18"/>
          <w:szCs w:val="18"/>
          <w:u w:val="single" w:color="auto"/>
          <w:color w:val="0000EE"/>
        </w:rPr>
      </w:pPr>
    </w:p>
    <w:p>
      <w:pPr>
        <w:spacing w:after="0" w:line="229" w:lineRule="exact"/>
        <w:rPr>
          <w:rFonts w:ascii="Arial" w:cs="Arial" w:eastAsia="Arial" w:hAnsi="Arial"/>
          <w:sz w:val="18"/>
          <w:szCs w:val="18"/>
          <w:u w:val="single" w:color="auto"/>
          <w:color w:val="0000EE"/>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rFonts w:ascii="Arial" w:cs="Arial" w:eastAsia="Arial" w:hAnsi="Arial"/>
          <w:sz w:val="18"/>
          <w:szCs w:val="18"/>
          <w:u w:val="single" w:color="auto"/>
          <w:color w:val="0000EE"/>
        </w:rPr>
      </w:pPr>
    </w:p>
    <w:p>
      <w:pPr>
        <w:ind w:right="20" w:firstLine="348"/>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can inspect and copy any materials we file at the Public Reference Room of the SEC, 100 F Street, N.E., Washington, D.C. 20549. Please call the SEC at 1-800-SEC-0330 for further information on the operation of the Public Reference Room. Our SEC filings will also be available to you on the SEC's website at www.sec.gov and through the New York Stock Exchange, 20 Broad Street, New York, New York 10005, on which our Class A common stock and our Class C common stock are listed.</w:t>
      </w:r>
    </w:p>
    <w:p>
      <w:pPr>
        <w:spacing w:after="0" w:line="167" w:lineRule="exact"/>
        <w:rPr>
          <w:rFonts w:ascii="Arial" w:cs="Arial" w:eastAsia="Arial" w:hAnsi="Arial"/>
          <w:sz w:val="18"/>
          <w:szCs w:val="18"/>
          <w:u w:val="single" w:color="auto"/>
          <w:color w:val="0000EE"/>
        </w:rPr>
      </w:pPr>
    </w:p>
    <w:p>
      <w:pPr>
        <w:ind w:firstLine="348"/>
        <w:spacing w:after="0" w:line="323" w:lineRule="auto"/>
        <w:rPr>
          <w:sz w:val="20"/>
          <w:szCs w:val="20"/>
          <w:color w:val="auto"/>
        </w:rPr>
      </w:pPr>
      <w:r>
        <w:rPr>
          <w:rFonts w:ascii="Arial" w:cs="Arial" w:eastAsia="Arial" w:hAnsi="Arial"/>
          <w:sz w:val="15"/>
          <w:szCs w:val="15"/>
          <w:color w:val="auto"/>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p>
    <w:p>
      <w:pPr>
        <w:spacing w:after="0" w:line="152"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5,405,405 Shares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Clearway Energy, Inc.</w:t>
      </w:r>
    </w:p>
    <w:p>
      <w:pPr>
        <w:spacing w:after="0" w:line="260" w:lineRule="exact"/>
        <w:rPr>
          <w:sz w:val="20"/>
          <w:szCs w:val="20"/>
          <w:color w:val="auto"/>
        </w:rPr>
      </w:pPr>
    </w:p>
    <w:p>
      <w:pPr>
        <w:ind w:left="4480"/>
        <w:spacing w:after="0"/>
        <w:rPr>
          <w:sz w:val="20"/>
          <w:szCs w:val="20"/>
          <w:color w:val="auto"/>
        </w:rPr>
      </w:pPr>
      <w:r>
        <w:rPr>
          <w:rFonts w:ascii="Arial" w:cs="Arial" w:eastAsia="Arial" w:hAnsi="Arial"/>
          <w:sz w:val="24"/>
          <w:szCs w:val="24"/>
          <w:b w:val="1"/>
          <w:bCs w:val="1"/>
          <w:color w:val="auto"/>
        </w:rPr>
        <w:t>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554355</wp:posOffset>
            </wp:positionV>
            <wp:extent cx="3550285" cy="780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355028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155575</wp:posOffset>
            </wp:positionV>
            <wp:extent cx="18954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0"/>
        <w:spacing w:after="0"/>
        <w:rPr>
          <w:sz w:val="20"/>
          <w:szCs w:val="20"/>
          <w:color w:val="auto"/>
        </w:rPr>
      </w:pPr>
      <w:r>
        <w:rPr>
          <w:rFonts w:ascii="Arial" w:cs="Arial" w:eastAsia="Arial" w:hAnsi="Arial"/>
          <w:sz w:val="31"/>
          <w:szCs w:val="31"/>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168275</wp:posOffset>
            </wp:positionV>
            <wp:extent cx="18954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631825</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801370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Roman"/>
      <w:start w:val="3"/>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lowerRoman"/>
      <w:start w:val="2"/>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2"/>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lvl w:ilvl="1">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609"/>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lowerRoman"/>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60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jpe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12"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jpe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68" Type="http://schemas.openxmlformats.org/officeDocument/2006/relationships/hyperlink" Target="http://www.sec.gov/Archives/edgar/data/1567683/000156768319000018/clearwayenergyinc201810-ka.htm" TargetMode="External"/><Relationship Id="rId69" Type="http://schemas.openxmlformats.org/officeDocument/2006/relationships/hyperlink" Target="http://www.sec.gov/Archives/edgar/data/1567683/000156768319000025/clearwayincq1201910-q.htm" TargetMode="External"/><Relationship Id="rId70" Type="http://schemas.openxmlformats.org/officeDocument/2006/relationships/hyperlink" Target="http://www.sec.gov/Archives/edgar/data/1567683/000156768319000039/0001567683-19-000039-index.htm" TargetMode="External"/><Relationship Id="rId71" Type="http://schemas.openxmlformats.org/officeDocument/2006/relationships/hyperlink" Target="http://www.sec.gov/Archives/edgar/data/1567683/000143774919021786/0001437749-19-021786-index.htm" TargetMode="External"/><Relationship Id="rId72" Type="http://schemas.openxmlformats.org/officeDocument/2006/relationships/hyperlink" Target="http://www.sec.gov/Archives/edgar/data/1567683/000156768319000003/cwen8-kxchlebowskiretireme.htm" TargetMode="External"/><Relationship Id="rId73" Type="http://schemas.openxmlformats.org/officeDocument/2006/relationships/hyperlink" Target="http://www.sec.gov/Archives/edgar/data/1567683/000156768319000005/cwen8-kxonealacappointment.htm" TargetMode="External"/><Relationship Id="rId74" Type="http://schemas.openxmlformats.org/officeDocument/2006/relationships/hyperlink" Target="http://www.sec.gov/Archives/edgar/data/1567683/000110465919008742/a19-4739_18k.htm" TargetMode="External"/><Relationship Id="rId75" Type="http://schemas.openxmlformats.org/officeDocument/2006/relationships/hyperlink" Target="http://www.sec.gov/Archives/edgar/data/1567683/000156768319000007/cwen8-kxdanielmoreappointm.htm" TargetMode="External"/><Relationship Id="rId76" Type="http://schemas.openxmlformats.org/officeDocument/2006/relationships/hyperlink" Target="http://www.sec.gov/Archives/edgar/data/1567683/000110465919026513/a19-9304_18k.htm" TargetMode="External"/><Relationship Id="rId77" Type="http://schemas.openxmlformats.org/officeDocument/2006/relationships/hyperlink" Target="http://www.sec.gov/Archives/edgar/data/1567683/000156768319000027/cwen8-kxxrepoweringx61719.htm" TargetMode="External"/><Relationship Id="rId78" Type="http://schemas.openxmlformats.org/officeDocument/2006/relationships/hyperlink" Target="http://www.sec.gov/Archives/edgar/data/1567683/000156768319000030/cwen8-kxxcvsrx61919.htm" TargetMode="External"/><Relationship Id="rId79" Type="http://schemas.openxmlformats.org/officeDocument/2006/relationships/hyperlink" Target="http://www.sec.gov/Archives/edgar/data/1567683/000141057819001211/0001410578-19-001211-index.htm" TargetMode="External"/><Relationship Id="rId80" Type="http://schemas.openxmlformats.org/officeDocument/2006/relationships/hyperlink" Target="http://www.sec.gov/Archives/edgar/data/1567683/000110465919066637/0001104659-19-066637-index.htm" TargetMode="External"/><Relationship Id="rId81" Type="http://schemas.openxmlformats.org/officeDocument/2006/relationships/hyperlink" Target="http://www.sec.gov/Archives/edgar/data/1567683/000104746919001404/a2237986zdef14a.htm" TargetMode="External"/><Relationship Id="rId109" Type="http://schemas.openxmlformats.org/officeDocument/2006/relationships/hyperlink" Target="http://www.sec.gov/Archives/edgar/data/1567683/000156768318000008/yieldinc201710-k.htm" TargetMode="External"/><Relationship Id="rId110" Type="http://schemas.openxmlformats.org/officeDocument/2006/relationships/hyperlink" Target="http://www.sec.gov/Archives/edgar/data/1567683/000104746918001698/a2234778zdef14a.htm" TargetMode="External"/><Relationship Id="rId111" Type="http://schemas.openxmlformats.org/officeDocument/2006/relationships/hyperlink" Target="http://www.sec.gov/Archives/edgar/data/1567683/000156768318000021/yieldincq1201810-q.htm" TargetMode="External"/><Relationship Id="rId113" Type="http://schemas.openxmlformats.org/officeDocument/2006/relationships/hyperlink" Target="http://www.sec.gov/Archives/edgar/data/1567683/000110465918007001/a18-5561_18k.htm" TargetMode="External"/><Relationship Id="rId114" Type="http://schemas.openxmlformats.org/officeDocument/2006/relationships/hyperlink" Target="http://www.sec.gov/Archives/edgar/data/1567683/000110465918008195/a18-5849_18k.htm" TargetMode="External"/><Relationship Id="rId115" Type="http://schemas.openxmlformats.org/officeDocument/2006/relationships/hyperlink" Target="http://www.sec.gov/Archives/edgar/data/1567683/000110465918019588/a18-8895_18k.htm" TargetMode="External"/><Relationship Id="rId116" Type="http://schemas.openxmlformats.org/officeDocument/2006/relationships/hyperlink" Target="http://www.sec.gov/Archives/edgar/data/1567683/000156768318000010/yieldinc8-k4218.htm" TargetMode="External"/><Relationship Id="rId117" Type="http://schemas.openxmlformats.org/officeDocument/2006/relationships/hyperlink" Target="http://www.sec.gov/Archives/edgar/data/1567683/000156768318000012/nyld8-k4518.htm" TargetMode="External"/><Relationship Id="rId118" Type="http://schemas.openxmlformats.org/officeDocument/2006/relationships/hyperlink" Target="http://www.sec.gov/Archives/edgar/data/1567683/000156768318000014/nyld2018annualmeeting8-k.htm" TargetMode="External"/><Relationship Id="rId119" Type="http://schemas.openxmlformats.org/officeDocument/2006/relationships/hyperlink" Target="http://www.sec.gov/Archives/edgar/data/1567683/000110465915036311/a15-11016_18a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2019-12-03T05:44:14Z</dcterms:created>
  <dcterms:modified xsi:type="dcterms:W3CDTF">2019-12-03T05:44:14Z</dcterms:modified>
</cp:coreProperties>
</file>