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574040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540385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63" w:lineRule="exact"/>
        <w:rPr>
          <w:sz w:val="24"/>
          <w:szCs w:val="24"/>
          <w:color w:val="auto"/>
        </w:rPr>
      </w:pPr>
    </w:p>
    <w:p>
      <w:pPr>
        <w:ind w:left="620" w:hanging="355"/>
        <w:spacing w:after="0"/>
        <w:tabs>
          <w:tab w:leader="none" w:pos="62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p>
      <w:pPr>
        <w:spacing w:after="0" w:line="30" w:lineRule="exact"/>
        <w:rPr>
          <w:sz w:val="24"/>
          <w:szCs w:val="24"/>
          <w:color w:val="auto"/>
        </w:rPr>
      </w:pPr>
    </w:p>
    <w:p>
      <w:pPr>
        <w:ind w:left="780" w:hanging="335"/>
        <w:spacing w:after="0"/>
        <w:tabs>
          <w:tab w:leader="none" w:pos="7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333-203369</w:t>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Clearway Energy LLC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1136" w:right="319" w:bottom="1440" w:gutter="0" w:footer="0" w:header="0"/>
        </w:sectPr>
      </w:pPr>
    </w:p>
    <w:p>
      <w:pPr>
        <w:spacing w:after="0" w:line="23" w:lineRule="exact"/>
        <w:rPr>
          <w:sz w:val="24"/>
          <w:szCs w:val="24"/>
          <w:color w:val="auto"/>
        </w:rPr>
      </w:pPr>
    </w:p>
    <w:p>
      <w:pPr>
        <w:jc w:val="center"/>
        <w:ind w:right="418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5" w:lineRule="exact"/>
        <w:rPr>
          <w:sz w:val="24"/>
          <w:szCs w:val="24"/>
          <w:color w:val="auto"/>
        </w:rPr>
      </w:pPr>
    </w:p>
    <w:p>
      <w:pPr>
        <w:jc w:val="center"/>
        <w:ind w:right="4180"/>
        <w:spacing w:after="0"/>
        <w:rPr>
          <w:sz w:val="20"/>
          <w:szCs w:val="20"/>
          <w:color w:val="auto"/>
        </w:rPr>
      </w:pPr>
      <w:r>
        <w:rPr>
          <w:rFonts w:ascii="Times New Roman" w:cs="Times New Roman" w:eastAsia="Times New Roman" w:hAnsi="Times New Roman"/>
          <w:sz w:val="14"/>
          <w:szCs w:val="14"/>
          <w:color w:val="auto"/>
        </w:rPr>
        <w:t>(State or other jurisdiction</w:t>
      </w:r>
    </w:p>
    <w:p>
      <w:pPr>
        <w:jc w:val="center"/>
        <w:ind w:right="4180"/>
        <w:spacing w:after="0"/>
        <w:rPr>
          <w:sz w:val="20"/>
          <w:szCs w:val="20"/>
          <w:color w:val="auto"/>
        </w:rPr>
      </w:pPr>
      <w:r>
        <w:rPr>
          <w:rFonts w:ascii="Times New Roman" w:cs="Times New Roman" w:eastAsia="Times New Roman" w:hAnsi="Times New Roman"/>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32-0407370</w:t>
      </w:r>
    </w:p>
    <w:p>
      <w:pPr>
        <w:spacing w:after="0" w:line="25"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4"/>
          <w:szCs w:val="14"/>
          <w:color w:val="auto"/>
        </w:rPr>
        <w:t>(I.R.S. Employer</w:t>
      </w:r>
    </w:p>
    <w:p>
      <w:pPr>
        <w:jc w:val="center"/>
        <w:ind w:right="1580"/>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55" w:lineRule="exact"/>
        <w:rPr>
          <w:sz w:val="24"/>
          <w:szCs w:val="24"/>
          <w:color w:val="auto"/>
        </w:rPr>
      </w:pPr>
    </w:p>
    <w:p>
      <w:pPr>
        <w:sectPr>
          <w:pgSz w:w="11900" w:h="16838" w:orient="portrait"/>
          <w:cols w:equalWidth="0" w:num="2">
            <w:col w:w="7940" w:space="720"/>
            <w:col w:w="2620"/>
          </w:cols>
          <w:pgMar w:left="300" w:top="1136" w:right="319" w:bottom="1440" w:gutter="0" w:footer="0" w:header="0"/>
          <w:type w:val="continuous"/>
        </w:sectPr>
      </w:pPr>
    </w:p>
    <w:p>
      <w:pPr>
        <w:ind w:left="940"/>
        <w:spacing w:after="0"/>
        <w:tabs>
          <w:tab w:leader="none" w:pos="4260" w:val="left"/>
        </w:tabs>
        <w:rPr>
          <w:sz w:val="20"/>
          <w:szCs w:val="20"/>
          <w:color w:val="auto"/>
        </w:rPr>
      </w:pPr>
      <w:r>
        <w:rPr>
          <w:rFonts w:ascii="Times New Roman" w:cs="Times New Roman" w:eastAsia="Times New Roman" w:hAnsi="Times New Roman"/>
          <w:sz w:val="14"/>
          <w:szCs w:val="14"/>
          <w:b w:val="1"/>
          <w:bCs w:val="1"/>
          <w:color w:val="auto"/>
        </w:rPr>
        <w:t>300 Carnegie Center, Suite 300</w:t>
      </w:r>
      <w:r>
        <w:rPr>
          <w:sz w:val="20"/>
          <w:szCs w:val="20"/>
          <w:color w:val="auto"/>
        </w:rPr>
        <w:tab/>
      </w:r>
      <w:r>
        <w:rPr>
          <w:rFonts w:ascii="Times New Roman" w:cs="Times New Roman" w:eastAsia="Times New Roman" w:hAnsi="Times New Roman"/>
          <w:sz w:val="14"/>
          <w:szCs w:val="14"/>
          <w:b w:val="1"/>
          <w:bCs w:val="1"/>
          <w:color w:val="auto"/>
        </w:rPr>
        <w:t>Princeton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08540</w:t>
      </w:r>
    </w:p>
    <w:p>
      <w:pPr>
        <w:spacing w:after="0" w:line="25" w:lineRule="exact"/>
        <w:rPr>
          <w:sz w:val="24"/>
          <w:szCs w:val="24"/>
          <w:color w:val="auto"/>
        </w:rPr>
      </w:pPr>
    </w:p>
    <w:p>
      <w:pPr>
        <w:sectPr>
          <w:pgSz w:w="11900" w:h="16838" w:orient="portrait"/>
          <w:cols w:equalWidth="0" w:num="3">
            <w:col w:w="5240" w:space="720"/>
            <w:col w:w="2320" w:space="720"/>
            <w:col w:w="2280"/>
          </w:cols>
          <w:pgMar w:left="300" w:top="1136" w:right="319" w:bottom="1440" w:gutter="0" w:footer="0" w:header="0"/>
          <w:type w:val="continuous"/>
        </w:sectPr>
      </w:pPr>
    </w:p>
    <w:p>
      <w:pPr>
        <w:ind w:left="24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8160" w:space="720"/>
            <w:col w:w="2400"/>
          </w:cols>
          <w:pgMar w:left="300" w:top="1136" w:right="31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(609) 608-1525</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80"/>
          </w:cols>
          <w:pgMar w:left="300" w:top="1136" w:right="319" w:bottom="1440" w:gutter="0" w:footer="0" w:header="0"/>
          <w:type w:val="continuous"/>
        </w:sectPr>
      </w:pP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8" w:lineRule="exact"/>
        <w:rPr>
          <w:sz w:val="24"/>
          <w:szCs w:val="24"/>
          <w:color w:val="auto"/>
        </w:rPr>
      </w:pPr>
    </w:p>
    <w:p>
      <w:pPr>
        <w:ind w:firstLine="223"/>
        <w:spacing w:after="0" w:line="266"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o</w:t>
      </w:r>
    </w:p>
    <w:p>
      <w:pPr>
        <w:spacing w:after="0" w:line="61" w:lineRule="exact"/>
        <w:rPr>
          <w:sz w:val="24"/>
          <w:szCs w:val="24"/>
          <w:color w:val="auto"/>
        </w:rPr>
      </w:pPr>
    </w:p>
    <w:p>
      <w:pPr>
        <w:ind w:firstLine="223"/>
        <w:spacing w:after="0" w:line="266"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cs="Times New Roman" w:eastAsia="Times New Roman" w:hAnsi="Times New Roman"/>
          <w:sz w:val="13"/>
          <w:szCs w:val="13"/>
          <w:b w:val="1"/>
          <w:bCs w:val="1"/>
          <w:color w:val="auto"/>
        </w:rPr>
        <w:t>Yes</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No</w:t>
      </w: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o</w:t>
      </w:r>
    </w:p>
    <w:p>
      <w:pPr>
        <w:spacing w:after="0" w:line="61" w:lineRule="exact"/>
        <w:rPr>
          <w:sz w:val="24"/>
          <w:szCs w:val="24"/>
          <w:color w:val="auto"/>
        </w:rPr>
      </w:pPr>
    </w:p>
    <w:p>
      <w:pPr>
        <w:ind w:firstLine="223"/>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1300" w:type="dxa"/>
        <w:tblCellMar>
          <w:top w:w="0" w:type="dxa"/>
          <w:left w:w="0" w:type="dxa"/>
          <w:bottom w:w="0" w:type="dxa"/>
          <w:right w:w="0" w:type="dxa"/>
        </w:tblCellMar>
      </w:tblP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Accelerated filer</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620" w:type="dxa"/>
            <w:vAlign w:val="bottom"/>
          </w:tcPr>
          <w:p>
            <w:pPr>
              <w:ind w:left="86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2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12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100" w:type="dxa"/>
            <w:vAlign w:val="bottom"/>
          </w:tcPr>
          <w:p>
            <w:pPr>
              <w:ind w:left="9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8" w:lineRule="exact"/>
        <w:rPr>
          <w:sz w:val="24"/>
          <w:szCs w:val="24"/>
          <w:color w:val="auto"/>
        </w:rPr>
      </w:pPr>
    </w:p>
    <w:p>
      <w:pPr>
        <w:ind w:firstLine="255"/>
        <w:spacing w:after="0" w:line="283" w:lineRule="auto"/>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3"/>
          <w:szCs w:val="13"/>
          <w:color w:val="auto"/>
        </w:rPr>
        <w:t>o</w:t>
      </w:r>
    </w:p>
    <w:p>
      <w:pPr>
        <w:spacing w:after="0" w:line="39" w:lineRule="exact"/>
        <w:rPr>
          <w:sz w:val="24"/>
          <w:szCs w:val="24"/>
          <w:color w:val="auto"/>
        </w:rPr>
      </w:pPr>
    </w:p>
    <w:p>
      <w:pPr>
        <w:jc w:val="right"/>
        <w:ind w:left="220" w:right="5220"/>
        <w:spacing w:after="0" w:line="22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w:t>
      </w:r>
      <w:r>
        <w:rPr>
          <w:rFonts w:ascii="Times New Roman" w:cs="Times New Roman" w:eastAsia="Times New Roman" w:hAnsi="Times New Roman"/>
          <w:sz w:val="13"/>
          <w:szCs w:val="13"/>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3"/>
          <w:szCs w:val="13"/>
          <w:b w:val="1"/>
          <w:bCs w:val="1"/>
          <w:color w:val="auto"/>
        </w:rPr>
        <w:t xml:space="preserve">  No </w:t>
      </w:r>
      <w:r>
        <w:rPr>
          <w:rFonts w:ascii="Arial" w:cs="Arial" w:eastAsia="Arial" w:hAnsi="Arial"/>
          <w:sz w:val="13"/>
          <w:szCs w:val="13"/>
          <w:color w:val="auto"/>
        </w:rPr>
        <w:t>x</w:t>
      </w:r>
    </w:p>
    <w:p>
      <w:pPr>
        <w:spacing w:after="0" w:line="59" w:lineRule="exact"/>
        <w:rPr>
          <w:sz w:val="24"/>
          <w:szCs w:val="24"/>
          <w:color w:val="auto"/>
        </w:rPr>
      </w:pPr>
    </w:p>
    <w:p>
      <w:pPr>
        <w:ind w:firstLine="223"/>
        <w:spacing w:after="0" w:line="264" w:lineRule="auto"/>
        <w:rPr>
          <w:sz w:val="20"/>
          <w:szCs w:val="20"/>
          <w:color w:val="auto"/>
        </w:rPr>
      </w:pPr>
      <w:r>
        <w:rPr>
          <w:rFonts w:ascii="Times New Roman" w:cs="Times New Roman" w:eastAsia="Times New Roman" w:hAnsi="Times New Roman"/>
          <w:sz w:val="13"/>
          <w:szCs w:val="13"/>
          <w:color w:val="auto"/>
        </w:rPr>
        <w:t>As of April 29, 2022, there were 34,599,645 Class A units outstanding, 42,738,750 Class B units outstanding, 81,766,240 Class C units outstanding, and 42,586,750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681355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74295</wp:posOffset>
            </wp:positionV>
            <wp:extent cx="714819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53975</wp:posOffset>
            </wp:positionV>
            <wp:extent cx="71481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6985"/>
                    </a:xfrm>
                    <a:prstGeom prst="rect">
                      <a:avLst/>
                    </a:prstGeom>
                    <a:noFill/>
                  </pic:spPr>
                </pic:pic>
              </a:graphicData>
            </a:graphic>
          </wp:anchor>
        </w:drawing>
      </w:r>
    </w:p>
    <w:p>
      <w:pPr>
        <w:sectPr>
          <w:pgSz w:w="11900" w:h="16838" w:orient="portrait"/>
          <w:cols w:equalWidth="0" w:num="1">
            <w:col w:w="11280"/>
          </w:cols>
          <w:pgMar w:left="300" w:top="1136" w:right="3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FF"/>
              </w:rPr>
              <w:t>CAUTIONARY STATEMENT REGARDING FORWARD LOOKING INFORMATION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w:t>
            </w:r>
          </w:p>
        </w:tc>
      </w:tr>
      <w:tr>
        <w:trPr>
          <w:trHeight w:val="160"/>
        </w:trPr>
        <w:tc>
          <w:tcPr>
            <w:tcW w:w="15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b w:val="1"/>
                <w:bCs w:val="1"/>
                <w:color w:val="0000FF"/>
              </w:rPr>
              <w:t>GLOSSARY OF TERMS</w:t>
            </w:r>
          </w:p>
        </w:tc>
        <w:tc>
          <w:tcPr>
            <w:tcW w:w="3800" w:type="dxa"/>
            <w:vAlign w:val="bottom"/>
            <w:tcBorders>
              <w:top w:val="single" w:sz="8" w:color="0000FF"/>
            </w:tcBorders>
            <w:gridSpan w:val="9"/>
          </w:tcPr>
          <w:p>
            <w:pPr>
              <w:spacing w:after="0"/>
              <w:rPr>
                <w:sz w:val="13"/>
                <w:szCs w:val="13"/>
                <w:color w:val="auto"/>
              </w:rPr>
            </w:pPr>
          </w:p>
        </w:tc>
        <w:tc>
          <w:tcPr>
            <w:tcW w:w="2480" w:type="dxa"/>
            <w:vAlign w:val="bottom"/>
            <w:gridSpan w:val="2"/>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4</w:t>
            </w:r>
          </w:p>
        </w:tc>
      </w:tr>
      <w:tr>
        <w:trPr>
          <w:trHeight w:val="160"/>
        </w:trPr>
        <w:tc>
          <w:tcPr>
            <w:tcW w:w="784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FF"/>
              </w:rPr>
              <w:t>PART I — FINANCIAL INFORMATION</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20"/>
        </w:trPr>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32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9"/>
              </w:rPr>
              <w:t>ITEM 1 — FINANCIAL STATEMENTS AND NOTES</w:t>
            </w:r>
          </w:p>
        </w:tc>
        <w:tc>
          <w:tcPr>
            <w:tcW w:w="4480" w:type="dxa"/>
            <w:vAlign w:val="bottom"/>
            <w:gridSpan w:val="3"/>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4"/>
                <w:szCs w:val="14"/>
                <w:color w:val="0000FF"/>
                <w:w w:val="85"/>
              </w:rPr>
              <w:t>6</w:t>
            </w:r>
          </w:p>
        </w:tc>
      </w:tr>
      <w:tr>
        <w:trPr>
          <w:trHeight w:val="160"/>
        </w:trPr>
        <w:tc>
          <w:tcPr>
            <w:tcW w:w="160" w:type="dxa"/>
            <w:vAlign w:val="bottom"/>
          </w:tcPr>
          <w:p>
            <w:pPr>
              <w:spacing w:after="0"/>
              <w:rPr>
                <w:sz w:val="13"/>
                <w:szCs w:val="13"/>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2 — MANAGEMENT’S DISCUSSION AND ANALYSIS OF FINANCIAL CONDITION AND RESULTS OF OPERATIONS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31</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40" w:type="dxa"/>
            <w:vAlign w:val="bottom"/>
            <w:tcBorders>
              <w:left w:val="single" w:sz="8" w:color="0000FF"/>
            </w:tcBorders>
            <w:shd w:val="clear" w:color="auto" w:fill="0000FF"/>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544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w w:val="98"/>
              </w:rPr>
              <w:t>ITEM 3 — QUANTITATIVE AND QUALITATIVE DISCLOSURES ABOUT MARKET RISK</w:t>
            </w:r>
          </w:p>
        </w:tc>
        <w:tc>
          <w:tcPr>
            <w:tcW w:w="224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45</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40" w:type="dxa"/>
            <w:vAlign w:val="bottom"/>
            <w:tcBorders>
              <w:left w:val="single" w:sz="8" w:color="0000FF"/>
            </w:tcBorders>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272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ITEM 4 — CONTROLS AND PROCEDURES</w:t>
            </w:r>
          </w:p>
        </w:tc>
        <w:tc>
          <w:tcPr>
            <w:tcW w:w="2720" w:type="dxa"/>
            <w:vAlign w:val="bottom"/>
            <w:gridSpan w:val="4"/>
          </w:tcPr>
          <w:p>
            <w:pPr>
              <w:spacing w:after="0"/>
              <w:rPr>
                <w:sz w:val="13"/>
                <w:szCs w:val="13"/>
                <w:color w:val="auto"/>
              </w:rPr>
            </w:pPr>
          </w:p>
        </w:tc>
        <w:tc>
          <w:tcPr>
            <w:tcW w:w="224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46</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232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0000FF"/>
                <w:w w:val="98"/>
              </w:rPr>
              <w:t>PART II — OTHER INFORMATION</w:t>
            </w:r>
          </w:p>
        </w:tc>
        <w:tc>
          <w:tcPr>
            <w:tcW w:w="5520" w:type="dxa"/>
            <w:vAlign w:val="bottom"/>
            <w:gridSpan w:val="8"/>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1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ITEM 1 — LEGAL PROCEEDINGS</w:t>
            </w:r>
          </w:p>
        </w:tc>
        <w:tc>
          <w:tcPr>
            <w:tcW w:w="5520" w:type="dxa"/>
            <w:vAlign w:val="bottom"/>
            <w:gridSpan w:val="8"/>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1760" w:type="dxa"/>
            <w:vAlign w:val="bottom"/>
            <w:gridSpan w:val="5"/>
          </w:tcPr>
          <w:p>
            <w:pPr>
              <w:spacing w:after="0"/>
              <w:rPr>
                <w:sz w:val="20"/>
                <w:szCs w:val="20"/>
                <w:color w:val="auto"/>
              </w:rPr>
            </w:pPr>
            <w:r>
              <w:rPr>
                <w:rFonts w:ascii="Times New Roman" w:cs="Times New Roman" w:eastAsia="Times New Roman" w:hAnsi="Times New Roman"/>
                <w:sz w:val="14"/>
                <w:szCs w:val="14"/>
                <w:color w:val="0000FF"/>
                <w:w w:val="99"/>
              </w:rPr>
              <w:t>ITEM 1A — RISK FACTORS</w:t>
            </w:r>
          </w:p>
        </w:tc>
        <w:tc>
          <w:tcPr>
            <w:tcW w:w="380" w:type="dxa"/>
            <w:vAlign w:val="bottom"/>
          </w:tcPr>
          <w:p>
            <w:pPr>
              <w:spacing w:after="0"/>
              <w:rPr>
                <w:sz w:val="13"/>
                <w:szCs w:val="13"/>
                <w:color w:val="auto"/>
              </w:rPr>
            </w:pPr>
          </w:p>
        </w:tc>
        <w:tc>
          <w:tcPr>
            <w:tcW w:w="5540" w:type="dxa"/>
            <w:vAlign w:val="bottom"/>
            <w:gridSpan w:val="9"/>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ITEM 2 — UNREGISTERED SALES OF EQUITY SECURITIES AND USE OF PROCEEDS</w:t>
            </w: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260" w:type="dxa"/>
            <w:vAlign w:val="bottom"/>
            <w:gridSpan w:val="3"/>
            <w:shd w:val="clear" w:color="auto" w:fill="0000FF"/>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3</w:t>
            </w:r>
          </w:p>
        </w:tc>
        <w:tc>
          <w:tcPr>
            <w:tcW w:w="27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0000FF"/>
                <w:w w:val="99"/>
              </w:rPr>
              <w:t>— DEFAULTS UPON SENIOR SECURITIES</w:t>
            </w:r>
          </w:p>
        </w:tc>
        <w:tc>
          <w:tcPr>
            <w:tcW w:w="2260" w:type="dxa"/>
            <w:vAlign w:val="bottom"/>
            <w:gridSpan w:val="3"/>
          </w:tcPr>
          <w:p>
            <w:pPr>
              <w:spacing w:after="0"/>
              <w:rPr>
                <w:sz w:val="13"/>
                <w:szCs w:val="13"/>
                <w:color w:val="auto"/>
              </w:rPr>
            </w:pPr>
          </w:p>
        </w:tc>
        <w:tc>
          <w:tcPr>
            <w:tcW w:w="2240" w:type="dxa"/>
            <w:vAlign w:val="bottom"/>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500" w:type="dxa"/>
            <w:vAlign w:val="bottom"/>
            <w:gridSpan w:val="4"/>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4</w:t>
            </w:r>
          </w:p>
        </w:tc>
        <w:tc>
          <w:tcPr>
            <w:tcW w:w="2700" w:type="dxa"/>
            <w:vAlign w:val="bottom"/>
            <w:gridSpan w:val="10"/>
          </w:tcPr>
          <w:p>
            <w:pPr>
              <w:ind w:left="20"/>
              <w:spacing w:after="0"/>
              <w:rPr>
                <w:sz w:val="20"/>
                <w:szCs w:val="20"/>
                <w:color w:val="auto"/>
              </w:rPr>
            </w:pPr>
            <w:r>
              <w:rPr>
                <w:rFonts w:ascii="Times New Roman" w:cs="Times New Roman" w:eastAsia="Times New Roman" w:hAnsi="Times New Roman"/>
                <w:sz w:val="14"/>
                <w:szCs w:val="14"/>
                <w:color w:val="0000FF"/>
              </w:rPr>
              <w:t>— MINE SAFETY DISCLOSURES</w:t>
            </w:r>
          </w:p>
        </w:tc>
        <w:tc>
          <w:tcPr>
            <w:tcW w:w="4500" w:type="dxa"/>
            <w:vAlign w:val="bottom"/>
            <w:gridSpan w:val="4"/>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5</w:t>
            </w:r>
          </w:p>
        </w:tc>
        <w:tc>
          <w:tcPr>
            <w:tcW w:w="168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0000FF"/>
                <w:w w:val="97"/>
              </w:rPr>
              <w:t>— OTHER INFORMATION</w:t>
            </w:r>
          </w:p>
        </w:tc>
        <w:tc>
          <w:tcPr>
            <w:tcW w:w="420" w:type="dxa"/>
            <w:vAlign w:val="bottom"/>
            <w:gridSpan w:val="2"/>
          </w:tcPr>
          <w:p>
            <w:pPr>
              <w:spacing w:after="0"/>
              <w:rPr>
                <w:sz w:val="13"/>
                <w:szCs w:val="13"/>
                <w:color w:val="auto"/>
              </w:rPr>
            </w:pPr>
          </w:p>
        </w:tc>
        <w:tc>
          <w:tcPr>
            <w:tcW w:w="5100" w:type="dxa"/>
            <w:vAlign w:val="bottom"/>
            <w:gridSpan w:val="6"/>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47</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5520" w:type="dxa"/>
            <w:vAlign w:val="bottom"/>
            <w:gridSpan w:val="8"/>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0000FF"/>
              </w:rPr>
              <w:t>ITEM 6</w:t>
            </w: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0000FF"/>
                <w:w w:val="98"/>
              </w:rPr>
              <w:t>— EXHIBITS</w:t>
            </w:r>
          </w:p>
        </w:tc>
        <w:tc>
          <w:tcPr>
            <w:tcW w:w="840" w:type="dxa"/>
            <w:vAlign w:val="bottom"/>
            <w:gridSpan w:val="4"/>
          </w:tcPr>
          <w:p>
            <w:pPr>
              <w:spacing w:after="0"/>
              <w:rPr>
                <w:sz w:val="13"/>
                <w:szCs w:val="13"/>
                <w:color w:val="auto"/>
              </w:rPr>
            </w:pPr>
          </w:p>
        </w:tc>
        <w:tc>
          <w:tcPr>
            <w:tcW w:w="5520" w:type="dxa"/>
            <w:vAlign w:val="bottom"/>
            <w:gridSpan w:val="8"/>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48</w:t>
            </w:r>
          </w:p>
        </w:tc>
      </w:tr>
      <w:tr>
        <w:trPr>
          <w:trHeight w:val="20"/>
        </w:trPr>
        <w:tc>
          <w:tcPr>
            <w:tcW w:w="160" w:type="dxa"/>
            <w:vAlign w:val="bottom"/>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360" w:type="dxa"/>
            <w:vAlign w:val="bottom"/>
            <w:gridSpan w:val="12"/>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60"/>
        </w:trPr>
        <w:tc>
          <w:tcPr>
            <w:tcW w:w="16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w w:val="98"/>
              </w:rPr>
              <w:t>SIGNATURES</w:t>
            </w:r>
          </w:p>
        </w:tc>
        <w:tc>
          <w:tcPr>
            <w:tcW w:w="400" w:type="dxa"/>
            <w:vAlign w:val="bottom"/>
          </w:tcPr>
          <w:p>
            <w:pPr>
              <w:spacing w:after="0"/>
              <w:rPr>
                <w:sz w:val="13"/>
                <w:szCs w:val="13"/>
                <w:color w:val="auto"/>
              </w:rPr>
            </w:pPr>
          </w:p>
        </w:tc>
        <w:tc>
          <w:tcPr>
            <w:tcW w:w="6360" w:type="dxa"/>
            <w:vAlign w:val="bottom"/>
            <w:gridSpan w:val="12"/>
          </w:tcPr>
          <w:p>
            <w:pPr>
              <w:spacing w:after="0"/>
              <w:rPr>
                <w:sz w:val="13"/>
                <w:szCs w:val="13"/>
                <w:color w:val="auto"/>
              </w:rPr>
            </w:pPr>
          </w:p>
        </w:tc>
        <w:tc>
          <w:tcPr>
            <w:tcW w:w="3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0000FF"/>
              </w:rPr>
              <w:t>49</w:t>
            </w:r>
          </w:p>
        </w:tc>
      </w:tr>
      <w:tr>
        <w:trPr>
          <w:trHeight w:val="20"/>
        </w:trPr>
        <w:tc>
          <w:tcPr>
            <w:tcW w:w="16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3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CAUTIONARY STATEMENT REGARDING FORWARD-LOOKING INFORMATION</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Part I of the Company's Annual Report on Form 10-K for the year ended December 31, 2021, as well as the following:</w:t>
      </w:r>
    </w:p>
    <w:p>
      <w:pPr>
        <w:spacing w:after="0" w:line="19"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maintain and grow its quarterly distributions;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COVID-19 (including any variant of the virus) or any other pandemic;</w:t>
      </w:r>
    </w:p>
    <w:p>
      <w:pPr>
        <w:spacing w:after="0" w:line="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risks related to the Company's relationships with GIP and CEG;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successfully identify, evaluate and consummate acquisitions from, and dispositions to, third parties;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acquire assets from GIP or CEG;</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raise additional capital due to its indebtedness, corporate structure, market conditions or otherwise;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 including judicial decisions;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3"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and ability of counterparties to the Company's offtake agreements to fulfill their obligations under such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enter into contracts to sell power and procure fuel on acceptable terms and prices as current offtake agreements expire;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Government regulation, including compliance with regulatory requirements and changes in market rules, rates, tariffs and environmental laws;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ind w:left="520" w:hanging="260"/>
        <w:spacing w:after="0" w:line="284"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 and</w:t>
      </w: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ability to borrow additional funds and access capital markets, as well as the Company's substantial indebtedness and the possibility that the Company may incur additional indebtedness going forward.</w:t>
      </w:r>
    </w:p>
    <w:p>
      <w:pPr>
        <w:spacing w:after="0" w:line="8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82"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2400" w:type="dxa"/>
            <w:vAlign w:val="bottom"/>
          </w:tcPr>
          <w:p>
            <w:pPr>
              <w:spacing w:after="0"/>
              <w:rPr>
                <w:sz w:val="16"/>
                <w:szCs w:val="16"/>
                <w:color w:val="auto"/>
              </w:rPr>
            </w:pPr>
          </w:p>
        </w:tc>
        <w:tc>
          <w:tcPr>
            <w:tcW w:w="888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GLOSSARY OF TERMS</w:t>
            </w:r>
          </w:p>
        </w:tc>
        <w:tc>
          <w:tcPr>
            <w:tcW w:w="0" w:type="dxa"/>
            <w:vAlign w:val="bottom"/>
          </w:tcPr>
          <w:p>
            <w:pPr>
              <w:spacing w:after="0"/>
              <w:rPr>
                <w:sz w:val="1"/>
                <w:szCs w:val="1"/>
                <w:color w:val="auto"/>
              </w:rPr>
            </w:pPr>
          </w:p>
        </w:tc>
      </w:tr>
      <w:tr>
        <w:trPr>
          <w:trHeight w:val="297"/>
        </w:trPr>
        <w:tc>
          <w:tcPr>
            <w:tcW w:w="112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160"/>
        </w:trPr>
        <w:tc>
          <w:tcPr>
            <w:tcW w:w="240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color w:val="auto"/>
              </w:rPr>
              <w:t>2025 Senior Notes</w:t>
            </w:r>
          </w:p>
        </w:tc>
        <w:tc>
          <w:tcPr>
            <w:tcW w:w="8880" w:type="dxa"/>
            <w:vAlign w:val="bottom"/>
          </w:tcPr>
          <w:p>
            <w:pPr>
              <w:ind w:left="500"/>
              <w:spacing w:after="0" w:line="159" w:lineRule="exact"/>
              <w:rPr>
                <w:sz w:val="20"/>
                <w:szCs w:val="20"/>
                <w:color w:val="auto"/>
              </w:rPr>
            </w:pPr>
            <w:r>
              <w:rPr>
                <w:rFonts w:ascii="Times New Roman" w:cs="Times New Roman" w:eastAsia="Times New Roman" w:hAnsi="Times New Roman"/>
                <w:sz w:val="14"/>
                <w:szCs w:val="14"/>
                <w:color w:val="auto"/>
              </w:rPr>
              <w:t>$600 million aggregate principal amount of 5.750% unsecured senior notes due 2025, issued by Clearway Energy Operating LLC, which were</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repurchased and redeemed in March 2021</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$850 million aggregate principal amount of 4.750% unsecured senior notes due 2028, issued by Clearway Energy Operating LLC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$925 million aggregate principal amount of 3.750% unsecured senior notes due 2031, issued by Clearway Energy Operating LLC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2032 Senior Notes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$350 million aggregate principal amount of 3.750% unsecured senior notes due 2032, issued by Clearway Energy Operating LLC</w:t>
            </w:r>
          </w:p>
        </w:tc>
        <w:tc>
          <w:tcPr>
            <w:tcW w:w="0" w:type="dxa"/>
            <w:vAlign w:val="bottom"/>
          </w:tcPr>
          <w:p>
            <w:pPr>
              <w:spacing w:after="0"/>
              <w:rPr>
                <w:sz w:val="1"/>
                <w:szCs w:val="1"/>
                <w:color w:val="auto"/>
              </w:rPr>
            </w:pPr>
          </w:p>
        </w:tc>
      </w:tr>
      <w:tr>
        <w:trPr>
          <w:trHeight w:val="17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 non-GAAP measure, represents earnings before interest (including loss on debt extinguishment), tax, depreciation and amortization adjusted for</w:t>
            </w:r>
          </w:p>
        </w:tc>
        <w:tc>
          <w:tcPr>
            <w:tcW w:w="0" w:type="dxa"/>
            <w:vAlign w:val="bottom"/>
          </w:tcPr>
          <w:p>
            <w:pPr>
              <w:spacing w:after="0"/>
              <w:rPr>
                <w:sz w:val="1"/>
                <w:szCs w:val="1"/>
                <w:color w:val="auto"/>
              </w:rPr>
            </w:pPr>
          </w:p>
        </w:tc>
      </w:tr>
      <w:tr>
        <w:trPr>
          <w:trHeight w:val="170"/>
        </w:trPr>
        <w:tc>
          <w:tcPr>
            <w:tcW w:w="2400" w:type="dxa"/>
            <w:vAlign w:val="bottom"/>
          </w:tcPr>
          <w:p>
            <w:pPr>
              <w:spacing w:after="0"/>
              <w:rPr>
                <w:sz w:val="14"/>
                <w:szCs w:val="14"/>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mark-to-market gains or losses, asset write offs and impairments; and factors which the Company does not consider indicative of future operating</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performance</w:t>
            </w:r>
          </w:p>
        </w:tc>
        <w:tc>
          <w:tcPr>
            <w:tcW w:w="0" w:type="dxa"/>
            <w:vAlign w:val="bottom"/>
          </w:tcPr>
          <w:p>
            <w:pPr>
              <w:spacing w:after="0"/>
              <w:rPr>
                <w:sz w:val="1"/>
                <w:szCs w:val="1"/>
                <w:color w:val="auto"/>
              </w:rPr>
            </w:pPr>
          </w:p>
        </w:tc>
      </w:tr>
      <w:tr>
        <w:trPr>
          <w:trHeight w:val="149"/>
        </w:trPr>
        <w:tc>
          <w:tcPr>
            <w:tcW w:w="24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ASC</w:t>
            </w:r>
          </w:p>
        </w:tc>
        <w:tc>
          <w:tcPr>
            <w:tcW w:w="8880" w:type="dxa"/>
            <w:vAlign w:val="bottom"/>
          </w:tcPr>
          <w:p>
            <w:pPr>
              <w:ind w:left="500"/>
              <w:spacing w:after="0" w:line="149" w:lineRule="exact"/>
              <w:rPr>
                <w:sz w:val="20"/>
                <w:szCs w:val="20"/>
                <w:color w:val="auto"/>
              </w:rPr>
            </w:pPr>
            <w:r>
              <w:rPr>
                <w:rFonts w:ascii="Times New Roman" w:cs="Times New Roman" w:eastAsia="Times New Roman" w:hAnsi="Times New Roman"/>
                <w:sz w:val="14"/>
                <w:szCs w:val="14"/>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authoritative GAAP</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ASU</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Accounting Standards Updates - updates to the ASC</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ATM Programs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At-The-Market Equity Offering Programs</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Bridge Loan Agreement</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Senior secured bridge credit agreement entered into by Clearway Energy Operating LLC that provided a term loan facility in an aggregate principal</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amount of $335 million and was repaid on May 3, 2022</w:t>
            </w:r>
          </w:p>
        </w:tc>
        <w:tc>
          <w:tcPr>
            <w:tcW w:w="0" w:type="dxa"/>
            <w:vAlign w:val="bottom"/>
          </w:tcPr>
          <w:p>
            <w:pPr>
              <w:spacing w:after="0"/>
              <w:rPr>
                <w:sz w:val="1"/>
                <w:szCs w:val="1"/>
                <w:color w:val="auto"/>
              </w:rPr>
            </w:pP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CAFD</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A non-GAAP measure, Cash Available for Distribution is defined as of March 31, 2022 as Adjusted EBITDA plus cash distributions/return of</w:t>
            </w:r>
          </w:p>
        </w:tc>
        <w:tc>
          <w:tcPr>
            <w:tcW w:w="0" w:type="dxa"/>
            <w:vAlign w:val="bottom"/>
          </w:tcPr>
          <w:p>
            <w:pPr>
              <w:spacing w:after="0"/>
              <w:rPr>
                <w:sz w:val="1"/>
                <w:szCs w:val="1"/>
                <w:color w:val="auto"/>
              </w:rPr>
            </w:pPr>
          </w:p>
        </w:tc>
      </w:tr>
      <w:tr>
        <w:trPr>
          <w:trHeight w:val="144"/>
        </w:trPr>
        <w:tc>
          <w:tcPr>
            <w:tcW w:w="2400" w:type="dxa"/>
            <w:vAlign w:val="bottom"/>
          </w:tcPr>
          <w:p>
            <w:pPr>
              <w:spacing w:after="0"/>
              <w:rPr>
                <w:sz w:val="12"/>
                <w:szCs w:val="12"/>
                <w:color w:val="auto"/>
              </w:rPr>
            </w:pP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investment from unconsolidated affiliates, cash receipts from notes receivable, cash distributions from noncontrolling interests, adjustments to</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reflect sales-type lease cash payments and payments for lease expenses, less cash distributions to noncontrolling interests, maintenance capital</w:t>
            </w:r>
          </w:p>
        </w:tc>
        <w:tc>
          <w:tcPr>
            <w:tcW w:w="0" w:type="dxa"/>
            <w:vAlign w:val="bottom"/>
          </w:tcPr>
          <w:p>
            <w:pPr>
              <w:spacing w:after="0"/>
              <w:rPr>
                <w:sz w:val="1"/>
                <w:szCs w:val="1"/>
                <w:color w:val="auto"/>
              </w:rPr>
            </w:pPr>
          </w:p>
        </w:tc>
      </w:tr>
      <w:tr>
        <w:trPr>
          <w:trHeight w:val="138"/>
        </w:trPr>
        <w:tc>
          <w:tcPr>
            <w:tcW w:w="2400" w:type="dxa"/>
            <w:vAlign w:val="bottom"/>
          </w:tcPr>
          <w:p>
            <w:pPr>
              <w:spacing w:after="0"/>
              <w:rPr>
                <w:sz w:val="11"/>
                <w:szCs w:val="11"/>
                <w:color w:val="auto"/>
              </w:rPr>
            </w:pPr>
          </w:p>
        </w:tc>
        <w:tc>
          <w:tcPr>
            <w:tcW w:w="8880" w:type="dxa"/>
            <w:vAlign w:val="bottom"/>
          </w:tcPr>
          <w:p>
            <w:pPr>
              <w:ind w:left="500"/>
              <w:spacing w:after="0" w:line="138" w:lineRule="exact"/>
              <w:rPr>
                <w:sz w:val="20"/>
                <w:szCs w:val="20"/>
                <w:color w:val="auto"/>
              </w:rPr>
            </w:pPr>
            <w:r>
              <w:rPr>
                <w:rFonts w:ascii="Times New Roman" w:cs="Times New Roman" w:eastAsia="Times New Roman" w:hAnsi="Times New Roman"/>
                <w:sz w:val="14"/>
                <w:szCs w:val="14"/>
                <w:color w:val="auto"/>
              </w:rPr>
              <w:t>expenditures, pro-rata Adjusted EBITDA from unconsolidated affiliates, cash interest paid, income taxes paid, principal amortization of</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indebtedness, changes in prepaid and accrued capacity payments, and adjusted for development expenses</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CEG</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Group LLC (formerly Zephyr Renewables LLC)</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CEG Master Services Agreement</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Master Services Agreements entered into as of August 31, 2018 between the Company, Clearway Energy, Inc., Clearway Energy Operating LLC</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and CEG</w:t>
            </w:r>
          </w:p>
        </w:tc>
        <w:tc>
          <w:tcPr>
            <w:tcW w:w="0" w:type="dxa"/>
            <w:vAlign w:val="bottom"/>
          </w:tcPr>
          <w:p>
            <w:pPr>
              <w:spacing w:after="0"/>
              <w:rPr>
                <w:sz w:val="1"/>
                <w:szCs w:val="1"/>
                <w:color w:val="auto"/>
              </w:rPr>
            </w:pPr>
          </w:p>
        </w:tc>
      </w:tr>
      <w:tr>
        <w:trPr>
          <w:trHeight w:val="145"/>
        </w:trPr>
        <w:tc>
          <w:tcPr>
            <w:tcW w:w="24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Clearway Energy Group LLC</w:t>
            </w:r>
          </w:p>
        </w:tc>
        <w:tc>
          <w:tcPr>
            <w:tcW w:w="8880" w:type="dxa"/>
            <w:vAlign w:val="bottom"/>
          </w:tcPr>
          <w:p>
            <w:pPr>
              <w:ind w:left="500"/>
              <w:spacing w:after="0" w:line="145" w:lineRule="exact"/>
              <w:rPr>
                <w:sz w:val="20"/>
                <w:szCs w:val="20"/>
                <w:color w:val="auto"/>
              </w:rPr>
            </w:pPr>
            <w:r>
              <w:rPr>
                <w:rFonts w:ascii="Times New Roman" w:cs="Times New Roman" w:eastAsia="Times New Roman" w:hAnsi="Times New Roman"/>
                <w:sz w:val="14"/>
                <w:szCs w:val="14"/>
                <w:color w:val="auto"/>
              </w:rPr>
              <w:t>The holder of all of Clearway Energy, Inc.’s Class B and Class D common shares, the Company’s Class B and Class D units and, from time to time,</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possibly shares of Clearway Energy, Inc.’s Class A and/or Class C common stock</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Clearway Energy Operating LLC</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holder of the project assets that are owned by the Company</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Clearway Energy LLC, together with its consolidated subsidiaries</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California Valley Solar Ranch</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CVSR Holdco</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CVSR Holdco LLC, the indirect owner of CVSR</w:t>
            </w: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Distributed Solar</w:t>
            </w:r>
          </w:p>
        </w:tc>
        <w:tc>
          <w:tcPr>
            <w:tcW w:w="8880" w:type="dxa"/>
            <w:vAlign w:val="bottom"/>
          </w:tcPr>
          <w:p>
            <w:pPr>
              <w:ind w:left="500"/>
              <w:spacing w:after="0" w:line="142" w:lineRule="exact"/>
              <w:rPr>
                <w:sz w:val="20"/>
                <w:szCs w:val="20"/>
                <w:color w:val="auto"/>
              </w:rPr>
            </w:pPr>
            <w:r>
              <w:rPr>
                <w:rFonts w:ascii="Times New Roman" w:cs="Times New Roman" w:eastAsia="Times New Roman" w:hAnsi="Times New Roman"/>
                <w:sz w:val="14"/>
                <w:szCs w:val="14"/>
                <w:color w:val="auto"/>
              </w:rPr>
              <w:t>Solar power projects, typically less than 20 MW in size (on an alternating current, or AC, basis), that primarily sell power produced to customers</w:t>
            </w:r>
          </w:p>
        </w:tc>
        <w:tc>
          <w:tcPr>
            <w:tcW w:w="0" w:type="dxa"/>
            <w:vAlign w:val="bottom"/>
          </w:tcPr>
          <w:p>
            <w:pPr>
              <w:spacing w:after="0"/>
              <w:rPr>
                <w:sz w:val="1"/>
                <w:szCs w:val="1"/>
                <w:color w:val="auto"/>
              </w:rPr>
            </w:pPr>
          </w:p>
        </w:tc>
      </w:tr>
      <w:tr>
        <w:trPr>
          <w:trHeight w:val="184"/>
        </w:trPr>
        <w:tc>
          <w:tcPr>
            <w:tcW w:w="2400" w:type="dxa"/>
            <w:vAlign w:val="bottom"/>
          </w:tcPr>
          <w:p>
            <w:pPr>
              <w:spacing w:after="0"/>
              <w:rPr>
                <w:sz w:val="16"/>
                <w:szCs w:val="16"/>
                <w:color w:val="auto"/>
              </w:rPr>
            </w:pP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for usage on site, or are interconnected to sell power into the local distribution grid</w:t>
            </w:r>
          </w:p>
        </w:tc>
        <w:tc>
          <w:tcPr>
            <w:tcW w:w="0" w:type="dxa"/>
            <w:vAlign w:val="bottom"/>
          </w:tcPr>
          <w:p>
            <w:pPr>
              <w:spacing w:after="0"/>
              <w:rPr>
                <w:sz w:val="1"/>
                <w:szCs w:val="1"/>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Drop Down Assets</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Assets under common control acquired by the Company from CEG</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Exchange Act</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The Securities Exchange Act of 1934, as amended</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FASB</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Financial Accounting Standards Board</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GAAP</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Accounting principles generally accepted in the U.S.</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GenConn</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GenConn Energy LLC</w:t>
            </w: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GIP</w:t>
            </w:r>
          </w:p>
        </w:tc>
        <w:tc>
          <w:tcPr>
            <w:tcW w:w="8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rPr>
              <w:t>Global Infrastructure Partners</w:t>
            </w:r>
          </w:p>
        </w:tc>
        <w:tc>
          <w:tcPr>
            <w:tcW w:w="0" w:type="dxa"/>
            <w:vAlign w:val="bottom"/>
          </w:tcPr>
          <w:p>
            <w:pPr>
              <w:spacing w:after="0"/>
              <w:rPr>
                <w:sz w:val="1"/>
                <w:szCs w:val="1"/>
                <w:color w:val="auto"/>
              </w:rPr>
            </w:pPr>
          </w:p>
        </w:tc>
      </w:tr>
      <w:tr>
        <w:trPr>
          <w:trHeight w:val="74"/>
        </w:trPr>
        <w:tc>
          <w:tcPr>
            <w:tcW w:w="2400" w:type="dxa"/>
            <w:vAlign w:val="bottom"/>
          </w:tcPr>
          <w:p>
            <w:pPr>
              <w:spacing w:after="0"/>
              <w:rPr>
                <w:sz w:val="6"/>
                <w:szCs w:val="6"/>
                <w:color w:val="auto"/>
              </w:rPr>
            </w:pPr>
          </w:p>
        </w:tc>
        <w:tc>
          <w:tcPr>
            <w:tcW w:w="8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HLBV</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Hypothetical Liquidation at Book Value</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KKR</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KKR Thor Bidco, LLC, an affiliate of Kohlberg Kravis Roberts &amp; Co. L.P.</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LIBOR</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London Inter-Bank Offered Rate</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Mesquite Star</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Mesquite Star Special LLC</w:t>
            </w:r>
          </w:p>
        </w:tc>
        <w:tc>
          <w:tcPr>
            <w:tcW w:w="0" w:type="dxa"/>
            <w:vAlign w:val="bottom"/>
          </w:tcPr>
          <w:p>
            <w:pPr>
              <w:spacing w:after="0"/>
              <w:rPr>
                <w:sz w:val="1"/>
                <w:szCs w:val="1"/>
                <w:color w:val="auto"/>
              </w:rPr>
            </w:pPr>
          </w:p>
        </w:tc>
      </w:t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MMBtu</w:t>
            </w:r>
          </w:p>
        </w:tc>
        <w:tc>
          <w:tcPr>
            <w:tcW w:w="88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Million British Thermal Units</w:t>
            </w:r>
          </w:p>
        </w:tc>
        <w:tc>
          <w:tcPr>
            <w:tcW w:w="0" w:type="dxa"/>
            <w:vAlign w:val="bottom"/>
          </w:tcPr>
          <w:p>
            <w:pPr>
              <w:spacing w:after="0"/>
              <w:rPr>
                <w:sz w:val="1"/>
                <w:szCs w:val="1"/>
                <w:color w:val="auto"/>
              </w:rPr>
            </w:pPr>
          </w:p>
        </w:tc>
      </w:tr>
      <w:tr>
        <w:trPr>
          <w:trHeight w:val="679"/>
        </w:trPr>
        <w:tc>
          <w:tcPr>
            <w:tcW w:w="2400" w:type="dxa"/>
            <w:vAlign w:val="bottom"/>
          </w:tcPr>
          <w:p>
            <w:pPr>
              <w:spacing w:after="0"/>
              <w:rPr>
                <w:sz w:val="24"/>
                <w:szCs w:val="24"/>
                <w:color w:val="auto"/>
              </w:rPr>
            </w:pPr>
          </w:p>
        </w:tc>
        <w:tc>
          <w:tcPr>
            <w:tcW w:w="8880" w:type="dxa"/>
            <w:vAlign w:val="bottom"/>
          </w:tcPr>
          <w:p>
            <w:pPr>
              <w:ind w:left="320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87"/>
        </w:trPr>
        <w:tc>
          <w:tcPr>
            <w:tcW w:w="2400" w:type="dxa"/>
            <w:vAlign w:val="bottom"/>
            <w:tcBorders>
              <w:bottom w:val="single" w:sz="8" w:color="9A9A9A"/>
            </w:tcBorders>
          </w:tcPr>
          <w:p>
            <w:pPr>
              <w:spacing w:after="0"/>
              <w:rPr>
                <w:sz w:val="7"/>
                <w:szCs w:val="7"/>
                <w:color w:val="auto"/>
              </w:rPr>
            </w:pPr>
          </w:p>
        </w:tc>
        <w:tc>
          <w:tcPr>
            <w:tcW w:w="88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Mt. Storm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NedPower Mount Storm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Megawatt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MWh</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Saleable megawatt hours, net of internal/parasitic load megawatt-hours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MWt</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Megawatts Thermal Equivalent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Exposure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Counterparty credit exposure to Clearway Energy, Inc. net of collateral</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NOLs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Net Operating Losses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NPNS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Normal Purchases and Normal Sales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OCL</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Other comprehensive loss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O&amp;M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Operations and Maintenance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PG&amp;E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Pacific Gas and Electric Company</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PPA</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Power Purchase Agreement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RENOM</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Clearway Renewable Operation &amp; Maintenance LLC</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SCE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Southern California Edison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U.S. Securities and Exchange Commission</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Notes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Collectively, the 2028 Senior Notes, the 2031 Senior Notes and the 2032 Senior Notes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SOFR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Secured Overnight Financing Rate</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SPP</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Power Partners</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SREC</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Solar Renewable Energy Credit</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Act</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Tax Cuts and Jobs Act of 2017</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Thermal Business</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The Company's thermal business, which consists of thermal infrastructure assets that provide steam, hot water and/or chilled water, and in some</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instances electricity, to commercial businesses, universities, hospitals and governmental units</w:t>
            </w:r>
          </w:p>
        </w:tc>
      </w:tr>
      <w:tr>
        <w:trPr>
          <w:trHeight w:val="18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Thermal Disposition</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On May 1, 2022, the Company completed the sale of 100% of its interests in the Thermal Business to KKR</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United States of America</w:t>
            </w:r>
          </w:p>
        </w:tc>
      </w:tr>
      <w:tr>
        <w:trPr>
          <w:trHeight w:val="180"/>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Utah Solar Portfolio</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Seven utility-scale solar farms located in Utah, representing 530 MW of capacity</w:t>
            </w:r>
          </w:p>
        </w:tc>
      </w:tr>
      <w:tr>
        <w:trPr>
          <w:trHeight w:val="142"/>
        </w:trPr>
        <w:tc>
          <w:tcPr>
            <w:tcW w:w="20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Utility Scale Solar</w:t>
            </w:r>
          </w:p>
        </w:tc>
        <w:tc>
          <w:tcPr>
            <w:tcW w:w="9240" w:type="dxa"/>
            <w:vAlign w:val="bottom"/>
          </w:tcPr>
          <w:p>
            <w:pPr>
              <w:ind w:left="860"/>
              <w:spacing w:after="0" w:line="142" w:lineRule="exact"/>
              <w:rPr>
                <w:sz w:val="20"/>
                <w:szCs w:val="20"/>
                <w:color w:val="auto"/>
              </w:rPr>
            </w:pPr>
            <w:r>
              <w:rPr>
                <w:rFonts w:ascii="Times New Roman" w:cs="Times New Roman" w:eastAsia="Times New Roman" w:hAnsi="Times New Roman"/>
                <w:sz w:val="14"/>
                <w:szCs w:val="14"/>
                <w:color w:val="auto"/>
              </w:rPr>
              <w:t>Solar power projects, typically 20 MW or greater in size (on an alternating current, or AC, basis), that are interconnected into the transmission or</w:t>
            </w:r>
          </w:p>
        </w:tc>
      </w:tr>
      <w:tr>
        <w:trPr>
          <w:trHeight w:val="184"/>
        </w:trPr>
        <w:tc>
          <w:tcPr>
            <w:tcW w:w="2040" w:type="dxa"/>
            <w:vAlign w:val="bottom"/>
          </w:tcPr>
          <w:p>
            <w:pPr>
              <w:spacing w:after="0"/>
              <w:rPr>
                <w:sz w:val="16"/>
                <w:szCs w:val="16"/>
                <w:color w:val="auto"/>
              </w:rPr>
            </w:pP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distribution grid to sell power at a wholesale level</w:t>
            </w:r>
          </w:p>
        </w:tc>
      </w:tr>
      <w:tr>
        <w:trPr>
          <w:trHeight w:val="183"/>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Value at Risk</w:t>
            </w:r>
          </w:p>
        </w:tc>
      </w:tr>
      <w:tr>
        <w:trPr>
          <w:trHeight w:val="184"/>
        </w:trPr>
        <w:tc>
          <w:tcPr>
            <w:tcW w:w="2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VIE</w:t>
            </w:r>
          </w:p>
        </w:tc>
        <w:tc>
          <w:tcPr>
            <w:tcW w:w="92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Variable Interest Entity</w:t>
            </w:r>
          </w:p>
        </w:tc>
      </w:tr>
      <w:tr>
        <w:trPr>
          <w:trHeight w:val="870"/>
        </w:trPr>
        <w:tc>
          <w:tcPr>
            <w:tcW w:w="2040" w:type="dxa"/>
            <w:vAlign w:val="bottom"/>
          </w:tcPr>
          <w:p>
            <w:pPr>
              <w:spacing w:after="0"/>
              <w:rPr>
                <w:sz w:val="24"/>
                <w:szCs w:val="24"/>
                <w:color w:val="auto"/>
              </w:rPr>
            </w:pPr>
          </w:p>
        </w:tc>
        <w:tc>
          <w:tcPr>
            <w:tcW w:w="9240" w:type="dxa"/>
            <w:vAlign w:val="bottom"/>
          </w:tcPr>
          <w:p>
            <w:pPr>
              <w:ind w:left="3560"/>
              <w:spacing w:after="0"/>
              <w:rPr>
                <w:sz w:val="20"/>
                <w:szCs w:val="20"/>
                <w:color w:val="auto"/>
              </w:rPr>
            </w:pPr>
            <w:r>
              <w:rPr>
                <w:rFonts w:ascii="Times New Roman" w:cs="Times New Roman" w:eastAsia="Times New Roman" w:hAnsi="Times New Roman"/>
                <w:sz w:val="14"/>
                <w:szCs w:val="14"/>
                <w:color w:val="auto"/>
              </w:rPr>
              <w:t>5</w:t>
            </w:r>
          </w:p>
        </w:tc>
      </w:tr>
      <w:tr>
        <w:trPr>
          <w:trHeight w:val="87"/>
        </w:trPr>
        <w:tc>
          <w:tcPr>
            <w:tcW w:w="2040" w:type="dxa"/>
            <w:vAlign w:val="bottom"/>
            <w:tcBorders>
              <w:bottom w:val="single" w:sz="8" w:color="9A9A9A"/>
            </w:tcBorders>
          </w:tcPr>
          <w:p>
            <w:pPr>
              <w:spacing w:after="0"/>
              <w:rPr>
                <w:sz w:val="7"/>
                <w:szCs w:val="7"/>
                <w:color w:val="auto"/>
              </w:rPr>
            </w:pPr>
          </w:p>
        </w:tc>
        <w:tc>
          <w:tcPr>
            <w:tcW w:w="92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ITEM 1 — FINANCIAL STATEMENTS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6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8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operating revenues</w:t>
            </w: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237</w:t>
            </w:r>
          </w:p>
        </w:tc>
      </w:tr>
      <w:tr>
        <w:trPr>
          <w:trHeight w:val="16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 separately below</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Development costs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251</w:t>
            </w:r>
          </w:p>
        </w:tc>
      </w:tr>
      <w:tr>
        <w:trPr>
          <w:trHeight w:val="171"/>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(14)</w:t>
            </w:r>
          </w:p>
        </w:tc>
      </w:tr>
      <w:tr>
        <w:trPr>
          <w:trHeight w:val="16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r>
      <w:tr>
        <w:trPr>
          <w:trHeight w:val="180"/>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income, net</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81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ind w:left="900"/>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(45)</w:t>
            </w:r>
          </w:p>
        </w:tc>
      </w:tr>
      <w:tr>
        <w:trPr>
          <w:trHeight w:val="171"/>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other expense, net</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(82)</w:t>
            </w:r>
          </w:p>
        </w:tc>
      </w:tr>
      <w:tr>
        <w:trPr>
          <w:trHeight w:val="17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Less: Loss attributable to noncontrolling interests and redeemable interests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4"/>
                <w:szCs w:val="14"/>
                <w:color w:val="auto"/>
              </w:rPr>
              <w:t>(67)</w:t>
            </w: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Attributable to Clearway Energy LLC</w:t>
            </w: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(29)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4"/>
          </w:tcPr>
          <w:p>
            <w:pPr>
              <w:jc w:val="right"/>
              <w:ind w:right="671"/>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7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center"/>
              <w:ind w:left="773"/>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center"/>
              <w:ind w:left="751"/>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8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gain on derivatives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center"/>
              <w:ind w:left="793"/>
              <w:spacing w:after="0"/>
              <w:rPr>
                <w:sz w:val="20"/>
                <w:szCs w:val="20"/>
                <w:color w:val="auto"/>
              </w:rPr>
            </w:pPr>
            <w:r>
              <w:rPr>
                <w:rFonts w:ascii="Times New Roman" w:cs="Times New Roman" w:eastAsia="Times New Roman" w:hAnsi="Times New Roman"/>
                <w:sz w:val="14"/>
                <w:szCs w:val="14"/>
                <w:color w:val="auto"/>
                <w:w w:val="99"/>
              </w:rPr>
              <w:t>16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center"/>
              <w:ind w:left="771"/>
              <w:spacing w:after="0"/>
              <w:rPr>
                <w:sz w:val="20"/>
                <w:szCs w:val="20"/>
                <w:color w:val="auto"/>
              </w:rPr>
            </w:pPr>
            <w:r>
              <w:rPr>
                <w:rFonts w:ascii="Times New Roman" w:cs="Times New Roman" w:eastAsia="Times New Roman" w:hAnsi="Times New Roman"/>
                <w:sz w:val="14"/>
                <w:szCs w:val="14"/>
                <w:color w:val="auto"/>
                <w:w w:val="99"/>
              </w:rPr>
              <w:t>13</w:t>
            </w:r>
          </w:p>
        </w:tc>
      </w:tr>
      <w:tr>
        <w:trPr>
          <w:trHeight w:val="171"/>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793"/>
              <w:spacing w:after="0"/>
              <w:rPr>
                <w:sz w:val="20"/>
                <w:szCs w:val="20"/>
                <w:color w:val="auto"/>
              </w:rPr>
            </w:pPr>
            <w:r>
              <w:rPr>
                <w:rFonts w:ascii="Times New Roman" w:cs="Times New Roman" w:eastAsia="Times New Roman" w:hAnsi="Times New Roman"/>
                <w:sz w:val="14"/>
                <w:szCs w:val="14"/>
                <w:color w:val="auto"/>
                <w:w w:val="99"/>
              </w:rPr>
              <w:t>16</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left="771"/>
              <w:spacing w:after="0"/>
              <w:rPr>
                <w:sz w:val="20"/>
                <w:szCs w:val="20"/>
                <w:color w:val="auto"/>
              </w:rPr>
            </w:pPr>
            <w:r>
              <w:rPr>
                <w:rFonts w:ascii="Times New Roman" w:cs="Times New Roman" w:eastAsia="Times New Roman" w:hAnsi="Times New Roman"/>
                <w:sz w:val="14"/>
                <w:szCs w:val="14"/>
                <w:color w:val="auto"/>
                <w:w w:val="99"/>
              </w:rPr>
              <w:t>13</w:t>
            </w:r>
          </w:p>
        </w:tc>
      </w:tr>
      <w:tr>
        <w:trPr>
          <w:trHeight w:val="17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center"/>
              <w:ind w:left="751"/>
              <w:spacing w:after="0"/>
              <w:rPr>
                <w:sz w:val="20"/>
                <w:szCs w:val="20"/>
                <w:color w:val="auto"/>
              </w:rPr>
            </w:pPr>
            <w:r>
              <w:rPr>
                <w:rFonts w:ascii="Times New Roman" w:cs="Times New Roman" w:eastAsia="Times New Roman" w:hAnsi="Times New Roman"/>
                <w:sz w:val="14"/>
                <w:szCs w:val="14"/>
                <w:color w:val="auto"/>
              </w:rPr>
              <w:t>(83)</w:t>
            </w:r>
          </w:p>
        </w:tc>
      </w:tr>
      <w:tr>
        <w:trPr>
          <w:trHeight w:val="171"/>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Less: Comprehensive loss attributable to noncontrolling interests and redeemable interests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773"/>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left="751"/>
              <w:spacing w:after="0"/>
              <w:rPr>
                <w:sz w:val="20"/>
                <w:szCs w:val="20"/>
                <w:color w:val="auto"/>
              </w:rPr>
            </w:pPr>
            <w:r>
              <w:rPr>
                <w:rFonts w:ascii="Times New Roman" w:cs="Times New Roman" w:eastAsia="Times New Roman" w:hAnsi="Times New Roman"/>
                <w:sz w:val="14"/>
                <w:szCs w:val="14"/>
                <w:color w:val="auto"/>
              </w:rPr>
              <w:t>(64)</w:t>
            </w:r>
          </w:p>
        </w:tc>
      </w:tr>
      <w:tr>
        <w:trPr>
          <w:trHeight w:val="196"/>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 Attributable to Clearway Energy LLC</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center"/>
              <w:ind w:left="773"/>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center"/>
              <w:ind w:left="751"/>
              <w:spacing w:after="0"/>
              <w:rPr>
                <w:sz w:val="20"/>
                <w:szCs w:val="20"/>
                <w:color w:val="auto"/>
              </w:rPr>
            </w:pPr>
            <w:r>
              <w:rPr>
                <w:rFonts w:ascii="Times New Roman" w:cs="Times New Roman" w:eastAsia="Times New Roman" w:hAnsi="Times New Roman"/>
                <w:sz w:val="14"/>
                <w:szCs w:val="14"/>
                <w:color w:val="auto"/>
              </w:rPr>
              <w:t>(19)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00" w:type="dxa"/>
            <w:vAlign w:val="bottom"/>
          </w:tcPr>
          <w:p>
            <w:pPr>
              <w:spacing w:after="0"/>
              <w:rPr>
                <w:sz w:val="13"/>
                <w:szCs w:val="13"/>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280" w:type="dxa"/>
            <w:vAlign w:val="bottom"/>
          </w:tcPr>
          <w:p>
            <w:pPr>
              <w:spacing w:after="0"/>
              <w:rPr>
                <w:sz w:val="13"/>
                <w:szCs w:val="13"/>
                <w:color w:val="auto"/>
              </w:rPr>
            </w:pPr>
          </w:p>
        </w:tc>
        <w:tc>
          <w:tcPr>
            <w:tcW w:w="1560" w:type="dxa"/>
            <w:vAlign w:val="bottom"/>
          </w:tcPr>
          <w:p>
            <w:pPr>
              <w:jc w:val="right"/>
              <w:ind w:right="390"/>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5"/>
        </w:trPr>
        <w:tc>
          <w:tcPr>
            <w:tcW w:w="7580" w:type="dxa"/>
            <w:vAlign w:val="bottom"/>
          </w:tcPr>
          <w:p>
            <w:pPr>
              <w:ind w:left="356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0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spacing w:after="0"/>
              <w:rPr>
                <w:sz w:val="13"/>
                <w:szCs w:val="13"/>
                <w:color w:val="auto"/>
              </w:rPr>
            </w:pPr>
          </w:p>
        </w:tc>
      </w:tr>
      <w:tr>
        <w:trPr>
          <w:trHeight w:val="152"/>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3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83"/>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receivable — trade</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Inventory</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assets held-for-sale</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Prepayments and other current assets</w:t>
            </w: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71"/>
        </w:trPr>
        <w:tc>
          <w:tcPr>
            <w:tcW w:w="7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current assets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1,531</w:t>
            </w:r>
          </w:p>
        </w:tc>
      </w:tr>
      <w:tr>
        <w:trPr>
          <w:trHeight w:val="17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w:t>
            </w:r>
          </w:p>
        </w:tc>
      </w:tr>
      <w:tr>
        <w:trPr>
          <w:trHeight w:val="169"/>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Other Assets</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investments in affiliates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Intangible assets for power purchase agreements, net</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2,419</w:t>
            </w: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intangible assets, net</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Right-of-use assets, net</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r>
      <w:tr>
        <w:trPr>
          <w:trHeight w:val="180"/>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Other non-current assets</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171"/>
        </w:trPr>
        <w:tc>
          <w:tcPr>
            <w:tcW w:w="7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other assets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3,537</w:t>
            </w:r>
          </w:p>
        </w:tc>
      </w:tr>
      <w:tr>
        <w:trPr>
          <w:trHeight w:val="171"/>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12,528</w:t>
            </w:r>
          </w:p>
        </w:tc>
        <w:tc>
          <w:tcPr>
            <w:tcW w:w="10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12,718</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31"/>
        </w:trPr>
        <w:tc>
          <w:tcPr>
            <w:tcW w:w="7580" w:type="dxa"/>
            <w:vAlign w:val="bottom"/>
            <w:shd w:val="clear" w:color="auto" w:fill="CCEEFF"/>
          </w:tcPr>
          <w:p>
            <w:pPr>
              <w:ind w:left="2620"/>
              <w:spacing w:after="0" w:line="131" w:lineRule="exact"/>
              <w:rPr>
                <w:sz w:val="20"/>
                <w:szCs w:val="20"/>
                <w:color w:val="auto"/>
              </w:rPr>
            </w:pPr>
            <w:r>
              <w:rPr>
                <w:rFonts w:ascii="Times New Roman" w:cs="Times New Roman" w:eastAsia="Times New Roman" w:hAnsi="Times New Roman"/>
                <w:sz w:val="13"/>
                <w:szCs w:val="13"/>
                <w:b w:val="1"/>
                <w:bCs w:val="1"/>
                <w:color w:val="auto"/>
              </w:rPr>
              <w:t>LIABILITIES AND MEMBERS’ EQUITY</w:t>
            </w:r>
          </w:p>
        </w:tc>
        <w:tc>
          <w:tcPr>
            <w:tcW w:w="3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r>
      <w:tr>
        <w:trPr>
          <w:trHeight w:val="169"/>
        </w:trPr>
        <w:tc>
          <w:tcPr>
            <w:tcW w:w="7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82"/>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 — external</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Current portion of long-term debt — affiliate</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payable — trade</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 — affiliates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Derivative instruments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Accrued interest expense</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0"/>
        </w:trPr>
        <w:tc>
          <w:tcPr>
            <w:tcW w:w="7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liabilities held-for-sale</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r>
      <w:tr>
        <w:trPr>
          <w:trHeight w:val="180"/>
        </w:trPr>
        <w:tc>
          <w:tcPr>
            <w:tcW w:w="75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71"/>
        </w:trPr>
        <w:tc>
          <w:tcPr>
            <w:tcW w:w="7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r>
      <w:tr>
        <w:trPr>
          <w:trHeight w:val="149"/>
        </w:trPr>
        <w:tc>
          <w:tcPr>
            <w:tcW w:w="75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Other Liabilities</w:t>
            </w: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82"/>
        </w:trPr>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Long-term debt — external</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6,939</w:t>
            </w:r>
          </w:p>
        </w:tc>
      </w:tr>
      <w:tr>
        <w:trPr>
          <w:trHeight w:val="180"/>
        </w:trPr>
        <w:tc>
          <w:tcPr>
            <w:tcW w:w="7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Derivative instruments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180"/>
        </w:trPr>
        <w:tc>
          <w:tcPr>
            <w:tcW w:w="7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Long-term lease liabilities</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w:t>
            </w:r>
          </w:p>
        </w:tc>
      </w:tr>
      <w:tr>
        <w:trPr>
          <w:trHeight w:val="180"/>
        </w:trPr>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r>
      <w:tr>
        <w:trPr>
          <w:trHeight w:val="171"/>
        </w:trPr>
        <w:tc>
          <w:tcPr>
            <w:tcW w:w="7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Total other liabilities</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7,948</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7,866</w:t>
            </w:r>
          </w:p>
        </w:tc>
      </w:tr>
      <w:tr>
        <w:trPr>
          <w:trHeight w:val="17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30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9,477</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9,501</w:t>
            </w:r>
          </w:p>
        </w:tc>
      </w:tr>
      <w:tr>
        <w:trPr>
          <w:trHeight w:val="149"/>
        </w:trPr>
        <w:tc>
          <w:tcPr>
            <w:tcW w:w="758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b w:val="1"/>
                <w:bCs w:val="1"/>
                <w:color w:val="auto"/>
              </w:rPr>
              <w:t>Commitments and Contingencies</w:t>
            </w:r>
          </w:p>
        </w:tc>
        <w:tc>
          <w:tcPr>
            <w:tcW w:w="3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r>
      <w:tr>
        <w:trPr>
          <w:trHeight w:val="17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Members’ Equity</w:t>
            </w:r>
          </w:p>
        </w:tc>
        <w:tc>
          <w:tcPr>
            <w:tcW w:w="3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80"/>
        </w:trPr>
        <w:tc>
          <w:tcPr>
            <w:tcW w:w="7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Contributed capital</w:t>
            </w:r>
          </w:p>
        </w:tc>
        <w:tc>
          <w:tcPr>
            <w:tcW w:w="3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w:t>
            </w:r>
          </w:p>
        </w:tc>
      </w:tr>
      <w:tr>
        <w:trPr>
          <w:trHeight w:val="180"/>
        </w:trPr>
        <w:tc>
          <w:tcPr>
            <w:tcW w:w="7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(Accumulated deficit) retained earnings</w:t>
            </w:r>
          </w:p>
        </w:tc>
        <w:tc>
          <w:tcPr>
            <w:tcW w:w="3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80"/>
        </w:trPr>
        <w:tc>
          <w:tcPr>
            <w:tcW w:w="75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0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7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Noncontrolling interest</w:t>
            </w:r>
          </w:p>
        </w:tc>
        <w:tc>
          <w:tcPr>
            <w:tcW w:w="3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1,692</w:t>
            </w:r>
          </w:p>
        </w:tc>
      </w:tr>
      <w:tr>
        <w:trPr>
          <w:trHeight w:val="171"/>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Total Members’ Equity</w:t>
            </w: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3,051</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3,217</w:t>
            </w: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Members’ Equity</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4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6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Distributions from unconsolidated affiliates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financing costs and debt discounts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Amortization of intangibles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Reduction in carrying amount of right-of-use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derivative instruments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0"/>
        </w:trPr>
        <w:tc>
          <w:tcPr>
            <w:tcW w:w="84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used in changes in other working capital</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prepaid and accrued liabilities for tolling agreements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Changes in other working capital</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3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Acquisition of Drop Down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Asset purchase from affiliate</w:t>
            </w:r>
          </w:p>
        </w:tc>
        <w:tc>
          <w:tcPr>
            <w:tcW w:w="32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Return of investment from unconsolidated affiliates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r>
      <w:tr>
        <w:trPr>
          <w:trHeight w:val="160"/>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Contributions from noncontrolling interests, net of distributions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contributions from CEG</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of distributions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Distributions to CEG of escrowed amounts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the revolving credit facility</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for the revolving credit facility</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Proceeds from the issuance of long-term debt — external</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1,004</w:t>
            </w:r>
          </w:p>
        </w:tc>
      </w:tr>
      <w:tr>
        <w:trPr>
          <w:trHeight w:val="180"/>
        </w:trPr>
        <w:tc>
          <w:tcPr>
            <w:tcW w:w="8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Payments of debt issuance costs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84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Payments for long-term debt — external</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w:t>
            </w:r>
          </w:p>
        </w:tc>
      </w:tr>
      <w:tr>
        <w:trPr>
          <w:trHeight w:val="180"/>
        </w:trPr>
        <w:tc>
          <w:tcPr>
            <w:tcW w:w="84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71"/>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71"/>
        </w:trPr>
        <w:tc>
          <w:tcPr>
            <w:tcW w:w="8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Reclassification of Cash to Assets Held-for-Sale</w:t>
            </w: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8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w:t>
            </w:r>
          </w:p>
        </w:tc>
      </w:tr>
      <w:tr>
        <w:trPr>
          <w:trHeight w:val="196"/>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2022</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980" w:type="dxa"/>
            <w:vAlign w:val="bottom"/>
          </w:tcPr>
          <w:p>
            <w:pPr>
              <w:jc w:val="center"/>
              <w:ind w:left="165"/>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restart"/>
          </w:tcPr>
          <w:p>
            <w:pPr>
              <w:jc w:val="right"/>
              <w:ind w:right="33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52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Contributed Capital</w:t>
            </w: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980" w:type="dxa"/>
            <w:vAlign w:val="bottom"/>
          </w:tcPr>
          <w:p>
            <w:pPr>
              <w:jc w:val="center"/>
              <w:ind w:left="165"/>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c>
          <w:tcPr>
            <w:tcW w:w="8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260" w:type="dxa"/>
            <w:vAlign w:val="bottom"/>
            <w:vMerge w:val="continue"/>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980" w:type="dxa"/>
            <w:vAlign w:val="bottom"/>
          </w:tcPr>
          <w:p>
            <w:pPr>
              <w:jc w:val="center"/>
              <w:ind w:left="185"/>
              <w:spacing w:after="0"/>
              <w:rPr>
                <w:sz w:val="20"/>
                <w:szCs w:val="20"/>
                <w:color w:val="auto"/>
              </w:rPr>
            </w:pPr>
            <w:r>
              <w:rPr>
                <w:rFonts w:ascii="Times New Roman" w:cs="Times New Roman" w:eastAsia="Times New Roman" w:hAnsi="Times New Roman"/>
                <w:sz w:val="11"/>
                <w:szCs w:val="11"/>
                <w:b w:val="1"/>
                <w:bCs w:val="1"/>
                <w:color w:val="auto"/>
              </w:rPr>
              <w:t>Loss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w w:val="98"/>
              </w:rPr>
              <w:t>Members’ Equity</w:t>
            </w:r>
          </w:p>
        </w:tc>
        <w:tc>
          <w:tcPr>
            <w:tcW w:w="0" w:type="dxa"/>
            <w:vAlign w:val="bottom"/>
          </w:tcPr>
          <w:p>
            <w:pPr>
              <w:spacing w:after="0"/>
              <w:rPr>
                <w:sz w:val="1"/>
                <w:szCs w:val="1"/>
                <w:color w:val="auto"/>
              </w:rPr>
            </w:pPr>
          </w:p>
        </w:tc>
      </w:tr>
      <w:tr>
        <w:trPr>
          <w:trHeight w:val="165"/>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2021</w:t>
            </w:r>
          </w:p>
        </w:tc>
        <w:tc>
          <w:tcPr>
            <w:tcW w:w="40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center"/>
              <w:ind w:left="757"/>
              <w:spacing w:after="0"/>
              <w:rPr>
                <w:sz w:val="20"/>
                <w:szCs w:val="20"/>
                <w:color w:val="auto"/>
              </w:rPr>
            </w:pPr>
            <w:r>
              <w:rPr>
                <w:rFonts w:ascii="Times New Roman" w:cs="Times New Roman" w:eastAsia="Times New Roman" w:hAnsi="Times New Roman"/>
                <w:sz w:val="13"/>
                <w:szCs w:val="13"/>
                <w:color w:val="auto"/>
                <w:w w:val="91"/>
              </w:rPr>
              <w:t>43</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(13)</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3,217</w:t>
            </w:r>
          </w:p>
        </w:tc>
        <w:tc>
          <w:tcPr>
            <w:tcW w:w="0" w:type="dxa"/>
            <w:vAlign w:val="bottom"/>
          </w:tcPr>
          <w:p>
            <w:pPr>
              <w:spacing w:after="0"/>
              <w:rPr>
                <w:sz w:val="1"/>
                <w:szCs w:val="1"/>
                <w:color w:val="auto"/>
              </w:rPr>
            </w:pPr>
          </w:p>
        </w:tc>
      </w:tr>
      <w:tr>
        <w:trPr>
          <w:trHeight w:val="168"/>
        </w:trPr>
        <w:tc>
          <w:tcPr>
            <w:tcW w:w="5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060" w:type="dxa"/>
            <w:vAlign w:val="bottom"/>
          </w:tcPr>
          <w:p>
            <w:pPr>
              <w:jc w:val="center"/>
              <w:ind w:left="737"/>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Unrealized gain on derivatives</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6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13</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8"/>
        </w:trPr>
        <w:tc>
          <w:tcPr>
            <w:tcW w:w="5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Distributions to CEG, net of contributions, cash</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6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spacing w:after="0"/>
              <w:rPr>
                <w:sz w:val="14"/>
                <w:szCs w:val="14"/>
                <w:color w:val="auto"/>
              </w:rPr>
            </w:pP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4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6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68"/>
        </w:trPr>
        <w:tc>
          <w:tcPr>
            <w:tcW w:w="5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Mesquite Sky Drop Down</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6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spacing w:after="0"/>
              <w:rPr>
                <w:sz w:val="14"/>
                <w:szCs w:val="14"/>
                <w:color w:val="auto"/>
              </w:rPr>
            </w:pP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Black Rock Drop Down</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6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5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Mililani Drop Down</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left="6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spacing w:after="0"/>
              <w:rPr>
                <w:sz w:val="14"/>
                <w:szCs w:val="14"/>
                <w:color w:val="auto"/>
              </w:rPr>
            </w:pP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72"/>
        </w:trPr>
        <w:tc>
          <w:tcPr>
            <w:tcW w:w="5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Distributions paid to Clearway Energy, Inc.</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center"/>
              <w:ind w:left="657"/>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68"/>
        </w:trPr>
        <w:tc>
          <w:tcPr>
            <w:tcW w:w="5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4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center"/>
              <w:ind w:left="737"/>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88"/>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March 31, 2022</w:t>
            </w:r>
          </w:p>
        </w:tc>
        <w:tc>
          <w:tcPr>
            <w:tcW w:w="40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center"/>
              <w:ind w:left="737"/>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CONSOLIDATED STATEMENTS OF MEMBERS' EQUITY</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2021</w:t>
      </w:r>
    </w:p>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left="165"/>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jc w:val="center"/>
              <w:ind w:left="185"/>
              <w:spacing w:after="0" w:line="108" w:lineRule="exact"/>
              <w:rPr>
                <w:sz w:val="20"/>
                <w:szCs w:val="20"/>
                <w:color w:val="auto"/>
              </w:rPr>
            </w:pPr>
            <w:r>
              <w:rPr>
                <w:rFonts w:ascii="Times New Roman" w:cs="Times New Roman" w:eastAsia="Times New Roman" w:hAnsi="Times New Roman"/>
                <w:sz w:val="11"/>
                <w:szCs w:val="11"/>
                <w:b w:val="1"/>
                <w:bCs w:val="1"/>
                <w:color w:val="auto"/>
              </w:rPr>
              <w:t>Other</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52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0"/>
                <w:szCs w:val="10"/>
                <w:color w:val="auto"/>
              </w:rPr>
            </w:pPr>
          </w:p>
        </w:tc>
        <w:tc>
          <w:tcPr>
            <w:tcW w:w="960" w:type="dxa"/>
            <w:vAlign w:val="bottom"/>
            <w:gridSpan w:val="2"/>
          </w:tcPr>
          <w:p>
            <w:pPr>
              <w:jc w:val="center"/>
              <w:ind w:right="240"/>
              <w:spacing w:after="0" w:line="125" w:lineRule="exact"/>
              <w:rPr>
                <w:sz w:val="20"/>
                <w:szCs w:val="20"/>
                <w:color w:val="auto"/>
              </w:rPr>
            </w:pPr>
            <w:r>
              <w:rPr>
                <w:rFonts w:ascii="Times New Roman" w:cs="Times New Roman" w:eastAsia="Times New Roman" w:hAnsi="Times New Roman"/>
                <w:sz w:val="11"/>
                <w:szCs w:val="11"/>
                <w:b w:val="1"/>
                <w:bCs w:val="1"/>
                <w:color w:val="auto"/>
              </w:rPr>
              <w:t>Contributed</w:t>
            </w:r>
          </w:p>
        </w:tc>
        <w:tc>
          <w:tcPr>
            <w:tcW w:w="12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Accumulated Deficit</w:t>
            </w:r>
          </w:p>
        </w:tc>
        <w:tc>
          <w:tcPr>
            <w:tcW w:w="980" w:type="dxa"/>
            <w:vAlign w:val="bottom"/>
          </w:tcPr>
          <w:p>
            <w:pPr>
              <w:jc w:val="center"/>
              <w:ind w:left="185"/>
              <w:spacing w:after="0" w:line="12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Noncontrolling Interest</w:t>
            </w:r>
          </w:p>
        </w:tc>
        <w:tc>
          <w:tcPr>
            <w:tcW w:w="80" w:type="dxa"/>
            <w:vAlign w:val="bottom"/>
          </w:tcPr>
          <w:p>
            <w:pPr>
              <w:spacing w:after="0"/>
              <w:rPr>
                <w:sz w:val="10"/>
                <w:szCs w:val="10"/>
                <w:color w:val="auto"/>
              </w:rPr>
            </w:pPr>
          </w:p>
        </w:tc>
        <w:tc>
          <w:tcPr>
            <w:tcW w:w="940" w:type="dxa"/>
            <w:vAlign w:val="bottom"/>
          </w:tcPr>
          <w:p>
            <w:pPr>
              <w:jc w:val="right"/>
              <w:ind w:right="337"/>
              <w:spacing w:after="0" w:line="12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52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20" w:type="dxa"/>
            <w:vAlign w:val="bottom"/>
            <w:gridSpan w:val="3"/>
            <w:vMerge w:val="continue"/>
          </w:tcPr>
          <w:p>
            <w:pPr>
              <w:spacing w:after="0"/>
              <w:rPr>
                <w:sz w:val="13"/>
                <w:szCs w:val="13"/>
                <w:color w:val="auto"/>
              </w:rPr>
            </w:pPr>
          </w:p>
        </w:tc>
        <w:tc>
          <w:tcPr>
            <w:tcW w:w="980" w:type="dxa"/>
            <w:vAlign w:val="bottom"/>
          </w:tcPr>
          <w:p>
            <w:pPr>
              <w:jc w:val="center"/>
              <w:ind w:left="185"/>
              <w:spacing w:after="0"/>
              <w:rPr>
                <w:sz w:val="20"/>
                <w:szCs w:val="20"/>
                <w:color w:val="auto"/>
              </w:rPr>
            </w:pPr>
            <w:r>
              <w:rPr>
                <w:rFonts w:ascii="Times New Roman" w:cs="Times New Roman" w:eastAsia="Times New Roman" w:hAnsi="Times New Roman"/>
                <w:sz w:val="11"/>
                <w:szCs w:val="11"/>
                <w:b w:val="1"/>
                <w:bCs w:val="1"/>
                <w:color w:val="auto"/>
              </w:rPr>
              <w:t>Loss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right"/>
              <w:ind w:right="37"/>
              <w:spacing w:after="0"/>
              <w:rPr>
                <w:sz w:val="20"/>
                <w:szCs w:val="20"/>
                <w:color w:val="auto"/>
              </w:rPr>
            </w:pPr>
            <w:r>
              <w:rPr>
                <w:rFonts w:ascii="Times New Roman" w:cs="Times New Roman" w:eastAsia="Times New Roman" w:hAnsi="Times New Roman"/>
                <w:sz w:val="11"/>
                <w:szCs w:val="11"/>
                <w:b w:val="1"/>
                <w:bCs w:val="1"/>
                <w:color w:val="auto"/>
                <w:w w:val="98"/>
              </w:rPr>
              <w:t>Members’ Equity</w:t>
            </w:r>
          </w:p>
        </w:tc>
        <w:tc>
          <w:tcPr>
            <w:tcW w:w="0" w:type="dxa"/>
            <w:vAlign w:val="bottom"/>
          </w:tcPr>
          <w:p>
            <w:pPr>
              <w:spacing w:after="0"/>
              <w:rPr>
                <w:sz w:val="1"/>
                <w:szCs w:val="1"/>
                <w:color w:val="auto"/>
              </w:rPr>
            </w:pPr>
          </w:p>
        </w:tc>
      </w:tr>
      <w:tr>
        <w:trPr>
          <w:trHeight w:val="166"/>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1,723</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center"/>
              <w:ind w:left="316"/>
              <w:spacing w:after="0"/>
              <w:rPr>
                <w:sz w:val="20"/>
                <w:szCs w:val="20"/>
                <w:color w:val="auto"/>
              </w:rPr>
            </w:pPr>
            <w:r>
              <w:rPr>
                <w:rFonts w:ascii="Times New Roman" w:cs="Times New Roman" w:eastAsia="Times New Roman" w:hAnsi="Times New Roman"/>
                <w:sz w:val="13"/>
                <w:szCs w:val="13"/>
                <w:color w:val="auto"/>
              </w:rPr>
              <w:t>(50)</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(33)</w:t>
            </w:r>
          </w:p>
        </w:tc>
        <w:tc>
          <w:tcPr>
            <w:tcW w:w="8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2,612</w:t>
            </w: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loss</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640" w:type="dxa"/>
            <w:vAlign w:val="bottom"/>
          </w:tcPr>
          <w:p>
            <w:pPr>
              <w:jc w:val="center"/>
              <w:ind w:left="316"/>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Unrealized gain on derivatives</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spacing w:after="0"/>
              <w:rPr>
                <w:sz w:val="14"/>
                <w:szCs w:val="14"/>
                <w:color w:val="auto"/>
              </w:rPr>
            </w:pPr>
          </w:p>
        </w:tc>
        <w:tc>
          <w:tcPr>
            <w:tcW w:w="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(Distributions) contributions from CEG, non-cash</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spacing w:after="0"/>
              <w:rPr>
                <w:sz w:val="14"/>
                <w:szCs w:val="14"/>
                <w:color w:val="auto"/>
              </w:rPr>
            </w:pPr>
          </w:p>
        </w:tc>
        <w:tc>
          <w:tcPr>
            <w:tcW w:w="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Contributions from CEG, cash</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Contributions from noncontrolling interests, net of distributions, cash</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7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spacing w:after="0"/>
              <w:rPr>
                <w:sz w:val="14"/>
                <w:szCs w:val="14"/>
                <w:color w:val="auto"/>
              </w:rPr>
            </w:pPr>
          </w:p>
        </w:tc>
        <w:tc>
          <w:tcPr>
            <w:tcW w:w="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Aqua Caliente acquisition</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Rattlesnake Drop Down</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spacing w:after="0"/>
              <w:rPr>
                <w:sz w:val="14"/>
                <w:szCs w:val="14"/>
                <w:color w:val="auto"/>
              </w:rPr>
            </w:pPr>
          </w:p>
        </w:tc>
        <w:tc>
          <w:tcPr>
            <w:tcW w:w="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0" w:type="dxa"/>
            <w:vAlign w:val="bottom"/>
          </w:tcPr>
          <w:p>
            <w:pPr>
              <w:spacing w:after="0"/>
              <w:rPr>
                <w:sz w:val="1"/>
                <w:szCs w:val="1"/>
                <w:color w:val="auto"/>
              </w:rPr>
            </w:pPr>
          </w:p>
        </w:tc>
      </w:tr>
      <w:tr>
        <w:trPr>
          <w:trHeight w:val="172"/>
        </w:trPr>
        <w:tc>
          <w:tcPr>
            <w:tcW w:w="5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Distributions paid to Clearway Energy, Inc.</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0" w:type="dxa"/>
            <w:vAlign w:val="bottom"/>
          </w:tcPr>
          <w:p>
            <w:pPr>
              <w:spacing w:after="0"/>
              <w:rPr>
                <w:sz w:val="1"/>
                <w:szCs w:val="1"/>
                <w:color w:val="auto"/>
              </w:rPr>
            </w:pPr>
          </w:p>
        </w:tc>
      </w:tr>
      <w:tr>
        <w:trPr>
          <w:trHeight w:val="168"/>
        </w:trPr>
        <w:tc>
          <w:tcPr>
            <w:tcW w:w="52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Distributions paid to CEG Class B and Class D unit holders</w:t>
            </w: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jc w:val="center"/>
              <w:ind w:left="2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Pr>
          <w:p>
            <w:pPr>
              <w:spacing w:after="0"/>
              <w:rPr>
                <w:sz w:val="14"/>
                <w:szCs w:val="14"/>
                <w:color w:val="auto"/>
              </w:rPr>
            </w:pPr>
          </w:p>
        </w:tc>
        <w:tc>
          <w:tcPr>
            <w:tcW w:w="3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0" w:type="dxa"/>
            <w:vAlign w:val="bottom"/>
          </w:tcPr>
          <w:p>
            <w:pPr>
              <w:spacing w:after="0"/>
              <w:rPr>
                <w:sz w:val="1"/>
                <w:szCs w:val="1"/>
                <w:color w:val="auto"/>
              </w:rPr>
            </w:pPr>
          </w:p>
        </w:tc>
      </w:tr>
      <w:tr>
        <w:trPr>
          <w:trHeight w:val="188"/>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Balances at March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shd w:val="clear" w:color="auto" w:fill="CCEEFF"/>
          </w:tcPr>
          <w:p>
            <w:pPr>
              <w:jc w:val="center"/>
              <w:ind w:left="316"/>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ind w:right="86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2,873</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28"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CLEARWAY ENERGY LLC</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1 — </w:t>
      </w:r>
      <w:r>
        <w:rPr>
          <w:rFonts w:ascii="Times New Roman" w:cs="Times New Roman" w:eastAsia="Times New Roman" w:hAnsi="Times New Roman"/>
          <w:sz w:val="14"/>
          <w:szCs w:val="14"/>
          <w:b w:val="1"/>
          <w:bCs w:val="1"/>
          <w:i w:val="1"/>
          <w:iCs w:val="1"/>
          <w:color w:val="auto"/>
        </w:rPr>
        <w:t>Nature of Business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one of the largest renewable energy owners in the U.S. with over 5,000 net MW of installed wind and solar generation projects. The Company's over 7,500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w:t>
      </w:r>
    </w:p>
    <w:p>
      <w:pPr>
        <w:spacing w:after="0" w:line="9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Clearway Energy, Inc. consolidates the results of the Company through its controlling interest, with CEG’s interest shown as contributed capital in the Company’s consolidated financial statements. The holders of Clearway Energy, Inc.’s outstanding shares of Class A and Class C common stock are entitled to dividends as declared. CEG receives its distributions from the Company through its ownership of the Company's Class B and Class D units.</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Clearway Energy, Inc. owned 57.68% of the economic interests of the Company, with CEG owning 42.32% of the economic interests of the Company as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4"/>
          <w:szCs w:val="14"/>
          <w:color w:val="auto"/>
        </w:rPr>
        <w:t>The following table represents the structure of the Company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4608195" cy="3482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08195" cy="348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of Presentation</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2021 Form 10-K. Interim results are not necessarily indicative of results for a full year.</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2022, and results of operations, comprehensive loss and cash flows for the three months ended March 31, 2022 and 2021.</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2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They also impact the reported amounts of net earnings during the reporting periods. Actual results could be different from these estimates.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Cash and cash equivalents include highly liquid investments with an original maturity of three months or less at the time of purchase. Cash and cash equivalents held at project subsidiaries was $95 million and $146 million as of March 31, 2022 and December 31, 2021, respectively.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560" w:type="dxa"/>
            <w:vAlign w:val="bottom"/>
          </w:tcPr>
          <w:p>
            <w:pPr>
              <w:spacing w:after="0"/>
              <w:rPr>
                <w:sz w:val="14"/>
                <w:szCs w:val="14"/>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61"/>
        </w:trPr>
        <w:tc>
          <w:tcPr>
            <w:tcW w:w="75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460" w:type="dxa"/>
            <w:vAlign w:val="bottom"/>
          </w:tcPr>
          <w:p>
            <w:pPr>
              <w:spacing w:after="0"/>
              <w:rPr>
                <w:sz w:val="14"/>
                <w:szCs w:val="14"/>
                <w:color w:val="auto"/>
              </w:rPr>
            </w:pPr>
          </w:p>
        </w:tc>
      </w:tr>
      <w:tr>
        <w:trPr>
          <w:trHeight w:val="182"/>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4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w:t>
            </w:r>
          </w:p>
        </w:tc>
      </w:tr>
      <w:tr>
        <w:trPr>
          <w:trHeight w:val="196"/>
        </w:trPr>
        <w:tc>
          <w:tcPr>
            <w:tcW w:w="7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cash equivalents and restricted cash shown in the consolidated statements of cash flows</w:t>
            </w:r>
          </w:p>
        </w:tc>
        <w:tc>
          <w:tcPr>
            <w:tcW w:w="1440" w:type="dxa"/>
            <w:vAlign w:val="bottom"/>
            <w:tcBorders>
              <w:bottom w:val="single" w:sz="8" w:color="auto"/>
            </w:tcBorders>
            <w:shd w:val="clear" w:color="auto" w:fill="CCEEFF"/>
          </w:tcPr>
          <w:p>
            <w:pPr>
              <w:jc w:val="right"/>
              <w:ind w:right="1272"/>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Restricted cash consists primarily of funds held to satisfy the requirements of certain debt agreements and funds held within the Company’s projects that are restricted in their use. As of March 31, 2022, these restricted funds were comprised of $135 million designated to fund operating expenses, $38 million designated for current debt service payments and $135 million restricted for reserves including debt service, performance obligations and other reserves as well as capital expenditures. The remaining $18 million is held in distributions reserve accounts.</w:t>
      </w:r>
    </w:p>
    <w:p>
      <w:pPr>
        <w:spacing w:after="0" w:line="9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2020, the members of the partnerships holding the Oahu Solar and Kawailoa Solar projects submitted applications to the state of Hawaii for refundable tax credits based on the cost of construction of the projects. In 2021, the members of the partnerships contributed their respective portions of the tax credits in the amount of $49 million to the Oahu Solar and Kawailoa project companies, which was recorded to restricted cash on the Company’s consolidated balance sheet with an offsetting adjustment to noncontrolling interests. In accordance with the projects’ related agreements, the cash is held in a restricted account and utilized to offset invoiced amounts under the projects’ PPAs. As of March 31, 2022, $23 million of the $49 million has been utilized to offset invoiced amounts under the projects’ PPAs.</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i w:val="1"/>
          <w:iCs w:val="1"/>
          <w:color w:val="auto"/>
        </w:rPr>
        <w:t>Accumulated Depreciation and Accumulated Amortization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presents the accumulated depreciation included in property, plant and equipment, net, and accumulated amortization included in intangible assets, net, respectively, as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2022 and December 31, 2021:</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December 31, 2021</w:t>
            </w:r>
          </w:p>
        </w:tc>
      </w:tr>
      <w:tr>
        <w:trPr>
          <w:trHeight w:val="161"/>
        </w:trPr>
        <w:tc>
          <w:tcPr>
            <w:tcW w:w="7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500" w:type="dxa"/>
            <w:vAlign w:val="bottom"/>
          </w:tcPr>
          <w:p>
            <w:pPr>
              <w:spacing w:after="0"/>
              <w:rPr>
                <w:sz w:val="14"/>
                <w:szCs w:val="14"/>
                <w:color w:val="auto"/>
              </w:rPr>
            </w:pPr>
          </w:p>
        </w:tc>
      </w:tr>
      <w:tr>
        <w:trPr>
          <w:trHeight w:val="182"/>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Accumulated Depreciation</w:t>
            </w:r>
          </w:p>
        </w:tc>
        <w:tc>
          <w:tcPr>
            <w:tcW w:w="142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2,623</w:t>
            </w:r>
          </w:p>
        </w:tc>
        <w:tc>
          <w:tcPr>
            <w:tcW w:w="2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2,501</w:t>
            </w:r>
          </w:p>
        </w:tc>
      </w:tr>
      <w:tr>
        <w:trPr>
          <w:trHeight w:val="184"/>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Accumulated Amortization</w:t>
            </w:r>
          </w:p>
        </w:tc>
        <w:tc>
          <w:tcPr>
            <w:tcW w:w="142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646</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r>
      <w:tr>
        <w:trPr>
          <w:trHeight w:val="357"/>
        </w:trPr>
        <w:tc>
          <w:tcPr>
            <w:tcW w:w="74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Distributions</w:t>
            </w:r>
          </w:p>
        </w:tc>
        <w:tc>
          <w:tcPr>
            <w:tcW w:w="1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97"/>
        </w:trPr>
        <w:tc>
          <w:tcPr>
            <w:tcW w:w="8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following table lists distributions paid on the Company's Class A, B, C and D units during the three months ended March 31, 2022:</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4"/>
        </w:trPr>
        <w:tc>
          <w:tcPr>
            <w:tcW w:w="748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First Quarter 2022</w:t>
            </w:r>
          </w:p>
        </w:tc>
      </w:tr>
      <w:tr>
        <w:trPr>
          <w:trHeight w:val="18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Distributions per Class A, B, C and D unit</w:t>
            </w:r>
          </w:p>
        </w:tc>
        <w:tc>
          <w:tcPr>
            <w:tcW w:w="1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0.3468</w:t>
            </w: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4, 2022, the Company declared a distribution on its Class A, Class B, Class C and Class D units of $0.3536 per unit payable on June 15, 2022 to unit holders of record as of June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Revenue from Contracts with Customers</w:t>
      </w:r>
    </w:p>
    <w:p>
      <w:pPr>
        <w:spacing w:after="0" w:line="136"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applies the guidance in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Thermal Revenues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consolidated statements of operations.</w:t>
      </w:r>
    </w:p>
    <w:p>
      <w:pPr>
        <w:spacing w:after="0" w:line="98"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4"/>
          <w:szCs w:val="14"/>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267"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r>
        <w:rPr>
          <w:rFonts w:ascii="Times New Roman" w:cs="Times New Roman" w:eastAsia="Times New Roman" w:hAnsi="Times New Roman"/>
          <w:sz w:val="14"/>
          <w:szCs w:val="14"/>
          <w:color w:val="auto"/>
        </w:rPr>
        <w:t>.</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Power Purchase Agreements, or PPAs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 xml:space="preserve">The majority of the Company’s revenues are obtained through PPAs or similar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operating leases as the Company retained its historical lease assessments and classification upon adoption of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Renewable Energy Credits, or RECs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Renewable energy credits, or RECs, are usually sold through long-term PPAs or through REC contracts with counterparties. Revenue from the sale of self-generated RECs is recognized when the related energy is generated and simultaneously delivered even in cases where there is a certification lag as it has been deemed to be perfunctory.</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4"/>
          <w:szCs w:val="14"/>
          <w:i w:val="1"/>
          <w:iCs w:val="1"/>
          <w:color w:val="auto"/>
        </w:rPr>
        <w:t>Disaggregated Revenues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tables represent the Company’s disaggregation of revenue from contracts with customers along with the reportable segment for each category for the three months ended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31, 2022 and 2021, respectively:</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Three months ended March 31, 2022</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r>
      <w:tr>
        <w:trPr>
          <w:trHeight w:val="154"/>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w w:val="85"/>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333333"/>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195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333333"/>
                <w:w w:val="85"/>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w:t>
            </w:r>
          </w:p>
        </w:tc>
      </w:tr>
      <w:tr>
        <w:trPr>
          <w:trHeight w:val="244"/>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amortization</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333333"/>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14</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71"/>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Lease revenue</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(162)</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71"/>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120" w:hanging="115"/>
        <w:spacing w:after="0"/>
        <w:tabs>
          <w:tab w:leader="none" w:pos="12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following amounts of energy and capacity revenue relate to leases and are accounted for under ASC 842:</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5"/>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96"/>
        </w:trPr>
        <w:tc>
          <w:tcPr>
            <w:tcW w:w="5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335"/>
        </w:trPr>
        <w:tc>
          <w:tcPr>
            <w:tcW w:w="5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Three months ended March 31, 2021</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57"/>
        </w:trPr>
        <w:tc>
          <w:tcPr>
            <w:tcW w:w="51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0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2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3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3"/>
        </w:trPr>
        <w:tc>
          <w:tcPr>
            <w:tcW w:w="5140" w:type="dxa"/>
            <w:vAlign w:val="bottom"/>
            <w:tcBorders>
              <w:top w:val="single" w:sz="8" w:color="CCEEFF"/>
            </w:tcBorders>
            <w:shd w:val="clear" w:color="auto" w:fill="CCEEFF"/>
          </w:tcPr>
          <w:p>
            <w:pPr>
              <w:ind w:left="20"/>
              <w:spacing w:after="0" w:line="173" w:lineRule="exact"/>
              <w:rPr>
                <w:sz w:val="20"/>
                <w:szCs w:val="20"/>
                <w:color w:val="auto"/>
              </w:rPr>
            </w:pPr>
            <w:r>
              <w:rPr>
                <w:rFonts w:ascii="Times New Roman" w:cs="Times New Roman" w:eastAsia="Times New Roman" w:hAnsi="Times New Roman"/>
                <w:sz w:val="14"/>
                <w:szCs w:val="14"/>
                <w:color w:val="auto"/>
              </w:rPr>
              <w:t xml:space="preserve">Energy revenue </w:t>
            </w:r>
            <w:r>
              <w:rPr>
                <w:rFonts w:ascii="Times New Roman" w:cs="Times New Roman" w:eastAsia="Times New Roman" w:hAnsi="Times New Roman"/>
                <w:sz w:val="18"/>
                <w:szCs w:val="18"/>
                <w:color w:val="auto"/>
                <w:vertAlign w:val="superscript"/>
              </w:rPr>
              <w:t>(a)</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r>
      <w:tr>
        <w:trPr>
          <w:trHeight w:val="180"/>
        </w:trPr>
        <w:tc>
          <w:tcPr>
            <w:tcW w:w="514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Capacity revenue </w:t>
            </w:r>
            <w:r>
              <w:rPr>
                <w:rFonts w:ascii="Times New Roman" w:cs="Times New Roman" w:eastAsia="Times New Roman" w:hAnsi="Times New Roman"/>
                <w:sz w:val="18"/>
                <w:szCs w:val="18"/>
                <w:color w:val="auto"/>
                <w:vertAlign w:val="superscript"/>
              </w:rPr>
              <w:t>(a)</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amortization</w:t>
            </w: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w:t>
            </w:r>
          </w:p>
        </w:tc>
        <w:tc>
          <w:tcPr>
            <w:tcW w:w="10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71"/>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operating revenues</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Mark-to-market for economic hedges</w:t>
            </w: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Lease revenue</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18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Contract amortization</w:t>
            </w:r>
          </w:p>
        </w:tc>
        <w:tc>
          <w:tcPr>
            <w:tcW w:w="10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71"/>
        </w:trPr>
        <w:tc>
          <w:tcPr>
            <w:tcW w:w="5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0"/>
        </w:trPr>
        <w:tc>
          <w:tcPr>
            <w:tcW w:w="5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20" w:hanging="115"/>
        <w:spacing w:after="0"/>
        <w:tabs>
          <w:tab w:leader="none" w:pos="120"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The following amounts of energy and capacity revenue relate to leases and are accounted for under ASC 842: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3"/>
                <w:szCs w:val="13"/>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Conventional Generation</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53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5"/>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Energy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80"/>
        </w:trPr>
        <w:tc>
          <w:tcPr>
            <w:tcW w:w="5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Capacity revenue</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5"/>
                <w:szCs w:val="15"/>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96"/>
        </w:trPr>
        <w:tc>
          <w:tcPr>
            <w:tcW w:w="5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i w:val="1"/>
          <w:iCs w:val="1"/>
          <w:color w:val="auto"/>
        </w:rPr>
        <w:t>Contract Amortization</w:t>
      </w:r>
    </w:p>
    <w:p>
      <w:pPr>
        <w:spacing w:after="0" w:line="138"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Assets and liabilities recognized from power sales agreements assumed through acquisitions relating to the sale of electric capacity and energy in future periods arising from differences in contract and market prices are amortized to revenue over the term of each underlying contract based on actual generation and/or contracted volumes or on a straight-line basis, where applicable.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4"/>
          <w:szCs w:val="14"/>
          <w:i w:val="1"/>
          <w:iCs w:val="1"/>
          <w:color w:val="auto"/>
        </w:rPr>
        <w:t>Contract Balances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contract assets and liabilities included on the Company’s consolidated balance sheets as of March 31, 2022 and December 31, 2021:</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tcPr>
          <w:p>
            <w:pPr>
              <w:spacing w:after="0"/>
              <w:rPr>
                <w:sz w:val="14"/>
                <w:szCs w:val="14"/>
                <w:color w:val="auto"/>
              </w:rPr>
            </w:pPr>
          </w:p>
        </w:tc>
        <w:tc>
          <w:tcPr>
            <w:tcW w:w="1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3"/>
                <w:szCs w:val="13"/>
                <w:b w:val="1"/>
                <w:bCs w:val="1"/>
                <w:color w:val="auto"/>
                <w:w w:val="98"/>
              </w:rPr>
              <w:t>December 31, 2021</w:t>
            </w:r>
          </w:p>
        </w:tc>
      </w:tr>
      <w:tr>
        <w:trPr>
          <w:trHeight w:val="173"/>
        </w:trPr>
        <w:tc>
          <w:tcPr>
            <w:tcW w:w="74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80" w:type="dxa"/>
            <w:vAlign w:val="bottom"/>
          </w:tcPr>
          <w:p>
            <w:pPr>
              <w:spacing w:after="0"/>
              <w:rPr>
                <w:sz w:val="15"/>
                <w:szCs w:val="15"/>
                <w:color w:val="auto"/>
              </w:rPr>
            </w:pPr>
          </w:p>
        </w:tc>
      </w:tr>
      <w:tr>
        <w:trPr>
          <w:trHeight w:val="18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 - Contracts with customers</w:t>
            </w:r>
          </w:p>
        </w:tc>
        <w:tc>
          <w:tcPr>
            <w:tcW w:w="1440" w:type="dxa"/>
            <w:vAlign w:val="bottom"/>
            <w:shd w:val="clear" w:color="auto" w:fill="CCEEFF"/>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0"/>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Accounts receivable, net - Leases</w:t>
            </w:r>
          </w:p>
        </w:tc>
        <w:tc>
          <w:tcPr>
            <w:tcW w:w="14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accounts receivable, net</w:t>
            </w:r>
          </w:p>
        </w:tc>
        <w:tc>
          <w:tcPr>
            <w:tcW w:w="1440" w:type="dxa"/>
            <w:vAlign w:val="bottom"/>
            <w:tcBorders>
              <w:bottom w:val="single" w:sz="8" w:color="auto"/>
            </w:tcBorders>
            <w:shd w:val="clear" w:color="auto" w:fill="CCEEFF"/>
          </w:tcPr>
          <w:p>
            <w:pPr>
              <w:jc w:val="right"/>
              <w:ind w:right="129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Standards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In March 2020, the FASB issued ASU No. 2020-04, Facilitation of the Effects of Reference Rate Reform on Financial Reporting. The amendments provide for optional expedients and exceptions for applying GAAP to contracts, hedging relationships and other transactions affected by reference rate reform if certain criteria are met. These amendments apply only to contracts that reference LIBOR or another reference rate expected to be discontinued because of reference rate reform, which affects certain of the Company’s debt and interest rate swap agreements. The guidance is effective for all entities as of March 12, 2020 through December 31, 2022. As of March 31, 2022, the Company has applied the amendments to all of its eligible contract modifications, where applicable, during the reference rate reform period. Additionally, the Company has not elected any optional expedients provided in the standard.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3 — </w:t>
      </w:r>
      <w:r>
        <w:rPr>
          <w:rFonts w:ascii="Times New Roman" w:cs="Times New Roman" w:eastAsia="Times New Roman" w:hAnsi="Times New Roman"/>
          <w:sz w:val="14"/>
          <w:szCs w:val="14"/>
          <w:b w:val="1"/>
          <w:bCs w:val="1"/>
          <w:i w:val="1"/>
          <w:iCs w:val="1"/>
          <w:color w:val="auto"/>
        </w:rPr>
        <w:t>Acquisitions and Dispositions</w:t>
      </w:r>
    </w:p>
    <w:p>
      <w:pPr>
        <w:spacing w:after="0" w:line="13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 xml:space="preserve">Mililani I Drop Down — </w:t>
      </w:r>
      <w:r>
        <w:rPr>
          <w:rFonts w:ascii="Times New Roman" w:cs="Times New Roman" w:eastAsia="Times New Roman" w:hAnsi="Times New Roman"/>
          <w:sz w:val="14"/>
          <w:szCs w:val="14"/>
          <w:color w:val="auto"/>
        </w:rPr>
        <w:t>On March 25, 2022, the Company, through its indirect subsidiary, Lighthouse Renewable Holdco LLC, acquired Mililani BL Borrower Holdco LLC, the indirect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as further described in Note 4, </w:t>
      </w:r>
      <w:r>
        <w:rPr>
          <w:rFonts w:ascii="Times New Roman" w:cs="Times New Roman" w:eastAsia="Times New Roman" w:hAnsi="Times New Roman"/>
          <w:sz w:val="14"/>
          <w:szCs w:val="14"/>
          <w:i w:val="1"/>
          <w:iCs w:val="1"/>
          <w:color w:val="auto"/>
        </w:rPr>
        <w:t>Investments Accounted for by the Equity Method and Variable Interest Entities</w:t>
      </w:r>
      <w:r>
        <w:rPr>
          <w:rFonts w:ascii="Times New Roman" w:cs="Times New Roman" w:eastAsia="Times New Roman" w:hAnsi="Times New Roman"/>
          <w:sz w:val="14"/>
          <w:szCs w:val="14"/>
          <w:color w:val="auto"/>
        </w:rPr>
        <w:t xml:space="preserve">. Mililani I has a 20-year power purchase agreement with an investment-grade utility that commences when the project achieves commercial operations. The Mililani I operations are reflected in the Company’s Renewables segment and the acquisition was funded with existing sources of liquidity. The acquisition was determined to be an asset acquisition and the Company consolidates Mililani I on a prospective basis in its financial statements. The assets and liabilities transferred to the Company relate to interests under common control by GIP and were recorded at historical cost in accordance with ASC 805-50, </w:t>
      </w:r>
      <w:r>
        <w:rPr>
          <w:rFonts w:ascii="Times New Roman" w:cs="Times New Roman" w:eastAsia="Times New Roman" w:hAnsi="Times New Roman"/>
          <w:sz w:val="14"/>
          <w:szCs w:val="14"/>
          <w:i w:val="1"/>
          <w:iCs w:val="1"/>
          <w:color w:val="auto"/>
        </w:rPr>
        <w:t>Business Combinations - Related Issues</w:t>
      </w:r>
      <w:r>
        <w:rPr>
          <w:rFonts w:ascii="Times New Roman" w:cs="Times New Roman" w:eastAsia="Times New Roman" w:hAnsi="Times New Roman"/>
          <w:sz w:val="14"/>
          <w:szCs w:val="14"/>
          <w:color w:val="auto"/>
        </w:rPr>
        <w:t>. The sum of the cash paid of $22 million and the historical cost of the Company’s net liabilities assumed of $8 million was recorded as an adjustment to CEG’s contributed capital balance. In addition, the Company reflected $15 million of the Company’s purchase price, which was contributed back by CEG to pay down the acquired long-term debt, as distributions to CEG, net of contributions, in the consolidated statement of members’ equity.</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4"/>
          <w:szCs w:val="14"/>
          <w:color w:val="auto"/>
        </w:rPr>
        <w:t>The following is a summary of assets and liabilities transferred in connection with the acquisition as of March 25,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3"/>
                <w:szCs w:val="13"/>
                <w:b w:val="1"/>
                <w:bCs w:val="1"/>
                <w:color w:val="auto"/>
              </w:rPr>
              <w:t>Mililani I</w:t>
            </w:r>
          </w:p>
        </w:tc>
      </w:tr>
      <w:tr>
        <w:trPr>
          <w:trHeight w:val="173"/>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620" w:type="dxa"/>
            <w:vAlign w:val="bottom"/>
            <w:shd w:val="clear" w:color="auto" w:fill="CCEEFF"/>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8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Right-of-use-assets</w:t>
            </w:r>
          </w:p>
        </w:tc>
        <w:tc>
          <w:tcPr>
            <w:tcW w:w="62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assets acquired</w:t>
            </w:r>
          </w:p>
        </w:tc>
        <w:tc>
          <w:tcPr>
            <w:tcW w:w="620" w:type="dxa"/>
            <w:vAlign w:val="bottom"/>
          </w:tcPr>
          <w:p>
            <w:pPr>
              <w:spacing w:after="0"/>
              <w:rPr>
                <w:sz w:val="14"/>
                <w:szCs w:val="1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r>
      <w:tr>
        <w:trPr>
          <w:trHeight w:val="212"/>
        </w:trPr>
        <w:tc>
          <w:tcPr>
            <w:tcW w:w="8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180"/>
        </w:trPr>
        <w:tc>
          <w:tcPr>
            <w:tcW w:w="8460" w:type="dxa"/>
            <w:vAlign w:val="bottom"/>
          </w:tcPr>
          <w:p>
            <w:pPr>
              <w:ind w:left="120"/>
              <w:spacing w:after="0" w:line="181" w:lineRule="exact"/>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color w:val="auto"/>
                <w:vertAlign w:val="superscript"/>
              </w:rPr>
              <w:t>(a)</w:t>
            </w:r>
          </w:p>
        </w:tc>
        <w:tc>
          <w:tcPr>
            <w:tcW w:w="620" w:type="dxa"/>
            <w:vAlign w:val="bottom"/>
          </w:tcPr>
          <w:p>
            <w:pPr>
              <w:spacing w:after="0"/>
              <w:rPr>
                <w:sz w:val="15"/>
                <w:szCs w:val="15"/>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8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620" w:type="dxa"/>
            <w:vAlign w:val="bottom"/>
            <w:shd w:val="clear" w:color="auto" w:fill="CCEEFF"/>
          </w:tcPr>
          <w:p>
            <w:pPr>
              <w:spacing w:after="0"/>
              <w:rPr>
                <w:sz w:val="15"/>
                <w:szCs w:val="15"/>
                <w:color w:val="auto"/>
              </w:rPr>
            </w:pP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0"/>
        </w:trPr>
        <w:tc>
          <w:tcPr>
            <w:tcW w:w="8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Other current and non-current liabilities</w:t>
            </w:r>
          </w:p>
        </w:tc>
        <w:tc>
          <w:tcPr>
            <w:tcW w:w="6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7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620" w:type="dxa"/>
            <w:vAlign w:val="bottom"/>
            <w:tcBorders>
              <w:bottom w:val="single" w:sz="8" w:color="auto"/>
            </w:tcBorders>
            <w:shd w:val="clear" w:color="auto" w:fill="CCEEFF"/>
          </w:tcPr>
          <w:p>
            <w:pPr>
              <w:spacing w:after="0"/>
              <w:rPr>
                <w:sz w:val="14"/>
                <w:szCs w:val="14"/>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171"/>
        </w:trPr>
        <w:tc>
          <w:tcPr>
            <w:tcW w:w="84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liabilities assumed</w:t>
            </w:r>
          </w:p>
        </w:tc>
        <w:tc>
          <w:tcPr>
            <w:tcW w:w="62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color w:val="auto"/>
                <w:w w:val="85"/>
              </w:rPr>
              <w:t>$</w:t>
            </w: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
        </w:trPr>
        <w:tc>
          <w:tcPr>
            <w:tcW w:w="8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5"/>
        <w:spacing w:after="0" w:line="267" w:lineRule="auto"/>
        <w:tabs>
          <w:tab w:leader="none" w:pos="11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a $16 million construction loan, $27 million sponsor equity bridge loan and $60 million tax equity bridge loan, offset by $3 million in unamortized debt issuance costs. The sponsor equity bridge loan was repaid at acquisition date utilizing $14 million from the cash equity investor, as well as $15 million of the Company's purchase price, which was contributed back to the Company by CEG, of which $27 million was utilized to pay down the acquired long-term debt and $2 million was utilized to pay associated fees. Also at acquisition date, the tax equity investor contributed $18 million into escrow, which is included in restricted cash on the Company's consolidated balance sheet at March 31, 2022. The tax equity investor will contribute an additional $42 million when the project reaches substantial completion, which will be utilized, along with the $18 million in escrow, to repay the $60 million tax equity bridge loan. The project is expected to achieve commercial operations in the second half of 2022.</w:t>
      </w:r>
    </w:p>
    <w:p>
      <w:pPr>
        <w:spacing w:after="0" w:line="24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 xml:space="preserve">Thermal Disposition </w:t>
      </w:r>
      <w:r>
        <w:rPr>
          <w:rFonts w:ascii="Times New Roman" w:cs="Times New Roman" w:eastAsia="Times New Roman" w:hAnsi="Times New Roman"/>
          <w:sz w:val="14"/>
          <w:szCs w:val="14"/>
          <w:color w:val="auto"/>
        </w:rPr>
        <w:t>— On May 1, 2022, the Company completed the sale of 100% of its interests in the Thermal Business to KKR for net proceeds of approximately $1.46 billion, inclusive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working capital, which excludes approximately $20 million in transaction expenses that were incurred in connection with the disposition. The Company estimates that the Thermal Disposition will result in a gain of approximately $1.31 billion. Effective with the approval by the Board of Directors and signing of the agreement to sell the Thermal Business on October 22, 2021, the Company concluded that all entities that are included within the Thermal Business will be treated as held for sale on a prospective basis, thus the assets and liabilities were reported as separate held for sale line items on the Company’s consolidated balance sheets as of March 31, 2022 and December 31, 2021. As of March 31, 2022, property, plant and equipment represented 76% and intangible assets represented 9% of assets classified as held for sale while long-term debt represented 83% of liabilities classified as held for sale. As of December 31, 2021, property, plant and equipment represented 78% and intangible assets represented 9% of assets classified as held for sale while long-term debt represented 85% of liabilities classified as held for sale. The Company’s Thermal segment is comprised solely of the Thermal Business's results of operations.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4 — </w:t>
      </w:r>
      <w:r>
        <w:rPr>
          <w:rFonts w:ascii="Times New Roman" w:cs="Times New Roman" w:eastAsia="Times New Roman" w:hAnsi="Times New Roman"/>
          <w:sz w:val="14"/>
          <w:szCs w:val="14"/>
          <w:b w:val="1"/>
          <w:bCs w:val="1"/>
          <w:i w:val="1"/>
          <w:iCs w:val="1"/>
          <w:color w:val="auto"/>
        </w:rPr>
        <w:t>Investments Accounted for by the Equity Method and Variable Interest Entities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Consolidated</w:t>
      </w:r>
    </w:p>
    <w:p>
      <w:pPr>
        <w:spacing w:after="0" w:line="12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 xml:space="preserve">The Company has a controlling financial interest in certain entities which have been identified as VIEs under ASC 810, </w:t>
      </w:r>
      <w:r>
        <w:rPr>
          <w:rFonts w:ascii="Times New Roman" w:cs="Times New Roman" w:eastAsia="Times New Roman" w:hAnsi="Times New Roman"/>
          <w:sz w:val="14"/>
          <w:szCs w:val="14"/>
          <w:i w:val="1"/>
          <w:iCs w:val="1"/>
          <w:color w:val="auto"/>
        </w:rPr>
        <w:t>Consolidations</w:t>
      </w:r>
      <w:r>
        <w:rPr>
          <w:rFonts w:ascii="Times New Roman" w:cs="Times New Roman" w:eastAsia="Times New Roman" w:hAnsi="Times New Roman"/>
          <w:sz w:val="14"/>
          <w:szCs w:val="14"/>
          <w:color w:val="auto"/>
        </w:rPr>
        <w:t xml:space="preserve">, or ASC 810. These arrangements are primarily related to tax equity arrangements entered into with third parties in order to monetize certain tax credits associated with wind and solar facilities, as further described under Item 15 — Note 5, </w:t>
      </w:r>
      <w:r>
        <w:rPr>
          <w:rFonts w:ascii="Times New Roman" w:cs="Times New Roman" w:eastAsia="Times New Roman" w:hAnsi="Times New Roman"/>
          <w:sz w:val="14"/>
          <w:szCs w:val="14"/>
          <w:i w:val="1"/>
          <w:iCs w:val="1"/>
          <w:color w:val="auto"/>
        </w:rPr>
        <w:t>Investments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Accounted for by the Equity Method and Variable Interest Entities,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Form 10</w:t>
      </w:r>
      <w:r>
        <w:rPr>
          <w:rFonts w:ascii="Times New Roman" w:cs="Times New Roman" w:eastAsia="Times New Roman" w:hAnsi="Times New Roman"/>
          <w:sz w:val="14"/>
          <w:szCs w:val="14"/>
          <w:color w:val="auto"/>
        </w:rPr>
        <w:t>-K.</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4"/>
          <w:szCs w:val="14"/>
          <w:color w:val="auto"/>
        </w:rPr>
        <w:t>Summarized financial information for the Company's consolidated VIEs consisted of the following as of March 31, 2022:</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Buckthorn Renewables,</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9"/>
              </w:rPr>
              <w:t>Langford TE</w:t>
            </w:r>
          </w:p>
        </w:tc>
        <w:tc>
          <w:tcPr>
            <w:tcW w:w="140" w:type="dxa"/>
            <w:vAlign w:val="bottom"/>
          </w:tcPr>
          <w:p>
            <w:pPr>
              <w:spacing w:after="0"/>
              <w:rPr>
                <w:sz w:val="10"/>
                <w:szCs w:val="10"/>
                <w:color w:val="auto"/>
              </w:rPr>
            </w:pPr>
          </w:p>
        </w:tc>
        <w:tc>
          <w:tcPr>
            <w:tcW w:w="1140" w:type="dxa"/>
            <w:vAlign w:val="bottom"/>
          </w:tcPr>
          <w:p>
            <w:pPr>
              <w:jc w:val="right"/>
              <w:ind w:right="74"/>
              <w:spacing w:after="0"/>
              <w:rPr>
                <w:sz w:val="20"/>
                <w:szCs w:val="20"/>
                <w:color w:val="auto"/>
              </w:rPr>
            </w:pPr>
            <w:r>
              <w:rPr>
                <w:rFonts w:ascii="Times New Roman" w:cs="Times New Roman" w:eastAsia="Times New Roman" w:hAnsi="Times New Roman"/>
                <w:sz w:val="10"/>
                <w:szCs w:val="10"/>
                <w:b w:val="1"/>
                <w:bCs w:val="1"/>
                <w:color w:val="auto"/>
              </w:rPr>
              <w:t>Lighthouse Renewable</w:t>
            </w:r>
          </w:p>
        </w:tc>
        <w:tc>
          <w:tcPr>
            <w:tcW w:w="140" w:type="dxa"/>
            <w:vAlign w:val="bottom"/>
          </w:tcPr>
          <w:p>
            <w:pPr>
              <w:spacing w:after="0"/>
              <w:rPr>
                <w:sz w:val="10"/>
                <w:szCs w:val="10"/>
                <w:color w:val="auto"/>
              </w:rPr>
            </w:pPr>
          </w:p>
        </w:tc>
        <w:tc>
          <w:tcPr>
            <w:tcW w:w="1120" w:type="dxa"/>
            <w:vAlign w:val="bottom"/>
          </w:tcPr>
          <w:p>
            <w:pPr>
              <w:jc w:val="right"/>
              <w:ind w:right="74"/>
              <w:spacing w:after="0"/>
              <w:rPr>
                <w:sz w:val="20"/>
                <w:szCs w:val="20"/>
                <w:color w:val="auto"/>
              </w:rPr>
            </w:pPr>
            <w:r>
              <w:rPr>
                <w:rFonts w:ascii="Times New Roman" w:cs="Times New Roman" w:eastAsia="Times New Roman" w:hAnsi="Times New Roman"/>
                <w:sz w:val="10"/>
                <w:szCs w:val="10"/>
                <w:b w:val="1"/>
                <w:bCs w:val="1"/>
                <w:color w:val="auto"/>
                <w:w w:val="98"/>
              </w:rPr>
              <w:t>Lighthouse Renewable</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Alta TE Holdco</w:t>
            </w:r>
          </w:p>
        </w:tc>
        <w:tc>
          <w:tcPr>
            <w:tcW w:w="260" w:type="dxa"/>
            <w:vAlign w:val="bottom"/>
          </w:tcPr>
          <w:p>
            <w:pPr>
              <w:spacing w:after="0"/>
              <w:rPr>
                <w:sz w:val="12"/>
                <w:szCs w:val="12"/>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LLC</w:t>
            </w:r>
          </w:p>
        </w:tc>
        <w:tc>
          <w:tcPr>
            <w:tcW w:w="160" w:type="dxa"/>
            <w:vAlign w:val="bottom"/>
          </w:tcPr>
          <w:p>
            <w:pPr>
              <w:spacing w:after="0"/>
              <w:rPr>
                <w:sz w:val="12"/>
                <w:szCs w:val="12"/>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DGPV Funds</w:t>
            </w:r>
            <w:r>
              <w:rPr>
                <w:rFonts w:ascii="Times New Roman" w:cs="Times New Roman" w:eastAsia="Times New Roman" w:hAnsi="Times New Roman"/>
                <w:sz w:val="12"/>
                <w:szCs w:val="12"/>
                <w:b w:val="1"/>
                <w:bCs w:val="1"/>
                <w:color w:val="auto"/>
                <w:vertAlign w:val="superscript"/>
              </w:rPr>
              <w:t>(a)</w:t>
            </w: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0"/>
                <w:szCs w:val="10"/>
                <w:b w:val="1"/>
                <w:bCs w:val="1"/>
                <w:color w:val="auto"/>
              </w:rPr>
              <w:t>Kawailoa Partnership</w:t>
            </w:r>
          </w:p>
        </w:tc>
        <w:tc>
          <w:tcPr>
            <w:tcW w:w="12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9"/>
              </w:rPr>
              <w:t>Partnership LLC</w:t>
            </w:r>
          </w:p>
        </w:tc>
        <w:tc>
          <w:tcPr>
            <w:tcW w:w="140" w:type="dxa"/>
            <w:vAlign w:val="bottom"/>
          </w:tcPr>
          <w:p>
            <w:pPr>
              <w:spacing w:after="0"/>
              <w:rPr>
                <w:sz w:val="12"/>
                <w:szCs w:val="12"/>
                <w:color w:val="auto"/>
              </w:rPr>
            </w:pPr>
          </w:p>
        </w:tc>
        <w:tc>
          <w:tcPr>
            <w:tcW w:w="1140" w:type="dxa"/>
            <w:vAlign w:val="bottom"/>
          </w:tcPr>
          <w:p>
            <w:pPr>
              <w:jc w:val="right"/>
              <w:ind w:right="234"/>
              <w:spacing w:after="0"/>
              <w:rPr>
                <w:sz w:val="20"/>
                <w:szCs w:val="20"/>
                <w:color w:val="auto"/>
              </w:rPr>
            </w:pPr>
            <w:r>
              <w:rPr>
                <w:rFonts w:ascii="Times New Roman" w:cs="Times New Roman" w:eastAsia="Times New Roman" w:hAnsi="Times New Roman"/>
                <w:sz w:val="10"/>
                <w:szCs w:val="10"/>
                <w:b w:val="1"/>
                <w:bCs w:val="1"/>
                <w:color w:val="auto"/>
              </w:rPr>
              <w:t xml:space="preserve">Holdco LLC </w:t>
            </w:r>
            <w:r>
              <w:rPr>
                <w:rFonts w:ascii="Times New Roman" w:cs="Times New Roman" w:eastAsia="Times New Roman" w:hAnsi="Times New Roman"/>
                <w:sz w:val="12"/>
                <w:szCs w:val="12"/>
                <w:b w:val="1"/>
                <w:bCs w:val="1"/>
                <w:color w:val="auto"/>
                <w:vertAlign w:val="superscript"/>
              </w:rPr>
              <w:t>(b)</w:t>
            </w:r>
          </w:p>
        </w:tc>
        <w:tc>
          <w:tcPr>
            <w:tcW w:w="140" w:type="dxa"/>
            <w:vAlign w:val="bottom"/>
          </w:tcPr>
          <w:p>
            <w:pPr>
              <w:spacing w:after="0"/>
              <w:rPr>
                <w:sz w:val="12"/>
                <w:szCs w:val="12"/>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0"/>
                <w:szCs w:val="10"/>
                <w:b w:val="1"/>
                <w:bCs w:val="1"/>
                <w:color w:val="auto"/>
              </w:rPr>
              <w:t>Holdco 2 LLC</w:t>
            </w:r>
            <w:r>
              <w:rPr>
                <w:rFonts w:ascii="Times New Roman" w:cs="Times New Roman" w:eastAsia="Times New Roman" w:hAnsi="Times New Roman"/>
                <w:sz w:val="12"/>
                <w:szCs w:val="12"/>
                <w:b w:val="1"/>
                <w:bCs w:val="1"/>
                <w:color w:val="auto"/>
                <w:vertAlign w:val="superscript"/>
              </w:rPr>
              <w:t>(c)</w:t>
            </w:r>
          </w:p>
        </w:tc>
        <w:tc>
          <w:tcPr>
            <w:tcW w:w="0" w:type="dxa"/>
            <w:vAlign w:val="bottom"/>
          </w:tcPr>
          <w:p>
            <w:pPr>
              <w:spacing w:after="0"/>
              <w:rPr>
                <w:sz w:val="1"/>
                <w:szCs w:val="1"/>
                <w:color w:val="auto"/>
              </w:rPr>
            </w:pPr>
          </w:p>
        </w:tc>
      </w:tr>
      <w:tr>
        <w:trPr>
          <w:trHeight w:val="171"/>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80"/>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838</w:t>
            </w: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71"/>
        </w:trPr>
        <w:tc>
          <w:tcPr>
            <w:tcW w:w="3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8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71"/>
        </w:trPr>
        <w:tc>
          <w:tcPr>
            <w:tcW w:w="31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assets less noncontrolling interests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80" w:type="dxa"/>
            <w:vAlign w:val="bottom"/>
          </w:tcPr>
          <w:p>
            <w:pPr>
              <w:spacing w:after="0"/>
              <w:rPr>
                <w:sz w:val="14"/>
                <w:szCs w:val="14"/>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140" w:hanging="135"/>
        <w:spacing w:after="0"/>
        <w:tabs>
          <w:tab w:leader="none" w:pos="14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DGPV Funds is comprised of DGPV Fund 2 LLC, Clearway &amp; EFS Distributed Solar LLC, DGPV Fund 4 LLC, Golden Puma Fund LLC, Renew Solar CS4 Fund LLC and Chestnut Fund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(b )</w:t>
      </w:r>
      <w:r>
        <w:rPr>
          <w:rFonts w:ascii="Times New Roman" w:cs="Times New Roman" w:eastAsia="Times New Roman" w:hAnsi="Times New Roman"/>
          <w:sz w:val="11"/>
          <w:szCs w:val="11"/>
          <w:color w:val="auto"/>
        </w:rPr>
        <w:t xml:space="preserve"> Lighthouse Renewable Holdco LLC consolidates Mesquite Star Tax Equity Holdco LLC, Black Rock TE Holdco LLC and Mililani TE Holdco LLC, which are also consolidated VIEs.</w:t>
      </w:r>
    </w:p>
    <w:p>
      <w:pPr>
        <w:ind w:left="140" w:hanging="135"/>
        <w:spacing w:after="0" w:line="195" w:lineRule="auto"/>
        <w:tabs>
          <w:tab w:leader="none" w:pos="14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Lighthouse Renewable Holdco 2 LLC consolidates Mesquite Sky TE Holdco LLC, which is also a consolidated VIE.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20" w:type="dxa"/>
            <w:vAlign w:val="bottom"/>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Oahu</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Pinnacle Repowering</w:t>
            </w:r>
          </w:p>
        </w:tc>
        <w:tc>
          <w:tcPr>
            <w:tcW w:w="5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Wildorado</w:t>
            </w: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80" w:type="dxa"/>
            <w:vAlign w:val="bottom"/>
            <w:vMerge w:val="continue"/>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Solar Partnership</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Partnership LLC</w:t>
            </w:r>
          </w:p>
        </w:tc>
        <w:tc>
          <w:tcPr>
            <w:tcW w:w="136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Rattlesnake TE Holdco LLC</w:t>
            </w:r>
          </w:p>
        </w:tc>
        <w:tc>
          <w:tcPr>
            <w:tcW w:w="140" w:type="dxa"/>
            <w:vAlign w:val="bottom"/>
          </w:tcPr>
          <w:p>
            <w:pPr>
              <w:spacing w:after="0"/>
              <w:rPr>
                <w:sz w:val="12"/>
                <w:szCs w:val="12"/>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Rosie TargetCo LLC</w:t>
            </w:r>
          </w:p>
        </w:tc>
        <w:tc>
          <w:tcPr>
            <w:tcW w:w="260" w:type="dxa"/>
            <w:vAlign w:val="bottom"/>
          </w:tcPr>
          <w:p>
            <w:pPr>
              <w:spacing w:after="0"/>
              <w:rPr>
                <w:sz w:val="12"/>
                <w:szCs w:val="12"/>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TE Holdco</w:t>
            </w:r>
          </w:p>
        </w:tc>
        <w:tc>
          <w:tcPr>
            <w:tcW w:w="280" w:type="dxa"/>
            <w:vAlign w:val="bottom"/>
          </w:tcPr>
          <w:p>
            <w:pPr>
              <w:spacing w:after="0"/>
              <w:rPr>
                <w:sz w:val="12"/>
                <w:szCs w:val="12"/>
                <w:color w:val="auto"/>
              </w:rPr>
            </w:pPr>
          </w:p>
        </w:tc>
        <w:tc>
          <w:tcPr>
            <w:tcW w:w="100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 xml:space="preserve">Other </w:t>
            </w:r>
            <w:r>
              <w:rPr>
                <w:rFonts w:ascii="Times New Roman" w:cs="Times New Roman" w:eastAsia="Times New Roman" w:hAnsi="Times New Roman"/>
                <w:sz w:val="12"/>
                <w:szCs w:val="12"/>
                <w:b w:val="1"/>
                <w:bCs w:val="1"/>
                <w:color w:val="auto"/>
                <w:vertAlign w:val="superscript"/>
              </w:rPr>
              <w:t>(a)</w:t>
            </w:r>
          </w:p>
        </w:tc>
        <w:tc>
          <w:tcPr>
            <w:tcW w:w="0" w:type="dxa"/>
            <w:vAlign w:val="bottom"/>
          </w:tcPr>
          <w:p>
            <w:pPr>
              <w:spacing w:after="0"/>
              <w:rPr>
                <w:sz w:val="1"/>
                <w:szCs w:val="1"/>
                <w:color w:val="auto"/>
              </w:rPr>
            </w:pPr>
          </w:p>
        </w:tc>
      </w:tr>
      <w:tr>
        <w:trPr>
          <w:trHeight w:val="171"/>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current and non-current assets</w:t>
            </w:r>
          </w:p>
        </w:tc>
        <w:tc>
          <w:tcPr>
            <w:tcW w:w="1020" w:type="dxa"/>
            <w:vAlign w:val="bottom"/>
            <w:tcBorders>
              <w:top w:val="single" w:sz="8" w:color="auto"/>
            </w:tcBorders>
            <w:shd w:val="clear" w:color="auto" w:fill="CCEEFF"/>
          </w:tcPr>
          <w:p>
            <w:pPr>
              <w:jc w:val="right"/>
              <w:ind w:right="88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80"/>
        </w:trPr>
        <w:tc>
          <w:tcPr>
            <w:tcW w:w="3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170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02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216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10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and non-current liabilities</w:t>
            </w:r>
          </w:p>
        </w:tc>
        <w:tc>
          <w:tcPr>
            <w:tcW w:w="10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107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0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107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0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71"/>
        </w:trPr>
        <w:tc>
          <w:tcPr>
            <w:tcW w:w="3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assets less noncontrolling interests</w:t>
            </w:r>
          </w:p>
        </w:tc>
        <w:tc>
          <w:tcPr>
            <w:tcW w:w="1020" w:type="dxa"/>
            <w:vAlign w:val="bottom"/>
            <w:tcBorders>
              <w:bottom w:val="single" w:sz="8" w:color="auto"/>
            </w:tcBorders>
          </w:tcPr>
          <w:p>
            <w:pPr>
              <w:jc w:val="right"/>
              <w:ind w:right="880"/>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left="140" w:hanging="135"/>
        <w:spacing w:after="0"/>
        <w:tabs>
          <w:tab w:leader="none" w:pos="140"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Other is comprised of Crosswind Transmission, LLC, Hardin Hilltop Wind LLC, Elbow Creek TE Holdco and Spring Canyon TE Holdco projects.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discussion below describes material changes to VIEs during the three months ended March 31, 2022.</w:t>
      </w:r>
    </w:p>
    <w:p>
      <w:pPr>
        <w:spacing w:after="0" w:line="134"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Lighthouse Renewable Holdco LLC — </w:t>
      </w:r>
      <w:r>
        <w:rPr>
          <w:rFonts w:ascii="Times New Roman" w:cs="Times New Roman" w:eastAsia="Times New Roman" w:hAnsi="Times New Roman"/>
          <w:sz w:val="14"/>
          <w:szCs w:val="14"/>
          <w:color w:val="auto"/>
        </w:rPr>
        <w:t>As described in Note 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on March 25, 2022, Lighthouse Renewable Holdco LLC acquired the Class B interests in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 Mililani BL Borrower Holdco LLC, which consolidates, as the direct owner of the primary beneficiary, a tax equity fund, Mililani TE Holdco LLC, that holds the Mililani I solar project. The tax equity investor’s interest is shown as noncontrolling interest and the HLBV method is utilized to allocate the income or losses of Mililani TE Holdco LLC. The third-party investor in Lighthouse Renewable Holdco LLC also acquired and contributed an interest in Mililani BL Borrower Holdco LLC to Lighthouse Renewable Holdco LLC. The Company recorded the related noncontrolling interest at historical carrying amount, with the offset to contributed capital.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i w:val="1"/>
          <w:iCs w:val="1"/>
          <w:color w:val="auto"/>
        </w:rPr>
        <w:t>Entities that are not Consolidated</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The Company has interests in entities that are considered VIEs under ASC 810, but for which it is not considered the primary beneficiary. The Company accounts for its interests in these entities and entities in which it has a significant investment under the equity method of accounting, as further described under Item 15 — Note 5, </w:t>
      </w:r>
      <w:r>
        <w:rPr>
          <w:rFonts w:ascii="Times New Roman" w:cs="Times New Roman" w:eastAsia="Times New Roman" w:hAnsi="Times New Roman"/>
          <w:sz w:val="14"/>
          <w:szCs w:val="14"/>
          <w:i w:val="1"/>
          <w:iCs w:val="1"/>
          <w:color w:val="auto"/>
        </w:rPr>
        <w:t>Investments Accounted for by the Equity Method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Variable Interest Entities,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231F20"/>
        </w:rPr>
        <w:t>Form 10</w:t>
      </w:r>
      <w:r>
        <w:rPr>
          <w:rFonts w:ascii="Times New Roman" w:cs="Times New Roman" w:eastAsia="Times New Roman" w:hAnsi="Times New Roman"/>
          <w:sz w:val="14"/>
          <w:szCs w:val="14"/>
          <w:color w:val="auto"/>
        </w:rPr>
        <w:t>-K.</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Company’s maximum exposure to loss as of March 31, 2022 is limited to its equity investment in the unconsolidated entities, as further summarized in the table below:</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4780" w:type="dxa"/>
            <w:vAlign w:val="bottom"/>
          </w:tcPr>
          <w:p>
            <w:pPr>
              <w:jc w:val="center"/>
              <w:ind w:left="2931"/>
              <w:spacing w:after="0"/>
              <w:rPr>
                <w:sz w:val="20"/>
                <w:szCs w:val="20"/>
                <w:color w:val="auto"/>
              </w:rPr>
            </w:pPr>
            <w:r>
              <w:rPr>
                <w:rFonts w:ascii="Times New Roman" w:cs="Times New Roman" w:eastAsia="Times New Roman" w:hAnsi="Times New Roman"/>
                <w:sz w:val="13"/>
                <w:szCs w:val="13"/>
                <w:b w:val="1"/>
                <w:bCs w:val="1"/>
                <w:color w:val="auto"/>
                <w:w w:val="98"/>
              </w:rPr>
              <w:t>Economic</w:t>
            </w:r>
          </w:p>
        </w:tc>
        <w:tc>
          <w:tcPr>
            <w:tcW w:w="280" w:type="dxa"/>
            <w:vAlign w:val="bottom"/>
          </w:tcPr>
          <w:p>
            <w:pPr>
              <w:spacing w:after="0"/>
              <w:rPr>
                <w:sz w:val="12"/>
                <w:szCs w:val="12"/>
                <w:color w:val="auto"/>
              </w:rPr>
            </w:pPr>
          </w:p>
        </w:tc>
        <w:tc>
          <w:tcPr>
            <w:tcW w:w="1700" w:type="dxa"/>
            <w:vAlign w:val="bottom"/>
            <w:vMerge w:val="restart"/>
          </w:tcPr>
          <w:p>
            <w:pPr>
              <w:jc w:val="right"/>
              <w:ind w:right="371"/>
              <w:spacing w:after="0"/>
              <w:rPr>
                <w:sz w:val="20"/>
                <w:szCs w:val="20"/>
                <w:color w:val="auto"/>
              </w:rPr>
            </w:pPr>
            <w:r>
              <w:rPr>
                <w:rFonts w:ascii="Times New Roman" w:cs="Times New Roman" w:eastAsia="Times New Roman" w:hAnsi="Times New Roman"/>
                <w:sz w:val="13"/>
                <w:szCs w:val="13"/>
                <w:b w:val="1"/>
                <w:bCs w:val="1"/>
                <w:color w:val="auto"/>
              </w:rPr>
              <w:t>Investment Balance</w:t>
            </w:r>
          </w:p>
        </w:tc>
        <w:tc>
          <w:tcPr>
            <w:tcW w:w="0" w:type="dxa"/>
            <w:vAlign w:val="bottom"/>
          </w:tcPr>
          <w:p>
            <w:pPr>
              <w:spacing w:after="0"/>
              <w:rPr>
                <w:sz w:val="1"/>
                <w:szCs w:val="1"/>
                <w:color w:val="auto"/>
              </w:rPr>
            </w:pPr>
          </w:p>
        </w:tc>
      </w:tr>
      <w:tr>
        <w:trPr>
          <w:trHeight w:val="169"/>
        </w:trPr>
        <w:tc>
          <w:tcPr>
            <w:tcW w:w="4520" w:type="dxa"/>
            <w:vAlign w:val="bottom"/>
            <w:tcBorders>
              <w:bottom w:val="single" w:sz="8" w:color="auto"/>
            </w:tcBorders>
            <w:vMerge w:val="continue"/>
          </w:tcPr>
          <w:p>
            <w:pPr>
              <w:spacing w:after="0"/>
              <w:rPr>
                <w:sz w:val="14"/>
                <w:szCs w:val="14"/>
                <w:color w:val="auto"/>
              </w:rPr>
            </w:pPr>
          </w:p>
        </w:tc>
        <w:tc>
          <w:tcPr>
            <w:tcW w:w="4780" w:type="dxa"/>
            <w:vAlign w:val="bottom"/>
            <w:tcBorders>
              <w:bottom w:val="single" w:sz="8" w:color="auto"/>
            </w:tcBorders>
          </w:tcPr>
          <w:p>
            <w:pPr>
              <w:jc w:val="center"/>
              <w:ind w:left="2971"/>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52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00" w:type="dxa"/>
            <w:vAlign w:val="bottom"/>
          </w:tcPr>
          <w:p>
            <w:pPr>
              <w:jc w:val="right"/>
              <w:ind w:right="571"/>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82"/>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Avenal</w:t>
            </w:r>
          </w:p>
        </w:tc>
        <w:tc>
          <w:tcPr>
            <w:tcW w:w="4780" w:type="dxa"/>
            <w:vAlign w:val="bottom"/>
            <w:shd w:val="clear" w:color="auto" w:fill="CCEEFF"/>
          </w:tcPr>
          <w:p>
            <w:pPr>
              <w:jc w:val="center"/>
              <w:ind w:left="2931"/>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Desert Sunlight</w:t>
            </w:r>
          </w:p>
        </w:tc>
        <w:tc>
          <w:tcPr>
            <w:tcW w:w="4780" w:type="dxa"/>
            <w:vAlign w:val="bottom"/>
          </w:tcPr>
          <w:p>
            <w:pPr>
              <w:jc w:val="center"/>
              <w:ind w:left="2931"/>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Elkhorn Ridge</w:t>
            </w:r>
          </w:p>
        </w:tc>
        <w:tc>
          <w:tcPr>
            <w:tcW w:w="4780" w:type="dxa"/>
            <w:vAlign w:val="bottom"/>
            <w:shd w:val="clear" w:color="auto" w:fill="CCEEFF"/>
          </w:tcPr>
          <w:p>
            <w:pPr>
              <w:jc w:val="center"/>
              <w:ind w:left="2931"/>
              <w:spacing w:after="0"/>
              <w:rPr>
                <w:sz w:val="20"/>
                <w:szCs w:val="20"/>
                <w:color w:val="auto"/>
              </w:rPr>
            </w:pPr>
            <w:r>
              <w:rPr>
                <w:rFonts w:ascii="Times New Roman" w:cs="Times New Roman" w:eastAsia="Times New Roman" w:hAnsi="Times New Roman"/>
                <w:sz w:val="14"/>
                <w:szCs w:val="14"/>
                <w:color w:val="auto"/>
              </w:rPr>
              <w:t>67%</w:t>
            </w: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45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GenConn </w:t>
            </w:r>
            <w:r>
              <w:rPr>
                <w:rFonts w:ascii="Times New Roman" w:cs="Times New Roman" w:eastAsia="Times New Roman" w:hAnsi="Times New Roman"/>
                <w:sz w:val="18"/>
                <w:szCs w:val="18"/>
                <w:color w:val="auto"/>
                <w:vertAlign w:val="superscript"/>
              </w:rPr>
              <w:t>(a)</w:t>
            </w:r>
          </w:p>
        </w:tc>
        <w:tc>
          <w:tcPr>
            <w:tcW w:w="4780" w:type="dxa"/>
            <w:vAlign w:val="bottom"/>
          </w:tcPr>
          <w:p>
            <w:pPr>
              <w:jc w:val="center"/>
              <w:ind w:left="2931"/>
              <w:spacing w:after="0"/>
              <w:rPr>
                <w:sz w:val="20"/>
                <w:szCs w:val="20"/>
                <w:color w:val="auto"/>
              </w:rPr>
            </w:pPr>
            <w:r>
              <w:rPr>
                <w:rFonts w:ascii="Times New Roman" w:cs="Times New Roman" w:eastAsia="Times New Roman" w:hAnsi="Times New Roman"/>
                <w:sz w:val="14"/>
                <w:szCs w:val="14"/>
                <w:color w:val="auto"/>
              </w:rPr>
              <w:t>50%</w:t>
            </w:r>
          </w:p>
        </w:tc>
        <w:tc>
          <w:tcPr>
            <w:tcW w:w="28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San Juan Mesa</w:t>
            </w:r>
          </w:p>
        </w:tc>
        <w:tc>
          <w:tcPr>
            <w:tcW w:w="4780" w:type="dxa"/>
            <w:vAlign w:val="bottom"/>
            <w:shd w:val="clear" w:color="auto" w:fill="CCEEFF"/>
          </w:tcPr>
          <w:p>
            <w:pPr>
              <w:jc w:val="center"/>
              <w:ind w:left="2931"/>
              <w:spacing w:after="0"/>
              <w:rPr>
                <w:sz w:val="20"/>
                <w:szCs w:val="20"/>
                <w:color w:val="auto"/>
              </w:rPr>
            </w:pPr>
            <w:r>
              <w:rPr>
                <w:rFonts w:ascii="Times New Roman" w:cs="Times New Roman" w:eastAsia="Times New Roman" w:hAnsi="Times New Roman"/>
                <w:sz w:val="14"/>
                <w:szCs w:val="14"/>
                <w:color w:val="auto"/>
              </w:rPr>
              <w:t>75%</w:t>
            </w:r>
          </w:p>
        </w:tc>
        <w:tc>
          <w:tcPr>
            <w:tcW w:w="28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6"/>
          <w:szCs w:val="16"/>
          <w:color w:val="auto"/>
          <w:vertAlign w:val="superscript"/>
        </w:rPr>
        <w: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GenConn is a variable interest entity.</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5 — </w:t>
      </w:r>
      <w:r>
        <w:rPr>
          <w:rFonts w:ascii="Times New Roman" w:cs="Times New Roman" w:eastAsia="Times New Roman" w:hAnsi="Times New Roman"/>
          <w:sz w:val="14"/>
          <w:szCs w:val="14"/>
          <w:b w:val="1"/>
          <w:bCs w:val="1"/>
          <w:i w:val="1"/>
          <w:iCs w:val="1"/>
          <w:color w:val="auto"/>
        </w:rPr>
        <w:t>Fair Value of Financial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Fair Value Accounting under ASC 820</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ASC 820 establishes a fair value hierarchy that prioritizes the inputs to valuation techniques used to measure fair value into three levels as follows:</w:t>
      </w:r>
    </w:p>
    <w:p>
      <w:pPr>
        <w:spacing w:after="0" w:line="51" w:lineRule="exact"/>
        <w:rPr>
          <w:sz w:val="20"/>
          <w:szCs w:val="20"/>
          <w:color w:val="auto"/>
        </w:rPr>
      </w:pPr>
    </w:p>
    <w:p>
      <w:pPr>
        <w:ind w:left="960" w:hanging="191"/>
        <w:spacing w:after="0"/>
        <w:tabs>
          <w:tab w:leader="none" w:pos="9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1—quoted prices (unadjusted) in active markets for identical assets or liabilities that the Company has the ability to access as of the measurement date.</w:t>
      </w:r>
    </w:p>
    <w:p>
      <w:pPr>
        <w:spacing w:after="0" w:line="51" w:lineRule="exact"/>
        <w:rPr>
          <w:rFonts w:ascii="Times New Roman" w:cs="Times New Roman" w:eastAsia="Times New Roman" w:hAnsi="Times New Roman"/>
          <w:sz w:val="14"/>
          <w:szCs w:val="14"/>
          <w:color w:val="auto"/>
        </w:rPr>
      </w:pPr>
    </w:p>
    <w:p>
      <w:pPr>
        <w:ind w:left="960" w:hanging="191"/>
        <w:spacing w:after="0" w:line="284" w:lineRule="auto"/>
        <w:tabs>
          <w:tab w:leader="none" w:pos="95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2—inputs other than quoted prices included within Level 1 that are directly observable for the asset or liability or indirectly observable through corroboration with observable market data.</w:t>
      </w:r>
    </w:p>
    <w:p>
      <w:pPr>
        <w:ind w:left="960" w:hanging="191"/>
        <w:spacing w:after="0"/>
        <w:tabs>
          <w:tab w:leader="none" w:pos="9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3—unobservable inputs for the asset or liability only used when there is little, if any, market activity for the asset or liability at the measurement date.</w:t>
      </w:r>
    </w:p>
    <w:p>
      <w:pPr>
        <w:spacing w:after="0" w:line="136"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For cash and cash equivalents, restricted cash, accounts receivable — trade, accounts payable — trade, accounts payable — affiliates and accrued expenses and other current liabilities, the carrying amounts approximate fair value because of the short-term maturity of those instruments and are classified as Level 1 within the fair value hierarchy.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carrying amounts and estimated fair values of the Company’s recorded financial instruments not carried at fair market value or that do not approximate fair value are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5"/>
          </w:tcPr>
          <w:p>
            <w:pPr>
              <w:ind w:left="620"/>
              <w:spacing w:after="0"/>
              <w:rPr>
                <w:sz w:val="20"/>
                <w:szCs w:val="20"/>
                <w:color w:val="auto"/>
              </w:rPr>
            </w:pPr>
            <w:r>
              <w:rPr>
                <w:rFonts w:ascii="Times New Roman" w:cs="Times New Roman" w:eastAsia="Times New Roman" w:hAnsi="Times New Roman"/>
                <w:sz w:val="11"/>
                <w:szCs w:val="11"/>
                <w:b w:val="1"/>
                <w:bCs w:val="1"/>
                <w:color w:val="auto"/>
              </w:rPr>
              <w:t>As of March 31, 2022</w:t>
            </w:r>
          </w:p>
        </w:tc>
        <w:tc>
          <w:tcPr>
            <w:tcW w:w="140" w:type="dxa"/>
            <w:vAlign w:val="bottom"/>
          </w:tcPr>
          <w:p>
            <w:pPr>
              <w:spacing w:after="0"/>
              <w:rPr>
                <w:sz w:val="13"/>
                <w:szCs w:val="13"/>
                <w:color w:val="auto"/>
              </w:rPr>
            </w:pPr>
          </w:p>
        </w:tc>
        <w:tc>
          <w:tcPr>
            <w:tcW w:w="2360" w:type="dxa"/>
            <w:vAlign w:val="bottom"/>
            <w:gridSpan w:val="4"/>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r>
      <w:tr>
        <w:trPr>
          <w:trHeight w:val="150"/>
        </w:trPr>
        <w:tc>
          <w:tcPr>
            <w:tcW w:w="6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94"/>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1"/>
                <w:szCs w:val="11"/>
                <w:b w:val="1"/>
                <w:bCs w:val="1"/>
                <w:color w:val="auto"/>
              </w:rPr>
              <w:t>Fair Value</w:t>
            </w:r>
          </w:p>
        </w:tc>
      </w:tr>
      <w:tr>
        <w:trPr>
          <w:trHeight w:val="139"/>
        </w:trPr>
        <w:tc>
          <w:tcPr>
            <w:tcW w:w="6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190"/>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 — affiliate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3"/>
        </w:trPr>
        <w:tc>
          <w:tcPr>
            <w:tcW w:w="6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Long-term debt, including current portion — external </w:t>
            </w:r>
            <w:r>
              <w:rPr>
                <w:rFonts w:ascii="Times New Roman" w:cs="Times New Roman" w:eastAsia="Times New Roman" w:hAnsi="Times New Roman"/>
                <w:sz w:val="18"/>
                <w:szCs w:val="18"/>
                <w:color w:val="auto"/>
                <w:vertAlign w:val="superscript"/>
              </w:rPr>
              <w:t>(a)</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13881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55" w:lineRule="exact"/>
        <w:rPr>
          <w:sz w:val="20"/>
          <w:szCs w:val="20"/>
          <w:color w:val="auto"/>
        </w:rPr>
      </w:pPr>
    </w:p>
    <w:p>
      <w:pPr>
        <w:ind w:left="100" w:hanging="95"/>
        <w:spacing w:after="0"/>
        <w:tabs>
          <w:tab w:leader="none" w:pos="100" w:val="left"/>
        </w:tabs>
        <w:numPr>
          <w:ilvl w:val="0"/>
          <w:numId w:val="11"/>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Excludes net debt issuance costs, which are recorded as a reduction to long-term debt on the Company's consolidated balance sheets.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9" w:name="page20"/>
    <w:bookmarkEnd w:id="19"/>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2022 and December 31, 2021:</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20" w:type="dxa"/>
            <w:vAlign w:val="bottom"/>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rPr>
              <w:t>As of March 31, 2022</w:t>
            </w:r>
          </w:p>
        </w:tc>
        <w:tc>
          <w:tcPr>
            <w:tcW w:w="340" w:type="dxa"/>
            <w:vAlign w:val="bottom"/>
          </w:tcPr>
          <w:p>
            <w:pPr>
              <w:spacing w:after="0"/>
              <w:rPr>
                <w:sz w:val="13"/>
                <w:szCs w:val="13"/>
                <w:color w:val="auto"/>
              </w:rPr>
            </w:pPr>
          </w:p>
        </w:tc>
        <w:tc>
          <w:tcPr>
            <w:tcW w:w="2160" w:type="dxa"/>
            <w:vAlign w:val="bottom"/>
            <w:gridSpan w:val="3"/>
          </w:tcPr>
          <w:p>
            <w:pPr>
              <w:jc w:val="right"/>
              <w:ind w:right="576"/>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r>
      <w:tr>
        <w:trPr>
          <w:trHeight w:val="154"/>
        </w:trPr>
        <w:tc>
          <w:tcPr>
            <w:tcW w:w="6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3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6"/>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50"/>
        </w:trPr>
        <w:tc>
          <w:tcPr>
            <w:tcW w:w="6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6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86"/>
        </w:trPr>
        <w:tc>
          <w:tcPr>
            <w:tcW w:w="6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Long-term debt, including current portion</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2,042</w:t>
            </w:r>
          </w:p>
        </w:tc>
        <w:tc>
          <w:tcPr>
            <w:tcW w:w="3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2,160</w:t>
            </w:r>
          </w:p>
        </w:tc>
        <w:tc>
          <w:tcPr>
            <w:tcW w:w="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5,838</w:t>
            </w: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Recurring Fair Value Measurements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March 31, 2022</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 2021</w:t>
            </w:r>
          </w:p>
        </w:tc>
        <w:tc>
          <w:tcPr>
            <w:tcW w:w="1000" w:type="dxa"/>
            <w:vAlign w:val="bottom"/>
            <w:tcBorders>
              <w:bottom w:val="single" w:sz="8" w:color="auto"/>
            </w:tcBorders>
          </w:tcPr>
          <w:p>
            <w:pPr>
              <w:spacing w:after="0"/>
              <w:rPr>
                <w:sz w:val="13"/>
                <w:szCs w:val="13"/>
                <w:color w:val="auto"/>
              </w:rPr>
            </w:pPr>
          </w:p>
        </w:tc>
      </w:tr>
      <w:tr>
        <w:trPr>
          <w:trHeight w:val="159"/>
        </w:trPr>
        <w:tc>
          <w:tcPr>
            <w:tcW w:w="49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tcPr>
          <w:p>
            <w:pPr>
              <w:jc w:val="right"/>
              <w:ind w:right="16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(a)</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269"/>
              <w:spacing w:after="0" w:line="159" w:lineRule="exact"/>
              <w:rPr>
                <w:sz w:val="20"/>
                <w:szCs w:val="20"/>
                <w:color w:val="auto"/>
              </w:rPr>
            </w:pPr>
            <w:r>
              <w:rPr>
                <w:rFonts w:ascii="Times New Roman" w:cs="Times New Roman" w:eastAsia="Times New Roman" w:hAnsi="Times New Roman"/>
                <w:sz w:val="11"/>
                <w:szCs w:val="11"/>
                <w:b w:val="1"/>
                <w:bCs w:val="1"/>
                <w:color w:val="auto"/>
              </w:rPr>
              <w:t xml:space="preserve">Fair Value </w:t>
            </w:r>
            <w:r>
              <w:rPr>
                <w:rFonts w:ascii="Times New Roman" w:cs="Times New Roman" w:eastAsia="Times New Roman" w:hAnsi="Times New Roman"/>
                <w:sz w:val="14"/>
                <w:szCs w:val="14"/>
                <w:b w:val="1"/>
                <w:bCs w:val="1"/>
                <w:color w:val="auto"/>
                <w:vertAlign w:val="superscript"/>
              </w:rPr>
              <w:t>(a)</w:t>
            </w:r>
          </w:p>
        </w:tc>
        <w:tc>
          <w:tcPr>
            <w:tcW w:w="1000" w:type="dxa"/>
            <w:vAlign w:val="bottom"/>
            <w:tcBorders>
              <w:bottom w:val="single" w:sz="8" w:color="auto"/>
            </w:tcBorders>
          </w:tcPr>
          <w:p>
            <w:pPr>
              <w:spacing w:after="0"/>
              <w:rPr>
                <w:sz w:val="13"/>
                <w:szCs w:val="13"/>
                <w:color w:val="auto"/>
              </w:rPr>
            </w:pPr>
          </w:p>
        </w:tc>
      </w:tr>
      <w:tr>
        <w:trPr>
          <w:trHeight w:val="145"/>
        </w:trPr>
        <w:tc>
          <w:tcPr>
            <w:tcW w:w="4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2"/>
                <w:szCs w:val="12"/>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500" w:type="dxa"/>
            <w:vAlign w:val="bottom"/>
          </w:tcPr>
          <w:p>
            <w:pPr>
              <w:spacing w:after="0"/>
              <w:rPr>
                <w:sz w:val="12"/>
                <w:szCs w:val="12"/>
                <w:color w:val="auto"/>
              </w:rPr>
            </w:pPr>
          </w:p>
        </w:tc>
        <w:tc>
          <w:tcPr>
            <w:tcW w:w="920" w:type="dxa"/>
            <w:vAlign w:val="bottom"/>
          </w:tcPr>
          <w:p>
            <w:pPr>
              <w:jc w:val="right"/>
              <w:ind w:right="471"/>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0" w:type="dxa"/>
            <w:vAlign w:val="bottom"/>
          </w:tcPr>
          <w:p>
            <w:pPr>
              <w:spacing w:after="0"/>
              <w:rPr>
                <w:sz w:val="12"/>
                <w:szCs w:val="12"/>
                <w:color w:val="auto"/>
              </w:rPr>
            </w:pPr>
          </w:p>
        </w:tc>
        <w:tc>
          <w:tcPr>
            <w:tcW w:w="1000" w:type="dxa"/>
            <w:vAlign w:val="bottom"/>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Level 3</w:t>
            </w:r>
          </w:p>
        </w:tc>
      </w:tr>
      <w:tr>
        <w:trPr>
          <w:trHeight w:val="166"/>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r>
      <w:tr>
        <w:trPr>
          <w:trHeight w:val="180"/>
        </w:trPr>
        <w:tc>
          <w:tcPr>
            <w:tcW w:w="49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 rate contracts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49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b w:val="1"/>
                <w:bCs w:val="1"/>
                <w:color w:val="auto"/>
              </w:rPr>
              <w:t xml:space="preserve">Other financial instruments </w:t>
            </w:r>
            <w:r>
              <w:rPr>
                <w:rFonts w:ascii="Times New Roman" w:cs="Times New Roman" w:eastAsia="Times New Roman" w:hAnsi="Times New Roman"/>
                <w:sz w:val="18"/>
                <w:szCs w:val="18"/>
                <w:b w:val="1"/>
                <w:bCs w:val="1"/>
                <w:color w:val="auto"/>
                <w:vertAlign w:val="superscript"/>
              </w:rPr>
              <w:t>(b)</w:t>
            </w:r>
          </w:p>
        </w:tc>
        <w:tc>
          <w:tcPr>
            <w:tcW w:w="3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71"/>
        </w:trPr>
        <w:tc>
          <w:tcPr>
            <w:tcW w:w="49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2"/>
        </w:trPr>
        <w:tc>
          <w:tcPr>
            <w:tcW w:w="496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liabilities:</w:t>
            </w:r>
          </w:p>
        </w:tc>
        <w:tc>
          <w:tcPr>
            <w:tcW w:w="3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80"/>
        </w:trPr>
        <w:tc>
          <w:tcPr>
            <w:tcW w:w="4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Commodity contracts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8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rate contracts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49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500" w:type="dxa"/>
            <w:vAlign w:val="bottom"/>
            <w:tcBorders>
              <w:top w:val="single" w:sz="8" w:color="auto"/>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20"/>
        </w:trPr>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120" w:hanging="115"/>
        <w:spacing w:after="0"/>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There were no derivative assets classified as Level 1 or Level 3 and no liabilities classified as Level 1 as of March 31, 2022 and December 31, 2021.</w:t>
      </w:r>
    </w:p>
    <w:p>
      <w:pPr>
        <w:spacing w:after="0" w:line="54" w:lineRule="exact"/>
        <w:rPr>
          <w:rFonts w:ascii="Times New Roman" w:cs="Times New Roman" w:eastAsia="Times New Roman" w:hAnsi="Times New Roman"/>
          <w:sz w:val="14"/>
          <w:szCs w:val="14"/>
          <w:color w:val="auto"/>
          <w:vertAlign w:val="superscript"/>
        </w:rPr>
      </w:pPr>
    </w:p>
    <w:p>
      <w:pPr>
        <w:ind w:left="120" w:hanging="115"/>
        <w:spacing w:after="0" w:line="225" w:lineRule="auto"/>
        <w:tabs>
          <w:tab w:leader="none" w:pos="120" w:val="left"/>
        </w:tabs>
        <w:numPr>
          <w:ilvl w:val="0"/>
          <w:numId w:val="1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SREC contract.</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reconciles the beginning and ending balances for instruments that are recognized at fair value in the consolidated financial statements using significant unobservable inputs: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5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93"/>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54"/>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5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rPr>
              <w:t>Fair Value Measurement Using Significant Unobservable Inputs (Level 3)</w:t>
            </w:r>
          </w:p>
        </w:tc>
        <w:tc>
          <w:tcPr>
            <w:tcW w:w="0" w:type="dxa"/>
            <w:vAlign w:val="bottom"/>
          </w:tcPr>
          <w:p>
            <w:pPr>
              <w:spacing w:after="0"/>
              <w:rPr>
                <w:sz w:val="1"/>
                <w:szCs w:val="1"/>
                <w:color w:val="auto"/>
              </w:rPr>
            </w:pPr>
          </w:p>
        </w:tc>
      </w:tr>
      <w:tr>
        <w:trPr>
          <w:trHeight w:val="17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center"/>
              <w:ind w:left="672"/>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0"/>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losses for the period included in earnings</w:t>
            </w:r>
          </w:p>
        </w:tc>
        <w:tc>
          <w:tcPr>
            <w:tcW w:w="4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jc w:val="center"/>
              <w:ind w:left="672"/>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80"/>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due to loss of NPNS exception</w:t>
            </w:r>
          </w:p>
        </w:tc>
        <w:tc>
          <w:tcPr>
            <w:tcW w:w="4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Settlements</w:t>
            </w:r>
          </w:p>
        </w:tc>
        <w:tc>
          <w:tcPr>
            <w:tcW w:w="4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692"/>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5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center"/>
              <w:ind w:left="672"/>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75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4"/>
                <w:szCs w:val="14"/>
                <w:color w:val="auto"/>
              </w:rPr>
              <w:t>Change in unrealized losses included in earnings for derivatives and other financial instruments held as of March 31, 2022</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580" w:type="dxa"/>
            <w:vAlign w:val="bottom"/>
            <w:vMerge w:val="continue"/>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i w:val="1"/>
          <w:iCs w:val="1"/>
          <w:color w:val="auto"/>
        </w:rPr>
        <w:t>Derivative and Financial Instruments Fair Value Measurements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March 31, 2022, contracts valued with prices provided by models and other valuation techniques make up 94% of derivative liabilities and 100% of other financial instruments.</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Company’s significant positions classified as Level 3 include physical commodity contracts executed in illiquid markets. The significant unobservable inputs used in developing fair value include illiquid power tenors and location pricing, which is derived by extrapolating pricing as a basis to liquid locations. The tenor pricing and basis spread are based on observable market data when available or derived from historic prices and forward market prices from similar observable markets when not available.</w:t>
      </w:r>
    </w:p>
    <w:p>
      <w:pPr>
        <w:spacing w:after="0" w:line="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quantifies the significant unobservable inputs used in developing the fair value of the Company's Level 3 positions as of March 31,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Input/Range</w:t>
            </w: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2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Valuation Technique</w:t>
            </w:r>
          </w:p>
        </w:tc>
        <w:tc>
          <w:tcPr>
            <w:tcW w:w="14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320" w:type="dxa"/>
            <w:vAlign w:val="bottom"/>
          </w:tcPr>
          <w:p>
            <w:pPr>
              <w:spacing w:after="0"/>
              <w:rPr>
                <w:sz w:val="11"/>
                <w:szCs w:val="11"/>
                <w:color w:val="auto"/>
              </w:rPr>
            </w:pPr>
          </w:p>
        </w:tc>
        <w:tc>
          <w:tcPr>
            <w:tcW w:w="1020" w:type="dxa"/>
            <w:vAlign w:val="bottom"/>
            <w:vMerge w:val="restart"/>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1"/>
                <w:szCs w:val="11"/>
                <w:color w:val="auto"/>
              </w:rPr>
            </w:pPr>
          </w:p>
        </w:tc>
        <w:tc>
          <w:tcPr>
            <w:tcW w:w="1140" w:type="dxa"/>
            <w:vAlign w:val="bottom"/>
            <w:vMerge w:val="restart"/>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Pr>
          <w:p>
            <w:pPr>
              <w:spacing w:after="0"/>
              <w:rPr>
                <w:sz w:val="11"/>
                <w:szCs w:val="11"/>
                <w:color w:val="auto"/>
              </w:rPr>
            </w:pPr>
          </w:p>
        </w:tc>
        <w:tc>
          <w:tcPr>
            <w:tcW w:w="124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91"/>
        </w:trPr>
        <w:tc>
          <w:tcPr>
            <w:tcW w:w="1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1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Commodity Contracts</w:t>
            </w:r>
          </w:p>
        </w:tc>
        <w:tc>
          <w:tcPr>
            <w:tcW w:w="26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vMerge w:val="restart"/>
            <w:shd w:val="clear" w:color="auto" w:fill="CCEEFF"/>
          </w:tcPr>
          <w:p>
            <w:pPr>
              <w:ind w:left="900"/>
              <w:spacing w:after="0"/>
              <w:rPr>
                <w:sz w:val="20"/>
                <w:szCs w:val="20"/>
                <w:color w:val="auto"/>
              </w:rPr>
            </w:pPr>
            <w:r>
              <w:rPr>
                <w:rFonts w:ascii="Times New Roman" w:cs="Times New Roman" w:eastAsia="Times New Roman" w:hAnsi="Times New Roman"/>
                <w:sz w:val="13"/>
                <w:szCs w:val="13"/>
                <w:color w:val="auto"/>
              </w:rPr>
              <w:t>— $</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60" w:type="dxa"/>
            <w:vAlign w:val="bottom"/>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7"/>
              </w:rPr>
              <w:t>Forward Market Price (per</w:t>
            </w:r>
          </w:p>
        </w:tc>
        <w:tc>
          <w:tcPr>
            <w:tcW w:w="320" w:type="dxa"/>
            <w:vAlign w:val="bottom"/>
            <w:vMerge w:val="restart"/>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17.33</w:t>
            </w:r>
          </w:p>
        </w:tc>
        <w:tc>
          <w:tcPr>
            <w:tcW w:w="200" w:type="dxa"/>
            <w:vAlign w:val="bottom"/>
            <w:vMerge w:val="restart"/>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95.02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34.22</w:t>
            </w:r>
          </w:p>
        </w:tc>
        <w:tc>
          <w:tcPr>
            <w:tcW w:w="0" w:type="dxa"/>
            <w:vAlign w:val="bottom"/>
          </w:tcPr>
          <w:p>
            <w:pPr>
              <w:spacing w:after="0"/>
              <w:rPr>
                <w:sz w:val="1"/>
                <w:szCs w:val="1"/>
                <w:color w:val="auto"/>
              </w:rPr>
            </w:pPr>
          </w:p>
        </w:tc>
      </w:tr>
      <w:tr>
        <w:trPr>
          <w:trHeight w:val="170"/>
        </w:trPr>
        <w:tc>
          <w:tcPr>
            <w:tcW w:w="1800" w:type="dxa"/>
            <w:vAlign w:val="bottom"/>
            <w:vMerge w:val="continue"/>
            <w:shd w:val="clear" w:color="auto" w:fill="CCEEFF"/>
          </w:tcPr>
          <w:p>
            <w:pPr>
              <w:spacing w:after="0"/>
              <w:rPr>
                <w:sz w:val="14"/>
                <w:szCs w:val="14"/>
                <w:color w:val="auto"/>
              </w:rPr>
            </w:pPr>
          </w:p>
        </w:tc>
        <w:tc>
          <w:tcPr>
            <w:tcW w:w="26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MWh)</w:t>
            </w:r>
          </w:p>
        </w:tc>
        <w:tc>
          <w:tcPr>
            <w:tcW w:w="320" w:type="dxa"/>
            <w:vAlign w:val="bottom"/>
            <w:vMerge w:val="continue"/>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7"/>
              </w:rPr>
              <w:t>Forecast annual generation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Other Financial Instruments</w:t>
            </w:r>
          </w:p>
        </w:tc>
        <w:tc>
          <w:tcPr>
            <w:tcW w:w="260" w:type="dxa"/>
            <w:vAlign w:val="bottom"/>
          </w:tcPr>
          <w:p>
            <w:pPr>
              <w:spacing w:after="0"/>
              <w:rPr>
                <w:sz w:val="11"/>
                <w:szCs w:val="11"/>
                <w:color w:val="auto"/>
              </w:rPr>
            </w:pPr>
          </w:p>
        </w:tc>
        <w:tc>
          <w:tcPr>
            <w:tcW w:w="1280" w:type="dxa"/>
            <w:vAlign w:val="bottom"/>
            <w:vMerge w:val="restart"/>
          </w:tcPr>
          <w:p>
            <w:pPr>
              <w:ind w:left="900"/>
              <w:spacing w:after="0"/>
              <w:rPr>
                <w:sz w:val="20"/>
                <w:szCs w:val="20"/>
                <w:color w:val="auto"/>
              </w:rPr>
            </w:pPr>
            <w:r>
              <w:rPr>
                <w:rFonts w:ascii="Times New Roman" w:cs="Times New Roman" w:eastAsia="Times New Roman" w:hAnsi="Times New Roman"/>
                <w:sz w:val="13"/>
                <w:szCs w:val="13"/>
                <w:color w:val="auto"/>
              </w:rPr>
              <w:t>24</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Discounted Cash Flow</w:t>
            </w:r>
          </w:p>
        </w:tc>
        <w:tc>
          <w:tcPr>
            <w:tcW w:w="14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levels of certain DG solar</w:t>
            </w:r>
          </w:p>
        </w:tc>
        <w:tc>
          <w:tcPr>
            <w:tcW w:w="3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80,872 MWh</w:t>
            </w:r>
          </w:p>
        </w:tc>
        <w:tc>
          <w:tcPr>
            <w:tcW w:w="2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129,913 MWh</w:t>
            </w:r>
          </w:p>
        </w:tc>
        <w:tc>
          <w:tcPr>
            <w:tcW w:w="10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124,783 MWh</w:t>
            </w:r>
          </w:p>
        </w:tc>
        <w:tc>
          <w:tcPr>
            <w:tcW w:w="0" w:type="dxa"/>
            <w:vAlign w:val="bottom"/>
          </w:tcPr>
          <w:p>
            <w:pPr>
              <w:spacing w:after="0"/>
              <w:rPr>
                <w:sz w:val="1"/>
                <w:szCs w:val="1"/>
                <w:color w:val="auto"/>
              </w:rPr>
            </w:pPr>
          </w:p>
        </w:tc>
      </w:tr>
      <w:tr>
        <w:trPr>
          <w:trHeight w:val="165"/>
        </w:trPr>
        <w:tc>
          <w:tcPr>
            <w:tcW w:w="1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facilities</w:t>
            </w:r>
          </w:p>
        </w:tc>
        <w:tc>
          <w:tcPr>
            <w:tcW w:w="3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the impact on the fair value measurements to increases/(decreases) in significant unobservable inputs as of March 31, 2022: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Borders>
              <w:bottom w:val="single" w:sz="8" w:color="auto"/>
            </w:tcBorders>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Significant Observable Input</w:t>
            </w:r>
          </w:p>
        </w:tc>
        <w:tc>
          <w:tcPr>
            <w:tcW w:w="2220" w:type="dxa"/>
            <w:vAlign w:val="bottom"/>
            <w:tcBorders>
              <w:bottom w:val="single" w:sz="8" w:color="auto"/>
            </w:tcBorders>
          </w:tcPr>
          <w:p>
            <w:pPr>
              <w:jc w:val="center"/>
              <w:ind w:left="269"/>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2220" w:type="dxa"/>
            <w:vAlign w:val="bottom"/>
            <w:tcBorders>
              <w:bottom w:val="single" w:sz="8" w:color="auto"/>
            </w:tcBorders>
          </w:tcPr>
          <w:p>
            <w:pPr>
              <w:jc w:val="center"/>
              <w:ind w:left="189"/>
              <w:spacing w:after="0"/>
              <w:rPr>
                <w:sz w:val="20"/>
                <w:szCs w:val="20"/>
                <w:color w:val="auto"/>
              </w:rPr>
            </w:pPr>
            <w:r>
              <w:rPr>
                <w:rFonts w:ascii="Times New Roman" w:cs="Times New Roman" w:eastAsia="Times New Roman" w:hAnsi="Times New Roman"/>
                <w:sz w:val="14"/>
                <w:szCs w:val="14"/>
                <w:b w:val="1"/>
                <w:bCs w:val="1"/>
                <w:color w:val="auto"/>
              </w:rPr>
              <w:t>Change In Input</w:t>
            </w:r>
          </w:p>
        </w:tc>
        <w:tc>
          <w:tcPr>
            <w:tcW w:w="2860" w:type="dxa"/>
            <w:vAlign w:val="bottom"/>
            <w:tcBorders>
              <w:bottom w:val="single" w:sz="8" w:color="auto"/>
            </w:tcBorders>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w w:val="99"/>
              </w:rPr>
              <w:t>Impact on Fair Value Measurement</w:t>
            </w:r>
          </w:p>
        </w:tc>
      </w:tr>
      <w:tr>
        <w:trPr>
          <w:trHeight w:val="171"/>
        </w:trPr>
        <w:tc>
          <w:tcPr>
            <w:tcW w:w="398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Forward Market Price Power</w:t>
            </w:r>
          </w:p>
        </w:tc>
        <w:tc>
          <w:tcPr>
            <w:tcW w:w="2220" w:type="dxa"/>
            <w:vAlign w:val="bottom"/>
            <w:shd w:val="clear" w:color="auto" w:fill="CCEEFF"/>
          </w:tcPr>
          <w:p>
            <w:pPr>
              <w:jc w:val="center"/>
              <w:ind w:left="269"/>
              <w:spacing w:after="0"/>
              <w:rPr>
                <w:sz w:val="20"/>
                <w:szCs w:val="20"/>
                <w:color w:val="auto"/>
              </w:rPr>
            </w:pPr>
            <w:r>
              <w:rPr>
                <w:rFonts w:ascii="Times New Roman" w:cs="Times New Roman" w:eastAsia="Times New Roman" w:hAnsi="Times New Roman"/>
                <w:sz w:val="14"/>
                <w:szCs w:val="14"/>
                <w:color w:val="auto"/>
              </w:rPr>
              <w:t>Buy</w:t>
            </w:r>
          </w:p>
        </w:tc>
        <w:tc>
          <w:tcPr>
            <w:tcW w:w="2220" w:type="dxa"/>
            <w:vAlign w:val="bottom"/>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Increase/(Decrease)</w:t>
            </w:r>
          </w:p>
        </w:tc>
        <w:tc>
          <w:tcPr>
            <w:tcW w:w="28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Higher/(Lower)</w:t>
            </w:r>
          </w:p>
        </w:tc>
      </w:tr>
      <w:tr>
        <w:trPr>
          <w:trHeight w:val="180"/>
        </w:trPr>
        <w:tc>
          <w:tcPr>
            <w:tcW w:w="3980" w:type="dxa"/>
            <w:vAlign w:val="bottom"/>
          </w:tcPr>
          <w:p>
            <w:pPr>
              <w:jc w:val="center"/>
              <w:ind w:left="109"/>
              <w:spacing w:after="0"/>
              <w:rPr>
                <w:sz w:val="20"/>
                <w:szCs w:val="20"/>
                <w:color w:val="auto"/>
              </w:rPr>
            </w:pPr>
            <w:r>
              <w:rPr>
                <w:rFonts w:ascii="Times New Roman" w:cs="Times New Roman" w:eastAsia="Times New Roman" w:hAnsi="Times New Roman"/>
                <w:sz w:val="14"/>
                <w:szCs w:val="14"/>
                <w:color w:val="auto"/>
              </w:rPr>
              <w:t>Forward Market Price Power</w:t>
            </w:r>
          </w:p>
        </w:tc>
        <w:tc>
          <w:tcPr>
            <w:tcW w:w="2220" w:type="dxa"/>
            <w:vAlign w:val="bottom"/>
          </w:tcPr>
          <w:p>
            <w:pPr>
              <w:jc w:val="center"/>
              <w:ind w:left="249"/>
              <w:spacing w:after="0"/>
              <w:rPr>
                <w:sz w:val="20"/>
                <w:szCs w:val="20"/>
                <w:color w:val="auto"/>
              </w:rPr>
            </w:pPr>
            <w:r>
              <w:rPr>
                <w:rFonts w:ascii="Times New Roman" w:cs="Times New Roman" w:eastAsia="Times New Roman" w:hAnsi="Times New Roman"/>
                <w:sz w:val="14"/>
                <w:szCs w:val="14"/>
                <w:color w:val="auto"/>
              </w:rPr>
              <w:t>Sell</w:t>
            </w:r>
          </w:p>
        </w:tc>
        <w:tc>
          <w:tcPr>
            <w:tcW w:w="2220" w:type="dxa"/>
            <w:vAlign w:val="bottom"/>
          </w:tcPr>
          <w:p>
            <w:pPr>
              <w:jc w:val="center"/>
              <w:ind w:left="189"/>
              <w:spacing w:after="0"/>
              <w:rPr>
                <w:sz w:val="20"/>
                <w:szCs w:val="20"/>
                <w:color w:val="auto"/>
              </w:rPr>
            </w:pPr>
            <w:r>
              <w:rPr>
                <w:rFonts w:ascii="Times New Roman" w:cs="Times New Roman" w:eastAsia="Times New Roman" w:hAnsi="Times New Roman"/>
                <w:sz w:val="14"/>
                <w:szCs w:val="14"/>
                <w:color w:val="auto"/>
              </w:rPr>
              <w:t>Increase/(Decrease)</w:t>
            </w:r>
          </w:p>
        </w:tc>
        <w:tc>
          <w:tcPr>
            <w:tcW w:w="2860" w:type="dxa"/>
            <w:vAlign w:val="bottom"/>
          </w:tcPr>
          <w:p>
            <w:pPr>
              <w:jc w:val="center"/>
              <w:ind w:left="49"/>
              <w:spacing w:after="0"/>
              <w:rPr>
                <w:sz w:val="20"/>
                <w:szCs w:val="20"/>
                <w:color w:val="auto"/>
              </w:rPr>
            </w:pPr>
            <w:r>
              <w:rPr>
                <w:rFonts w:ascii="Times New Roman" w:cs="Times New Roman" w:eastAsia="Times New Roman" w:hAnsi="Times New Roman"/>
                <w:sz w:val="14"/>
                <w:szCs w:val="14"/>
                <w:color w:val="auto"/>
              </w:rPr>
              <w:t>Lower/(Higher)</w:t>
            </w:r>
          </w:p>
        </w:tc>
      </w:tr>
      <w:tr>
        <w:trPr>
          <w:trHeight w:val="180"/>
        </w:trPr>
        <w:tc>
          <w:tcPr>
            <w:tcW w:w="3980" w:type="dxa"/>
            <w:vAlign w:val="bottom"/>
            <w:shd w:val="clear" w:color="auto" w:fill="CCEEFF"/>
          </w:tcPr>
          <w:p>
            <w:pPr>
              <w:jc w:val="center"/>
              <w:ind w:left="109"/>
              <w:spacing w:after="0"/>
              <w:rPr>
                <w:sz w:val="20"/>
                <w:szCs w:val="20"/>
                <w:color w:val="auto"/>
              </w:rPr>
            </w:pPr>
            <w:r>
              <w:rPr>
                <w:rFonts w:ascii="Times New Roman" w:cs="Times New Roman" w:eastAsia="Times New Roman" w:hAnsi="Times New Roman"/>
                <w:sz w:val="14"/>
                <w:szCs w:val="14"/>
                <w:color w:val="auto"/>
              </w:rPr>
              <w:t>Forecast Generation Levels</w:t>
            </w:r>
          </w:p>
        </w:tc>
        <w:tc>
          <w:tcPr>
            <w:tcW w:w="2220" w:type="dxa"/>
            <w:vAlign w:val="bottom"/>
            <w:shd w:val="clear" w:color="auto" w:fill="CCEEFF"/>
          </w:tcPr>
          <w:p>
            <w:pPr>
              <w:jc w:val="center"/>
              <w:ind w:left="249"/>
              <w:spacing w:after="0"/>
              <w:rPr>
                <w:sz w:val="20"/>
                <w:szCs w:val="20"/>
                <w:color w:val="auto"/>
              </w:rPr>
            </w:pPr>
            <w:r>
              <w:rPr>
                <w:rFonts w:ascii="Times New Roman" w:cs="Times New Roman" w:eastAsia="Times New Roman" w:hAnsi="Times New Roman"/>
                <w:sz w:val="14"/>
                <w:szCs w:val="14"/>
                <w:color w:val="auto"/>
              </w:rPr>
              <w:t>Sell</w:t>
            </w:r>
          </w:p>
        </w:tc>
        <w:tc>
          <w:tcPr>
            <w:tcW w:w="2220" w:type="dxa"/>
            <w:vAlign w:val="bottom"/>
            <w:shd w:val="clear" w:color="auto" w:fill="CCEEFF"/>
          </w:tcPr>
          <w:p>
            <w:pPr>
              <w:jc w:val="center"/>
              <w:ind w:left="189"/>
              <w:spacing w:after="0"/>
              <w:rPr>
                <w:sz w:val="20"/>
                <w:szCs w:val="20"/>
                <w:color w:val="auto"/>
              </w:rPr>
            </w:pPr>
            <w:r>
              <w:rPr>
                <w:rFonts w:ascii="Times New Roman" w:cs="Times New Roman" w:eastAsia="Times New Roman" w:hAnsi="Times New Roman"/>
                <w:sz w:val="14"/>
                <w:szCs w:val="14"/>
                <w:color w:val="auto"/>
              </w:rPr>
              <w:t>Increase/(Decrease)</w:t>
            </w:r>
          </w:p>
        </w:tc>
        <w:tc>
          <w:tcPr>
            <w:tcW w:w="2860" w:type="dxa"/>
            <w:vAlign w:val="bottom"/>
            <w:shd w:val="clear" w:color="auto" w:fill="CCEEFF"/>
          </w:tcPr>
          <w:p>
            <w:pPr>
              <w:jc w:val="center"/>
              <w:ind w:left="49"/>
              <w:spacing w:after="0"/>
              <w:rPr>
                <w:sz w:val="20"/>
                <w:szCs w:val="20"/>
                <w:color w:val="auto"/>
              </w:rPr>
            </w:pPr>
            <w:r>
              <w:rPr>
                <w:rFonts w:ascii="Times New Roman" w:cs="Times New Roman" w:eastAsia="Times New Roman" w:hAnsi="Times New Roman"/>
                <w:sz w:val="14"/>
                <w:szCs w:val="14"/>
                <w:color w:val="auto"/>
              </w:rPr>
              <w:t>Higher/(Lower)</w:t>
            </w:r>
          </w:p>
        </w:tc>
      </w:tr>
    </w:tbl>
    <w:p>
      <w:pPr>
        <w:spacing w:after="0" w:line="17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2022, the non-performance reserve was a $32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In addition to the credit risk discussion as disclosed under Item 15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 consolidated financial</w:t>
      </w:r>
      <w:r>
        <w:rPr>
          <w:rFonts w:ascii="Times New Roman" w:cs="Times New Roman" w:eastAsia="Times New Roman" w:hAnsi="Times New Roman"/>
          <w:sz w:val="14"/>
          <w:szCs w:val="14"/>
          <w:color w:val="auto"/>
        </w:rPr>
        <w:t xml:space="preserve"> statements </w:t>
      </w:r>
      <w:r>
        <w:rPr>
          <w:rFonts w:ascii="Times New Roman" w:cs="Times New Roman" w:eastAsia="Times New Roman" w:hAnsi="Times New Roman"/>
          <w:sz w:val="14"/>
          <w:szCs w:val="14"/>
          <w:color w:val="231F20"/>
        </w:rPr>
        <w:t>included in the Company’s</w:t>
      </w:r>
      <w:r>
        <w:rPr>
          <w:rFonts w:ascii="Times New Roman" w:cs="Times New Roman" w:eastAsia="Times New Roman" w:hAnsi="Times New Roman"/>
          <w:sz w:val="14"/>
          <w:szCs w:val="14"/>
          <w:color w:val="auto"/>
        </w:rPr>
        <w:t xml:space="preserve"> 2021 Form 10-K, the following item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A significant portion of these commodity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 Certain subsidiaries of the Company sell the output of their facilities to PG&amp;E, a significant counterparty of the Company, under long-term PPAs, and PG&amp;E’s credit rating is below investment-grade.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Note 6 — </w:t>
      </w:r>
      <w:r>
        <w:rPr>
          <w:rFonts w:ascii="Times New Roman" w:cs="Times New Roman" w:eastAsia="Times New Roman" w:hAnsi="Times New Roman"/>
          <w:sz w:val="14"/>
          <w:szCs w:val="14"/>
          <w:b w:val="1"/>
          <w:bCs w:val="1"/>
          <w:i w:val="1"/>
          <w:iCs w:val="1"/>
          <w:color w:val="auto"/>
        </w:rPr>
        <w:t>Derivative Instruments and Hedging Activities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This footnote should be read in conjunction with the complete description under Item 15 — Note 7, </w:t>
      </w:r>
      <w:r>
        <w:rPr>
          <w:rFonts w:ascii="Times New Roman" w:cs="Times New Roman" w:eastAsia="Times New Roman" w:hAnsi="Times New Roman"/>
          <w:sz w:val="14"/>
          <w:szCs w:val="14"/>
          <w:i w:val="1"/>
          <w:iCs w:val="1"/>
          <w:color w:val="auto"/>
        </w:rPr>
        <w:t>Accounting for Derivative Instruments and Hedging Activities</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 consolidated financial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 xml:space="preserve">statements included in the Company's </w:t>
      </w:r>
      <w:r>
        <w:rPr>
          <w:rFonts w:ascii="Times New Roman" w:cs="Times New Roman" w:eastAsia="Times New Roman" w:hAnsi="Times New Roman"/>
          <w:sz w:val="14"/>
          <w:szCs w:val="14"/>
          <w:color w:val="000000"/>
        </w:rPr>
        <w:t>2021 Form 10-K.</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Rate Swaps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enters into interest rate swap agreements in order to hedge the variability of expected future cash interest payments. As of March 31, 2022, the Company had interest rate derivative instruments on non-recourse debt extending through 2031, a portion of which were designated as cash flow hedges. Under the interest rate swap agreements, the Company pays a fixed rate and the counterparties to the agreements pay a variable interest rate.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Energy-Related Commodities</w:t>
      </w:r>
    </w:p>
    <w:p>
      <w:pPr>
        <w:spacing w:after="0" w:line="138"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As of March 31, 2022, the Company had energy-related derivative instruments extending through 2033. At March 31, 2022, these contracts were not designated as cash flow or fair value hedges.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Volumetric Underlying Derivative Transactions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net notional volume buy/(sell) of the Company's open derivative transactions broken out by commodity as of March 31, 2022 and December 31,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2"/>
          </w:tcPr>
          <w:p>
            <w:pPr>
              <w:jc w:val="center"/>
              <w:ind w:left="35"/>
              <w:spacing w:after="0"/>
              <w:rPr>
                <w:sz w:val="20"/>
                <w:szCs w:val="20"/>
                <w:color w:val="auto"/>
              </w:rPr>
            </w:pPr>
            <w:r>
              <w:rPr>
                <w:rFonts w:ascii="Times New Roman" w:cs="Times New Roman" w:eastAsia="Times New Roman" w:hAnsi="Times New Roman"/>
                <w:sz w:val="11"/>
                <w:szCs w:val="11"/>
                <w:b w:val="1"/>
                <w:bCs w:val="1"/>
                <w:color w:val="auto"/>
              </w:rPr>
              <w:t>Total Volume</w:t>
            </w:r>
          </w:p>
        </w:tc>
        <w:tc>
          <w:tcPr>
            <w:tcW w:w="1480" w:type="dxa"/>
            <w:vAlign w:val="bottom"/>
            <w:tcBorders>
              <w:bottom w:val="single" w:sz="8" w:color="auto"/>
            </w:tcBorders>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3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5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17"/>
        </w:trPr>
        <w:tc>
          <w:tcPr>
            <w:tcW w:w="20" w:type="dxa"/>
            <w:vAlign w:val="bottom"/>
          </w:tcPr>
          <w:p>
            <w:pPr>
              <w:spacing w:after="0"/>
              <w:rPr>
                <w:sz w:val="10"/>
                <w:szCs w:val="10"/>
                <w:color w:val="auto"/>
              </w:rPr>
            </w:pPr>
          </w:p>
        </w:tc>
        <w:tc>
          <w:tcPr>
            <w:tcW w:w="192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Commodity</w:t>
            </w:r>
          </w:p>
        </w:tc>
        <w:tc>
          <w:tcPr>
            <w:tcW w:w="204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Units</w:t>
            </w:r>
          </w:p>
        </w:tc>
        <w:tc>
          <w:tcPr>
            <w:tcW w:w="35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20" w:type="dxa"/>
            <w:vAlign w:val="bottom"/>
            <w:gridSpan w:val="2"/>
          </w:tcPr>
          <w:p>
            <w:pPr>
              <w:jc w:val="center"/>
              <w:ind w:left="35"/>
              <w:spacing w:after="0" w:line="117" w:lineRule="exact"/>
              <w:rPr>
                <w:sz w:val="20"/>
                <w:szCs w:val="20"/>
                <w:color w:val="auto"/>
              </w:rPr>
            </w:pPr>
            <w:r>
              <w:rPr>
                <w:rFonts w:ascii="Times New Roman" w:cs="Times New Roman" w:eastAsia="Times New Roman" w:hAnsi="Times New Roman"/>
                <w:sz w:val="11"/>
                <w:szCs w:val="11"/>
                <w:b w:val="1"/>
                <w:bCs w:val="1"/>
                <w:color w:val="auto"/>
              </w:rPr>
              <w:t>(In millions)</w:t>
            </w:r>
          </w:p>
        </w:tc>
        <w:tc>
          <w:tcPr>
            <w:tcW w:w="1480" w:type="dxa"/>
            <w:vAlign w:val="bottom"/>
          </w:tcPr>
          <w:p>
            <w:pPr>
              <w:spacing w:after="0"/>
              <w:rPr>
                <w:sz w:val="10"/>
                <w:szCs w:val="10"/>
                <w:color w:val="auto"/>
              </w:rPr>
            </w:pPr>
          </w:p>
        </w:tc>
      </w:tr>
      <w:tr>
        <w:trPr>
          <w:trHeight w:val="22"/>
        </w:trPr>
        <w:tc>
          <w:tcPr>
            <w:tcW w:w="2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Natural Gas</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MMBtu</w:t>
            </w:r>
          </w:p>
        </w:tc>
        <w:tc>
          <w:tcPr>
            <w:tcW w:w="35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w:t>
            </w: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0"/>
        </w:trPr>
        <w:tc>
          <w:tcPr>
            <w:tcW w:w="20" w:type="dxa"/>
            <w:vAlign w:val="bottom"/>
          </w:tcPr>
          <w:p>
            <w:pPr>
              <w:spacing w:after="0"/>
              <w:rPr>
                <w:sz w:val="15"/>
                <w:szCs w:val="15"/>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Power</w:t>
            </w:r>
          </w:p>
        </w:tc>
        <w:tc>
          <w:tcPr>
            <w:tcW w:w="2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MWh</w:t>
            </w:r>
          </w:p>
        </w:tc>
        <w:tc>
          <w:tcPr>
            <w:tcW w:w="3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4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20" w:type="dxa"/>
            <w:vAlign w:val="bottom"/>
            <w:shd w:val="clear" w:color="auto" w:fill="CCEEFF"/>
          </w:tcPr>
          <w:p>
            <w:pPr>
              <w:spacing w:after="0"/>
              <w:rPr>
                <w:sz w:val="15"/>
                <w:szCs w:val="15"/>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2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Dollars</w:t>
            </w:r>
          </w:p>
        </w:tc>
        <w:tc>
          <w:tcPr>
            <w:tcW w:w="4900" w:type="dxa"/>
            <w:vAlign w:val="bottom"/>
            <w:gridSpan w:val="2"/>
            <w:shd w:val="clear" w:color="auto" w:fill="CCEEFF"/>
          </w:tcPr>
          <w:p>
            <w:pPr>
              <w:jc w:val="right"/>
              <w:ind w:right="124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4"/>
                <w:szCs w:val="14"/>
                <w:color w:val="auto"/>
              </w:rPr>
              <w:t>1,223</w:t>
            </w:r>
          </w:p>
        </w:tc>
        <w:tc>
          <w:tcPr>
            <w:tcW w:w="420" w:type="dxa"/>
            <w:vAlign w:val="bottom"/>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w:t>
            </w:r>
          </w:p>
        </w:tc>
      </w:tr>
      <w:tr>
        <w:trPr>
          <w:trHeight w:val="80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20" w:type="dxa"/>
            <w:vAlign w:val="bottom"/>
          </w:tcPr>
          <w:p>
            <w:pPr>
              <w:jc w:val="right"/>
              <w:ind w:right="1709"/>
              <w:spacing w:after="0"/>
              <w:rPr>
                <w:sz w:val="20"/>
                <w:szCs w:val="20"/>
                <w:color w:val="auto"/>
              </w:rPr>
            </w:pPr>
            <w:r>
              <w:rPr>
                <w:rFonts w:ascii="Times New Roman" w:cs="Times New Roman" w:eastAsia="Times New Roman" w:hAnsi="Times New Roman"/>
                <w:sz w:val="14"/>
                <w:szCs w:val="14"/>
                <w:color w:val="auto"/>
              </w:rPr>
              <w:t>23</w:t>
            </w:r>
          </w:p>
        </w:tc>
        <w:tc>
          <w:tcPr>
            <w:tcW w:w="1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780" w:type="dxa"/>
            <w:vAlign w:val="bottom"/>
            <w:tcBorders>
              <w:bottom w:val="single" w:sz="8" w:color="9A9A9A"/>
            </w:tcBorders>
          </w:tcPr>
          <w:p>
            <w:pPr>
              <w:spacing w:after="0"/>
              <w:rPr>
                <w:sz w:val="7"/>
                <w:szCs w:val="7"/>
                <w:color w:val="auto"/>
              </w:rPr>
            </w:pPr>
          </w:p>
        </w:tc>
        <w:tc>
          <w:tcPr>
            <w:tcW w:w="352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Fair Value of Derivative Instruments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fair value within the derivative instrument valuation on the consolidated balance sheets: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6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r>
      <w:tr>
        <w:trPr>
          <w:trHeight w:val="154"/>
        </w:trPr>
        <w:tc>
          <w:tcPr>
            <w:tcW w:w="466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852"/>
              <w:spacing w:after="0"/>
              <w:rPr>
                <w:sz w:val="20"/>
                <w:szCs w:val="20"/>
                <w:color w:val="auto"/>
              </w:rPr>
            </w:pPr>
            <w:r>
              <w:rPr>
                <w:rFonts w:ascii="Times New Roman" w:cs="Times New Roman" w:eastAsia="Times New Roman" w:hAnsi="Times New Roman"/>
                <w:sz w:val="11"/>
                <w:szCs w:val="11"/>
                <w:b w:val="1"/>
                <w:bCs w:val="1"/>
                <w:color w:val="auto"/>
              </w:rPr>
              <w:t>Derivative Assets</w:t>
            </w:r>
          </w:p>
        </w:tc>
        <w:tc>
          <w:tcPr>
            <w:tcW w:w="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right"/>
              <w:ind w:right="1071"/>
              <w:spacing w:after="0"/>
              <w:rPr>
                <w:sz w:val="20"/>
                <w:szCs w:val="20"/>
                <w:color w:val="auto"/>
              </w:rPr>
            </w:pPr>
            <w:r>
              <w:rPr>
                <w:rFonts w:ascii="Times New Roman" w:cs="Times New Roman" w:eastAsia="Times New Roman" w:hAnsi="Times New Roman"/>
                <w:sz w:val="11"/>
                <w:szCs w:val="11"/>
                <w:b w:val="1"/>
                <w:bCs w:val="1"/>
                <w:color w:val="auto"/>
              </w:rPr>
              <w:t>Derivative Liabilities</w:t>
            </w:r>
          </w:p>
        </w:tc>
      </w:tr>
      <w:tr>
        <w:trPr>
          <w:trHeight w:val="150"/>
        </w:trPr>
        <w:tc>
          <w:tcPr>
            <w:tcW w:w="4660" w:type="dxa"/>
            <w:vAlign w:val="bottom"/>
          </w:tcPr>
          <w:p>
            <w:pPr>
              <w:spacing w:after="0"/>
              <w:rPr>
                <w:sz w:val="13"/>
                <w:szCs w:val="1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2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50"/>
        </w:trPr>
        <w:tc>
          <w:tcPr>
            <w:tcW w:w="4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40" w:type="dxa"/>
            <w:vAlign w:val="bottom"/>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Cash Flow Hedges:</w:t>
            </w:r>
          </w:p>
        </w:tc>
        <w:tc>
          <w:tcPr>
            <w:tcW w:w="1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180"/>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180" w:type="dxa"/>
            <w:vAlign w:val="bottom"/>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71"/>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Derivatives Designated as Cash Flow Hedges</w:t>
            </w:r>
          </w:p>
        </w:tc>
        <w:tc>
          <w:tcPr>
            <w:tcW w:w="1180" w:type="dxa"/>
            <w:vAlign w:val="bottom"/>
            <w:tcBorders>
              <w:top w:val="single" w:sz="8" w:color="auto"/>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6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Cash Flow Hedges:</w:t>
            </w:r>
          </w:p>
        </w:tc>
        <w:tc>
          <w:tcPr>
            <w:tcW w:w="1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180"/>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rate contracts current</w:t>
            </w:r>
          </w:p>
        </w:tc>
        <w:tc>
          <w:tcPr>
            <w:tcW w:w="1180" w:type="dxa"/>
            <w:vAlign w:val="bottom"/>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1280" w:type="dxa"/>
            <w:vAlign w:val="bottom"/>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8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rate contracts long-term</w:t>
            </w:r>
          </w:p>
        </w:tc>
        <w:tc>
          <w:tcPr>
            <w:tcW w:w="118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0"/>
        </w:trPr>
        <w:tc>
          <w:tcPr>
            <w:tcW w:w="46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Commodity contracts current</w:t>
            </w:r>
          </w:p>
        </w:tc>
        <w:tc>
          <w:tcPr>
            <w:tcW w:w="1180" w:type="dxa"/>
            <w:vAlign w:val="bottom"/>
          </w:tcPr>
          <w:p>
            <w:pPr>
              <w:spacing w:after="0"/>
              <w:rPr>
                <w:sz w:val="15"/>
                <w:szCs w:val="15"/>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spacing w:after="0"/>
              <w:rPr>
                <w:sz w:val="15"/>
                <w:szCs w:val="15"/>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Commodity contracts long-term</w:t>
            </w:r>
          </w:p>
        </w:tc>
        <w:tc>
          <w:tcPr>
            <w:tcW w:w="11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r>
      <w:tr>
        <w:trPr>
          <w:trHeight w:val="171"/>
        </w:trPr>
        <w:tc>
          <w:tcPr>
            <w:tcW w:w="4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Derivatives Not Designated as Cash Flow Hedges</w:t>
            </w:r>
          </w:p>
        </w:tc>
        <w:tc>
          <w:tcPr>
            <w:tcW w:w="1180" w:type="dxa"/>
            <w:vAlign w:val="bottom"/>
            <w:tcBorders>
              <w:top w:val="single" w:sz="8" w:color="auto"/>
              <w:bottom w:val="single" w:sz="8" w:color="auto"/>
            </w:tcBorders>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Borders>
              <w:bottom w:val="single" w:sz="8" w:color="CCEEFF"/>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w:t>
            </w:r>
          </w:p>
        </w:tc>
      </w:tr>
      <w:tr>
        <w:trPr>
          <w:trHeight w:val="19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Derivatives</w:t>
            </w:r>
          </w:p>
        </w:tc>
        <w:tc>
          <w:tcPr>
            <w:tcW w:w="118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4"/>
                <w:szCs w:val="14"/>
                <w:color w:val="auto"/>
                <w:w w:val="85"/>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113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elected to present derivative assets and liabilities on the balance sheet on a trade-by-trade basis and does not offset amounts at the counterparty level. As of March 31, 2022 and December 31, 2021, there was no outstanding collateral paid or received. The following tables summarize the offsetting of derivatives by counterparty: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0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4380" w:type="dxa"/>
            <w:vAlign w:val="bottom"/>
            <w:tcBorders>
              <w:bottom w:val="single" w:sz="8" w:color="auto"/>
            </w:tcBorders>
            <w:gridSpan w:val="5"/>
          </w:tcPr>
          <w:p>
            <w:pPr>
              <w:jc w:val="center"/>
              <w:ind w:left="115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r>
      <w:tr>
        <w:trPr>
          <w:trHeight w:val="170"/>
        </w:trPr>
        <w:tc>
          <w:tcPr>
            <w:tcW w:w="4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 2022</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120" w:type="dxa"/>
            <w:vAlign w:val="bottom"/>
            <w:gridSpan w:val="2"/>
            <w:shd w:val="clear" w:color="auto" w:fill="CCEEFF"/>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71"/>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commodity contracts</w:t>
            </w:r>
          </w:p>
        </w:tc>
        <w:tc>
          <w:tcPr>
            <w:tcW w:w="580" w:type="dxa"/>
            <w:vAlign w:val="bottom"/>
            <w:tcBorders>
              <w:top w:val="single" w:sz="8" w:color="auto"/>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60"/>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80"/>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7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71"/>
        </w:trPr>
        <w:tc>
          <w:tcPr>
            <w:tcW w:w="4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0" w:type="dxa"/>
            <w:vAlign w:val="bottom"/>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r>
      <w:tr>
        <w:trPr>
          <w:trHeight w:val="20"/>
        </w:trPr>
        <w:tc>
          <w:tcPr>
            <w:tcW w:w="45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44"/>
        </w:trPr>
        <w:tc>
          <w:tcPr>
            <w:tcW w:w="45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5"/>
          </w:tcPr>
          <w:p>
            <w:pPr>
              <w:jc w:val="center"/>
              <w:ind w:left="1151"/>
              <w:spacing w:after="0"/>
              <w:rPr>
                <w:sz w:val="20"/>
                <w:szCs w:val="20"/>
                <w:color w:val="auto"/>
              </w:rPr>
            </w:pPr>
            <w:r>
              <w:rPr>
                <w:rFonts w:ascii="Times New Roman" w:cs="Times New Roman" w:eastAsia="Times New Roman" w:hAnsi="Times New Roman"/>
                <w:sz w:val="11"/>
                <w:szCs w:val="11"/>
                <w:b w:val="1"/>
                <w:bCs w:val="1"/>
                <w:color w:val="auto"/>
              </w:rPr>
              <w:t>Gross Amounts Not Offset in the Statement of Financial Position</w:t>
            </w: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169"/>
        </w:trPr>
        <w:tc>
          <w:tcPr>
            <w:tcW w:w="45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25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Gross Amounts of Recognized Assets/Liabilities</w:t>
            </w: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Derivative Instruments</w:t>
            </w: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1"/>
                <w:szCs w:val="11"/>
                <w:b w:val="1"/>
                <w:bCs w:val="1"/>
                <w:color w:val="auto"/>
              </w:rPr>
              <w:t>Net Amount</w:t>
            </w:r>
          </w:p>
        </w:tc>
      </w:tr>
      <w:tr>
        <w:trPr>
          <w:trHeight w:val="161"/>
        </w:trPr>
        <w:tc>
          <w:tcPr>
            <w:tcW w:w="45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Commodity contracts</w:t>
            </w:r>
          </w:p>
        </w:tc>
        <w:tc>
          <w:tcPr>
            <w:tcW w:w="5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120" w:type="dxa"/>
            <w:vAlign w:val="bottom"/>
            <w:gridSpan w:val="2"/>
          </w:tcPr>
          <w:p>
            <w:pPr>
              <w:jc w:val="center"/>
              <w:ind w:right="10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71"/>
        </w:trPr>
        <w:tc>
          <w:tcPr>
            <w:tcW w:w="4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commodity contracts</w:t>
            </w:r>
          </w:p>
        </w:tc>
        <w:tc>
          <w:tcPr>
            <w:tcW w:w="5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w:t>
            </w:r>
          </w:p>
        </w:tc>
      </w:tr>
      <w:tr>
        <w:trPr>
          <w:trHeight w:val="16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58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80"/>
        </w:trPr>
        <w:tc>
          <w:tcPr>
            <w:tcW w:w="45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assets</w:t>
            </w:r>
          </w:p>
        </w:tc>
        <w:tc>
          <w:tcPr>
            <w:tcW w:w="580" w:type="dxa"/>
            <w:vAlign w:val="bottom"/>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80"/>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liabilities</w:t>
            </w:r>
          </w:p>
        </w:tc>
        <w:tc>
          <w:tcPr>
            <w:tcW w:w="580" w:type="dxa"/>
            <w:vAlign w:val="bottom"/>
            <w:tcBorders>
              <w:bottom w:val="single" w:sz="8" w:color="auto"/>
            </w:tcBorders>
            <w:shd w:val="clear" w:color="auto" w:fill="CCEEFF"/>
          </w:tcPr>
          <w:p>
            <w:pPr>
              <w:spacing w:after="0"/>
              <w:rPr>
                <w:sz w:val="15"/>
                <w:szCs w:val="15"/>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71"/>
        </w:trPr>
        <w:tc>
          <w:tcPr>
            <w:tcW w:w="45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 interest rate contracts</w:t>
            </w:r>
          </w:p>
        </w:tc>
        <w:tc>
          <w:tcPr>
            <w:tcW w:w="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6"/>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derivative instruments</w:t>
            </w:r>
          </w:p>
        </w:tc>
        <w:tc>
          <w:tcPr>
            <w:tcW w:w="580" w:type="dxa"/>
            <w:vAlign w:val="bottom"/>
            <w:tcBorders>
              <w:bottom w:val="single" w:sz="8" w:color="auto"/>
            </w:tcBorders>
            <w:shd w:val="clear" w:color="auto" w:fill="CCEEFF"/>
          </w:tcPr>
          <w:p>
            <w:pPr>
              <w:jc w:val="right"/>
              <w:ind w:right="432"/>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726"/>
        </w:trPr>
        <w:tc>
          <w:tcPr>
            <w:tcW w:w="4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40" w:type="dxa"/>
            <w:vAlign w:val="bottom"/>
          </w:tcPr>
          <w:p>
            <w:pPr>
              <w:jc w:val="right"/>
              <w:ind w:right="1131"/>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7"/>
        </w:trPr>
        <w:tc>
          <w:tcPr>
            <w:tcW w:w="450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Loss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summarizes the effects on the Company’s accumulated OCL balance attributable to interest rate swaps designated as cash flow hedge derivatives</w:t>
      </w:r>
      <w:r>
        <w:rPr>
          <w:rFonts w:ascii="Times New Roman" w:cs="Times New Roman" w:eastAsia="Times New Roman" w:hAnsi="Times New Roman"/>
          <w:sz w:val="14"/>
          <w:szCs w:val="14"/>
          <w:b w:val="1"/>
          <w:bCs w:val="1"/>
          <w:color w:val="auto"/>
        </w:rPr>
        <w: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6"/>
          </w:tcPr>
          <w:p>
            <w:pPr>
              <w:jc w:val="right"/>
              <w:ind w:right="2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4"/>
        </w:trPr>
        <w:tc>
          <w:tcPr>
            <w:tcW w:w="8360" w:type="dxa"/>
            <w:vAlign w:val="bottom"/>
          </w:tcPr>
          <w:p>
            <w:pPr>
              <w:spacing w:after="0"/>
              <w:rPr>
                <w:sz w:val="13"/>
                <w:szCs w:val="13"/>
                <w:color w:val="auto"/>
              </w:rPr>
            </w:pPr>
          </w:p>
        </w:tc>
        <w:tc>
          <w:tcPr>
            <w:tcW w:w="960" w:type="dxa"/>
            <w:vAlign w:val="bottom"/>
            <w:tcBorders>
              <w:bottom w:val="single" w:sz="8" w:color="auto"/>
            </w:tcBorders>
            <w:gridSpan w:val="2"/>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Borders>
              <w:bottom w:val="single" w:sz="8" w:color="auto"/>
            </w:tcBorders>
            <w:gridSpan w:val="2"/>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2021</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4"/>
        </w:trPr>
        <w:tc>
          <w:tcPr>
            <w:tcW w:w="8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OCL beginning balance</w:t>
            </w:r>
          </w:p>
        </w:tc>
        <w:tc>
          <w:tcPr>
            <w:tcW w:w="960" w:type="dxa"/>
            <w:vAlign w:val="bottom"/>
            <w:gridSpan w:val="2"/>
            <w:shd w:val="clear" w:color="auto" w:fill="CCEEFF"/>
          </w:tcPr>
          <w:p>
            <w:pPr>
              <w:jc w:val="right"/>
              <w:ind w:right="80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Pr>
          <w:p>
            <w:pPr>
              <w:spacing w:after="0"/>
              <w:rPr>
                <w:sz w:val="15"/>
                <w:szCs w:val="15"/>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Reclassified from accumulated OCL to income due to realization of previously deferred amounts</w:t>
            </w:r>
          </w:p>
        </w:tc>
        <w:tc>
          <w:tcPr>
            <w:tcW w:w="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Mark-to-market of cash flow hedge accounting contracts</w:t>
            </w:r>
          </w:p>
        </w:tc>
        <w:tc>
          <w:tcPr>
            <w:tcW w:w="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r>
      <w:tr>
        <w:trPr>
          <w:trHeight w:val="171"/>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OCL ending balance</w:t>
            </w:r>
          </w:p>
        </w:tc>
        <w:tc>
          <w:tcPr>
            <w:tcW w:w="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4"/>
                <w:szCs w:val="14"/>
                <w:color w:val="auto"/>
              </w:rPr>
            </w:pPr>
          </w:p>
        </w:tc>
      </w:tr>
      <w:tr>
        <w:trPr>
          <w:trHeight w:val="171"/>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OCL attributable to noncontrolling interests</w:t>
            </w:r>
          </w:p>
        </w:tc>
        <w:tc>
          <w:tcPr>
            <w:tcW w:w="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4"/>
                <w:szCs w:val="14"/>
                <w:color w:val="auto"/>
              </w:rPr>
            </w:pPr>
          </w:p>
        </w:tc>
      </w:tr>
      <w:tr>
        <w:trPr>
          <w:trHeight w:val="171"/>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OCL attributable to Clearway Energy LLC</w:t>
            </w:r>
          </w:p>
        </w:tc>
        <w:tc>
          <w:tcPr>
            <w:tcW w:w="960" w:type="dxa"/>
            <w:vAlign w:val="bottom"/>
            <w:tcBorders>
              <w:bottom w:val="single" w:sz="8" w:color="auto"/>
            </w:tcBorders>
            <w:gridSpan w:val="2"/>
          </w:tcPr>
          <w:p>
            <w:pPr>
              <w:jc w:val="right"/>
              <w:ind w:right="80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Borders>
              <w:bottom w:val="single" w:sz="8" w:color="auto"/>
            </w:tcBorders>
            <w:gridSpan w:val="2"/>
          </w:tcPr>
          <w:p>
            <w:pPr>
              <w:jc w:val="right"/>
              <w:ind w:right="843"/>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expected to be realized from OCL during the next 12 months</w:t>
            </w:r>
          </w:p>
        </w:tc>
        <w:tc>
          <w:tcPr>
            <w:tcW w:w="960" w:type="dxa"/>
            <w:vAlign w:val="bottom"/>
            <w:gridSpan w:val="2"/>
            <w:shd w:val="clear" w:color="auto" w:fill="CCEEFF"/>
          </w:tcPr>
          <w:p>
            <w:pPr>
              <w:jc w:val="right"/>
              <w:ind w:right="80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tcPr>
          <w:p>
            <w:pPr>
              <w:spacing w:after="0"/>
              <w:rPr>
                <w:sz w:val="14"/>
                <w:szCs w:val="14"/>
                <w:color w:val="auto"/>
              </w:rPr>
            </w:pPr>
          </w:p>
        </w:tc>
      </w:tr>
      <w:tr>
        <w:trPr>
          <w:trHeight w:val="371"/>
        </w:trPr>
        <w:tc>
          <w:tcPr>
            <w:tcW w:w="8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Amounts reclassified from accumulated OCL into income are recorded to interest expense.</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836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Impact of Derivative Instruments on the Consolidated Statements of Operations</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7"/>
        </w:trPr>
        <w:tc>
          <w:tcPr>
            <w:tcW w:w="8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Mark-to-market gains and losses related to the Company’s derivatives are recorded in the consolidated statements of operations as follows:</w:t>
            </w: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4"/>
        </w:trPr>
        <w:tc>
          <w:tcPr>
            <w:tcW w:w="8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20" w:type="dxa"/>
            <w:vAlign w:val="bottom"/>
            <w:tcBorders>
              <w:bottom w:val="single" w:sz="8" w:color="auto"/>
            </w:tcBorders>
            <w:gridSpan w:val="6"/>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154"/>
        </w:trPr>
        <w:tc>
          <w:tcPr>
            <w:tcW w:w="83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2021</w:t>
            </w:r>
          </w:p>
        </w:tc>
        <w:tc>
          <w:tcPr>
            <w:tcW w:w="3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r>
      <w:tr>
        <w:trPr>
          <w:trHeight w:val="144"/>
        </w:trPr>
        <w:tc>
          <w:tcPr>
            <w:tcW w:w="8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500" w:type="dxa"/>
            <w:vAlign w:val="bottom"/>
            <w:gridSpan w:val="5"/>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Contracts (Interest expense)</w:t>
            </w:r>
          </w:p>
        </w:tc>
        <w:tc>
          <w:tcPr>
            <w:tcW w:w="960" w:type="dxa"/>
            <w:vAlign w:val="bottom"/>
            <w:gridSpan w:val="2"/>
          </w:tcPr>
          <w:p>
            <w:pPr>
              <w:jc w:val="right"/>
              <w:ind w:right="783"/>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gridSpan w:val="2"/>
          </w:tcPr>
          <w:p>
            <w:pPr>
              <w:jc w:val="right"/>
              <w:ind w:right="783"/>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47</w:t>
            </w:r>
          </w:p>
        </w:tc>
      </w:tr>
      <w:tr>
        <w:trPr>
          <w:trHeight w:val="180"/>
        </w:trPr>
        <w:tc>
          <w:tcPr>
            <w:tcW w:w="83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Commodity Contracts (Mark-to-market for economic hedging activities)</w:t>
            </w:r>
            <w:r>
              <w:rPr>
                <w:rFonts w:ascii="Times New Roman" w:cs="Times New Roman" w:eastAsia="Times New Roman" w:hAnsi="Times New Roman"/>
                <w:sz w:val="18"/>
                <w:szCs w:val="18"/>
                <w:color w:val="auto"/>
                <w:vertAlign w:val="superscript"/>
              </w:rPr>
              <w:t>(a)</w:t>
            </w:r>
          </w:p>
        </w:tc>
        <w:tc>
          <w:tcPr>
            <w:tcW w:w="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(125)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r>
    </w:tbl>
    <w:p>
      <w:pPr>
        <w:spacing w:after="0" w:line="89" w:lineRule="exact"/>
        <w:rPr>
          <w:sz w:val="20"/>
          <w:szCs w:val="20"/>
          <w:color w:val="auto"/>
        </w:rPr>
      </w:pPr>
    </w:p>
    <w:p>
      <w:pPr>
        <w:ind w:firstLine="5"/>
        <w:spacing w:after="0" w:line="300" w:lineRule="auto"/>
        <w:tabs>
          <w:tab w:leader="none" w:pos="100" w:val="left"/>
        </w:tabs>
        <w:numPr>
          <w:ilvl w:val="0"/>
          <w:numId w:val="13"/>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Relates to long-term commodity contracts at Elbow Creek Wind Project LLC, or Elbow Creek, Mesquite Star, Mt. Storm, Langford and Mesquite Sky and gains or losses are recognized in operating revenues. During the three months ended March 31, 2022, the commodity contract for Langford, which previously met the NPNS exception, no longer qualified for NPNS treatment and, accordingly, is accounted for as a derivative and marked to market value through operating revenues.</w:t>
      </w:r>
    </w:p>
    <w:p>
      <w:pPr>
        <w:spacing w:after="0" w:line="90"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 portion of the Company’s derivative commodity contracts relate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See Note 5, </w:t>
      </w:r>
      <w:r>
        <w:rPr>
          <w:rFonts w:ascii="Times New Roman" w:cs="Times New Roman" w:eastAsia="Times New Roman" w:hAnsi="Times New Roman"/>
          <w:sz w:val="14"/>
          <w:szCs w:val="14"/>
          <w:i w:val="1"/>
          <w:iCs w:val="1"/>
          <w:color w:val="auto"/>
        </w:rPr>
        <w:t>Fair Value of Financial Instruments</w:t>
      </w:r>
      <w:r>
        <w:rPr>
          <w:rFonts w:ascii="Times New Roman" w:cs="Times New Roman" w:eastAsia="Times New Roman" w:hAnsi="Times New Roman"/>
          <w:sz w:val="14"/>
          <w:szCs w:val="14"/>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 xml:space="preserve">Note 7 — </w:t>
      </w:r>
      <w:r>
        <w:rPr>
          <w:rFonts w:ascii="Times New Roman" w:cs="Times New Roman" w:eastAsia="Times New Roman" w:hAnsi="Times New Roman"/>
          <w:sz w:val="14"/>
          <w:szCs w:val="14"/>
          <w:b w:val="1"/>
          <w:bCs w:val="1"/>
          <w:i w:val="1"/>
          <w:iCs w:val="1"/>
          <w:color w:val="auto"/>
        </w:rPr>
        <w:t>Long-term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This note should be read in conjunction with the complete description under Item 15 — Note 10,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to the consolidated financial statements included in the Company's</w:t>
      </w:r>
      <w:r>
        <w:rPr>
          <w:rFonts w:ascii="Times New Roman" w:cs="Times New Roman" w:eastAsia="Times New Roman" w:hAnsi="Times New Roman"/>
          <w:sz w:val="14"/>
          <w:szCs w:val="14"/>
          <w:color w:val="auto"/>
        </w:rPr>
        <w:t xml:space="preserve"> 2021 Form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10-K. The Company’s borrowings, including short-term and long-term portions consisted of the following:</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 except rates)</w:t>
            </w:r>
          </w:p>
        </w:tc>
        <w:tc>
          <w:tcPr>
            <w:tcW w:w="160" w:type="dxa"/>
            <w:vAlign w:val="bottom"/>
          </w:tcPr>
          <w:p>
            <w:pPr>
              <w:spacing w:after="0"/>
              <w:rPr>
                <w:sz w:val="11"/>
                <w:szCs w:val="11"/>
                <w:color w:val="auto"/>
              </w:rPr>
            </w:pPr>
          </w:p>
        </w:tc>
        <w:tc>
          <w:tcPr>
            <w:tcW w:w="11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120" w:type="dxa"/>
            <w:vAlign w:val="bottom"/>
          </w:tcPr>
          <w:p>
            <w:pPr>
              <w:spacing w:after="0"/>
              <w:rPr>
                <w:sz w:val="11"/>
                <w:szCs w:val="11"/>
                <w:color w:val="auto"/>
              </w:rPr>
            </w:pPr>
          </w:p>
        </w:tc>
        <w:tc>
          <w:tcPr>
            <w:tcW w:w="1060" w:type="dxa"/>
            <w:vAlign w:val="bottom"/>
            <w:vMerge w:val="restart"/>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rPr>
              <w:t>December 31, 2021</w:t>
            </w:r>
          </w:p>
        </w:tc>
        <w:tc>
          <w:tcPr>
            <w:tcW w:w="80" w:type="dxa"/>
            <w:vAlign w:val="bottom"/>
          </w:tcPr>
          <w:p>
            <w:pPr>
              <w:spacing w:after="0"/>
              <w:rPr>
                <w:sz w:val="11"/>
                <w:szCs w:val="11"/>
                <w:color w:val="auto"/>
              </w:rPr>
            </w:pPr>
          </w:p>
        </w:tc>
        <w:tc>
          <w:tcPr>
            <w:tcW w:w="1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March 31, 2022 interest rate % </w:t>
            </w:r>
            <w:r>
              <w:rPr>
                <w:rFonts w:ascii="Times New Roman" w:cs="Times New Roman" w:eastAsia="Times New Roman" w:hAnsi="Times New Roman"/>
                <w:sz w:val="14"/>
                <w:szCs w:val="14"/>
                <w:b w:val="1"/>
                <w:bCs w:val="1"/>
                <w:color w:val="auto"/>
                <w:vertAlign w:val="superscript"/>
              </w:rPr>
              <w:t>(a)</w:t>
            </w:r>
          </w:p>
        </w:tc>
        <w:tc>
          <w:tcPr>
            <w:tcW w:w="1720" w:type="dxa"/>
            <w:vAlign w:val="bottom"/>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Letters of Credit Outstanding at</w:t>
            </w:r>
          </w:p>
        </w:tc>
        <w:tc>
          <w:tcPr>
            <w:tcW w:w="0" w:type="dxa"/>
            <w:vAlign w:val="bottom"/>
          </w:tcPr>
          <w:p>
            <w:pPr>
              <w:spacing w:after="0"/>
              <w:rPr>
                <w:sz w:val="1"/>
                <w:szCs w:val="1"/>
                <w:color w:val="auto"/>
              </w:rPr>
            </w:pPr>
          </w:p>
        </w:tc>
      </w:tr>
      <w:tr>
        <w:trPr>
          <w:trHeight w:val="157"/>
        </w:trPr>
        <w:tc>
          <w:tcPr>
            <w:tcW w:w="51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720" w:type="dxa"/>
            <w:vAlign w:val="bottom"/>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0" w:type="dxa"/>
            <w:vAlign w:val="bottom"/>
          </w:tcPr>
          <w:p>
            <w:pPr>
              <w:spacing w:after="0"/>
              <w:rPr>
                <w:sz w:val="1"/>
                <w:szCs w:val="1"/>
                <w:color w:val="auto"/>
              </w:rPr>
            </w:pPr>
          </w:p>
        </w:tc>
      </w:tr>
      <w:tr>
        <w:trPr>
          <w:trHeight w:val="160"/>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Intercompany Note with Clearway Energy, Inc.</w:t>
            </w:r>
          </w:p>
        </w:tc>
        <w:tc>
          <w:tcPr>
            <w:tcW w:w="16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jc w:val="center"/>
              <w:ind w:left="1297"/>
              <w:spacing w:after="0"/>
              <w:rPr>
                <w:sz w:val="20"/>
                <w:szCs w:val="20"/>
                <w:color w:val="auto"/>
              </w:rPr>
            </w:pPr>
            <w:r>
              <w:rPr>
                <w:rFonts w:ascii="Times New Roman" w:cs="Times New Roman" w:eastAsia="Times New Roman" w:hAnsi="Times New Roman"/>
                <w:sz w:val="13"/>
                <w:szCs w:val="13"/>
                <w:color w:val="auto"/>
                <w:w w:val="95"/>
              </w:rPr>
              <w:t>0.970</w:t>
            </w:r>
          </w:p>
        </w:tc>
        <w:tc>
          <w:tcPr>
            <w:tcW w:w="80" w:type="dxa"/>
            <w:vAlign w:val="bottom"/>
            <w:tcBorders>
              <w:top w:val="single" w:sz="8" w:color="CCEEFF"/>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 Senior Notes</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w:t>
            </w:r>
          </w:p>
        </w:tc>
        <w:tc>
          <w:tcPr>
            <w:tcW w:w="1840" w:type="dxa"/>
            <w:vAlign w:val="bottom"/>
            <w:gridSpan w:val="2"/>
          </w:tcPr>
          <w:p>
            <w:pPr>
              <w:jc w:val="center"/>
              <w:ind w:left="1376"/>
              <w:spacing w:after="0"/>
              <w:rPr>
                <w:sz w:val="20"/>
                <w:szCs w:val="20"/>
                <w:color w:val="auto"/>
              </w:rPr>
            </w:pPr>
            <w:r>
              <w:rPr>
                <w:rFonts w:ascii="Times New Roman" w:cs="Times New Roman" w:eastAsia="Times New Roman" w:hAnsi="Times New Roman"/>
                <w:sz w:val="13"/>
                <w:szCs w:val="13"/>
                <w:color w:val="auto"/>
                <w:w w:val="95"/>
              </w:rPr>
              <w:t>4.750</w:t>
            </w: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2031 Senior Notes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925</w:t>
            </w:r>
          </w:p>
        </w:tc>
        <w:tc>
          <w:tcPr>
            <w:tcW w:w="1840" w:type="dxa"/>
            <w:vAlign w:val="bottom"/>
            <w:gridSpan w:val="2"/>
            <w:shd w:val="clear" w:color="auto" w:fill="CCEEFF"/>
          </w:tcPr>
          <w:p>
            <w:pPr>
              <w:jc w:val="center"/>
              <w:ind w:left="1376"/>
              <w:spacing w:after="0"/>
              <w:rPr>
                <w:sz w:val="20"/>
                <w:szCs w:val="20"/>
                <w:color w:val="auto"/>
              </w:rPr>
            </w:pPr>
            <w:r>
              <w:rPr>
                <w:rFonts w:ascii="Times New Roman" w:cs="Times New Roman" w:eastAsia="Times New Roman" w:hAnsi="Times New Roman"/>
                <w:sz w:val="13"/>
                <w:szCs w:val="13"/>
                <w:color w:val="auto"/>
                <w:w w:val="95"/>
              </w:rPr>
              <w:t>3.750</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2032 Senior Notes</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840" w:type="dxa"/>
            <w:vAlign w:val="bottom"/>
            <w:gridSpan w:val="2"/>
          </w:tcPr>
          <w:p>
            <w:pPr>
              <w:jc w:val="center"/>
              <w:ind w:left="1376"/>
              <w:spacing w:after="0"/>
              <w:rPr>
                <w:sz w:val="20"/>
                <w:szCs w:val="20"/>
                <w:color w:val="auto"/>
              </w:rPr>
            </w:pPr>
            <w:r>
              <w:rPr>
                <w:rFonts w:ascii="Times New Roman" w:cs="Times New Roman" w:eastAsia="Times New Roman" w:hAnsi="Times New Roman"/>
                <w:sz w:val="13"/>
                <w:szCs w:val="13"/>
                <w:color w:val="auto"/>
                <w:w w:val="95"/>
              </w:rPr>
              <w:t>3.750</w:t>
            </w: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3"/>
                <w:szCs w:val="13"/>
                <w:color w:val="auto"/>
                <w:w w:val="98"/>
              </w:rPr>
              <w:t xml:space="preserve">Clearway Energy LLC and Clearway Energy Operating LLC Revolving Credit Facility, due 2023 </w:t>
            </w:r>
            <w:r>
              <w:rPr>
                <w:rFonts w:ascii="Times New Roman" w:cs="Times New Roman" w:eastAsia="Times New Roman" w:hAnsi="Times New Roman"/>
                <w:sz w:val="16"/>
                <w:szCs w:val="16"/>
                <w:color w:val="auto"/>
                <w:w w:val="98"/>
                <w:vertAlign w:val="superscript"/>
              </w:rPr>
              <w:t>(b)</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0" w:type="dxa"/>
            <w:vAlign w:val="bottom"/>
          </w:tcPr>
          <w:p>
            <w:pPr>
              <w:spacing w:after="0"/>
              <w:rPr>
                <w:sz w:val="1"/>
                <w:szCs w:val="1"/>
                <w:color w:val="auto"/>
              </w:rPr>
            </w:pPr>
          </w:p>
        </w:tc>
      </w:tr>
      <w:tr>
        <w:trPr>
          <w:trHeight w:val="170"/>
        </w:trPr>
        <w:tc>
          <w:tcPr>
            <w:tcW w:w="51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Bridge Loan, due 2022 </w:t>
            </w:r>
            <w:r>
              <w:rPr>
                <w:rFonts w:ascii="Times New Roman" w:cs="Times New Roman" w:eastAsia="Times New Roman" w:hAnsi="Times New Roman"/>
                <w:sz w:val="16"/>
                <w:szCs w:val="16"/>
                <w:color w:val="auto"/>
                <w:vertAlign w:val="superscript"/>
              </w:rPr>
              <w:t>(c)</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w:t>
            </w:r>
          </w:p>
        </w:tc>
        <w:tc>
          <w:tcPr>
            <w:tcW w:w="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S+1.000</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w:t>
            </w:r>
          </w:p>
        </w:tc>
        <w:tc>
          <w:tcPr>
            <w:tcW w:w="0" w:type="dxa"/>
            <w:vAlign w:val="bottom"/>
          </w:tcPr>
          <w:p>
            <w:pPr>
              <w:spacing w:after="0"/>
              <w:rPr>
                <w:sz w:val="1"/>
                <w:szCs w:val="1"/>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Project-level debt: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Agua Caliente Solar LLC, due 2037</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2.395 - 3.633</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Asset Management LLC, due 2031</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L+2.625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Alta Wind I-V lease financing arrangements, due 2034 and 2035</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5.696 - 7.015</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Alta Wind Realty Investments LLC, due 2031</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840" w:type="dxa"/>
            <w:vAlign w:val="bottom"/>
            <w:gridSpan w:val="2"/>
            <w:shd w:val="clear" w:color="auto" w:fill="CCEEFF"/>
          </w:tcPr>
          <w:p>
            <w:pPr>
              <w:jc w:val="center"/>
              <w:ind w:left="1376"/>
              <w:spacing w:after="0"/>
              <w:rPr>
                <w:sz w:val="20"/>
                <w:szCs w:val="20"/>
                <w:color w:val="auto"/>
              </w:rPr>
            </w:pPr>
            <w:r>
              <w:rPr>
                <w:rFonts w:ascii="Times New Roman" w:cs="Times New Roman" w:eastAsia="Times New Roman" w:hAnsi="Times New Roman"/>
                <w:sz w:val="13"/>
                <w:szCs w:val="13"/>
                <w:color w:val="auto"/>
                <w:w w:val="95"/>
              </w:rPr>
              <w:t>7.000</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Borrego, due 2024 and 2038</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tcPr>
          <w:p>
            <w:pPr>
              <w:spacing w:after="0"/>
              <w:rPr>
                <w:sz w:val="14"/>
                <w:szCs w:val="14"/>
                <w:color w:val="auto"/>
              </w:rPr>
            </w:pPr>
          </w:p>
        </w:tc>
        <w:tc>
          <w:tcPr>
            <w:tcW w:w="1840" w:type="dxa"/>
            <w:vAlign w:val="bottom"/>
            <w:gridSpan w:val="2"/>
          </w:tcPr>
          <w:p>
            <w:pPr>
              <w:jc w:val="center"/>
              <w:ind w:left="1197"/>
              <w:spacing w:after="0"/>
              <w:rPr>
                <w:sz w:val="20"/>
                <w:szCs w:val="20"/>
                <w:color w:val="auto"/>
              </w:rPr>
            </w:pPr>
            <w:r>
              <w:rPr>
                <w:rFonts w:ascii="Times New Roman" w:cs="Times New Roman" w:eastAsia="Times New Roman" w:hAnsi="Times New Roman"/>
                <w:sz w:val="13"/>
                <w:szCs w:val="13"/>
                <w:color w:val="auto"/>
                <w:w w:val="92"/>
              </w:rPr>
              <w:t>Various</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Buckthorn Solar, due 2025</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2027</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Carlsbad Energy Holdings LLC, due 2038</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1840" w:type="dxa"/>
            <w:vAlign w:val="bottom"/>
            <w:gridSpan w:val="2"/>
            <w:shd w:val="clear" w:color="auto" w:fill="CCEEFF"/>
          </w:tcPr>
          <w:p>
            <w:pPr>
              <w:jc w:val="center"/>
              <w:ind w:left="1376"/>
              <w:spacing w:after="0"/>
              <w:rPr>
                <w:sz w:val="20"/>
                <w:szCs w:val="20"/>
                <w:color w:val="auto"/>
              </w:rPr>
            </w:pPr>
            <w:r>
              <w:rPr>
                <w:rFonts w:ascii="Times New Roman" w:cs="Times New Roman" w:eastAsia="Times New Roman" w:hAnsi="Times New Roman"/>
                <w:sz w:val="13"/>
                <w:szCs w:val="13"/>
                <w:color w:val="auto"/>
                <w:w w:val="95"/>
              </w:rPr>
              <w:t>4.120</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Carlsbad Holdco, due 2038</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840" w:type="dxa"/>
            <w:vAlign w:val="bottom"/>
            <w:gridSpan w:val="2"/>
          </w:tcPr>
          <w:p>
            <w:pPr>
              <w:jc w:val="center"/>
              <w:ind w:left="1376"/>
              <w:spacing w:after="0"/>
              <w:rPr>
                <w:sz w:val="20"/>
                <w:szCs w:val="20"/>
                <w:color w:val="auto"/>
              </w:rPr>
            </w:pPr>
            <w:r>
              <w:rPr>
                <w:rFonts w:ascii="Times New Roman" w:cs="Times New Roman" w:eastAsia="Times New Roman" w:hAnsi="Times New Roman"/>
                <w:sz w:val="13"/>
                <w:szCs w:val="13"/>
                <w:color w:val="auto"/>
                <w:w w:val="95"/>
              </w:rPr>
              <w:t>4.210</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CVSR, due 2037</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2.339 - 3.775</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CVSR Holdco Notes, due 2037</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1840" w:type="dxa"/>
            <w:vAlign w:val="bottom"/>
            <w:gridSpan w:val="2"/>
          </w:tcPr>
          <w:p>
            <w:pPr>
              <w:jc w:val="center"/>
              <w:ind w:left="1376"/>
              <w:spacing w:after="0"/>
              <w:rPr>
                <w:sz w:val="20"/>
                <w:szCs w:val="20"/>
                <w:color w:val="auto"/>
              </w:rPr>
            </w:pPr>
            <w:r>
              <w:rPr>
                <w:rFonts w:ascii="Times New Roman" w:cs="Times New Roman" w:eastAsia="Times New Roman" w:hAnsi="Times New Roman"/>
                <w:sz w:val="13"/>
                <w:szCs w:val="13"/>
                <w:color w:val="auto"/>
                <w:w w:val="95"/>
              </w:rPr>
              <w:t>4.680</w:t>
            </w:r>
          </w:p>
        </w:tc>
        <w:tc>
          <w:tcPr>
            <w:tcW w:w="8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13</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DG-CS Master Borrower LLC, due 2040</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840" w:type="dxa"/>
            <w:vAlign w:val="bottom"/>
            <w:gridSpan w:val="2"/>
            <w:shd w:val="clear" w:color="auto" w:fill="CCEEFF"/>
          </w:tcPr>
          <w:p>
            <w:pPr>
              <w:jc w:val="center"/>
              <w:ind w:left="1376"/>
              <w:spacing w:after="0"/>
              <w:rPr>
                <w:sz w:val="20"/>
                <w:szCs w:val="20"/>
                <w:color w:val="auto"/>
              </w:rPr>
            </w:pPr>
            <w:r>
              <w:rPr>
                <w:rFonts w:ascii="Times New Roman" w:cs="Times New Roman" w:eastAsia="Times New Roman" w:hAnsi="Times New Roman"/>
                <w:sz w:val="13"/>
                <w:szCs w:val="13"/>
                <w:color w:val="auto"/>
                <w:w w:val="95"/>
              </w:rPr>
              <w:t>3.510</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El Segundo Energy Center, due 2023</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L+1.875 - L+2.500</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Kawailoa Solar Portfolio LLC, due 2026</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L+1.375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70"/>
        </w:trPr>
        <w:tc>
          <w:tcPr>
            <w:tcW w:w="51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Laredo Ridge, due 2028 </w:t>
            </w:r>
            <w:r>
              <w:rPr>
                <w:rFonts w:ascii="Times New Roman" w:cs="Times New Roman" w:eastAsia="Times New Roman" w:hAnsi="Times New Roman"/>
                <w:sz w:val="16"/>
                <w:szCs w:val="16"/>
                <w:color w:val="auto"/>
                <w:vertAlign w:val="superscript"/>
              </w:rPr>
              <w:t>(d)</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L+2.125</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Marsh Landing, due 2023</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L+2.375</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Mililani I, due 2022 and 2024</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L+1.000 - L+1.250</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NIMH Solar, due 2024</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L+2.000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Oahu Solar Holdings LLC, due 2026</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L+1.375</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10</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Rosie Class B LLC, due 2027</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0" w:type="dxa"/>
            <w:vAlign w:val="bottom"/>
          </w:tcPr>
          <w:p>
            <w:pPr>
              <w:spacing w:after="0"/>
              <w:rPr>
                <w:sz w:val="1"/>
                <w:szCs w:val="1"/>
                <w:color w:val="auto"/>
              </w:rPr>
            </w:pPr>
          </w:p>
        </w:tc>
      </w:tr>
      <w:tr>
        <w:trPr>
          <w:trHeight w:val="170"/>
        </w:trPr>
        <w:tc>
          <w:tcPr>
            <w:tcW w:w="51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Tapestry Wind LLC, due 2031</w:t>
            </w:r>
            <w:r>
              <w:rPr>
                <w:rFonts w:ascii="Times New Roman" w:cs="Times New Roman" w:eastAsia="Times New Roman" w:hAnsi="Times New Roman"/>
                <w:sz w:val="16"/>
                <w:szCs w:val="16"/>
                <w:color w:val="auto"/>
                <w:vertAlign w:val="superscript"/>
              </w:rPr>
              <w:t>(d)</w:t>
            </w:r>
          </w:p>
        </w:tc>
        <w:tc>
          <w:tcPr>
            <w:tcW w:w="1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L+1.375</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Utah Solar Holdings, due 2036</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1840" w:type="dxa"/>
            <w:vAlign w:val="bottom"/>
            <w:gridSpan w:val="2"/>
            <w:shd w:val="clear" w:color="auto" w:fill="CCEEFF"/>
          </w:tcPr>
          <w:p>
            <w:pPr>
              <w:jc w:val="center"/>
              <w:ind w:left="1376"/>
              <w:spacing w:after="0"/>
              <w:rPr>
                <w:sz w:val="20"/>
                <w:szCs w:val="20"/>
                <w:color w:val="auto"/>
              </w:rPr>
            </w:pPr>
            <w:r>
              <w:rPr>
                <w:rFonts w:ascii="Times New Roman" w:cs="Times New Roman" w:eastAsia="Times New Roman" w:hAnsi="Times New Roman"/>
                <w:sz w:val="13"/>
                <w:szCs w:val="13"/>
                <w:color w:val="auto"/>
                <w:w w:val="95"/>
              </w:rPr>
              <w:t>3.590</w:t>
            </w: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70"/>
        </w:trPr>
        <w:tc>
          <w:tcPr>
            <w:tcW w:w="51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Viento Funding II, LLC, due 2023 and 2029 </w:t>
            </w:r>
            <w:r>
              <w:rPr>
                <w:rFonts w:ascii="Times New Roman" w:cs="Times New Roman" w:eastAsia="Times New Roman" w:hAnsi="Times New Roman"/>
                <w:sz w:val="16"/>
                <w:szCs w:val="16"/>
                <w:color w:val="auto"/>
                <w:vertAlign w:val="superscript"/>
              </w:rPr>
              <w:t>(d)</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S+1.475</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242424"/>
              </w:rPr>
              <w:t>34</w:t>
            </w:r>
          </w:p>
        </w:tc>
        <w:tc>
          <w:tcPr>
            <w:tcW w:w="0" w:type="dxa"/>
            <w:vAlign w:val="bottom"/>
          </w:tcPr>
          <w:p>
            <w:pPr>
              <w:spacing w:after="0"/>
              <w:rPr>
                <w:sz w:val="1"/>
                <w:szCs w:val="1"/>
                <w:color w:val="auto"/>
              </w:rPr>
            </w:pPr>
          </w:p>
        </w:tc>
      </w:tr>
      <w:tr>
        <w:trPr>
          <w:trHeight w:val="17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Walnut Creek, due 2023</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L+1.750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WCEP Holdings, LLC, due 2023</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L+3.000</w:t>
            </w:r>
          </w:p>
        </w:tc>
        <w:tc>
          <w:tcPr>
            <w:tcW w:w="1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4"/>
                <w:szCs w:val="14"/>
                <w:color w:val="auto"/>
              </w:rPr>
            </w:pPr>
          </w:p>
        </w:tc>
        <w:tc>
          <w:tcPr>
            <w:tcW w:w="1840" w:type="dxa"/>
            <w:vAlign w:val="bottom"/>
            <w:gridSpan w:val="2"/>
            <w:shd w:val="clear" w:color="auto" w:fill="CCEEFF"/>
          </w:tcPr>
          <w:p>
            <w:pPr>
              <w:jc w:val="center"/>
              <w:ind w:left="1197"/>
              <w:spacing w:after="0"/>
              <w:rPr>
                <w:sz w:val="20"/>
                <w:szCs w:val="20"/>
                <w:color w:val="auto"/>
              </w:rPr>
            </w:pPr>
            <w:r>
              <w:rPr>
                <w:rFonts w:ascii="Times New Roman" w:cs="Times New Roman" w:eastAsia="Times New Roman" w:hAnsi="Times New Roman"/>
                <w:sz w:val="13"/>
                <w:szCs w:val="13"/>
                <w:color w:val="auto"/>
                <w:w w:val="92"/>
              </w:rPr>
              <w:t>Various</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0" w:type="dxa"/>
            <w:vAlign w:val="bottom"/>
          </w:tcPr>
          <w:p>
            <w:pPr>
              <w:spacing w:after="0"/>
              <w:rPr>
                <w:sz w:val="1"/>
                <w:szCs w:val="1"/>
                <w:color w:val="auto"/>
              </w:rPr>
            </w:pPr>
          </w:p>
        </w:tc>
      </w:tr>
      <w:tr>
        <w:trPr>
          <w:trHeight w:val="158"/>
        </w:trPr>
        <w:tc>
          <w:tcPr>
            <w:tcW w:w="51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Subtotal project-level debt:</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5,053</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5,073</w:t>
            </w:r>
          </w:p>
        </w:tc>
        <w:tc>
          <w:tcPr>
            <w:tcW w:w="80" w:type="dxa"/>
            <w:vAlign w:val="bottom"/>
            <w:tcBorders>
              <w:bottom w:val="single" w:sz="8" w:color="CCEEFF"/>
            </w:tcBorders>
          </w:tcPr>
          <w:p>
            <w:pPr>
              <w:spacing w:after="0"/>
              <w:rPr>
                <w:sz w:val="13"/>
                <w:szCs w:val="13"/>
                <w:color w:val="auto"/>
              </w:rPr>
            </w:pPr>
          </w:p>
        </w:tc>
        <w:tc>
          <w:tcPr>
            <w:tcW w:w="17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7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debt</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7,819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7,779</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current maturities</w:t>
            </w:r>
          </w:p>
        </w:tc>
        <w:tc>
          <w:tcPr>
            <w:tcW w:w="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w:t>
            </w: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net debt issuance costs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8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 xml:space="preserve">Add premiums </w:t>
            </w:r>
            <w:r>
              <w:rPr>
                <w:rFonts w:ascii="Times New Roman" w:cs="Times New Roman" w:eastAsia="Times New Roman" w:hAnsi="Times New Roman"/>
                <w:sz w:val="16"/>
                <w:szCs w:val="16"/>
                <w:color w:val="auto"/>
                <w:vertAlign w:val="superscript"/>
              </w:rPr>
              <w:t>(e)</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Total long-term debt</w:t>
            </w:r>
          </w:p>
        </w:tc>
        <w:tc>
          <w:tcPr>
            <w:tcW w:w="1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6,979</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6,939</w:t>
            </w:r>
          </w:p>
        </w:tc>
        <w:tc>
          <w:tcPr>
            <w:tcW w:w="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firstLine="5"/>
        <w:spacing w:after="0"/>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As of March 31, 2022, L+ equals 3 month LIBOR plus x%, except Clearway Energy Operating LLC Revolving Credit Facility, due 2023, Marsh Landing, due 2023, Mililani I, due 2022 and 2024, and Walnut Creek, due 2023, where L+ equals 1 month LIBOR plus x%.</w:t>
      </w:r>
    </w:p>
    <w:p>
      <w:pPr>
        <w:spacing w:after="0" w:line="121" w:lineRule="exact"/>
        <w:rPr>
          <w:rFonts w:ascii="Times New Roman" w:cs="Times New Roman" w:eastAsia="Times New Roman" w:hAnsi="Times New Roman"/>
          <w:sz w:val="14"/>
          <w:szCs w:val="14"/>
          <w:color w:val="auto"/>
          <w:vertAlign w:val="superscript"/>
        </w:rPr>
      </w:pPr>
    </w:p>
    <w:p>
      <w:pPr>
        <w:ind w:left="120" w:hanging="115"/>
        <w:spacing w:after="0"/>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Applicable rate is determined by the borrower leverage ratio, as defined in the credit agreement.</w:t>
      </w:r>
    </w:p>
    <w:p>
      <w:pPr>
        <w:spacing w:after="0" w:line="24" w:lineRule="exact"/>
        <w:rPr>
          <w:rFonts w:ascii="Times New Roman" w:cs="Times New Roman" w:eastAsia="Times New Roman" w:hAnsi="Times New Roman"/>
          <w:sz w:val="14"/>
          <w:szCs w:val="14"/>
          <w:color w:val="auto"/>
          <w:vertAlign w:val="superscript"/>
        </w:rPr>
      </w:pPr>
    </w:p>
    <w:p>
      <w:pPr>
        <w:ind w:left="120" w:hanging="115"/>
        <w:spacing w:after="0" w:line="200" w:lineRule="auto"/>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S+ equals SOFR, plus x%.</w:t>
      </w:r>
    </w:p>
    <w:p>
      <w:pPr>
        <w:spacing w:after="0" w:line="35" w:lineRule="exact"/>
        <w:rPr>
          <w:rFonts w:ascii="Times New Roman" w:cs="Times New Roman" w:eastAsia="Times New Roman" w:hAnsi="Times New Roman"/>
          <w:sz w:val="14"/>
          <w:szCs w:val="14"/>
          <w:color w:val="auto"/>
          <w:vertAlign w:val="superscript"/>
        </w:rPr>
      </w:pPr>
    </w:p>
    <w:p>
      <w:pPr>
        <w:ind w:firstLine="5"/>
        <w:spacing w:after="0" w:line="237" w:lineRule="auto"/>
        <w:tabs>
          <w:tab w:leader="none" w:pos="125"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Laredo Ridge, due 2028; Tapestry Wind, LLC, due 2031; and Viento Funding II, LLC, due 2023 project-level debt was repaid on March 16, 2022 totaling $186 million and was replaced with $190 million in new project-level debt under Viento Funding II, LLC that was obtained on March 16, 2022 and is due in 2029, as discussed further below.</w:t>
      </w:r>
    </w:p>
    <w:p>
      <w:pPr>
        <w:ind w:left="120" w:hanging="115"/>
        <w:spacing w:after="0" w:line="237" w:lineRule="auto"/>
        <w:tabs>
          <w:tab w:leader="none" w:pos="120" w:val="left"/>
        </w:tabs>
        <w:numPr>
          <w:ilvl w:val="0"/>
          <w:numId w:val="14"/>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Premiums relate to the 2028 Senior Notes.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5" w:name="page26"/>
    <w:bookmarkEnd w:id="25"/>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financing arrangements listed above contain certain covenants, including financial covenants that the Company is required to be in compliance with during the term of the respective arrangement. As of March 31, 2022, the Company was in compliance with all of the required covenants.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discussion below describes material changes to or additions of long-term debt for the three months ended March 31, 2022.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Clearway Energy LLC and Clearway Energy Operating LLC Revolving Credit Facility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 xml:space="preserve">As of March 31, 2022, the Company had $305 million in outstanding borrowings under the revolving credit facility and $82 million in letters of credit outstanding. During the three months ended March 31, 2022, the Company borrowed $80 million under the revolving credit facility, and subsequently repaid $20 million. On May 3, 2022, the Company repaid the $305 million in outstanding borrowings under the revolving credit facility utilizing the proceeds received from the Thermal Disposition,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Bridge Loan Agreement</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As of March 31, 2022, the Company had $335 million in outstanding borrowings under the Bridge Loan Agreement. On May 3, 2022, the Company repaid the $335 million in outstanding borrowings under the Bridge Loan Agreement utilizing proceeds received from the Thermal Disposition,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Project - level Debt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Viento Funding II, LLC</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term loan bears annual interest at a rate of SOFR plus a spread of 0.10% and an applicable margin, which is 1.35% per annum through the fourth anniversary of the term loan and 1.50% per annum thereafter through the maturity date of March 16, 2029. The proceeds from the term loan were used to pay off the existing debt in the amount of $186 million related to Laredo Ridge, Tapestry Wind LLC and Viento Funding II, LLC and to pay related financing costs. The Company recorded a loss on debt extinguishment of $2 million to expense unamortized debt issuance costs.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Mililani I</w:t>
      </w:r>
    </w:p>
    <w:p>
      <w:pPr>
        <w:spacing w:after="0" w:line="13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4"/>
          <w:szCs w:val="14"/>
          <w:color w:val="auto"/>
        </w:rPr>
        <w:t xml:space="preserve">On March 25, 2022, as part of the acquisition of Mililani I, as further described in Note 3, </w:t>
      </w:r>
      <w:r>
        <w:rPr>
          <w:rFonts w:ascii="Times New Roman" w:cs="Times New Roman" w:eastAsia="Times New Roman" w:hAnsi="Times New Roman"/>
          <w:sz w:val="14"/>
          <w:szCs w:val="14"/>
          <w:i w:val="1"/>
          <w:iCs w:val="1"/>
          <w:color w:val="auto"/>
        </w:rPr>
        <w:t>Acquisitions and Dispositions</w:t>
      </w:r>
      <w:r>
        <w:rPr>
          <w:rFonts w:ascii="Times New Roman" w:cs="Times New Roman" w:eastAsia="Times New Roman" w:hAnsi="Times New Roman"/>
          <w:sz w:val="14"/>
          <w:szCs w:val="14"/>
          <w:color w:val="auto"/>
        </w:rPr>
        <w:t>,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commercial operations, which is expected to occur in the second half of 2022.</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color w:val="auto"/>
        </w:rPr>
        <w:t xml:space="preserve">Note 8 — </w:t>
      </w:r>
      <w:r>
        <w:rPr>
          <w:rFonts w:ascii="Times New Roman" w:cs="Times New Roman" w:eastAsia="Times New Roman" w:hAnsi="Times New Roman"/>
          <w:sz w:val="14"/>
          <w:szCs w:val="14"/>
          <w:b w:val="1"/>
          <w:bCs w:val="1"/>
          <w:i w:val="1"/>
          <w:iCs w:val="1"/>
          <w:color w:val="auto"/>
        </w:rPr>
        <w:t>Segment Reporting</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The Company’s segment structure reflects how management currently operates and allocates resources. The Company’s businesses are segregated based on conventional power generation, renewable businesses which consist of solar and wind, and the Thermal Business, which was classified as held for sale as of March 31, 2022. On May 1, 2022, the Company completed the sale of 100% of its interests in the Thermal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net income (loss).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9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9"/>
          </w:tcPr>
          <w:p>
            <w:pPr>
              <w:jc w:val="center"/>
              <w:ind w:left="571"/>
              <w:spacing w:after="0"/>
              <w:rPr>
                <w:sz w:val="20"/>
                <w:szCs w:val="20"/>
                <w:color w:val="auto"/>
              </w:rPr>
            </w:pPr>
            <w:r>
              <w:rPr>
                <w:rFonts w:ascii="Times New Roman" w:cs="Times New Roman" w:eastAsia="Times New Roman" w:hAnsi="Times New Roman"/>
                <w:sz w:val="11"/>
                <w:szCs w:val="11"/>
                <w:b w:val="1"/>
                <w:bCs w:val="1"/>
                <w:color w:val="auto"/>
              </w:rPr>
              <w:t>Three months ended March 31, 2022</w:t>
            </w: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9"/>
                <w:szCs w:val="9"/>
                <w:color w:val="auto"/>
              </w:rPr>
            </w:pPr>
          </w:p>
        </w:tc>
        <w:tc>
          <w:tcPr>
            <w:tcW w:w="960" w:type="dxa"/>
            <w:vAlign w:val="bottom"/>
            <w:gridSpan w:val="2"/>
          </w:tcPr>
          <w:p>
            <w:pPr>
              <w:jc w:val="right"/>
              <w:ind w:right="172"/>
              <w:spacing w:after="0" w:line="108"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 xml:space="preserve">Corporate </w:t>
            </w:r>
            <w:r>
              <w:rPr>
                <w:rFonts w:ascii="Times New Roman" w:cs="Times New Roman" w:eastAsia="Times New Roman" w:hAnsi="Times New Roman"/>
                <w:sz w:val="14"/>
                <w:szCs w:val="14"/>
                <w:color w:val="auto"/>
                <w:vertAlign w:val="superscript"/>
              </w:rPr>
              <w:t>(a)</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7"/>
        </w:trPr>
        <w:tc>
          <w:tcPr>
            <w:tcW w:w="4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214</w:t>
            </w:r>
          </w:p>
        </w:tc>
        <w:tc>
          <w:tcPr>
            <w:tcW w:w="0" w:type="dxa"/>
            <w:vAlign w:val="bottom"/>
          </w:tcPr>
          <w:p>
            <w:pPr>
              <w:spacing w:after="0"/>
              <w:rPr>
                <w:sz w:val="1"/>
                <w:szCs w:val="1"/>
                <w:color w:val="auto"/>
              </w:rPr>
            </w:pPr>
          </w:p>
        </w:tc>
      </w:tr>
      <w:tr>
        <w:trPr>
          <w:trHeight w:val="138"/>
        </w:trPr>
        <w:tc>
          <w:tcPr>
            <w:tcW w:w="498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separately below</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80"/>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Development costs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(13)</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0"/>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4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(39)</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Total Assets </w:t>
            </w:r>
            <w:r>
              <w:rPr>
                <w:rFonts w:ascii="Times New Roman" w:cs="Times New Roman" w:eastAsia="Times New Roman" w:hAnsi="Times New Roman"/>
                <w:sz w:val="18"/>
                <w:szCs w:val="18"/>
                <w:b w:val="1"/>
                <w:bCs w:val="1"/>
                <w:color w:val="auto"/>
                <w:vertAlign w:val="superscript"/>
              </w:rPr>
              <w:t>(b)</w:t>
            </w: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980" w:type="dxa"/>
            <w:vAlign w:val="bottom"/>
            <w:tcBorders>
              <w:top w:val="single" w:sz="8" w:color="CCEEFF"/>
            </w:tcBorders>
            <w:vMerge w:val="continue"/>
          </w:tcPr>
          <w:p>
            <w:pPr>
              <w:spacing w:after="0"/>
              <w:rPr>
                <w:sz w:val="17"/>
                <w:szCs w:val="17"/>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2,361</w:t>
            </w: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9,461</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gridSpan w:val="2"/>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12,528</w:t>
            </w:r>
          </w:p>
        </w:tc>
        <w:tc>
          <w:tcPr>
            <w:tcW w:w="0" w:type="dxa"/>
            <w:vAlign w:val="bottom"/>
          </w:tcPr>
          <w:p>
            <w:pPr>
              <w:spacing w:after="0"/>
              <w:rPr>
                <w:sz w:val="1"/>
                <w:szCs w:val="1"/>
                <w:color w:val="auto"/>
              </w:rPr>
            </w:pPr>
          </w:p>
        </w:tc>
      </w:tr>
      <w:tr>
        <w:trPr>
          <w:trHeight w:val="242"/>
        </w:trPr>
        <w:tc>
          <w:tcPr>
            <w:tcW w:w="4980" w:type="dxa"/>
            <w:vAlign w:val="bottom"/>
          </w:tcPr>
          <w:p>
            <w:pPr>
              <w:ind w:left="60"/>
              <w:spacing w:after="0"/>
              <w:rPr>
                <w:sz w:val="20"/>
                <w:szCs w:val="20"/>
                <w:color w:val="auto"/>
              </w:rPr>
            </w:pPr>
            <w:r>
              <w:rPr>
                <w:rFonts w:ascii="Times New Roman" w:cs="Times New Roman" w:eastAsia="Times New Roman" w:hAnsi="Times New Roman"/>
                <w:sz w:val="18"/>
                <w:szCs w:val="18"/>
                <w:color w:val="auto"/>
                <w:vertAlign w:val="superscript"/>
              </w:rPr>
              <w:t>(a)</w:t>
            </w:r>
            <w:r>
              <w:rPr>
                <w:rFonts w:ascii="Times New Roman" w:cs="Times New Roman" w:eastAsia="Times New Roman" w:hAnsi="Times New Roman"/>
                <w:sz w:val="13"/>
                <w:szCs w:val="13"/>
                <w:color w:val="auto"/>
              </w:rPr>
              <w:t xml:space="preserve"> Includes eliminations.</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980" w:type="dxa"/>
            <w:vAlign w:val="bottom"/>
          </w:tcPr>
          <w:p>
            <w:pPr>
              <w:ind w:left="60"/>
              <w:spacing w:after="0"/>
              <w:rPr>
                <w:sz w:val="20"/>
                <w:szCs w:val="20"/>
                <w:color w:val="auto"/>
              </w:rPr>
            </w:pPr>
            <w:r>
              <w:rPr>
                <w:rFonts w:ascii="Times New Roman" w:cs="Times New Roman" w:eastAsia="Times New Roman" w:hAnsi="Times New Roman"/>
                <w:sz w:val="16"/>
                <w:szCs w:val="16"/>
                <w:color w:val="auto"/>
                <w:vertAlign w:val="superscript"/>
              </w:rPr>
              <w:t>(b)</w:t>
            </w:r>
            <w:r>
              <w:rPr>
                <w:rFonts w:ascii="Times New Roman" w:cs="Times New Roman" w:eastAsia="Times New Roman" w:hAnsi="Times New Roman"/>
                <w:sz w:val="13"/>
                <w:szCs w:val="13"/>
                <w:color w:val="auto"/>
              </w:rPr>
              <w:t xml:space="preserve"> Thermal Business assets were classified as held for sale at March 31, 2022.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9"/>
          </w:tcPr>
          <w:p>
            <w:pPr>
              <w:jc w:val="center"/>
              <w:ind w:left="671"/>
              <w:spacing w:after="0"/>
              <w:rPr>
                <w:sz w:val="20"/>
                <w:szCs w:val="20"/>
                <w:color w:val="auto"/>
              </w:rPr>
            </w:pPr>
            <w:r>
              <w:rPr>
                <w:rFonts w:ascii="Times New Roman" w:cs="Times New Roman" w:eastAsia="Times New Roman" w:hAnsi="Times New Roman"/>
                <w:sz w:val="11"/>
                <w:szCs w:val="11"/>
                <w:b w:val="1"/>
                <w:bCs w:val="1"/>
                <w:color w:val="auto"/>
              </w:rPr>
              <w:t>Three months ended March 31, 2021</w:t>
            </w:r>
          </w:p>
        </w:tc>
        <w:tc>
          <w:tcPr>
            <w:tcW w:w="8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Conventional</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Renewables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Thermal</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54"/>
        </w:trPr>
        <w:tc>
          <w:tcPr>
            <w:tcW w:w="49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Generation</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4980" w:type="dxa"/>
            <w:vAlign w:val="bottom"/>
          </w:tcPr>
          <w:p>
            <w:pPr>
              <w:ind w:left="180"/>
              <w:spacing w:after="0" w:line="138" w:lineRule="exact"/>
              <w:rPr>
                <w:sz w:val="20"/>
                <w:szCs w:val="20"/>
                <w:color w:val="auto"/>
              </w:rPr>
            </w:pPr>
            <w:r>
              <w:rPr>
                <w:rFonts w:ascii="Times New Roman" w:cs="Times New Roman" w:eastAsia="Times New Roman" w:hAnsi="Times New Roman"/>
                <w:sz w:val="14"/>
                <w:szCs w:val="14"/>
                <w:color w:val="auto"/>
              </w:rPr>
              <w:t>Cost of operations, exclusive of depreciation, amortization and accretion shown</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separately below</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w w:val="99"/>
              </w:rPr>
              <w:t>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and integration costs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Development costs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41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w w:val="94"/>
              </w:rPr>
              <w:t>(11)</w:t>
            </w: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(25)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 (Loss)</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9"/>
              </w:rPr>
              <w:t>33</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4"/>
                <w:szCs w:val="14"/>
                <w:color w:val="auto"/>
              </w:rPr>
              <w:t>(77)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 xml:space="preserve">Note 9 — </w:t>
      </w:r>
      <w:r>
        <w:rPr>
          <w:rFonts w:ascii="Times New Roman" w:cs="Times New Roman" w:eastAsia="Times New Roman" w:hAnsi="Times New Roman"/>
          <w:sz w:val="14"/>
          <w:szCs w:val="14"/>
          <w:b w:val="1"/>
          <w:bCs w:val="1"/>
          <w:i w:val="1"/>
          <w:iCs w:val="1"/>
          <w:color w:val="auto"/>
        </w:rPr>
        <w:t>Related Party Transactions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addition to the transactions and relationships described elsewhere in the notes to the consolidated financial statements, certain subsidiaries of CEG provide services to the Company and its project entities. Amounts due to CEG subsidiaries are recorded as accounts payable — affiliates and amounts due to the Company from CEG subsidiaries are recorded as accounts receivable — affiliates in the Company’s consolidated balance sheets. The disclosures below summarize the Company’s material related party transactions with CEG and its subsidiaries that are included in the Company's operating costs.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O&amp;M Services Agreements by and between the Company and Clearway Renewable Operation &amp; Maintenance LLC</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Various wholly-owned subsidiaries of the Company in the Renewables segment are party to services agreements with Clearway Renewable Operation &amp; Maintenance LLC, or RENOM, a wholly-owned subsidiary of CEG, which provides operation and maintenance, or O&amp;M, services to these subsidiaries. The Company incurred total expenses for these services of $15 million and $13 million for the three months ended March 31, 2022 and 2021, respectively. There was a balance of $9 million due to RENOM as of both March 31, 2022 and December 31, 2021.</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Administrative Services Agreements by and between the Company and CEG</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Various wholly-owned subsidiaries of the Company are parties to services agreements with Clearway Asset Services LLC and Clearway Solar Asset Management LLC, two wholly-owned subsidiaries of CEG, which provide various administrative services to the Company's subsidiaries. The Company incurred expenses under these agreements of $3 million for each of the three months ended March 31, 2022 and 2021. There was a balance of $2 million due to CEG as of both March 31, 2022 and December 31, 2021.</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CEG Master Services Agreements</w:t>
      </w:r>
    </w:p>
    <w:p>
      <w:pPr>
        <w:spacing w:after="0" w:line="138"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4"/>
          <w:szCs w:val="14"/>
          <w:color w:val="auto"/>
        </w:rPr>
        <w:t>The Company is a party to Master Services Agreements with CEG, or MSAs, pursuant to which CEG and certain of its affiliates or third-party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The Company incurred net expenses of $1 million under these agreements for each of the three months ended March 31, 2022 and 2021.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color w:val="auto"/>
        </w:rPr>
        <w:t xml:space="preserve">Note 10 — </w:t>
      </w:r>
      <w:r>
        <w:rPr>
          <w:rFonts w:ascii="Times New Roman" w:cs="Times New Roman" w:eastAsia="Times New Roman" w:hAnsi="Times New Roman"/>
          <w:sz w:val="14"/>
          <w:szCs w:val="14"/>
          <w:b w:val="1"/>
          <w:bCs w:val="1"/>
          <w:i w:val="1"/>
          <w:iCs w:val="1"/>
          <w:color w:val="auto"/>
        </w:rPr>
        <w:t>Contingencies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This note should be read in conjunction with the complete description under Item 15 — Note 14, </w:t>
      </w:r>
      <w:r>
        <w:rPr>
          <w:rFonts w:ascii="Times New Roman" w:cs="Times New Roman" w:eastAsia="Times New Roman" w:hAnsi="Times New Roman"/>
          <w:sz w:val="14"/>
          <w:szCs w:val="14"/>
          <w:i w:val="1"/>
          <w:iCs w:val="1"/>
          <w:color w:val="auto"/>
        </w:rPr>
        <w:t>Commitments and Contingencies</w:t>
      </w:r>
      <w:r>
        <w:rPr>
          <w:rFonts w:ascii="Times New Roman" w:cs="Times New Roman" w:eastAsia="Times New Roman" w:hAnsi="Times New Roman"/>
          <w:sz w:val="14"/>
          <w:szCs w:val="14"/>
          <w:color w:val="auto"/>
        </w:rPr>
        <w:t>, to the consolidated financial statements included in the Company's 2021 Form 10-K.</w:t>
      </w:r>
    </w:p>
    <w:p>
      <w:pPr>
        <w:spacing w:after="0" w:line="80"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04"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Buckthorn Solar Litigation</w:t>
      </w:r>
    </w:p>
    <w:p>
      <w:pPr>
        <w:spacing w:after="0" w:line="13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4"/>
          <w:szCs w:val="14"/>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w:t>
      </w:r>
    </w:p>
    <w:p>
      <w:pPr>
        <w:spacing w:after="0" w:line="2" w:lineRule="exact"/>
        <w:rPr>
          <w:sz w:val="20"/>
          <w:szCs w:val="20"/>
          <w:color w:val="auto"/>
        </w:rPr>
      </w:pPr>
    </w:p>
    <w:p>
      <w:pPr>
        <w:ind w:firstLine="5"/>
        <w:spacing w:after="0" w:line="266" w:lineRule="auto"/>
        <w:tabs>
          <w:tab w:leader="none" w:pos="20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relief to which it is entitled at law or in equity. The current deadline to complete discovery is June 24, 2022, and a bench trial is expected to be scheduled for September or October 2022.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9" w:name="page30"/>
    <w:bookmarkEnd w:id="29"/>
    <w:p>
      <w:pPr>
        <w:ind w:right="492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ITEM 2 — Management's Discussion and Analysis of Financial Condition and the Results of Operations </w:t>
      </w:r>
      <w:r>
        <w:rPr>
          <w:rFonts w:ascii="Times New Roman" w:cs="Times New Roman" w:eastAsia="Times New Roman" w:hAnsi="Times New Roman"/>
          <w:sz w:val="14"/>
          <w:szCs w:val="14"/>
          <w:color w:val="auto"/>
        </w:rPr>
        <w:t>The following discussion analyzes the Company's historical financial condition and results of operations.</w:t>
      </w:r>
    </w:p>
    <w:p>
      <w:pPr>
        <w:spacing w:after="0" w:line="1" w:lineRule="exact"/>
        <w:rPr>
          <w:sz w:val="20"/>
          <w:szCs w:val="20"/>
          <w:color w:val="auto"/>
        </w:rPr>
      </w:pPr>
    </w:p>
    <w:p>
      <w:pPr>
        <w:jc w:val="both"/>
        <w:ind w:firstLine="318"/>
        <w:spacing w:after="0" w:line="280" w:lineRule="auto"/>
        <w:rPr>
          <w:sz w:val="20"/>
          <w:szCs w:val="20"/>
          <w:color w:val="auto"/>
        </w:rPr>
      </w:pPr>
      <w:r>
        <w:rPr>
          <w:rFonts w:ascii="Times New Roman" w:cs="Times New Roman" w:eastAsia="Times New Roman" w:hAnsi="Times New Roman"/>
          <w:sz w:val="14"/>
          <w:szCs w:val="14"/>
          <w:color w:val="auto"/>
        </w:rPr>
        <w:t xml:space="preserve">As you read this discussion and analysis, refer to the Company's consolidated financial statements to this Form 10-Q, which present the results of operations for the three months ended March 31, 2022 and 2021. Also refer to the </w:t>
      </w:r>
      <w:r>
        <w:rPr>
          <w:rFonts w:ascii="Times New Roman" w:cs="Times New Roman" w:eastAsia="Times New Roman" w:hAnsi="Times New Roman"/>
          <w:sz w:val="14"/>
          <w:szCs w:val="14"/>
          <w:color w:val="231F20"/>
        </w:rPr>
        <w:t>Company's</w:t>
      </w:r>
      <w:r>
        <w:rPr>
          <w:rFonts w:ascii="Times New Roman" w:cs="Times New Roman" w:eastAsia="Times New Roman" w:hAnsi="Times New Roman"/>
          <w:sz w:val="14"/>
          <w:szCs w:val="14"/>
          <w:color w:val="auto"/>
        </w:rPr>
        <w:t xml:space="preserve"> 2021 Form 10-K, which includes detailed discussions of various items impacting the Company's business, results of operations and financial condition.</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The discussion and analysis below has been organized as follows:</w:t>
      </w:r>
    </w:p>
    <w:p>
      <w:pPr>
        <w:spacing w:after="0" w:line="94" w:lineRule="exact"/>
        <w:rPr>
          <w:sz w:val="20"/>
          <w:szCs w:val="20"/>
          <w:color w:val="auto"/>
        </w:rPr>
      </w:pPr>
    </w:p>
    <w:p>
      <w:pPr>
        <w:ind w:left="1020" w:hanging="251"/>
        <w:spacing w:after="0"/>
        <w:tabs>
          <w:tab w:leader="none" w:pos="102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Executive Summary, including a description of the business and significant events that are important to understanding the results of operations and financial condition;</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Results of operations, including an explanation of significant differences between the periods in the specific line items of the consolidated statements of operations;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Financial condition addressing liquidity position, sources and uses of cash, capital resources and requirements, commitments and off-balance sheet arrangements;</w:t>
      </w:r>
    </w:p>
    <w:p>
      <w:pPr>
        <w:spacing w:after="0" w:line="51" w:lineRule="exact"/>
        <w:rPr>
          <w:rFonts w:ascii="Times New Roman" w:cs="Times New Roman" w:eastAsia="Times New Roman" w:hAnsi="Times New Roman"/>
          <w:sz w:val="14"/>
          <w:szCs w:val="14"/>
          <w:color w:val="231F20"/>
        </w:rPr>
      </w:pPr>
    </w:p>
    <w:p>
      <w:pPr>
        <w:ind w:left="1020" w:hanging="251"/>
        <w:spacing w:after="0"/>
        <w:tabs>
          <w:tab w:leader="none" w:pos="1020" w:val="left"/>
        </w:tabs>
        <w:numPr>
          <w:ilvl w:val="0"/>
          <w:numId w:val="16"/>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auto"/>
        </w:rPr>
        <w:t>Known trends that may affect the Company’s results of operations and financial condition in the future; and</w:t>
      </w:r>
    </w:p>
    <w:p>
      <w:pPr>
        <w:spacing w:after="0" w:line="51" w:lineRule="exact"/>
        <w:rPr>
          <w:rFonts w:ascii="Times New Roman" w:cs="Times New Roman" w:eastAsia="Times New Roman" w:hAnsi="Times New Roman"/>
          <w:sz w:val="14"/>
          <w:szCs w:val="14"/>
          <w:color w:val="231F20"/>
        </w:rPr>
      </w:pPr>
    </w:p>
    <w:p>
      <w:pPr>
        <w:ind w:left="760" w:right="180" w:firstLine="9"/>
        <w:spacing w:after="0" w:line="287" w:lineRule="auto"/>
        <w:tabs>
          <w:tab w:leader="none" w:pos="1011"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3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28"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Executive Summary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Introduction and Overview</w:t>
      </w:r>
    </w:p>
    <w:p>
      <w:pPr>
        <w:spacing w:after="0" w:line="138"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or GIP. GIP is an independent infrastructure fund manager that makes equity and debt investments in infrastructure assets and businesses. The Company is sponsored by GIP through GIP's portfolio company, Clearway Energy Group LLC, or CEG.</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The Company is one of the largest renewable energy owners in the U.S. with over 5,000 net MW of installed wind and solar generation projects. The Company's over 7,500 net MW of assets also includes approximately 2,500 net MW of environmentally-sound, highly efficient natural gas-fired generation facilities. Through this environmentally-sound, diversified and primarily contracted portfolio, the Company endeavors to increase distributions to its unit holders. Substantially all of the Company’s generation assets are under long-term contractual arrangements for the output or capacity from these assets. The weighted average remaining contract duration of these offtake agreements was approximately 12 years </w:t>
      </w:r>
      <w:r>
        <w:rPr>
          <w:rFonts w:ascii="Times New Roman" w:cs="Times New Roman" w:eastAsia="Times New Roman" w:hAnsi="Times New Roman"/>
          <w:sz w:val="14"/>
          <w:szCs w:val="14"/>
          <w:color w:val="231F20"/>
        </w:rPr>
        <w:t>as of</w:t>
      </w:r>
      <w:r>
        <w:rPr>
          <w:rFonts w:ascii="Times New Roman" w:cs="Times New Roman" w:eastAsia="Times New Roman" w:hAnsi="Times New Roman"/>
          <w:sz w:val="14"/>
          <w:szCs w:val="14"/>
          <w:color w:val="auto"/>
        </w:rPr>
        <w:t xml:space="preserve"> March 31, 2022 </w:t>
      </w:r>
      <w:r>
        <w:rPr>
          <w:rFonts w:ascii="Times New Roman" w:cs="Times New Roman" w:eastAsia="Times New Roman" w:hAnsi="Times New Roman"/>
          <w:sz w:val="14"/>
          <w:szCs w:val="14"/>
          <w:color w:val="231F20"/>
        </w:rPr>
        <w:t>based on CAFD.</w:t>
      </w:r>
    </w:p>
    <w:p>
      <w:pPr>
        <w:spacing w:after="0" w:line="9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On May 1, 2022, the Company completed the sale of 100% of its interests in the Thermal Business to KKR. For further details of the Thermal Disposition, refer to Note 3, </w:t>
      </w:r>
      <w:r>
        <w:rPr>
          <w:rFonts w:ascii="Times New Roman" w:cs="Times New Roman" w:eastAsia="Times New Roman" w:hAnsi="Times New Roman"/>
          <w:sz w:val="14"/>
          <w:szCs w:val="14"/>
          <w:i w:val="1"/>
          <w:iCs w:val="1"/>
          <w:color w:val="auto"/>
        </w:rPr>
        <w:t>Acquisitions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Dispositions</w:t>
      </w:r>
      <w:r>
        <w:rPr>
          <w:rFonts w:ascii="Times New Roman" w:cs="Times New Roman" w:eastAsia="Times New Roman" w:hAnsi="Times New Roman"/>
          <w:sz w:val="14"/>
          <w:szCs w:val="14"/>
          <w:color w:val="auto"/>
        </w:rPr>
        <w:t>.</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March 31, 2022, the Company's operating assets are comprised of the following projects:</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0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Projects</w:t>
            </w:r>
          </w:p>
        </w:tc>
        <w:tc>
          <w:tcPr>
            <w:tcW w:w="2860" w:type="dxa"/>
            <w:vAlign w:val="bottom"/>
            <w:vMerge w:val="restart"/>
          </w:tcPr>
          <w:p>
            <w:pPr>
              <w:ind w:left="168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960" w:type="dxa"/>
            <w:vAlign w:val="bottom"/>
          </w:tcPr>
          <w:p>
            <w:pPr>
              <w:jc w:val="center"/>
              <w:ind w:right="773"/>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2580" w:type="dxa"/>
            <w:vAlign w:val="bottom"/>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520" w:type="dxa"/>
            <w:vAlign w:val="bottom"/>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0" w:type="dxa"/>
            <w:vAlign w:val="bottom"/>
          </w:tcPr>
          <w:p>
            <w:pPr>
              <w:spacing w:after="0"/>
              <w:rPr>
                <w:sz w:val="1"/>
                <w:szCs w:val="1"/>
                <w:color w:val="auto"/>
              </w:rPr>
            </w:pPr>
          </w:p>
        </w:tc>
      </w:tr>
      <w:tr>
        <w:trPr>
          <w:trHeight w:val="108"/>
        </w:trPr>
        <w:tc>
          <w:tcPr>
            <w:tcW w:w="2060" w:type="dxa"/>
            <w:vAlign w:val="bottom"/>
            <w:vMerge w:val="continue"/>
          </w:tcPr>
          <w:p>
            <w:pPr>
              <w:spacing w:after="0"/>
              <w:rPr>
                <w:sz w:val="9"/>
                <w:szCs w:val="9"/>
                <w:color w:val="auto"/>
              </w:rPr>
            </w:pPr>
          </w:p>
        </w:tc>
        <w:tc>
          <w:tcPr>
            <w:tcW w:w="2860" w:type="dxa"/>
            <w:vAlign w:val="bottom"/>
            <w:vMerge w:val="continue"/>
          </w:tcPr>
          <w:p>
            <w:pPr>
              <w:spacing w:after="0"/>
              <w:rPr>
                <w:sz w:val="9"/>
                <w:szCs w:val="9"/>
                <w:color w:val="auto"/>
              </w:rPr>
            </w:pPr>
          </w:p>
        </w:tc>
        <w:tc>
          <w:tcPr>
            <w:tcW w:w="1960" w:type="dxa"/>
            <w:vAlign w:val="bottom"/>
          </w:tcPr>
          <w:p>
            <w:pPr>
              <w:jc w:val="center"/>
              <w:ind w:right="773"/>
              <w:spacing w:after="0"/>
              <w:rPr>
                <w:sz w:val="20"/>
                <w:szCs w:val="20"/>
                <w:color w:val="auto"/>
              </w:rPr>
            </w:pPr>
            <w:r>
              <w:rPr>
                <w:rFonts w:ascii="Times New Roman" w:cs="Times New Roman" w:eastAsia="Times New Roman" w:hAnsi="Times New Roman"/>
                <w:sz w:val="7"/>
                <w:szCs w:val="7"/>
                <w:b w:val="1"/>
                <w:bCs w:val="1"/>
                <w:color w:val="auto"/>
              </w:rPr>
              <w:t>(a)</w:t>
            </w:r>
          </w:p>
        </w:tc>
        <w:tc>
          <w:tcPr>
            <w:tcW w:w="25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14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Conventional</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Carlsbad</w:t>
            </w:r>
          </w:p>
        </w:tc>
        <w:tc>
          <w:tcPr>
            <w:tcW w:w="21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San Diego Gas &amp; Electric</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68"/>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El Segundo</w:t>
            </w:r>
          </w:p>
        </w:tc>
        <w:tc>
          <w:tcPr>
            <w:tcW w:w="2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550</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2023</w:t>
            </w:r>
          </w:p>
        </w:tc>
      </w:tr>
      <w:tr>
        <w:trPr>
          <w:trHeight w:val="153"/>
        </w:trPr>
        <w:tc>
          <w:tcPr>
            <w:tcW w:w="2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GenConn Devon</w:t>
            </w:r>
          </w:p>
        </w:tc>
        <w:tc>
          <w:tcPr>
            <w:tcW w:w="21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2040</w:t>
            </w:r>
          </w:p>
        </w:tc>
      </w:tr>
      <w:tr>
        <w:trPr>
          <w:trHeight w:val="165"/>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GenConn Middletown</w:t>
            </w:r>
          </w:p>
        </w:tc>
        <w:tc>
          <w:tcPr>
            <w:tcW w:w="2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Connecticut Light &amp; Power</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3"/>
        </w:trPr>
        <w:tc>
          <w:tcPr>
            <w:tcW w:w="288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Marsh Landing</w:t>
            </w:r>
          </w:p>
        </w:tc>
        <w:tc>
          <w:tcPr>
            <w:tcW w:w="21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290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40" w:type="dxa"/>
            <w:vAlign w:val="bottom"/>
          </w:tcPr>
          <w:p>
            <w:pPr>
              <w:jc w:val="center"/>
              <w:ind w:left="1223"/>
              <w:spacing w:after="0"/>
              <w:rPr>
                <w:sz w:val="20"/>
                <w:szCs w:val="20"/>
                <w:color w:val="auto"/>
              </w:rPr>
            </w:pPr>
            <w:r>
              <w:rPr>
                <w:rFonts w:ascii="Times New Roman" w:cs="Times New Roman" w:eastAsia="Times New Roman" w:hAnsi="Times New Roman"/>
                <w:sz w:val="11"/>
                <w:szCs w:val="11"/>
                <w:color w:val="auto"/>
              </w:rPr>
              <w:t>2023 - 2030</w:t>
            </w:r>
          </w:p>
        </w:tc>
      </w:tr>
      <w:tr>
        <w:trPr>
          <w:trHeight w:val="159"/>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Walnut Creek</w:t>
            </w:r>
          </w:p>
        </w:tc>
        <w:tc>
          <w:tcPr>
            <w:tcW w:w="21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w:t>
            </w:r>
          </w:p>
        </w:tc>
        <w:tc>
          <w:tcPr>
            <w:tcW w:w="2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40" w:type="dxa"/>
            <w:vAlign w:val="bottom"/>
            <w:shd w:val="clear" w:color="auto" w:fill="CCEEFF"/>
          </w:tcPr>
          <w:p>
            <w:pPr>
              <w:jc w:val="center"/>
              <w:ind w:left="1223"/>
              <w:spacing w:after="0"/>
              <w:rPr>
                <w:sz w:val="20"/>
                <w:szCs w:val="20"/>
                <w:color w:val="auto"/>
              </w:rPr>
            </w:pPr>
            <w:r>
              <w:rPr>
                <w:rFonts w:ascii="Times New Roman" w:cs="Times New Roman" w:eastAsia="Times New Roman" w:hAnsi="Times New Roman"/>
                <w:sz w:val="11"/>
                <w:szCs w:val="11"/>
                <w:color w:val="auto"/>
              </w:rPr>
              <w:t>2023 - 2026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Conventional</w:t>
            </w:r>
          </w:p>
        </w:tc>
        <w:tc>
          <w:tcPr>
            <w:tcW w:w="17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2,472</w:t>
            </w:r>
          </w:p>
        </w:tc>
        <w:tc>
          <w:tcPr>
            <w:tcW w:w="2920" w:type="dxa"/>
            <w:vAlign w:val="bottom"/>
          </w:tcPr>
          <w:p>
            <w:pPr>
              <w:spacing w:after="0"/>
              <w:rPr>
                <w:sz w:val="13"/>
                <w:szCs w:val="13"/>
                <w:color w:val="auto"/>
              </w:rPr>
            </w:pPr>
          </w:p>
        </w:tc>
        <w:tc>
          <w:tcPr>
            <w:tcW w:w="2320" w:type="dxa"/>
            <w:vAlign w:val="bottom"/>
          </w:tcPr>
          <w:p>
            <w:pPr>
              <w:spacing w:after="0"/>
              <w:rPr>
                <w:sz w:val="13"/>
                <w:szCs w:val="13"/>
                <w:color w:val="auto"/>
              </w:rPr>
            </w:pPr>
          </w:p>
        </w:tc>
      </w:tr>
      <w:tr>
        <w:trPr>
          <w:trHeight w:val="17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Utility Scale Solar</w:t>
            </w:r>
          </w:p>
        </w:tc>
        <w:tc>
          <w:tcPr>
            <w:tcW w:w="17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2320" w:type="dxa"/>
            <w:vAlign w:val="bottom"/>
            <w:shd w:val="clear" w:color="auto" w:fill="CCEEFF"/>
          </w:tcPr>
          <w:p>
            <w:pPr>
              <w:spacing w:after="0"/>
              <w:rPr>
                <w:sz w:val="14"/>
                <w:szCs w:val="14"/>
                <w:color w:val="auto"/>
              </w:rPr>
            </w:pPr>
          </w:p>
        </w:tc>
      </w:tr>
      <w:tr>
        <w:trPr>
          <w:trHeight w:val="153"/>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Agua Caliente</w:t>
            </w:r>
          </w:p>
        </w:tc>
        <w:tc>
          <w:tcPr>
            <w:tcW w:w="1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51 %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6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Alpine</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Avenal</w:t>
            </w:r>
          </w:p>
        </w:tc>
        <w:tc>
          <w:tcPr>
            <w:tcW w:w="1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6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Avra Valley</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Tucson Electric Power</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53"/>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Blythe</w:t>
            </w:r>
          </w:p>
        </w:tc>
        <w:tc>
          <w:tcPr>
            <w:tcW w:w="1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6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Borrego</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San Diego Gas and Electric</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3200" w:type="dxa"/>
            <w:vAlign w:val="bottom"/>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Buckthorn Solar </w:t>
            </w:r>
            <w:r>
              <w:rPr>
                <w:rFonts w:ascii="Times New Roman" w:cs="Times New Roman" w:eastAsia="Times New Roman" w:hAnsi="Times New Roman"/>
                <w:sz w:val="14"/>
                <w:szCs w:val="14"/>
                <w:color w:val="auto"/>
                <w:vertAlign w:val="superscript"/>
              </w:rPr>
              <w:t>(b)</w:t>
            </w:r>
          </w:p>
        </w:tc>
        <w:tc>
          <w:tcPr>
            <w:tcW w:w="1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154</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City of Georgetown, TX</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2043</w:t>
            </w:r>
          </w:p>
        </w:tc>
      </w:tr>
      <w:tr>
        <w:trPr>
          <w:trHeight w:val="15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CVSR</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250</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3"/>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Desert Sunlight 250</w:t>
            </w:r>
          </w:p>
        </w:tc>
        <w:tc>
          <w:tcPr>
            <w:tcW w:w="1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2034</w:t>
            </w:r>
          </w:p>
        </w:tc>
      </w:tr>
      <w:tr>
        <w:trPr>
          <w:trHeight w:val="16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Desert Sunlight 300</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25 %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3"/>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Kansas South</w:t>
            </w:r>
          </w:p>
        </w:tc>
        <w:tc>
          <w:tcPr>
            <w:tcW w:w="1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PG&amp;E</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Kawailoa </w:t>
            </w:r>
            <w:r>
              <w:rPr>
                <w:rFonts w:ascii="Times New Roman" w:cs="Times New Roman" w:eastAsia="Times New Roman" w:hAnsi="Times New Roman"/>
                <w:sz w:val="14"/>
                <w:szCs w:val="14"/>
                <w:color w:val="auto"/>
                <w:vertAlign w:val="superscript"/>
              </w:rPr>
              <w:t>(b)</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48 %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9"/>
        </w:trPr>
        <w:tc>
          <w:tcPr>
            <w:tcW w:w="3200" w:type="dxa"/>
            <w:vAlign w:val="bottom"/>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Oahu Solar Projects </w:t>
            </w:r>
            <w:r>
              <w:rPr>
                <w:rFonts w:ascii="Times New Roman" w:cs="Times New Roman" w:eastAsia="Times New Roman" w:hAnsi="Times New Roman"/>
                <w:sz w:val="14"/>
                <w:szCs w:val="14"/>
                <w:color w:val="auto"/>
                <w:vertAlign w:val="superscript"/>
              </w:rPr>
              <w:t>(b)</w:t>
            </w:r>
          </w:p>
        </w:tc>
        <w:tc>
          <w:tcPr>
            <w:tcW w:w="1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95 %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Hawaiian Electric Company</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2041</w:t>
            </w:r>
          </w:p>
        </w:tc>
      </w:tr>
      <w:tr>
        <w:trPr>
          <w:trHeight w:val="15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Roadrunner</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El Paso Electric</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9"/>
        </w:trPr>
        <w:tc>
          <w:tcPr>
            <w:tcW w:w="3200" w:type="dxa"/>
            <w:vAlign w:val="bottom"/>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Rosamond Central </w:t>
            </w:r>
            <w:r>
              <w:rPr>
                <w:rFonts w:ascii="Times New Roman" w:cs="Times New Roman" w:eastAsia="Times New Roman" w:hAnsi="Times New Roman"/>
                <w:sz w:val="14"/>
                <w:szCs w:val="14"/>
                <w:color w:val="auto"/>
                <w:vertAlign w:val="superscript"/>
              </w:rPr>
              <w:t>(b)</w:t>
            </w:r>
          </w:p>
        </w:tc>
        <w:tc>
          <w:tcPr>
            <w:tcW w:w="1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rPr>
              <w:t>2035 - 2047</w:t>
            </w:r>
          </w:p>
        </w:tc>
      </w:tr>
      <w:tr>
        <w:trPr>
          <w:trHeight w:val="159"/>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 High Desert</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Utah Solar Portfolio</w:t>
            </w:r>
          </w:p>
        </w:tc>
        <w:tc>
          <w:tcPr>
            <w:tcW w:w="178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530</w:t>
            </w:r>
          </w:p>
        </w:tc>
        <w:tc>
          <w:tcPr>
            <w:tcW w:w="2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2320" w:type="dxa"/>
            <w:vAlign w:val="bottom"/>
            <w:tcBorders>
              <w:bottom w:val="single" w:sz="8" w:color="CCEEFF"/>
            </w:tcBorders>
          </w:tcPr>
          <w:p>
            <w:pPr>
              <w:jc w:val="center"/>
              <w:ind w:left="1203"/>
              <w:spacing w:after="0"/>
              <w:rPr>
                <w:sz w:val="20"/>
                <w:szCs w:val="20"/>
                <w:color w:val="auto"/>
              </w:rPr>
            </w:pPr>
            <w:r>
              <w:rPr>
                <w:rFonts w:ascii="Times New Roman" w:cs="Times New Roman" w:eastAsia="Times New Roman" w:hAnsi="Times New Roman"/>
                <w:sz w:val="11"/>
                <w:szCs w:val="11"/>
                <w:color w:val="auto"/>
                <w:w w:val="99"/>
              </w:rPr>
              <w:t>2036</w:t>
            </w:r>
          </w:p>
        </w:tc>
      </w:tr>
      <w:tr>
        <w:trPr>
          <w:trHeight w:val="156"/>
        </w:trPr>
        <w:tc>
          <w:tcPr>
            <w:tcW w:w="3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b w:val="1"/>
                <w:bCs w:val="1"/>
                <w:i w:val="1"/>
                <w:iCs w:val="1"/>
                <w:color w:val="auto"/>
              </w:rPr>
              <w:t>Total Solar</w:t>
            </w:r>
          </w:p>
        </w:tc>
        <w:tc>
          <w:tcPr>
            <w:tcW w:w="178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1,621</w:t>
            </w:r>
          </w:p>
        </w:tc>
        <w:tc>
          <w:tcPr>
            <w:tcW w:w="292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r>
      <w:tr>
        <w:trPr>
          <w:trHeight w:val="169"/>
        </w:trPr>
        <w:tc>
          <w:tcPr>
            <w:tcW w:w="320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Distributed Solar</w:t>
            </w:r>
          </w:p>
        </w:tc>
        <w:tc>
          <w:tcPr>
            <w:tcW w:w="1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16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DGPV Fund Projects </w:t>
            </w:r>
            <w:r>
              <w:rPr>
                <w:rFonts w:ascii="Times New Roman" w:cs="Times New Roman" w:eastAsia="Times New Roman" w:hAnsi="Times New Roman"/>
                <w:sz w:val="14"/>
                <w:szCs w:val="14"/>
                <w:color w:val="auto"/>
                <w:vertAlign w:val="superscript"/>
              </w:rPr>
              <w:t>(b)</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203"/>
              <w:spacing w:after="0"/>
              <w:rPr>
                <w:sz w:val="20"/>
                <w:szCs w:val="20"/>
                <w:color w:val="auto"/>
              </w:rPr>
            </w:pPr>
            <w:r>
              <w:rPr>
                <w:rFonts w:ascii="Times New Roman" w:cs="Times New Roman" w:eastAsia="Times New Roman" w:hAnsi="Times New Roman"/>
                <w:sz w:val="11"/>
                <w:szCs w:val="11"/>
                <w:color w:val="auto"/>
              </w:rPr>
              <w:t>2030 - 2044</w:t>
            </w:r>
          </w:p>
        </w:tc>
      </w:tr>
      <w:tr>
        <w:trPr>
          <w:trHeight w:val="153"/>
        </w:trPr>
        <w:tc>
          <w:tcPr>
            <w:tcW w:w="32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Solar Power Partners (SPP) Projects</w:t>
            </w:r>
          </w:p>
        </w:tc>
        <w:tc>
          <w:tcPr>
            <w:tcW w:w="17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29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tcPr>
          <w:p>
            <w:pPr>
              <w:jc w:val="center"/>
              <w:ind w:left="1203"/>
              <w:spacing w:after="0"/>
              <w:rPr>
                <w:sz w:val="20"/>
                <w:szCs w:val="20"/>
                <w:color w:val="auto"/>
              </w:rPr>
            </w:pPr>
            <w:r>
              <w:rPr>
                <w:rFonts w:ascii="Times New Roman" w:cs="Times New Roman" w:eastAsia="Times New Roman" w:hAnsi="Times New Roman"/>
                <w:sz w:val="11"/>
                <w:szCs w:val="11"/>
                <w:color w:val="auto"/>
              </w:rPr>
              <w:t>2026 - 2037</w:t>
            </w:r>
          </w:p>
        </w:tc>
      </w:tr>
      <w:tr>
        <w:trPr>
          <w:trHeight w:val="165"/>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Other DG Projects</w:t>
            </w:r>
          </w:p>
        </w:tc>
        <w:tc>
          <w:tcPr>
            <w:tcW w:w="17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2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2320" w:type="dxa"/>
            <w:vAlign w:val="bottom"/>
            <w:shd w:val="clear" w:color="auto" w:fill="CCEEFF"/>
          </w:tcPr>
          <w:p>
            <w:pPr>
              <w:jc w:val="center"/>
              <w:ind w:left="1183"/>
              <w:spacing w:after="0"/>
              <w:rPr>
                <w:sz w:val="20"/>
                <w:szCs w:val="20"/>
                <w:color w:val="auto"/>
              </w:rPr>
            </w:pPr>
            <w:r>
              <w:rPr>
                <w:rFonts w:ascii="Times New Roman" w:cs="Times New Roman" w:eastAsia="Times New Roman" w:hAnsi="Times New Roman"/>
                <w:sz w:val="11"/>
                <w:szCs w:val="11"/>
                <w:color w:val="auto"/>
              </w:rPr>
              <w:t>2023 -2039</w:t>
            </w:r>
          </w:p>
        </w:tc>
      </w:tr>
      <w:tr>
        <w:trPr>
          <w:trHeight w:val="147"/>
        </w:trPr>
        <w:tc>
          <w:tcPr>
            <w:tcW w:w="3200" w:type="dxa"/>
            <w:vAlign w:val="bottom"/>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Distributed Solar</w:t>
            </w:r>
          </w:p>
        </w:tc>
        <w:tc>
          <w:tcPr>
            <w:tcW w:w="17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332</w:t>
            </w:r>
          </w:p>
        </w:tc>
        <w:tc>
          <w:tcPr>
            <w:tcW w:w="2920" w:type="dxa"/>
            <w:vAlign w:val="bottom"/>
          </w:tcPr>
          <w:p>
            <w:pPr>
              <w:spacing w:after="0"/>
              <w:rPr>
                <w:sz w:val="12"/>
                <w:szCs w:val="12"/>
                <w:color w:val="auto"/>
              </w:rPr>
            </w:pPr>
          </w:p>
        </w:tc>
        <w:tc>
          <w:tcPr>
            <w:tcW w:w="2320" w:type="dxa"/>
            <w:vAlign w:val="bottom"/>
          </w:tcPr>
          <w:p>
            <w:pPr>
              <w:spacing w:after="0"/>
              <w:rPr>
                <w:sz w:val="12"/>
                <w:szCs w:val="12"/>
                <w:color w:val="auto"/>
              </w:rPr>
            </w:pPr>
          </w:p>
        </w:tc>
      </w:tr>
    </w:tbl>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1" w:name="page32"/>
    <w:bookmarkEnd w:id="31"/>
    <w:tbl>
      <w:tblPr>
        <w:tblLayout w:type="fixed"/>
        <w:tblInd w:w="20" w:type="dxa"/>
        <w:tblCellMar>
          <w:top w:w="0" w:type="dxa"/>
          <w:left w:w="0" w:type="dxa"/>
          <w:bottom w:w="0" w:type="dxa"/>
          <w:right w:w="0" w:type="dxa"/>
        </w:tblCellMar>
      </w:tblPr>
      <w:tr>
        <w:trPr>
          <w:trHeight w:val="126"/>
        </w:trPr>
        <w:tc>
          <w:tcPr>
            <w:tcW w:w="206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Projects</w:t>
            </w:r>
          </w:p>
        </w:tc>
        <w:tc>
          <w:tcPr>
            <w:tcW w:w="2860" w:type="dxa"/>
            <w:vAlign w:val="bottom"/>
            <w:vMerge w:val="restart"/>
          </w:tcPr>
          <w:p>
            <w:pPr>
              <w:ind w:left="1680"/>
              <w:spacing w:after="0"/>
              <w:rPr>
                <w:sz w:val="20"/>
                <w:szCs w:val="20"/>
                <w:color w:val="auto"/>
              </w:rPr>
            </w:pPr>
            <w:r>
              <w:rPr>
                <w:rFonts w:ascii="Times New Roman" w:cs="Times New Roman" w:eastAsia="Times New Roman" w:hAnsi="Times New Roman"/>
                <w:sz w:val="11"/>
                <w:szCs w:val="11"/>
                <w:b w:val="1"/>
                <w:bCs w:val="1"/>
                <w:color w:val="auto"/>
              </w:rPr>
              <w:t>Percentage Ownership</w:t>
            </w:r>
          </w:p>
        </w:tc>
        <w:tc>
          <w:tcPr>
            <w:tcW w:w="1960" w:type="dxa"/>
            <w:vAlign w:val="bottom"/>
          </w:tcPr>
          <w:p>
            <w:pPr>
              <w:jc w:val="center"/>
              <w:ind w:right="773"/>
              <w:spacing w:after="0"/>
              <w:rPr>
                <w:sz w:val="20"/>
                <w:szCs w:val="20"/>
                <w:color w:val="auto"/>
              </w:rPr>
            </w:pPr>
            <w:r>
              <w:rPr>
                <w:rFonts w:ascii="Times New Roman" w:cs="Times New Roman" w:eastAsia="Times New Roman" w:hAnsi="Times New Roman"/>
                <w:sz w:val="11"/>
                <w:szCs w:val="11"/>
                <w:b w:val="1"/>
                <w:bCs w:val="1"/>
                <w:color w:val="auto"/>
              </w:rPr>
              <w:t>Net Capacity (MW)</w:t>
            </w:r>
          </w:p>
        </w:tc>
        <w:tc>
          <w:tcPr>
            <w:tcW w:w="2580" w:type="dxa"/>
            <w:vAlign w:val="bottom"/>
            <w:vMerge w:val="restart"/>
          </w:tcPr>
          <w:p>
            <w:pPr>
              <w:ind w:left="900"/>
              <w:spacing w:after="0"/>
              <w:rPr>
                <w:sz w:val="20"/>
                <w:szCs w:val="20"/>
                <w:color w:val="auto"/>
              </w:rPr>
            </w:pPr>
            <w:r>
              <w:rPr>
                <w:rFonts w:ascii="Times New Roman" w:cs="Times New Roman" w:eastAsia="Times New Roman" w:hAnsi="Times New Roman"/>
                <w:sz w:val="11"/>
                <w:szCs w:val="11"/>
                <w:b w:val="1"/>
                <w:bCs w:val="1"/>
                <w:color w:val="auto"/>
              </w:rPr>
              <w:t>Counterparty</w:t>
            </w:r>
          </w:p>
        </w:tc>
        <w:tc>
          <w:tcPr>
            <w:tcW w:w="1520" w:type="dxa"/>
            <w:vAlign w:val="bottom"/>
            <w:vMerge w:val="restart"/>
          </w:tcPr>
          <w:p>
            <w:pPr>
              <w:ind w:left="1000"/>
              <w:spacing w:after="0"/>
              <w:rPr>
                <w:sz w:val="20"/>
                <w:szCs w:val="20"/>
                <w:color w:val="auto"/>
              </w:rPr>
            </w:pPr>
            <w:r>
              <w:rPr>
                <w:rFonts w:ascii="Times New Roman" w:cs="Times New Roman" w:eastAsia="Times New Roman" w:hAnsi="Times New Roman"/>
                <w:sz w:val="11"/>
                <w:szCs w:val="11"/>
                <w:b w:val="1"/>
                <w:bCs w:val="1"/>
                <w:color w:val="auto"/>
                <w:w w:val="98"/>
              </w:rPr>
              <w:t>Expiration</w:t>
            </w:r>
          </w:p>
        </w:tc>
        <w:tc>
          <w:tcPr>
            <w:tcW w:w="0" w:type="dxa"/>
            <w:vAlign w:val="bottom"/>
          </w:tcPr>
          <w:p>
            <w:pPr>
              <w:spacing w:after="0"/>
              <w:rPr>
                <w:sz w:val="1"/>
                <w:szCs w:val="1"/>
                <w:color w:val="auto"/>
              </w:rPr>
            </w:pPr>
          </w:p>
        </w:tc>
      </w:tr>
      <w:tr>
        <w:trPr>
          <w:trHeight w:val="108"/>
        </w:trPr>
        <w:tc>
          <w:tcPr>
            <w:tcW w:w="2060" w:type="dxa"/>
            <w:vAlign w:val="bottom"/>
            <w:vMerge w:val="continue"/>
          </w:tcPr>
          <w:p>
            <w:pPr>
              <w:spacing w:after="0"/>
              <w:rPr>
                <w:sz w:val="9"/>
                <w:szCs w:val="9"/>
                <w:color w:val="auto"/>
              </w:rPr>
            </w:pPr>
          </w:p>
        </w:tc>
        <w:tc>
          <w:tcPr>
            <w:tcW w:w="2860" w:type="dxa"/>
            <w:vAlign w:val="bottom"/>
            <w:vMerge w:val="continue"/>
          </w:tcPr>
          <w:p>
            <w:pPr>
              <w:spacing w:after="0"/>
              <w:rPr>
                <w:sz w:val="9"/>
                <w:szCs w:val="9"/>
                <w:color w:val="auto"/>
              </w:rPr>
            </w:pPr>
          </w:p>
        </w:tc>
        <w:tc>
          <w:tcPr>
            <w:tcW w:w="1960" w:type="dxa"/>
            <w:vAlign w:val="bottom"/>
          </w:tcPr>
          <w:p>
            <w:pPr>
              <w:jc w:val="center"/>
              <w:ind w:right="773"/>
              <w:spacing w:after="0"/>
              <w:rPr>
                <w:sz w:val="20"/>
                <w:szCs w:val="20"/>
                <w:color w:val="auto"/>
              </w:rPr>
            </w:pPr>
            <w:r>
              <w:rPr>
                <w:rFonts w:ascii="Times New Roman" w:cs="Times New Roman" w:eastAsia="Times New Roman" w:hAnsi="Times New Roman"/>
                <w:sz w:val="7"/>
                <w:szCs w:val="7"/>
                <w:b w:val="1"/>
                <w:bCs w:val="1"/>
                <w:color w:val="auto"/>
              </w:rPr>
              <w:t>(a)</w:t>
            </w:r>
          </w:p>
        </w:tc>
        <w:tc>
          <w:tcPr>
            <w:tcW w:w="25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61530" cy="114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Wind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Alta I</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8"/>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Alta II</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Alta III</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Alta IV</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Alta V</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2035</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Alta X </w:t>
            </w:r>
            <w:r>
              <w:rPr>
                <w:rFonts w:ascii="Times New Roman" w:cs="Times New Roman" w:eastAsia="Times New Roman" w:hAnsi="Times New Roman"/>
                <w:sz w:val="14"/>
                <w:szCs w:val="14"/>
                <w:color w:val="auto"/>
                <w:vertAlign w:val="superscript"/>
              </w:rPr>
              <w:t>(b)</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3060" w:type="dxa"/>
            <w:vAlign w:val="bottom"/>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Alta XI </w:t>
            </w:r>
            <w:r>
              <w:rPr>
                <w:rFonts w:ascii="Times New Roman" w:cs="Times New Roman" w:eastAsia="Times New Roman" w:hAnsi="Times New Roman"/>
                <w:sz w:val="14"/>
                <w:szCs w:val="14"/>
                <w:color w:val="auto"/>
                <w:vertAlign w:val="superscript"/>
              </w:rPr>
              <w:t>(b)</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SCE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2038</w:t>
            </w:r>
          </w:p>
        </w:tc>
      </w:tr>
      <w:tr>
        <w:trPr>
          <w:trHeight w:val="159"/>
        </w:trPr>
        <w:tc>
          <w:tcPr>
            <w:tcW w:w="306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Black Rock </w:t>
            </w:r>
            <w:r>
              <w:rPr>
                <w:rFonts w:ascii="Times New Roman" w:cs="Times New Roman" w:eastAsia="Times New Roman" w:hAnsi="Times New Roman"/>
                <w:sz w:val="14"/>
                <w:szCs w:val="14"/>
                <w:color w:val="auto"/>
                <w:vertAlign w:val="superscript"/>
              </w:rPr>
              <w:t>(b)</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Toyota and AEP</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2036</w:t>
            </w: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Buffalo Bear</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Western Farmers Electric Co-operative</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Crosswinds</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99 %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Corn Belt Power Cooperative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2027</w:t>
            </w:r>
          </w:p>
        </w:tc>
      </w:tr>
      <w:tr>
        <w:trPr>
          <w:trHeight w:val="159"/>
        </w:trPr>
        <w:tc>
          <w:tcPr>
            <w:tcW w:w="3060" w:type="dxa"/>
            <w:vAlign w:val="bottom"/>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Elbow Creek </w:t>
            </w:r>
            <w:r>
              <w:rPr>
                <w:rFonts w:ascii="Times New Roman" w:cs="Times New Roman" w:eastAsia="Times New Roman" w:hAnsi="Times New Roman"/>
                <w:sz w:val="14"/>
                <w:szCs w:val="14"/>
                <w:color w:val="auto"/>
                <w:vertAlign w:val="superscript"/>
              </w:rPr>
              <w:t>(b)</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Elkhorn Ridge</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66.7 %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Forward</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Constellation NewEnergy, Inc.</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2022</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Goat Wind</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Dow Pipeline Company</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Hardin</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99 %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Interstate Power and Light Company</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2027</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Langford </w:t>
            </w:r>
            <w:r>
              <w:rPr>
                <w:rFonts w:ascii="Times New Roman" w:cs="Times New Roman" w:eastAsia="Times New Roman" w:hAnsi="Times New Roman"/>
                <w:sz w:val="14"/>
                <w:szCs w:val="14"/>
                <w:color w:val="auto"/>
                <w:vertAlign w:val="superscript"/>
              </w:rPr>
              <w:t>(b)</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Goldman Sachs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2033</w:t>
            </w: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Laredo Ridge</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Nebraska Public Power District</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Lookout </w:t>
            </w:r>
            <w:r>
              <w:rPr>
                <w:rFonts w:ascii="Times New Roman" w:cs="Times New Roman" w:eastAsia="Times New Roman" w:hAnsi="Times New Roman"/>
                <w:sz w:val="14"/>
                <w:szCs w:val="14"/>
                <w:color w:val="auto"/>
                <w:vertAlign w:val="superscript"/>
              </w:rPr>
              <w:t>(b)</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Southern Maryland Electric Cooperative</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2030</w:t>
            </w:r>
          </w:p>
        </w:tc>
      </w:tr>
      <w:tr>
        <w:trPr>
          <w:trHeight w:val="159"/>
        </w:trPr>
        <w:tc>
          <w:tcPr>
            <w:tcW w:w="3060" w:type="dxa"/>
            <w:vAlign w:val="bottom"/>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Mesquite Sky </w:t>
            </w:r>
            <w:r>
              <w:rPr>
                <w:rFonts w:ascii="Times New Roman" w:cs="Times New Roman" w:eastAsia="Times New Roman" w:hAnsi="Times New Roman"/>
                <w:sz w:val="14"/>
                <w:szCs w:val="14"/>
                <w:color w:val="auto"/>
                <w:vertAlign w:val="superscript"/>
              </w:rPr>
              <w:t>(b)</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rPr>
              <w:t>2033 - 2036</w:t>
            </w:r>
          </w:p>
        </w:tc>
      </w:tr>
      <w:tr>
        <w:trPr>
          <w:trHeight w:val="159"/>
        </w:trPr>
        <w:tc>
          <w:tcPr>
            <w:tcW w:w="3060" w:type="dxa"/>
            <w:vAlign w:val="bottom"/>
            <w:shd w:val="clear" w:color="auto" w:fill="CCEEFF"/>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Mesquite Star </w:t>
            </w:r>
            <w:r>
              <w:rPr>
                <w:rFonts w:ascii="Times New Roman" w:cs="Times New Roman" w:eastAsia="Times New Roman" w:hAnsi="Times New Roman"/>
                <w:sz w:val="14"/>
                <w:szCs w:val="14"/>
                <w:color w:val="auto"/>
                <w:vertAlign w:val="superscript"/>
              </w:rPr>
              <w:t>(b)</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50 %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2032 - 2035</w:t>
            </w: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Mt. Storm</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Citigroup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Ocotillo</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N/A</w:t>
            </w:r>
          </w:p>
        </w:tc>
        <w:tc>
          <w:tcPr>
            <w:tcW w:w="1180" w:type="dxa"/>
            <w:vAlign w:val="bottom"/>
            <w:shd w:val="clear" w:color="auto" w:fill="CCEEFF"/>
          </w:tcPr>
          <w:p>
            <w:pPr>
              <w:spacing w:after="0"/>
              <w:rPr>
                <w:sz w:val="14"/>
                <w:szCs w:val="14"/>
                <w:color w:val="auto"/>
              </w:rPr>
            </w:pP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Odin</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99.9 %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Missouri River Energy Services</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2028</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Pinnacle </w:t>
            </w:r>
            <w:r>
              <w:rPr>
                <w:rFonts w:ascii="Times New Roman" w:cs="Times New Roman" w:eastAsia="Times New Roman" w:hAnsi="Times New Roman"/>
                <w:sz w:val="14"/>
                <w:szCs w:val="14"/>
                <w:color w:val="auto"/>
                <w:vertAlign w:val="superscript"/>
              </w:rPr>
              <w:t>(b)</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Maryland Department of General Services and University System of Maryland</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9"/>
        </w:trPr>
        <w:tc>
          <w:tcPr>
            <w:tcW w:w="3060" w:type="dxa"/>
            <w:vAlign w:val="bottom"/>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Rattlesnake </w:t>
            </w:r>
            <w:r>
              <w:rPr>
                <w:rFonts w:ascii="Times New Roman" w:cs="Times New Roman" w:eastAsia="Times New Roman" w:hAnsi="Times New Roman"/>
                <w:sz w:val="14"/>
                <w:szCs w:val="14"/>
                <w:color w:val="auto"/>
                <w:vertAlign w:val="superscript"/>
              </w:rPr>
              <w:t>(b) (d)</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Avista Corporation</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2040</w:t>
            </w:r>
          </w:p>
        </w:tc>
      </w:tr>
      <w:tr>
        <w:trPr>
          <w:trHeight w:val="15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San Juan Mesa</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75 %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2025</w:t>
            </w: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Sleeping Bear</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Public Service Company of Oklahoma</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2032</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South Trent</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AEP Energy Partners</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2029</w:t>
            </w:r>
          </w:p>
        </w:tc>
      </w:tr>
      <w:tr>
        <w:trPr>
          <w:trHeight w:val="153"/>
        </w:trPr>
        <w:tc>
          <w:tcPr>
            <w:tcW w:w="30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Spanish Fork</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PacifiCorp</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2028</w:t>
            </w:r>
          </w:p>
        </w:tc>
      </w:tr>
      <w:tr>
        <w:trPr>
          <w:trHeight w:val="165"/>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Spring Canyon II </w:t>
            </w:r>
            <w:r>
              <w:rPr>
                <w:rFonts w:ascii="Times New Roman" w:cs="Times New Roman" w:eastAsia="Times New Roman" w:hAnsi="Times New Roman"/>
                <w:sz w:val="14"/>
                <w:szCs w:val="14"/>
                <w:color w:val="auto"/>
                <w:vertAlign w:val="superscript"/>
              </w:rPr>
              <w:t>(b)</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90.1 %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60" w:type="dxa"/>
            <w:vAlign w:val="bottom"/>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Spring Canyon III </w:t>
            </w:r>
            <w:r>
              <w:rPr>
                <w:rFonts w:ascii="Times New Roman" w:cs="Times New Roman" w:eastAsia="Times New Roman" w:hAnsi="Times New Roman"/>
                <w:sz w:val="14"/>
                <w:szCs w:val="14"/>
                <w:color w:val="auto"/>
                <w:vertAlign w:val="superscript"/>
              </w:rPr>
              <w:t>(b)</w:t>
            </w:r>
          </w:p>
        </w:tc>
        <w:tc>
          <w:tcPr>
            <w:tcW w:w="192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90.1 %</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406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Platte River Power Authority</w:t>
            </w:r>
          </w:p>
        </w:tc>
        <w:tc>
          <w:tcPr>
            <w:tcW w:w="1180" w:type="dxa"/>
            <w:vAlign w:val="bottom"/>
          </w:tcPr>
          <w:p>
            <w:pPr>
              <w:jc w:val="center"/>
              <w:ind w:left="63"/>
              <w:spacing w:after="0"/>
              <w:rPr>
                <w:sz w:val="20"/>
                <w:szCs w:val="20"/>
                <w:color w:val="auto"/>
              </w:rPr>
            </w:pPr>
            <w:r>
              <w:rPr>
                <w:rFonts w:ascii="Times New Roman" w:cs="Times New Roman" w:eastAsia="Times New Roman" w:hAnsi="Times New Roman"/>
                <w:sz w:val="11"/>
                <w:szCs w:val="11"/>
                <w:color w:val="auto"/>
                <w:w w:val="99"/>
              </w:rPr>
              <w:t>2039</w:t>
            </w:r>
          </w:p>
        </w:tc>
      </w:tr>
      <w:tr>
        <w:trPr>
          <w:trHeight w:val="159"/>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Taloga</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Oklahoma Gas &amp; Electric</w:t>
            </w:r>
          </w:p>
        </w:tc>
        <w:tc>
          <w:tcPr>
            <w:tcW w:w="1180" w:type="dxa"/>
            <w:vAlign w:val="bottom"/>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9"/>
              </w:rPr>
              <w:t>2031</w:t>
            </w:r>
          </w:p>
        </w:tc>
      </w:tr>
      <w:tr>
        <w:trPr>
          <w:trHeight w:val="159"/>
        </w:trPr>
        <w:tc>
          <w:tcPr>
            <w:tcW w:w="3060" w:type="dxa"/>
            <w:vAlign w:val="bottom"/>
            <w:tcBorders>
              <w:bottom w:val="single" w:sz="8" w:color="CCEEFF"/>
            </w:tcBorders>
          </w:tcPr>
          <w:p>
            <w:pPr>
              <w:ind w:left="180"/>
              <w:spacing w:after="0" w:line="159" w:lineRule="exact"/>
              <w:rPr>
                <w:sz w:val="20"/>
                <w:szCs w:val="20"/>
                <w:color w:val="auto"/>
              </w:rPr>
            </w:pPr>
            <w:r>
              <w:rPr>
                <w:rFonts w:ascii="Times New Roman" w:cs="Times New Roman" w:eastAsia="Times New Roman" w:hAnsi="Times New Roman"/>
                <w:sz w:val="11"/>
                <w:szCs w:val="11"/>
                <w:color w:val="auto"/>
              </w:rPr>
              <w:t xml:space="preserve">Wildorado </w:t>
            </w:r>
            <w:r>
              <w:rPr>
                <w:rFonts w:ascii="Times New Roman" w:cs="Times New Roman" w:eastAsia="Times New Roman" w:hAnsi="Times New Roman"/>
                <w:sz w:val="14"/>
                <w:szCs w:val="14"/>
                <w:color w:val="auto"/>
                <w:vertAlign w:val="superscript"/>
              </w:rPr>
              <w:t>(b)</w:t>
            </w:r>
          </w:p>
        </w:tc>
        <w:tc>
          <w:tcPr>
            <w:tcW w:w="192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161</w:t>
            </w:r>
          </w:p>
        </w:tc>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Southwestern Public Service Company</w:t>
            </w:r>
          </w:p>
        </w:tc>
        <w:tc>
          <w:tcPr>
            <w:tcW w:w="1180" w:type="dxa"/>
            <w:vAlign w:val="bottom"/>
            <w:tcBorders>
              <w:bottom w:val="single" w:sz="8" w:color="CCEEFF"/>
            </w:tcBorders>
          </w:tcPr>
          <w:p>
            <w:pPr>
              <w:jc w:val="center"/>
              <w:ind w:left="63"/>
              <w:spacing w:after="0"/>
              <w:rPr>
                <w:sz w:val="20"/>
                <w:szCs w:val="20"/>
                <w:color w:val="auto"/>
              </w:rPr>
            </w:pPr>
            <w:r>
              <w:rPr>
                <w:rFonts w:ascii="Times New Roman" w:cs="Times New Roman" w:eastAsia="Times New Roman" w:hAnsi="Times New Roman"/>
                <w:sz w:val="11"/>
                <w:szCs w:val="11"/>
                <w:color w:val="auto"/>
                <w:w w:val="99"/>
              </w:rPr>
              <w:t>2027</w:t>
            </w:r>
          </w:p>
        </w:tc>
      </w:tr>
      <w:tr>
        <w:trPr>
          <w:trHeight w:val="150"/>
        </w:trPr>
        <w:tc>
          <w:tcPr>
            <w:tcW w:w="3060" w:type="dxa"/>
            <w:vAlign w:val="bottom"/>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b w:val="1"/>
                <w:bCs w:val="1"/>
                <w:i w:val="1"/>
                <w:iCs w:val="1"/>
                <w:color w:val="auto"/>
              </w:rPr>
              <w:t>Total Wind</w:t>
            </w:r>
          </w:p>
        </w:tc>
        <w:tc>
          <w:tcPr>
            <w:tcW w:w="19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3,285</w:t>
            </w:r>
          </w:p>
        </w:tc>
        <w:tc>
          <w:tcPr>
            <w:tcW w:w="40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r>
      <w:tr>
        <w:trPr>
          <w:trHeight w:val="159"/>
        </w:trPr>
        <w:tc>
          <w:tcPr>
            <w:tcW w:w="30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59"/>
        </w:trPr>
        <w:tc>
          <w:tcPr>
            <w:tcW w:w="30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Thermal generation </w:t>
            </w:r>
            <w:r>
              <w:rPr>
                <w:rFonts w:ascii="Times New Roman" w:cs="Times New Roman" w:eastAsia="Times New Roman" w:hAnsi="Times New Roman"/>
                <w:sz w:val="14"/>
                <w:szCs w:val="14"/>
                <w:color w:val="auto"/>
                <w:vertAlign w:val="superscript"/>
              </w:rPr>
              <w:t>(e)</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100 %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Various</w:t>
            </w:r>
          </w:p>
        </w:tc>
      </w:tr>
      <w:tr>
        <w:trPr>
          <w:trHeight w:val="150"/>
        </w:trPr>
        <w:tc>
          <w:tcPr>
            <w:tcW w:w="306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40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r>
      <w:tr>
        <w:trPr>
          <w:trHeight w:val="17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net generation capacity</w:t>
            </w:r>
          </w:p>
        </w:tc>
        <w:tc>
          <w:tcPr>
            <w:tcW w:w="19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7,749</w:t>
            </w:r>
          </w:p>
        </w:tc>
        <w:tc>
          <w:tcPr>
            <w:tcW w:w="406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111"/>
        </w:trPr>
        <w:tc>
          <w:tcPr>
            <w:tcW w:w="306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159"/>
        </w:trPr>
        <w:tc>
          <w:tcPr>
            <w:tcW w:w="30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 xml:space="preserve">Thermal equivalent MWt </w:t>
            </w:r>
            <w:r>
              <w:rPr>
                <w:rFonts w:ascii="Times New Roman" w:cs="Times New Roman" w:eastAsia="Times New Roman" w:hAnsi="Times New Roman"/>
                <w:sz w:val="14"/>
                <w:szCs w:val="14"/>
                <w:color w:val="auto"/>
                <w:vertAlign w:val="superscript"/>
              </w:rPr>
              <w:t>(c) (e)</w:t>
            </w:r>
          </w:p>
        </w:tc>
        <w:tc>
          <w:tcPr>
            <w:tcW w:w="1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97 %</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1,370</w:t>
            </w: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Various</w:t>
            </w:r>
          </w:p>
        </w:tc>
        <w:tc>
          <w:tcPr>
            <w:tcW w:w="11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Various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138811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88110" cy="6985"/>
                    </a:xfrm>
                    <a:prstGeom prst="rect">
                      <a:avLst/>
                    </a:prstGeom>
                    <a:noFill/>
                  </pic:spPr>
                </pic:pic>
              </a:graphicData>
            </a:graphic>
          </wp:anchor>
        </w:drawing>
      </w:r>
    </w:p>
    <w:p>
      <w:pPr>
        <w:spacing w:after="0" w:line="175" w:lineRule="exact"/>
        <w:rPr>
          <w:sz w:val="20"/>
          <w:szCs w:val="20"/>
          <w:color w:val="auto"/>
        </w:rPr>
      </w:pPr>
    </w:p>
    <w:p>
      <w:pPr>
        <w:ind w:left="100" w:hanging="95"/>
        <w:spacing w:after="0"/>
        <w:tabs>
          <w:tab w:leader="none" w:pos="100" w:val="left"/>
        </w:tabs>
        <w:numPr>
          <w:ilvl w:val="0"/>
          <w:numId w:val="17"/>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Net capacity represents the maximum, or rated, generating capacity of the facility multiplied by the Company's percentage ownership in the facility as of March 31, 2022.</w:t>
      </w:r>
    </w:p>
    <w:p>
      <w:pPr>
        <w:spacing w:after="0" w:line="51" w:lineRule="exact"/>
        <w:rPr>
          <w:rFonts w:ascii="Times New Roman" w:cs="Times New Roman" w:eastAsia="Times New Roman" w:hAnsi="Times New Roman"/>
          <w:sz w:val="7"/>
          <w:szCs w:val="7"/>
          <w:color w:val="auto"/>
        </w:rPr>
      </w:pPr>
    </w:p>
    <w:p>
      <w:pPr>
        <w:ind w:left="100" w:hanging="95"/>
        <w:spacing w:after="0"/>
        <w:tabs>
          <w:tab w:leader="none" w:pos="100"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Projects are part of tax equity arrangements and ownership percentage is based on cash to be distributed, as further described in Item 1 — Note 4, </w:t>
      </w:r>
      <w:r>
        <w:rPr>
          <w:rFonts w:ascii="Times New Roman" w:cs="Times New Roman" w:eastAsia="Times New Roman" w:hAnsi="Times New Roman"/>
          <w:sz w:val="9"/>
          <w:szCs w:val="9"/>
          <w:i w:val="1"/>
          <w:iCs w:val="1"/>
          <w:color w:val="auto"/>
        </w:rPr>
        <w:t>Investments Accounted for by the Equity Method and Variable Interest Entities.</w:t>
      </w:r>
    </w:p>
    <w:p>
      <w:pPr>
        <w:spacing w:after="0" w:line="54" w:lineRule="exact"/>
        <w:rPr>
          <w:rFonts w:ascii="Times New Roman" w:cs="Times New Roman" w:eastAsia="Times New Roman" w:hAnsi="Times New Roman"/>
          <w:sz w:val="12"/>
          <w:szCs w:val="12"/>
          <w:color w:val="auto"/>
          <w:vertAlign w:val="superscript"/>
        </w:rPr>
      </w:pPr>
    </w:p>
    <w:p>
      <w:pPr>
        <w:ind w:left="100" w:hanging="95"/>
        <w:spacing w:after="0" w:line="237" w:lineRule="auto"/>
        <w:tabs>
          <w:tab w:leader="none" w:pos="100"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Net MWt capacity excludes 43 MWt available under the right-to-use provisions contained in agreements between one of the Company's thermal facilities and certain of its customers.</w:t>
      </w:r>
    </w:p>
    <w:p>
      <w:pPr>
        <w:spacing w:after="0" w:line="44" w:lineRule="exact"/>
        <w:rPr>
          <w:rFonts w:ascii="Times New Roman" w:cs="Times New Roman" w:eastAsia="Times New Roman" w:hAnsi="Times New Roman"/>
          <w:sz w:val="12"/>
          <w:szCs w:val="12"/>
          <w:color w:val="auto"/>
          <w:vertAlign w:val="superscript"/>
        </w:rPr>
      </w:pPr>
    </w:p>
    <w:p>
      <w:pPr>
        <w:ind w:left="100" w:hanging="95"/>
        <w:spacing w:after="0" w:line="237" w:lineRule="auto"/>
        <w:tabs>
          <w:tab w:leader="none" w:pos="100"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Rattlesnake has a deliverable capacity of 144 MW.</w:t>
      </w:r>
    </w:p>
    <w:p>
      <w:pPr>
        <w:spacing w:after="0" w:line="44" w:lineRule="exact"/>
        <w:rPr>
          <w:rFonts w:ascii="Times New Roman" w:cs="Times New Roman" w:eastAsia="Times New Roman" w:hAnsi="Times New Roman"/>
          <w:sz w:val="12"/>
          <w:szCs w:val="12"/>
          <w:color w:val="auto"/>
          <w:vertAlign w:val="superscript"/>
        </w:rPr>
      </w:pPr>
    </w:p>
    <w:p>
      <w:pPr>
        <w:ind w:left="100" w:hanging="95"/>
        <w:spacing w:after="0" w:line="237" w:lineRule="auto"/>
        <w:tabs>
          <w:tab w:leader="none" w:pos="100"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 xml:space="preserve">Includes Thermal assets sold on May 1, 2022, as further described in Item 1 — Note 3, </w:t>
      </w:r>
      <w:r>
        <w:rPr>
          <w:rFonts w:ascii="Times New Roman" w:cs="Times New Roman" w:eastAsia="Times New Roman" w:hAnsi="Times New Roman"/>
          <w:sz w:val="9"/>
          <w:szCs w:val="9"/>
          <w:i w:val="1"/>
          <w:iCs w:val="1"/>
          <w:color w:val="auto"/>
        </w:rPr>
        <w:t>Acquisitions and Dispositions</w:t>
      </w: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Significant Events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Thermal Disposition</w:t>
      </w:r>
    </w:p>
    <w:p>
      <w:pPr>
        <w:spacing w:after="0" w:line="138" w:lineRule="exact"/>
        <w:rPr>
          <w:sz w:val="20"/>
          <w:szCs w:val="20"/>
          <w:color w:val="auto"/>
        </w:rPr>
      </w:pPr>
    </w:p>
    <w:p>
      <w:pPr>
        <w:jc w:val="both"/>
        <w:ind w:left="520" w:hanging="260"/>
        <w:spacing w:after="0" w:line="270" w:lineRule="auto"/>
        <w:tabs>
          <w:tab w:leader="none" w:pos="516" w:val="left"/>
        </w:tabs>
        <w:numPr>
          <w:ilvl w:val="0"/>
          <w:numId w:val="18"/>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color w:val="auto"/>
        </w:rPr>
        <w:t>On May 1, 2022, the Company completed the sale of 100% of its interests in the Thermal Business to KKR for net proceeds of approximately $1.46 billion, inclusive of working capital, which excludes approximately $20 million in transaction expenses that were incurred in connection with the disposition. The Company estimates that the Thermal Disposition will result in a gain of approximately $1.31 billion.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Corporate Financing Activities</w:t>
      </w:r>
    </w:p>
    <w:p>
      <w:pPr>
        <w:spacing w:after="0" w:line="138" w:lineRule="exact"/>
        <w:rPr>
          <w:sz w:val="20"/>
          <w:szCs w:val="20"/>
          <w:color w:val="auto"/>
        </w:rPr>
      </w:pPr>
    </w:p>
    <w:p>
      <w:pPr>
        <w:ind w:left="520" w:hanging="260"/>
        <w:spacing w:after="0" w:line="287"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May 3, 2022, the Company repaid (i) $305 million in outstanding borrowings under the revolving credit facility and (ii) $335 million in outstanding borrowings under the Bridge Loan Agreement utilizing proceeds received from the Thermal Disposition.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Project-Level Financing Activities</w:t>
      </w:r>
    </w:p>
    <w:p>
      <w:pPr>
        <w:spacing w:after="0" w:line="138" w:lineRule="exact"/>
        <w:rPr>
          <w:sz w:val="20"/>
          <w:szCs w:val="20"/>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16, 2022, the Company, through its indirect subsidiary, Viento Funding II, LLC, entered into a financing agreement which included the issuance of a $190 million term loan as well as $35 million in letters of credit, supported by the Company’s interests in the Elkhorn Ridge, Laredo Ridge, San Juan Mesa and Taloga wind projects. The proceeds from the term loan were used to pay off the existing debt in the amount of $186 million related to Laredo Ridge, Tapestry Wind LLC and Viento Funding II, LLC and to pay related financing costs.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Drop Down Transactions</w:t>
      </w:r>
    </w:p>
    <w:p>
      <w:pPr>
        <w:spacing w:after="0" w:line="138" w:lineRule="exact"/>
        <w:rPr>
          <w:sz w:val="20"/>
          <w:szCs w:val="20"/>
          <w:color w:val="auto"/>
        </w:rPr>
      </w:pPr>
    </w:p>
    <w:p>
      <w:pPr>
        <w:jc w:val="both"/>
        <w:ind w:left="520" w:hanging="260"/>
        <w:spacing w:after="0" w:line="256"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25, 2022, the Company, through its indirect subsidiary, Lighthouse Renewable Holdco LLC, acquired Mililani BL Borrower Holdco LLC, the indirect owner 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power purchase agreement with an investment-grade utility that commences when the project achieves commercial operations The acquisition was funded with existing sources of liquidity. As part of the acquisition of Mililani I,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commercial operations, which is expected to occur in the second half of 2022.</w:t>
      </w:r>
    </w:p>
    <w:p>
      <w:pPr>
        <w:spacing w:after="0" w:line="107" w:lineRule="exact"/>
        <w:rPr>
          <w:rFonts w:ascii="Times New Roman" w:cs="Times New Roman" w:eastAsia="Times New Roman" w:hAnsi="Times New Roman"/>
          <w:sz w:val="14"/>
          <w:szCs w:val="14"/>
          <w:color w:val="auto"/>
        </w:rPr>
      </w:pPr>
    </w:p>
    <w:p>
      <w:pPr>
        <w:jc w:val="both"/>
        <w:ind w:left="520" w:hanging="260"/>
        <w:spacing w:after="0" w:line="264" w:lineRule="auto"/>
        <w:tabs>
          <w:tab w:leader="none" w:pos="516"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February 2022, in connection with the Company’s 2021 acquisition of the Class B membership interests in Black Rock Wind Holding LLC, through its indirect subsidiary Lighthouse Renewable Holding Sub LLC, from Clearway Renew LLC, a subsidiary of CEG,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Environmental Matters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3" w:name="page34"/>
    <w:bookmarkEnd w:id="33"/>
    <w:p>
      <w:pPr>
        <w:jc w:val="both"/>
        <w:ind w:firstLine="318"/>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Proposed Federal Reclassification of Northern Long-Eared Bat </w:t>
      </w:r>
      <w:r>
        <w:rPr>
          <w:rFonts w:ascii="Times New Roman" w:cs="Times New Roman" w:eastAsia="Times New Roman" w:hAnsi="Times New Roman"/>
          <w:sz w:val="14"/>
          <w:szCs w:val="14"/>
          <w:color w:val="auto"/>
        </w:rPr>
        <w:t>— On March 23, 2022, the U.S. Fish and Wildlife Service (FWS) announced a proposal to reclassify the northern long-eared bat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endangered under the Endangered Species Act. The bat, currently listed as threatened, faces extinction due to the range-wide impacts of white-nose syndrome, a deadly disease affecting cave-dwelling bats across the continent. The northern long-eared bat is found in 37 states in the eastern and north central United States and in Canada. The Company is working with renewable energy industry groups to provide comments on the proposed reclassification as this proposal could affect renewable energy facility siting and operations. The proposed listing was recently published by FWS in the Federal Register and comments on the proposal are due by May 23, 2022. The Company is participating in this comment process through the renewable industry group.</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 xml:space="preserve">The Company’s environmental matters are further described in the Company’s 2021 Form 10-K in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Environmental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Regulatory Matters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The Company’s regulatory matters are described in the Company’s 2021 Form 10-K in Item 1, </w:t>
      </w:r>
      <w:r>
        <w:rPr>
          <w:rFonts w:ascii="Times New Roman" w:cs="Times New Roman" w:eastAsia="Times New Roman" w:hAnsi="Times New Roman"/>
          <w:sz w:val="14"/>
          <w:szCs w:val="14"/>
          <w:i w:val="1"/>
          <w:iCs w:val="1"/>
          <w:color w:val="auto"/>
        </w:rPr>
        <w:t>Business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Regulatory Matters</w:t>
      </w:r>
      <w:r>
        <w:rPr>
          <w:rFonts w:ascii="Times New Roman" w:cs="Times New Roman" w:eastAsia="Times New Roman" w:hAnsi="Times New Roman"/>
          <w:sz w:val="14"/>
          <w:szCs w:val="14"/>
          <w:color w:val="auto"/>
        </w:rPr>
        <w:t xml:space="preserve"> and Item 1A, </w:t>
      </w:r>
      <w:r>
        <w:rPr>
          <w:rFonts w:ascii="Times New Roman" w:cs="Times New Roman" w:eastAsia="Times New Roman" w:hAnsi="Times New Roman"/>
          <w:sz w:val="14"/>
          <w:szCs w:val="14"/>
          <w:i w:val="1"/>
          <w:iCs w:val="1"/>
          <w:color w:val="auto"/>
        </w:rPr>
        <w:t>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Trends Affecting Results of Operations and Future Business Performance</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The Company’s trends are described in the Company’s 2021 Form 10-K in Item 7, </w:t>
      </w:r>
      <w:r>
        <w:rPr>
          <w:rFonts w:ascii="Times New Roman" w:cs="Times New Roman" w:eastAsia="Times New Roman" w:hAnsi="Times New Roman"/>
          <w:sz w:val="14"/>
          <w:szCs w:val="14"/>
          <w:i w:val="1"/>
          <w:iCs w:val="1"/>
          <w:color w:val="auto"/>
        </w:rPr>
        <w:t>Management’s Discussion and Analysis of Financial Condition and Results of Operations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i w:val="1"/>
          <w:iCs w:val="1"/>
          <w:color w:val="auto"/>
        </w:rPr>
        <w:t>Trends Affecting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Results of Operations and Future Business Performance.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 Affecting Industry Conditions and the Company’s Business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COVID-19 Update</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continues to promote heightened awareness and vigilance, hygiene, and implementation of more stringent cleaning protocols across its facilities and operations and continues to evaluate these measures, response plans and business practices in light of the evolving effects of COVID-19 and its variants.</w:t>
      </w:r>
    </w:p>
    <w:p>
      <w:pPr>
        <w:spacing w:after="0" w:line="9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As of the date of this report, the Company has not experienced any material financial or operational impacts related to COVID-19, or variants thereof. All of the Company’s facilities have remained operational. The Company will continue to assess any financial or operational impacts based on any future developments.</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 xml:space="preserve">The Company cannot predict the full impact that COVID-19 and its variants will have on the Company’s financial expectations, its financial condition, results of operations and cash flows, its ability to make distributions to its unit holders and its ability to satisfy its debt service obligations at this time, due to numerous uncertainties. The ultimate impact will depend on future developments, including, among others, the ultimate geographic spread of the virus and related variants, the consequences of governmental and other measures designed to prevent the spread of the virus, the development of effective treatments, including vaccines, the duration of the pandemic,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Times New Roman" w:cs="Times New Roman" w:eastAsia="Times New Roman" w:hAnsi="Times New Roman"/>
          <w:sz w:val="14"/>
          <w:szCs w:val="14"/>
          <w:i w:val="1"/>
          <w:iCs w:val="1"/>
          <w:color w:val="auto"/>
        </w:rPr>
        <w:t>Risk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Factors </w:t>
      </w:r>
      <w:r>
        <w:rPr>
          <w:rFonts w:ascii="Times New Roman" w:cs="Times New Roman" w:eastAsia="Times New Roman" w:hAnsi="Times New Roman"/>
          <w:sz w:val="14"/>
          <w:szCs w:val="14"/>
          <w:color w:val="auto"/>
        </w:rPr>
        <w:t>of the Company's 2021 Form 10-K.</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color w:val="auto"/>
        </w:rPr>
        <w:t>Consolidated Results of Operations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provides selected financial information:</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1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rPr>
              <w:t>(In millions)</w:t>
            </w:r>
          </w:p>
        </w:tc>
        <w:tc>
          <w:tcPr>
            <w:tcW w:w="280" w:type="dxa"/>
            <w:vAlign w:val="bottom"/>
          </w:tcPr>
          <w:p>
            <w:pPr>
              <w:spacing w:after="0"/>
              <w:rPr>
                <w:sz w:val="11"/>
                <w:szCs w:val="11"/>
                <w:color w:val="auto"/>
              </w:rPr>
            </w:pPr>
          </w:p>
        </w:tc>
        <w:tc>
          <w:tcPr>
            <w:tcW w:w="660" w:type="dxa"/>
            <w:vAlign w:val="bottom"/>
          </w:tcPr>
          <w:p>
            <w:pPr>
              <w:jc w:val="right"/>
              <w:ind w:right="29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2021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Operating Revenues</w:t>
            </w: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vMerge w:val="continue"/>
          </w:tcPr>
          <w:p>
            <w:pPr>
              <w:spacing w:after="0"/>
              <w:rPr>
                <w:sz w:val="12"/>
                <w:szCs w:val="12"/>
                <w:color w:val="auto"/>
              </w:rPr>
            </w:pPr>
          </w:p>
        </w:tc>
        <w:tc>
          <w:tcPr>
            <w:tcW w:w="8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Energy and capacity revenues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333333"/>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360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Other revenues</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Contract amortization</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Mark-to-market for economic hedges</w:t>
            </w: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333333"/>
              </w:rPr>
              <w:t>(126)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operating revenues</w:t>
            </w: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Cost of fuels</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22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Operations and maintenance</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333333"/>
              </w:rPr>
              <w:t>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costs of operations</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333333"/>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Transaction and integration costs</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Development costs</w:t>
            </w: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operating costs and expenses</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 earnings of unconsolidated affiliates</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debt extinguishment</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Derivative interest income</w:t>
            </w:r>
          </w:p>
        </w:tc>
        <w:tc>
          <w:tcPr>
            <w:tcW w:w="2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interest expense</w:t>
            </w:r>
          </w:p>
        </w:tc>
        <w:tc>
          <w:tcPr>
            <w:tcW w:w="2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color w:val="auto"/>
              </w:rPr>
              <w:t>Total other expense, net</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Less: Loss attributable to noncontrolling interests and redeemable interests</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Loss Attributable to Clearway Energy LLC</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9"/>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0" w:type="dxa"/>
            <w:vAlign w:val="bottom"/>
          </w:tcPr>
          <w:p>
            <w:pPr>
              <w:spacing w:after="0"/>
              <w:rPr>
                <w:sz w:val="1"/>
                <w:szCs w:val="1"/>
                <w:color w:val="auto"/>
              </w:rPr>
            </w:pPr>
          </w:p>
        </w:tc>
      </w:tr>
      <w:tr>
        <w:trPr>
          <w:trHeight w:val="170"/>
        </w:trPr>
        <w:tc>
          <w:tcPr>
            <w:tcW w:w="20" w:type="dxa"/>
            <w:vAlign w:val="bottom"/>
            <w:tcBorders>
              <w:bottom w:val="single" w:sz="8" w:color="CCEEFF"/>
            </w:tcBorders>
          </w:tcPr>
          <w:p>
            <w:pPr>
              <w:spacing w:after="0"/>
              <w:rPr>
                <w:sz w:val="14"/>
                <w:szCs w:val="14"/>
                <w:color w:val="auto"/>
              </w:rPr>
            </w:pPr>
          </w:p>
        </w:tc>
        <w:tc>
          <w:tcPr>
            <w:tcW w:w="8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Business metrics:</w:t>
            </w:r>
          </w:p>
        </w:tc>
        <w:tc>
          <w:tcPr>
            <w:tcW w:w="2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1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 xml:space="preserve">Renewables MWh generated/sold (in thousands) </w:t>
            </w:r>
            <w:r>
              <w:rPr>
                <w:rFonts w:ascii="Times New Roman" w:cs="Times New Roman" w:eastAsia="Times New Roman" w:hAnsi="Times New Roman"/>
                <w:sz w:val="18"/>
                <w:szCs w:val="18"/>
                <w:color w:val="auto"/>
                <w:vertAlign w:val="superscript"/>
              </w:rPr>
              <w:t>(a)</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3,319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2,530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Thermal MWt sold (in thousands)</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611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Thermal MWh sold (in thousands)</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20" w:type="dxa"/>
            <w:vAlign w:val="bottom"/>
            <w:gridSpan w:val="2"/>
          </w:tcPr>
          <w:p>
            <w:pPr>
              <w:spacing w:after="0" w:line="181" w:lineRule="exact"/>
              <w:rPr>
                <w:sz w:val="20"/>
                <w:szCs w:val="20"/>
                <w:color w:val="auto"/>
              </w:rPr>
            </w:pPr>
            <w:r>
              <w:rPr>
                <w:rFonts w:ascii="Times New Roman" w:cs="Times New Roman" w:eastAsia="Times New Roman" w:hAnsi="Times New Roman"/>
                <w:sz w:val="14"/>
                <w:szCs w:val="14"/>
                <w:color w:val="auto"/>
              </w:rPr>
              <w:t xml:space="preserve">Conventional MWh generated (in thousands) </w:t>
            </w:r>
            <w:r>
              <w:rPr>
                <w:rFonts w:ascii="Times New Roman" w:cs="Times New Roman" w:eastAsia="Times New Roman" w:hAnsi="Times New Roman"/>
                <w:sz w:val="18"/>
                <w:szCs w:val="18"/>
                <w:color w:val="auto"/>
                <w:vertAlign w:val="superscript"/>
              </w:rPr>
              <w:t>(a) (b)</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Conventional equivalent availability factor</w:t>
            </w: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83.2 %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135445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161" w:lineRule="exact"/>
        <w:rPr>
          <w:sz w:val="20"/>
          <w:szCs w:val="20"/>
          <w:color w:val="auto"/>
        </w:rPr>
      </w:pPr>
    </w:p>
    <w:p>
      <w:pPr>
        <w:ind w:left="120" w:hanging="115"/>
        <w:spacing w:after="0"/>
        <w:tabs>
          <w:tab w:leader="none" w:pos="12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Volumes do not include the MWh generated/sold by the Company's equity method investments.</w:t>
      </w:r>
    </w:p>
    <w:p>
      <w:pPr>
        <w:spacing w:after="0" w:line="3" w:lineRule="exact"/>
        <w:rPr>
          <w:rFonts w:ascii="Times New Roman" w:cs="Times New Roman" w:eastAsia="Times New Roman" w:hAnsi="Times New Roman"/>
          <w:sz w:val="14"/>
          <w:szCs w:val="14"/>
          <w:color w:val="auto"/>
          <w:vertAlign w:val="superscript"/>
        </w:rPr>
      </w:pPr>
    </w:p>
    <w:p>
      <w:pPr>
        <w:ind w:left="120" w:hanging="115"/>
        <w:spacing w:after="0" w:line="200" w:lineRule="auto"/>
        <w:tabs>
          <w:tab w:leader="none" w:pos="120" w:val="left"/>
        </w:tabs>
        <w:numPr>
          <w:ilvl w:val="0"/>
          <w:numId w:val="22"/>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Volumes generated are not sold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5" w:name="page36"/>
    <w:bookmarkEnd w:id="35"/>
    <w:p>
      <w:pPr>
        <w:ind w:right="4680"/>
        <w:spacing w:after="0" w:line="444" w:lineRule="auto"/>
        <w:rPr>
          <w:sz w:val="20"/>
          <w:szCs w:val="20"/>
          <w:color w:val="auto"/>
        </w:rPr>
      </w:pPr>
      <w:r>
        <w:rPr>
          <w:rFonts w:ascii="Times New Roman" w:cs="Times New Roman" w:eastAsia="Times New Roman" w:hAnsi="Times New Roman"/>
          <w:sz w:val="14"/>
          <w:szCs w:val="14"/>
          <w:b w:val="1"/>
          <w:bCs w:val="1"/>
          <w:color w:val="auto"/>
        </w:rPr>
        <w:t xml:space="preserve">Management’s Discussion of the Results of Operations for the Three Months Ended March 31, 2022 and 2021 </w:t>
      </w:r>
      <w:r>
        <w:rPr>
          <w:rFonts w:ascii="Times New Roman" w:cs="Times New Roman" w:eastAsia="Times New Roman" w:hAnsi="Times New Roman"/>
          <w:sz w:val="14"/>
          <w:szCs w:val="14"/>
          <w:b w:val="1"/>
          <w:bCs w:val="1"/>
          <w:i w:val="1"/>
          <w:iCs w:val="1"/>
          <w:color w:val="auto"/>
        </w:rPr>
        <w:t>Operating Revenues</w:t>
      </w:r>
    </w:p>
    <w:p>
      <w:pPr>
        <w:spacing w:after="0" w:line="1"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Operating revenues decreased by $23 million during the three months ended March 31, 2022, compared to the same period in 2021, due to a combination of the drivers summarized in the table below:</w:t>
      </w:r>
    </w:p>
    <w:p>
      <w:pPr>
        <w:sectPr>
          <w:pgSz w:w="11900" w:h="16838" w:orient="portrait"/>
          <w:cols w:equalWidth="0" w:num="1">
            <w:col w:w="11280"/>
          </w:cols>
          <w:pgMar w:left="300" w:top="728" w:right="319" w:bottom="1440" w:gutter="0" w:footer="0" w:header="0"/>
        </w:sectPr>
      </w:pP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Renewables Segment</w:t>
            </w:r>
          </w:p>
        </w:tc>
        <w:tc>
          <w:tcPr>
            <w:tcW w:w="7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due to a loss of $50 million in February 2021 related to net settlements of obligations for wind facilities that were</w:t>
            </w: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744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unable to produce the required output during extreme weather conditions in Texas, as well as the 2021 acquisitions of Agua</w:t>
            </w:r>
          </w:p>
        </w:tc>
        <w:tc>
          <w:tcPr>
            <w:tcW w:w="0" w:type="dxa"/>
            <w:vAlign w:val="bottom"/>
          </w:tcPr>
          <w:p>
            <w:pPr>
              <w:spacing w:after="0"/>
              <w:rPr>
                <w:sz w:val="1"/>
                <w:szCs w:val="1"/>
                <w:color w:val="auto"/>
              </w:rPr>
            </w:pPr>
          </w:p>
        </w:tc>
      </w:tr>
      <w:tr>
        <w:trPr>
          <w:trHeight w:val="180"/>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Thermal Segment</w:t>
            </w:r>
          </w:p>
        </w:tc>
        <w:tc>
          <w:tcPr>
            <w:tcW w:w="7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Caliente, Mt. Storm and the Utah Solar Portfolio</w:t>
            </w:r>
          </w:p>
        </w:tc>
        <w:tc>
          <w:tcPr>
            <w:tcW w:w="0" w:type="dxa"/>
            <w:vAlign w:val="bottom"/>
          </w:tcPr>
          <w:p>
            <w:pPr>
              <w:spacing w:after="0"/>
              <w:rPr>
                <w:sz w:val="1"/>
                <w:szCs w:val="1"/>
                <w:color w:val="auto"/>
              </w:rPr>
            </w:pPr>
          </w:p>
        </w:tc>
      </w:tr>
      <w:tr>
        <w:trPr>
          <w:trHeight w:val="178"/>
        </w:trPr>
        <w:tc>
          <w:tcPr>
            <w:tcW w:w="2440" w:type="dxa"/>
            <w:vAlign w:val="bottom"/>
            <w:vMerge w:val="continue"/>
          </w:tcPr>
          <w:p>
            <w:pPr>
              <w:spacing w:after="0"/>
              <w:rPr>
                <w:sz w:val="15"/>
                <w:szCs w:val="15"/>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primarily driven by higher fuel prices passed through to customers and higher volumes, partially driven by weather</w:t>
            </w:r>
          </w:p>
        </w:tc>
        <w:tc>
          <w:tcPr>
            <w:tcW w:w="0" w:type="dxa"/>
            <w:vAlign w:val="bottom"/>
          </w:tcPr>
          <w:p>
            <w:pPr>
              <w:spacing w:after="0"/>
              <w:rPr>
                <w:sz w:val="1"/>
                <w:szCs w:val="1"/>
                <w:color w:val="auto"/>
              </w:rPr>
            </w:pPr>
          </w:p>
        </w:tc>
      </w:tr>
      <w:tr>
        <w:trPr>
          <w:trHeight w:val="180"/>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Conventional Segment</w:t>
            </w:r>
          </w:p>
        </w:tc>
        <w:tc>
          <w:tcPr>
            <w:tcW w:w="7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driven by improved availability at the El Segundo facility due to the timing of annual planned maintenance outages</w:t>
            </w:r>
          </w:p>
        </w:tc>
        <w:tc>
          <w:tcPr>
            <w:tcW w:w="0" w:type="dxa"/>
            <w:vAlign w:val="bottom"/>
          </w:tcPr>
          <w:p>
            <w:pPr>
              <w:spacing w:after="0"/>
              <w:rPr>
                <w:sz w:val="1"/>
                <w:szCs w:val="1"/>
                <w:color w:val="auto"/>
              </w:rPr>
            </w:pPr>
          </w:p>
        </w:tc>
      </w:tr>
      <w:tr>
        <w:trPr>
          <w:trHeight w:val="144"/>
        </w:trPr>
        <w:tc>
          <w:tcPr>
            <w:tcW w:w="2440" w:type="dxa"/>
            <w:vAlign w:val="bottom"/>
          </w:tcPr>
          <w:p>
            <w:pPr>
              <w:spacing w:after="0" w:line="144" w:lineRule="exact"/>
              <w:rPr>
                <w:sz w:val="20"/>
                <w:szCs w:val="20"/>
                <w:color w:val="auto"/>
              </w:rPr>
            </w:pPr>
            <w:r>
              <w:rPr>
                <w:rFonts w:ascii="Times New Roman" w:cs="Times New Roman" w:eastAsia="Times New Roman" w:hAnsi="Times New Roman"/>
                <w:sz w:val="14"/>
                <w:szCs w:val="14"/>
                <w:b w:val="1"/>
                <w:bCs w:val="1"/>
                <w:color w:val="auto"/>
              </w:rPr>
              <w:t>Mark-to-market for economic hedges</w:t>
            </w:r>
          </w:p>
        </w:tc>
        <w:tc>
          <w:tcPr>
            <w:tcW w:w="7440" w:type="dxa"/>
            <w:vAlign w:val="bottom"/>
          </w:tcPr>
          <w:p>
            <w:pPr>
              <w:ind w:left="200"/>
              <w:spacing w:after="0" w:line="144" w:lineRule="exact"/>
              <w:rPr>
                <w:sz w:val="20"/>
                <w:szCs w:val="20"/>
                <w:color w:val="auto"/>
              </w:rPr>
            </w:pPr>
            <w:r>
              <w:rPr>
                <w:rFonts w:ascii="Times New Roman" w:cs="Times New Roman" w:eastAsia="Times New Roman" w:hAnsi="Times New Roman"/>
                <w:sz w:val="14"/>
                <w:szCs w:val="14"/>
                <w:color w:val="auto"/>
              </w:rPr>
              <w:t>Increase in unrealized losses from changes in the fair value of commodity contracts, primarily driven by an increase in forward</w:t>
            </w:r>
          </w:p>
        </w:tc>
        <w:tc>
          <w:tcPr>
            <w:tcW w:w="0" w:type="dxa"/>
            <w:vAlign w:val="bottom"/>
          </w:tcPr>
          <w:p>
            <w:pPr>
              <w:spacing w:after="0"/>
              <w:rPr>
                <w:sz w:val="1"/>
                <w:szCs w:val="1"/>
                <w:color w:val="auto"/>
              </w:rPr>
            </w:pPr>
          </w:p>
        </w:tc>
      </w:tr>
      <w:tr>
        <w:trPr>
          <w:trHeight w:val="144"/>
        </w:trPr>
        <w:tc>
          <w:tcPr>
            <w:tcW w:w="2440" w:type="dxa"/>
            <w:vAlign w:val="bottom"/>
          </w:tcPr>
          <w:p>
            <w:pPr>
              <w:spacing w:after="0"/>
              <w:rPr>
                <w:sz w:val="12"/>
                <w:szCs w:val="12"/>
                <w:color w:val="auto"/>
              </w:rPr>
            </w:pPr>
          </w:p>
        </w:tc>
        <w:tc>
          <w:tcPr>
            <w:tcW w:w="744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color w:val="auto"/>
              </w:rPr>
              <w:t>power prices in the ERCOT and PJM markets, as well as the 2021 acquisitions of Mt. Storm and Mesquite Sky and the mark-</w:t>
            </w:r>
          </w:p>
        </w:tc>
        <w:tc>
          <w:tcPr>
            <w:tcW w:w="0" w:type="dxa"/>
            <w:vAlign w:val="bottom"/>
          </w:tcPr>
          <w:p>
            <w:pPr>
              <w:spacing w:after="0"/>
              <w:rPr>
                <w:sz w:val="1"/>
                <w:szCs w:val="1"/>
                <w:color w:val="auto"/>
              </w:rPr>
            </w:pPr>
          </w:p>
        </w:tc>
      </w:tr>
      <w:tr>
        <w:trPr>
          <w:trHeight w:val="180"/>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 amortization</w:t>
            </w:r>
          </w:p>
        </w:tc>
        <w:tc>
          <w:tcPr>
            <w:tcW w:w="7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to-market of the Langford commodity contract, which previously qualified for the NPNS exception</w:t>
            </w:r>
          </w:p>
        </w:tc>
        <w:tc>
          <w:tcPr>
            <w:tcW w:w="0" w:type="dxa"/>
            <w:vAlign w:val="bottom"/>
          </w:tcPr>
          <w:p>
            <w:pPr>
              <w:spacing w:after="0"/>
              <w:rPr>
                <w:sz w:val="1"/>
                <w:szCs w:val="1"/>
                <w:color w:val="auto"/>
              </w:rPr>
            </w:pPr>
          </w:p>
        </w:tc>
      </w:tr>
      <w:tr>
        <w:trPr>
          <w:trHeight w:val="142"/>
        </w:trPr>
        <w:tc>
          <w:tcPr>
            <w:tcW w:w="2440" w:type="dxa"/>
            <w:vAlign w:val="bottom"/>
            <w:vMerge w:val="continue"/>
          </w:tcPr>
          <w:p>
            <w:pPr>
              <w:spacing w:after="0"/>
              <w:rPr>
                <w:sz w:val="12"/>
                <w:szCs w:val="12"/>
                <w:color w:val="auto"/>
              </w:rPr>
            </w:pPr>
          </w:p>
        </w:tc>
        <w:tc>
          <w:tcPr>
            <w:tcW w:w="7440" w:type="dxa"/>
            <w:vAlign w:val="bottom"/>
          </w:tcPr>
          <w:p>
            <w:pPr>
              <w:ind w:left="200"/>
              <w:spacing w:after="0" w:line="142" w:lineRule="exact"/>
              <w:rPr>
                <w:sz w:val="20"/>
                <w:szCs w:val="20"/>
                <w:color w:val="auto"/>
              </w:rPr>
            </w:pPr>
            <w:r>
              <w:rPr>
                <w:rFonts w:ascii="Times New Roman" w:cs="Times New Roman" w:eastAsia="Times New Roman" w:hAnsi="Times New Roman"/>
                <w:sz w:val="14"/>
                <w:szCs w:val="14"/>
                <w:color w:val="auto"/>
              </w:rPr>
              <w:t>Increase primarily driven by amortization of the intangible assets for power purchase agreements related to the 2021</w:t>
            </w:r>
          </w:p>
        </w:tc>
        <w:tc>
          <w:tcPr>
            <w:tcW w:w="0" w:type="dxa"/>
            <w:vAlign w:val="bottom"/>
          </w:tcPr>
          <w:p>
            <w:pPr>
              <w:spacing w:after="0"/>
              <w:rPr>
                <w:sz w:val="1"/>
                <w:szCs w:val="1"/>
                <w:color w:val="auto"/>
              </w:rPr>
            </w:pPr>
          </w:p>
        </w:tc>
      </w:tr>
      <w:tr>
        <w:trPr>
          <w:trHeight w:val="184"/>
        </w:trPr>
        <w:tc>
          <w:tcPr>
            <w:tcW w:w="2440" w:type="dxa"/>
            <w:vAlign w:val="bottom"/>
          </w:tcPr>
          <w:p>
            <w:pPr>
              <w:spacing w:after="0"/>
              <w:rPr>
                <w:sz w:val="16"/>
                <w:szCs w:val="16"/>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acquisitions of Agua Caliente and the Utah Solar Portfolio</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-614680</wp:posOffset>
            </wp:positionV>
            <wp:extent cx="7161530" cy="1143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143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-203835</wp:posOffset>
            </wp:positionV>
            <wp:extent cx="7161530" cy="2089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2089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-1025525</wp:posOffset>
            </wp:positionV>
            <wp:extent cx="7161530" cy="296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296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308" w:lineRule="exact"/>
        <w:rPr>
          <w:sz w:val="20"/>
          <w:szCs w:val="20"/>
          <w:color w:val="auto"/>
        </w:rPr>
      </w:pPr>
    </w:p>
    <w:p>
      <w:pPr>
        <w:ind w:left="1160" w:hanging="1151"/>
        <w:spacing w:after="0"/>
        <w:tabs>
          <w:tab w:leader="none" w:pos="11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74</w:t>
      </w:r>
    </w:p>
    <w:p>
      <w:pPr>
        <w:spacing w:after="0" w:line="23"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w:t>
      </w:r>
    </w:p>
    <w:p>
      <w:pPr>
        <w:spacing w:after="0" w:line="19" w:lineRule="exact"/>
        <w:rPr>
          <w:rFonts w:ascii="Times New Roman" w:cs="Times New Roman" w:eastAsia="Times New Roman" w:hAnsi="Times New Roman"/>
          <w:sz w:val="14"/>
          <w:szCs w:val="14"/>
          <w:color w:val="auto"/>
        </w:rPr>
      </w:pPr>
    </w:p>
    <w:p>
      <w:pPr>
        <w:ind w:left="1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w:t>
      </w:r>
    </w:p>
    <w:p>
      <w:pPr>
        <w:spacing w:after="0" w:line="30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(102)</w:t>
      </w:r>
    </w:p>
    <w:p>
      <w:pPr>
        <w:spacing w:after="0" w:line="16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869315"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10" w:lineRule="exact"/>
        <w:rPr>
          <w:sz w:val="20"/>
          <w:szCs w:val="20"/>
          <w:color w:val="auto"/>
        </w:rPr>
      </w:pPr>
    </w:p>
    <w:p>
      <w:pPr>
        <w:ind w:left="1100" w:hanging="1091"/>
        <w:spacing w:after="0"/>
        <w:tabs>
          <w:tab w:leader="none" w:pos="110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86931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6931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wp:posOffset>
            </wp:positionV>
            <wp:extent cx="86931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6931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900" w:space="20"/>
            <w:col w:w="1360"/>
          </w:cols>
          <w:pgMar w:left="300" w:top="728" w:right="319" w:bottom="1440" w:gutter="0" w:footer="0" w:header="0"/>
          <w:type w:val="continuous"/>
        </w:sectPr>
      </w:pP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Operations and Maintenance Expense</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Operations and maintenance expense increased by $8 million during the three months ended March 31, 2022, compared to the same period in 2021, primarily from the 2021 acquisitions of Mt.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Storm, Mesquite Sky and the Utah Solar Portfolio.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Costs of Operations Expense</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Other cost of operations increased $7 million for the three months ended March 31, 2022, compared to the same period in 2021, primarily from the 2021 acquisitions of Mt. Storm, Mesquite Sky and the Utah Solar Portfolio.</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Debt Extinguishment</w:t>
      </w:r>
    </w:p>
    <w:p>
      <w:pPr>
        <w:spacing w:after="0" w:line="138"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 xml:space="preserve">The Company recorded a loss on debt extinguishment of $2 million during the three months ended March 31, 2022, which reflects the write-off of previously deferred finance costs related to the Laredo Ridge, Tapestry Wind LLC and Viento Funding II, LLC, as further described in Note 7, </w:t>
      </w:r>
      <w:r>
        <w:rPr>
          <w:rFonts w:ascii="Times New Roman" w:cs="Times New Roman" w:eastAsia="Times New Roman" w:hAnsi="Times New Roman"/>
          <w:sz w:val="14"/>
          <w:szCs w:val="14"/>
          <w:i w:val="1"/>
          <w:iCs w:val="1"/>
          <w:color w:val="auto"/>
        </w:rPr>
        <w:t>Long-term Debt</w:t>
      </w:r>
      <w:r>
        <w:rPr>
          <w:rFonts w:ascii="Times New Roman" w:cs="Times New Roman" w:eastAsia="Times New Roman" w:hAnsi="Times New Roman"/>
          <w:sz w:val="14"/>
          <w:szCs w:val="14"/>
          <w:color w:val="auto"/>
        </w:rPr>
        <w:t>.</w:t>
      </w:r>
    </w:p>
    <w:p>
      <w:pPr>
        <w:spacing w:after="0" w:line="82" w:lineRule="exact"/>
        <w:rPr>
          <w:sz w:val="20"/>
          <w:szCs w:val="20"/>
          <w:color w:val="auto"/>
        </w:rPr>
      </w:pPr>
    </w:p>
    <w:p>
      <w:pPr>
        <w:ind w:firstLine="318"/>
        <w:spacing w:after="0" w:line="287" w:lineRule="auto"/>
        <w:rPr>
          <w:sz w:val="20"/>
          <w:szCs w:val="20"/>
          <w:color w:val="auto"/>
        </w:rPr>
      </w:pPr>
      <w:r>
        <w:rPr>
          <w:rFonts w:ascii="Times New Roman" w:cs="Times New Roman" w:eastAsia="Times New Roman" w:hAnsi="Times New Roman"/>
          <w:sz w:val="14"/>
          <w:szCs w:val="14"/>
          <w:color w:val="auto"/>
        </w:rPr>
        <w:t>The Company recorded a loss on debt extinguishment of $42 million during the three months ended March 31, 2021, which primarily reflects the write-off of previously deferred finance costs and payment of premiums related to the redemption of the 2025 Senior Notes.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i w:val="1"/>
          <w:iCs w:val="1"/>
          <w:color w:val="auto"/>
        </w:rPr>
        <w:t>Loss Attributable to Noncontrolling Interests and Redeemable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three months ended March 31, 2022, the Company had a loss of $40 million in attributable to noncontrolling interests and redeemable interests comprised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17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attributable to third-party partnerships</w:t>
            </w: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180"/>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HLBV</w:t>
            </w: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196"/>
        </w:trPr>
        <w:tc>
          <w:tcPr>
            <w:tcW w:w="88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For the three months ended March 31, 2021, the Company had a loss of $67 million attributable to noncontrolling interests and redeemable interests comprised of the following: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Borders>
              <w:bottom w:val="single" w:sz="8" w:color="CCEEFF"/>
            </w:tcBorders>
          </w:tcPr>
          <w:p>
            <w:pPr>
              <w:spacing w:after="0"/>
              <w:rPr>
                <w:sz w:val="16"/>
                <w:szCs w:val="16"/>
                <w:color w:val="auto"/>
              </w:rPr>
            </w:pPr>
          </w:p>
        </w:tc>
        <w:tc>
          <w:tcPr>
            <w:tcW w:w="36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17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Losses attributable to tax equity financing arrangements and the application of HLBV</w:t>
            </w:r>
          </w:p>
        </w:tc>
        <w:tc>
          <w:tcPr>
            <w:tcW w:w="36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8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Losses attributable to third-party partnerships</w:t>
            </w:r>
          </w:p>
        </w:tc>
        <w:tc>
          <w:tcPr>
            <w:tcW w:w="36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5220" w:type="dxa"/>
            <w:vAlign w:val="bottom"/>
            <w:tcBorders>
              <w:bottom w:val="single" w:sz="8" w:color="CCEEFF"/>
            </w:tcBorders>
            <w:shd w:val="clear" w:color="auto" w:fill="CCEEFF"/>
          </w:tcPr>
          <w:p>
            <w:pPr>
              <w:spacing w:after="0"/>
              <w:rPr>
                <w:sz w:val="16"/>
                <w:szCs w:val="16"/>
                <w:color w:val="auto"/>
              </w:rPr>
            </w:pPr>
          </w:p>
        </w:tc>
        <w:tc>
          <w:tcPr>
            <w:tcW w:w="36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3049"/>
              <w:spacing w:after="0"/>
              <w:rPr>
                <w:sz w:val="20"/>
                <w:szCs w:val="20"/>
                <w:color w:val="auto"/>
              </w:rPr>
            </w:pPr>
            <w:r>
              <w:rPr>
                <w:rFonts w:ascii="Times New Roman" w:cs="Times New Roman" w:eastAsia="Times New Roman" w:hAnsi="Times New Roman"/>
                <w:sz w:val="14"/>
                <w:szCs w:val="14"/>
                <w:color w:val="auto"/>
              </w:rPr>
              <w:t>38</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52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5220" w:type="dxa"/>
            <w:vAlign w:val="bottom"/>
            <w:tcBorders>
              <w:bottom w:val="single" w:sz="8" w:color="9A9A9A"/>
            </w:tcBorders>
          </w:tcPr>
          <w:p>
            <w:pPr>
              <w:spacing w:after="0"/>
              <w:rPr>
                <w:sz w:val="7"/>
                <w:szCs w:val="7"/>
                <w:color w:val="auto"/>
              </w:rPr>
            </w:pPr>
          </w:p>
        </w:tc>
        <w:tc>
          <w:tcPr>
            <w:tcW w:w="36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Times New Roman" w:cs="Times New Roman" w:eastAsia="Times New Roman" w:hAnsi="Times New Roman"/>
          <w:sz w:val="14"/>
          <w:szCs w:val="14"/>
          <w:color w:val="000000"/>
        </w:rPr>
        <w:t>As a normal part of the Company's business, depending on market conditions, the Company will from time to time consider opportunities to repay, redeem, repurchase or</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Current Liquidity Position</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December 31, 2021</w:t>
      </w:r>
      <w:r>
        <w:rPr>
          <w:rFonts w:ascii="Times New Roman" w:cs="Times New Roman" w:eastAsia="Times New Roman" w:hAnsi="Times New Roman"/>
          <w:sz w:val="14"/>
          <w:szCs w:val="14"/>
          <w:color w:val="231F20"/>
        </w:rPr>
        <w:t>, the Company's liquidity was approximately $574 million and $821 million, respectively, comprised of cash, restricted cash and availability under the Company's revolving credit facility.</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20" w:type="dxa"/>
            <w:vAlign w:val="bottom"/>
          </w:tcPr>
          <w:p>
            <w:pPr>
              <w:spacing w:after="0"/>
              <w:rPr>
                <w:sz w:val="13"/>
                <w:szCs w:val="13"/>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2022</w:t>
            </w:r>
          </w:p>
        </w:tc>
        <w:tc>
          <w:tcPr>
            <w:tcW w:w="280" w:type="dxa"/>
            <w:vAlign w:val="bottom"/>
          </w:tcPr>
          <w:p>
            <w:pPr>
              <w:spacing w:after="0"/>
              <w:rPr>
                <w:sz w:val="13"/>
                <w:szCs w:val="13"/>
                <w:color w:val="auto"/>
              </w:rPr>
            </w:pPr>
          </w:p>
        </w:tc>
        <w:tc>
          <w:tcPr>
            <w:tcW w:w="1580" w:type="dxa"/>
            <w:vAlign w:val="bottom"/>
          </w:tcPr>
          <w:p>
            <w:pPr>
              <w:jc w:val="right"/>
              <w:ind w:right="391"/>
              <w:spacing w:after="0"/>
              <w:rPr>
                <w:sz w:val="20"/>
                <w:szCs w:val="20"/>
                <w:color w:val="auto"/>
              </w:rPr>
            </w:pPr>
            <w:r>
              <w:rPr>
                <w:rFonts w:ascii="Times New Roman" w:cs="Times New Roman" w:eastAsia="Times New Roman" w:hAnsi="Times New Roman"/>
                <w:sz w:val="11"/>
                <w:szCs w:val="11"/>
                <w:b w:val="1"/>
                <w:bCs w:val="1"/>
                <w:color w:val="auto"/>
              </w:rPr>
              <w:t>December 31, 2021</w:t>
            </w:r>
          </w:p>
        </w:tc>
      </w:tr>
      <w:tr>
        <w:trPr>
          <w:trHeight w:val="170"/>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320" w:type="dxa"/>
            <w:vAlign w:val="bottom"/>
            <w:tcBorders>
              <w:top w:val="single" w:sz="8" w:color="auto"/>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spacing w:after="0"/>
              <w:rPr>
                <w:sz w:val="14"/>
                <w:szCs w:val="14"/>
                <w:color w:val="auto"/>
              </w:rPr>
            </w:pPr>
          </w:p>
        </w:tc>
      </w:tr>
      <w:tr>
        <w:trPr>
          <w:trHeight w:val="180"/>
        </w:trPr>
        <w:tc>
          <w:tcPr>
            <w:tcW w:w="7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Clearway Energy, Inc. and Clearway Energy LLC, excluding subsidiaries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15"/>
                <w:szCs w:val="15"/>
                <w:color w:val="auto"/>
              </w:rPr>
            </w:pP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80"/>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Subsidiaries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180"/>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Restricted cash:</w:t>
            </w:r>
          </w:p>
        </w:tc>
        <w:tc>
          <w:tcPr>
            <w:tcW w:w="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80"/>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accounts</w:t>
            </w:r>
          </w:p>
        </w:tc>
        <w:tc>
          <w:tcPr>
            <w:tcW w:w="3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w:t>
            </w:r>
          </w:p>
        </w:tc>
      </w:tr>
      <w:tr>
        <w:trPr>
          <w:trHeight w:val="180"/>
        </w:trPr>
        <w:tc>
          <w:tcPr>
            <w:tcW w:w="7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Reserves, including debt service, distributions, performance obligations and other reserves</w:t>
            </w:r>
          </w:p>
        </w:tc>
        <w:tc>
          <w:tcPr>
            <w:tcW w:w="3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r>
      <w:tr>
        <w:trPr>
          <w:trHeight w:val="171"/>
        </w:trPr>
        <w:tc>
          <w:tcPr>
            <w:tcW w:w="7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r>
      <w:tr>
        <w:trPr>
          <w:trHeight w:val="171"/>
        </w:trPr>
        <w:tc>
          <w:tcPr>
            <w:tcW w:w="7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Revolving credit facility availability</w:t>
            </w:r>
          </w:p>
        </w:tc>
        <w:tc>
          <w:tcPr>
            <w:tcW w:w="3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w:t>
            </w:r>
          </w:p>
        </w:tc>
      </w:tr>
      <w:tr>
        <w:trPr>
          <w:trHeight w:val="196"/>
        </w:trPr>
        <w:tc>
          <w:tcPr>
            <w:tcW w:w="7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liquidity</w:t>
            </w: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231F20"/>
        </w:rPr>
        <w:t xml:space="preserve">The Company's liquidity includes $326 million and $475 million of restricted cash balances as of March 31, 2022 and December 31, </w:t>
      </w:r>
      <w:r>
        <w:rPr>
          <w:rFonts w:ascii="Times New Roman" w:cs="Times New Roman" w:eastAsia="Times New Roman" w:hAnsi="Times New Roman"/>
          <w:sz w:val="14"/>
          <w:szCs w:val="14"/>
          <w:color w:val="000000"/>
        </w:rPr>
        <w:t>2021</w:t>
      </w:r>
      <w:r>
        <w:rPr>
          <w:rFonts w:ascii="Times New Roman" w:cs="Times New Roman" w:eastAsia="Times New Roman" w:hAnsi="Times New Roman"/>
          <w:sz w:val="14"/>
          <w:szCs w:val="14"/>
          <w:color w:val="231F20"/>
        </w:rPr>
        <w:t xml:space="preserve">, respectively. Restricted cash consists primarily of funds to satisfy the requirements of certain debt arrangements and funds held within the Company's projects that are restricted in their use. As of </w:t>
      </w:r>
      <w:r>
        <w:rPr>
          <w:rFonts w:ascii="Times New Roman" w:cs="Times New Roman" w:eastAsia="Times New Roman" w:hAnsi="Times New Roman"/>
          <w:sz w:val="14"/>
          <w:szCs w:val="14"/>
          <w:color w:val="000000"/>
        </w:rPr>
        <w:t>March 31, 2022, these restricted funds were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comprised of $135 million designated to fund operating expenses, approximately $38 million designated for current debt service payments and $135 million restricted for reserves including debt service, performance obligations and other reserves, as well as capital expenditures. The remaining $18 million is held in distribution reserve accounts.</w:t>
      </w:r>
    </w:p>
    <w:p>
      <w:pPr>
        <w:spacing w:after="0" w:line="9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 xml:space="preserve">As of March 31, 2022, the Company had $305 million of borrowings under the revolving credit facility and $82 million in letters of credit outstanding. During the three months ended March 31, 2022, the Company borrowed $80 million under the revolving credit facility, and subsequently repaid $20 million. On May 3, 2022, the Company repaid the $305 million in outstanding borrowings under the revolving credit facility utilizing the proceeds received from the Thermal Disposition. </w:t>
      </w:r>
      <w:r>
        <w:rPr>
          <w:rFonts w:ascii="Times New Roman" w:cs="Times New Roman" w:eastAsia="Times New Roman" w:hAnsi="Times New Roman"/>
          <w:sz w:val="14"/>
          <w:szCs w:val="14"/>
          <w:color w:val="231F20"/>
        </w:rPr>
        <w:t>The facility will continue to be used for general corporate purposes including financing of future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31F20"/>
        </w:rPr>
        <w:t>acquisitions and posting letters of credit.</w:t>
      </w:r>
    </w:p>
    <w:p>
      <w:pPr>
        <w:spacing w:after="0" w:line="9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Credit Ratings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March 31, 2022, the Company’s 2028 Senior Notes, 2031 Senior Notes and 2032 Senior Notes were rated BB by S&amp;P and Ba2 by Moody’s.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Sources of Liquidity</w:t>
      </w:r>
    </w:p>
    <w:p>
      <w:pPr>
        <w:spacing w:after="0" w:line="13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4"/>
          <w:szCs w:val="14"/>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 Note 7,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xml:space="preserve">, to this Form 10-Q and Item 15 — Note 10, </w:t>
      </w:r>
      <w:r>
        <w:rPr>
          <w:rFonts w:ascii="Times New Roman" w:cs="Times New Roman" w:eastAsia="Times New Roman" w:hAnsi="Times New Roman"/>
          <w:sz w:val="14"/>
          <w:szCs w:val="14"/>
          <w:i w:val="1"/>
          <w:iCs w:val="1"/>
          <w:color w:val="231F20"/>
        </w:rPr>
        <w:t>Long-term Debt</w:t>
      </w:r>
      <w:r>
        <w:rPr>
          <w:rFonts w:ascii="Times New Roman" w:cs="Times New Roman" w:eastAsia="Times New Roman" w:hAnsi="Times New Roman"/>
          <w:sz w:val="14"/>
          <w:szCs w:val="14"/>
          <w:color w:val="231F20"/>
        </w:rPr>
        <w:t>, to the consolidated financial statements included in the Company’s</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000000"/>
        </w:rPr>
        <w:t>2021 Form 10-K</w:t>
      </w:r>
      <w:r>
        <w:rPr>
          <w:rFonts w:ascii="Times New Roman" w:cs="Times New Roman" w:eastAsia="Times New Roman" w:hAnsi="Times New Roman"/>
          <w:sz w:val="14"/>
          <w:szCs w:val="14"/>
          <w:color w:val="231F20"/>
        </w:rPr>
        <w:t>, the Company’s financing arrangements consist of</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000000"/>
        </w:rPr>
        <w:t>corporate level debt, which includes Senior Notes</w:t>
      </w:r>
      <w:r>
        <w:rPr>
          <w:rFonts w:ascii="Times New Roman" w:cs="Times New Roman" w:eastAsia="Times New Roman" w:hAnsi="Times New Roman"/>
          <w:sz w:val="14"/>
          <w:szCs w:val="14"/>
          <w:i w:val="1"/>
          <w:iCs w:val="1"/>
          <w:color w:val="231F20"/>
        </w:rPr>
        <w:t xml:space="preserve"> </w:t>
      </w:r>
      <w:r>
        <w:rPr>
          <w:rFonts w:ascii="Times New Roman" w:cs="Times New Roman" w:eastAsia="Times New Roman" w:hAnsi="Times New Roman"/>
          <w:sz w:val="14"/>
          <w:szCs w:val="14"/>
          <w:color w:val="000000"/>
        </w:rPr>
        <w:t>and the revolving credit facility; the ATM Programs; and project-level financings for its various assets.</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231F20"/>
        </w:rPr>
        <w:t>Thermal Disposition</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On May 1, 2022, the Company completed the sale of 100% of its interests in the Thermal Business to KKR for net proceeds of approximately $1.46 billion</w:t>
      </w:r>
      <w:r>
        <w:rPr>
          <w:rFonts w:ascii="Times New Roman" w:cs="Times New Roman" w:eastAsia="Times New Roman" w:hAnsi="Times New Roman"/>
          <w:sz w:val="14"/>
          <w:szCs w:val="14"/>
          <w:color w:val="000000"/>
        </w:rPr>
        <w:t>, inclusive of working capital , which</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excludes approximately $20 million in transaction expenses that were incurred in connection with the disposition</w:t>
      </w:r>
      <w:r>
        <w:rPr>
          <w:rFonts w:ascii="Times New Roman" w:cs="Times New Roman" w:eastAsia="Times New Roman" w:hAnsi="Times New Roman"/>
          <w:sz w:val="14"/>
          <w:szCs w:val="14"/>
          <w:color w:val="231F20"/>
        </w:rPr>
        <w:t>. The Company estimates that the Thermal Disposition will result in a gain of</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approximately $1.31 billion.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Uses of Liquidity</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Company’s requirements for liquidity and capital resources, other than for operating its facilities, are categorized as: (i) debt service obligations, as described more fully in Item 1 — </w:t>
      </w:r>
      <w:r>
        <w:rPr>
          <w:rFonts w:ascii="Times New Roman" w:cs="Times New Roman" w:eastAsia="Times New Roman" w:hAnsi="Times New Roman"/>
          <w:sz w:val="14"/>
          <w:szCs w:val="14"/>
          <w:color w:val="000000"/>
        </w:rPr>
        <w:t>Note 7</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 xml:space="preserve">Long-term Debt, </w:t>
      </w:r>
      <w:r>
        <w:rPr>
          <w:rFonts w:ascii="Times New Roman" w:cs="Times New Roman" w:eastAsia="Times New Roman" w:hAnsi="Times New Roman"/>
          <w:sz w:val="14"/>
          <w:szCs w:val="14"/>
          <w:color w:val="231F20"/>
        </w:rPr>
        <w:t>to the consolidated financial statements; (ii) capital expenditures; (iii) off-balance sheet arrangements; (iv) acquisitions and investments; and (v) distributions.</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Capital Expenditures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Company’s capital spending program is mainly focused on maintenance capital expenditures, consisting of costs to maintain the assets currently operating, such as costs to replace or refurbish assets during routine maintenance, and growth capital expenditures consisting of costs to construct new assets, costs to complete the construction of assets where construction is in process, and capital expenditures related to acquiring additional thermal customers.</w:t>
      </w:r>
    </w:p>
    <w:p>
      <w:pPr>
        <w:spacing w:after="0" w:line="9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231F20"/>
        </w:rPr>
        <w:t xml:space="preserve">For the three months ended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xml:space="preserve">, the Company used approximately $47 million to fund capital expenditures, including growth </w:t>
      </w:r>
      <w:r>
        <w:rPr>
          <w:rFonts w:ascii="Times New Roman" w:cs="Times New Roman" w:eastAsia="Times New Roman" w:hAnsi="Times New Roman"/>
          <w:sz w:val="14"/>
          <w:szCs w:val="14"/>
          <w:color w:val="000000"/>
        </w:rPr>
        <w:t>expenditures of $36 million in the Renewables</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segment, $17 million incurred in connection with the Mesquite Sky wind project, $9 million incurred in connection with the Black Rock wind project, $5 million incurred in connection with the Rattlesnake wind project and $5 million incurred by other wind and solar projects. The Company also incurred $4 million of growth capital expenditures in the Thermal segment in connection with various development projects. In addition, the Company incurred $7 million in maintenance capital expenditures. The Company estimates $30 million of maintenance expenditures for 2022. These estimates are subject to continuing review and adjustment. Actual capital expenditures may vary from these estimates. Estimates for 2022 exclude any contributions from the Thermal segment for periods after the closing of the Thermal Disposition.</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Acquisitions and Investments</w:t>
      </w:r>
    </w:p>
    <w:p>
      <w:pPr>
        <w:spacing w:after="0" w:line="13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The Company intends to acquire generation assets developed and constructed by CEG, as well as generation assets from third parties where the Company believes its knowledge of the market and operating expertise provides a competitive advantage, and to utilize such acquisitions as a means to grow its business.</w:t>
      </w:r>
    </w:p>
    <w:p>
      <w:pPr>
        <w:spacing w:after="0" w:line="80" w:lineRule="exact"/>
        <w:rPr>
          <w:sz w:val="20"/>
          <w:szCs w:val="20"/>
          <w:color w:val="auto"/>
        </w:rPr>
      </w:pPr>
    </w:p>
    <w:p>
      <w:pPr>
        <w:jc w:val="both"/>
        <w:ind w:firstLine="318"/>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Mililani I Drop Down </w:t>
      </w: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On March 25, 2022, the Company, through its indirect subsidiary, Lighthouse Renewable Holdco LLC, acquired Mililani BL Borrower Holdco LLC, the indirect owner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 Mililani I solar project, a 39 MW Solar project with 156 MWh of storage capacity that is currently under construction, located in Oahu, Hawaii, from Clearway Renew LLC, a subsidiary of CEG, for cash consideration of $22 million. Lighthouse Renewable Holdco LLC is a partnership between the Company and a third-party investor. The third-party investor also contributed cash consideration of $14 million utilized to acquire their portion of the acquired entity. Mililani BL Borrower Holdco LLC consolidates, as the direct owner of the primary beneficiary, a tax equity fund, Mililani TE Holdco LLC, which directly holds the Mililani I solar project. Mililani I has a 20-year power purchase agreement with an investment-grade utility that commences when the project achieves commercial operations. The acquisition was funded with existing sources of liquidity. As part of the acquisition of Mililani I, the Company assumed the project’s financing agreement which included a $16 million construction loan that converts to a term loan upon completion of construction, $60 million tax equity bridge loan and a $27 million sponsor equity bridge loan. The sponsor equity bridge loan was repaid at acquisition date, utilizing $14 million from the cash equity investor, as well as $15 million of the Company’s acquisition price, which was contributed back by CEG, and $2 million was utilized to pay associated fees. The tax equity bridge loan will be repaid with the final proceeds from the tax equity investor that will be received when Mililani I achieves commercial operations, which is expected to occur in the second half of 2022.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9" w:name="page40"/>
    <w:bookmarkEnd w:id="39"/>
    <w:p>
      <w:pPr>
        <w:jc w:val="both"/>
        <w:ind w:firstLine="318"/>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Black Rock Drop Down </w:t>
      </w:r>
      <w:r>
        <w:rPr>
          <w:rFonts w:ascii="Times New Roman" w:cs="Times New Roman" w:eastAsia="Times New Roman" w:hAnsi="Times New Roman"/>
          <w:sz w:val="14"/>
          <w:szCs w:val="14"/>
          <w:color w:val="auto"/>
        </w:rPr>
        <w:t>- In February 2022, in connection with the Company’s 2021 acquisition of the Class B membership interests in Black Rock Wind Holding LLC, through its indirect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subsidiary Lighthouse Renewable Holding Sub LLC, from Clearway Renew LLC, as subsidiary of CEG, the Company paid an additional $23 million as final funding after all remaining turbines of the Black Rock wind project became operational. Concurrent with the final funding, the $59 million that was contributed in 2021 by third-party investors, consisting of $36 million contributed by the cash equity investor and $23 million contributed by the tax equity investor, was released to Clearway Renew LLC.</w:t>
      </w:r>
    </w:p>
    <w:p>
      <w:pPr>
        <w:spacing w:after="0" w:line="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Bridge Loan Agreement</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3, 2022, the Company repaid the $335 million in outstanding borrowings under the Bridge Loan Agreement utilizing proceeds received from the Thermal Disposition.</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Cash Distributions to Clearway Energy, Inc. and CEG</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lists the distributions paid on the Company’s Class A, B, C and D units during the three months ended March 31, 2022:</w:t>
      </w:r>
    </w:p>
    <w:p>
      <w:pPr>
        <w:spacing w:after="0" w:line="78"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1"/>
          <w:szCs w:val="11"/>
          <w:b w:val="1"/>
          <w:bCs w:val="1"/>
          <w:color w:val="auto"/>
        </w:rPr>
        <w:t>First Quarter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21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8" w:lineRule="exact"/>
        <w:rPr>
          <w:sz w:val="20"/>
          <w:szCs w:val="20"/>
          <w:color w:val="auto"/>
        </w:rPr>
      </w:pPr>
    </w:p>
    <w:p>
      <w:pPr>
        <w:ind w:left="20"/>
        <w:spacing w:after="0"/>
        <w:tabs>
          <w:tab w:leader="none" w:pos="9640" w:val="left"/>
          <w:tab w:leader="none" w:pos="10820" w:val="left"/>
        </w:tabs>
        <w:rPr>
          <w:sz w:val="20"/>
          <w:szCs w:val="20"/>
          <w:color w:val="auto"/>
        </w:rPr>
      </w:pPr>
      <w:r>
        <w:rPr>
          <w:rFonts w:ascii="Times New Roman" w:cs="Times New Roman" w:eastAsia="Times New Roman" w:hAnsi="Times New Roman"/>
          <w:sz w:val="14"/>
          <w:szCs w:val="14"/>
          <w:color w:val="auto"/>
        </w:rPr>
        <w:t>Distributions per Class A, B, C and D unit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0.3468</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On May 4, 2022, the Company declared a distribution on its Class A, Class B, Class C and Class D units of $0.3536 per unit payable on June 15, 2022 to unit holders of record as of June 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2022.</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Off-Balance Sheet Arrangements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Obligations under Certain Guarantee Contracts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The Company may enter into guarantee arrangements in the normal course of business to facilitate commercial transactions with third parties.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Retained or Contingent Interests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Company does not have any material retained or contingent interests in assets transferred to an unconsolidated entity.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Obligations Arising Out of a Variable Interest in an Unconsolidated Entity</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As of March 31, 2022, the Company has several investments with an ownership interest percentage of 50% 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$341 million as of March 31, 2022. This indebtedness may restrict the ability of these subsidiaries to issue dividends or distributions to the Company.</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Contractual Obligations and Commercial Commitments</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a variety of contractual obligations and other commercial commitments that represent prospective cash requirements in addition to the Company's capital expenditure programs, as disclosed in the Company’s 2021 Form 10-K.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7"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color w:val="auto"/>
        </w:rPr>
        <w:t>Cash Flow Discussion</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following table reflects the changes in cash flows for the three months ended March 31, 2022, compared to the three months ended March 31, 2021:</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200" w:type="dxa"/>
            <w:vAlign w:val="bottom"/>
          </w:tcPr>
          <w:p>
            <w:pPr>
              <w:spacing w:after="0"/>
              <w:rPr>
                <w:sz w:val="13"/>
                <w:szCs w:val="13"/>
                <w:color w:val="auto"/>
              </w:rPr>
            </w:pPr>
          </w:p>
        </w:tc>
        <w:tc>
          <w:tcPr>
            <w:tcW w:w="242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3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4"/>
        </w:trPr>
        <w:tc>
          <w:tcPr>
            <w:tcW w:w="7200" w:type="dxa"/>
            <w:vAlign w:val="bottom"/>
          </w:tcPr>
          <w:p>
            <w:pPr>
              <w:spacing w:after="0"/>
              <w:rPr>
                <w:sz w:val="13"/>
                <w:szCs w:val="13"/>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2022</w:t>
            </w: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1"/>
                <w:szCs w:val="11"/>
                <w:b w:val="1"/>
                <w:bCs w:val="1"/>
                <w:color w:val="auto"/>
              </w:rPr>
              <w:t>2021</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76"/>
        </w:trPr>
        <w:tc>
          <w:tcPr>
            <w:tcW w:w="7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8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93</w:t>
            </w:r>
          </w:p>
        </w:tc>
        <w:tc>
          <w:tcPr>
            <w:tcW w:w="110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80"/>
        </w:trPr>
        <w:tc>
          <w:tcPr>
            <w:tcW w:w="7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840" w:type="dxa"/>
            <w:vAlign w:val="bottom"/>
          </w:tcPr>
          <w:p>
            <w:pPr>
              <w:spacing w:after="0"/>
              <w:rPr>
                <w:sz w:val="15"/>
                <w:szCs w:val="15"/>
                <w:color w:val="auto"/>
              </w:rPr>
            </w:pPr>
          </w:p>
        </w:tc>
        <w:tc>
          <w:tcPr>
            <w:tcW w:w="4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w:t>
            </w:r>
          </w:p>
        </w:tc>
        <w:tc>
          <w:tcPr>
            <w:tcW w:w="1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(314)</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r>
      <w:tr>
        <w:trPr>
          <w:trHeight w:val="18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(184)</w:t>
            </w: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r>
    </w:tbl>
    <w:p>
      <w:pPr>
        <w:spacing w:after="0" w:line="185" w:lineRule="exact"/>
        <w:rPr>
          <w:sz w:val="20"/>
          <w:szCs w:val="20"/>
          <w:color w:val="auto"/>
        </w:rPr>
      </w:pPr>
    </w:p>
    <w:p>
      <w:pPr>
        <w:sectPr>
          <w:pgSz w:w="11900" w:h="16838" w:orient="portrait"/>
          <w:cols w:equalWidth="0" w:num="1">
            <w:col w:w="11280"/>
          </w:cols>
          <w:pgMar w:left="300" w:top="728" w:right="319" w:bottom="1440" w:gutter="0" w:footer="0" w:header="0"/>
        </w:sect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Provided by Operating Activities</w:t>
      </w:r>
    </w:p>
    <w:p>
      <w:pPr>
        <w:spacing w:after="0" w:line="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Changes to net cash provided by operating activities were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4860" cy="121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21285"/>
                    </a:xfrm>
                    <a:prstGeom prst="rect">
                      <a:avLst/>
                    </a:prstGeom>
                    <a:noFill/>
                  </pic:spPr>
                </pic:pic>
              </a:graphicData>
            </a:graphic>
          </wp:anchor>
        </w:drawing>
      </w:r>
    </w:p>
    <w:p>
      <w:pPr>
        <w:spacing w:after="0" w:line="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Increase in operating income adjusted for non-cash items</w:t>
      </w:r>
    </w:p>
    <w:p>
      <w:pPr>
        <w:spacing w:after="0" w:line="23" w:lineRule="exact"/>
        <w:rPr>
          <w:sz w:val="20"/>
          <w:szCs w:val="20"/>
          <w:color w:val="auto"/>
        </w:rPr>
      </w:pPr>
    </w:p>
    <w:p>
      <w:pPr>
        <w:ind w:left="100" w:right="1912"/>
        <w:spacing w:after="0" w:line="297" w:lineRule="auto"/>
        <w:rPr>
          <w:sz w:val="20"/>
          <w:szCs w:val="20"/>
          <w:color w:val="auto"/>
        </w:rPr>
      </w:pPr>
      <w:r>
        <w:rPr>
          <w:rFonts w:ascii="Times New Roman" w:cs="Times New Roman" w:eastAsia="Times New Roman" w:hAnsi="Times New Roman"/>
          <w:sz w:val="14"/>
          <w:szCs w:val="14"/>
          <w:color w:val="auto"/>
        </w:rPr>
        <w:t>Decrease in working capital primarily driven by the timing of accounts receivable collections and payments of accounts payable Decrease in distributions from unconsolidated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-137795</wp:posOffset>
            </wp:positionV>
            <wp:extent cx="7134860" cy="114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ind w:left="288"/>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29" w:lineRule="exact"/>
        <w:rPr>
          <w:sz w:val="20"/>
          <w:szCs w:val="20"/>
          <w:color w:val="auto"/>
        </w:rPr>
      </w:pPr>
    </w:p>
    <w:p>
      <w:pPr>
        <w:ind w:left="1048" w:hanging="1048"/>
        <w:spacing w:after="0"/>
        <w:tabs>
          <w:tab w:leader="none" w:pos="1048"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w:t>
      </w:r>
    </w:p>
    <w:p>
      <w:pPr>
        <w:spacing w:after="0" w:line="23" w:lineRule="exact"/>
        <w:rPr>
          <w:rFonts w:ascii="Times New Roman" w:cs="Times New Roman" w:eastAsia="Times New Roman" w:hAnsi="Times New Roman"/>
          <w:sz w:val="14"/>
          <w:szCs w:val="14"/>
          <w:color w:val="auto"/>
        </w:rPr>
      </w:pPr>
    </w:p>
    <w:p>
      <w:pPr>
        <w:ind w:left="98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(27)</w:t>
      </w:r>
    </w:p>
    <w:p>
      <w:pPr>
        <w:spacing w:after="0" w:line="19" w:lineRule="exact"/>
        <w:rPr>
          <w:rFonts w:ascii="Times New Roman" w:cs="Times New Roman" w:eastAsia="Times New Roman" w:hAnsi="Times New Roman"/>
          <w:sz w:val="14"/>
          <w:szCs w:val="14"/>
          <w:color w:val="auto"/>
        </w:rPr>
      </w:pPr>
    </w:p>
    <w:p>
      <w:pPr>
        <w:ind w:left="1068"/>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wp:posOffset>
            </wp:positionV>
            <wp:extent cx="802005"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2005" cy="6985"/>
                    </a:xfrm>
                    <a:prstGeom prst="rect">
                      <a:avLst/>
                    </a:prstGeom>
                    <a:noFill/>
                  </pic:spPr>
                </pic:pic>
              </a:graphicData>
            </a:graphic>
          </wp:anchor>
        </w:drawing>
      </w:r>
    </w:p>
    <w:p>
      <w:pPr>
        <w:spacing w:after="0" w:line="18" w:lineRule="exact"/>
        <w:rPr>
          <w:sz w:val="20"/>
          <w:szCs w:val="20"/>
          <w:color w:val="auto"/>
        </w:rPr>
      </w:pPr>
    </w:p>
    <w:p>
      <w:pPr>
        <w:ind w:left="1048" w:hanging="1048"/>
        <w:spacing w:after="0"/>
        <w:tabs>
          <w:tab w:leader="none" w:pos="1048"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802005"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2005"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34925</wp:posOffset>
            </wp:positionV>
            <wp:extent cx="802005"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02005"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72" w:space="720"/>
            <w:col w:w="1288"/>
          </w:cols>
          <w:pgMar w:left="300" w:top="728" w:right="31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Investing Activities</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to net cash used in investing activities were driven by:</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paid for Agua Caliente, net of cash acquired, in 2021</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80"/>
        </w:trPr>
        <w:tc>
          <w:tcPr>
            <w:tcW w:w="9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cash paid for Drop Down assets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80"/>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paid to CEG in 2021 for equipment for the Pinnacle wind project repowering</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0"/>
        </w:trPr>
        <w:tc>
          <w:tcPr>
            <w:tcW w:w="9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Changes in capital expenditures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0"/>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1"/>
        </w:trPr>
        <w:tc>
          <w:tcPr>
            <w:tcW w:w="99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0"/>
        </w:trPr>
        <w:tc>
          <w:tcPr>
            <w:tcW w:w="99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Net Cash (Used in) Provided by Financing Activities</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9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Changes in net cash (used in) provided by financing activities were driven by:</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(In millions)</w:t>
            </w:r>
          </w:p>
        </w:tc>
        <w:tc>
          <w:tcPr>
            <w:tcW w:w="0" w:type="dxa"/>
            <w:vAlign w:val="bottom"/>
          </w:tcPr>
          <w:p>
            <w:pPr>
              <w:spacing w:after="0"/>
              <w:rPr>
                <w:sz w:val="1"/>
                <w:szCs w:val="1"/>
                <w:color w:val="auto"/>
              </w:rPr>
            </w:pPr>
          </w:p>
        </w:tc>
      </w:tr>
      <w:tr>
        <w:trPr>
          <w:trHeight w:val="171"/>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Decrease in net contributions from CEG and noncontrolling interest members</w:t>
            </w: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0" w:type="dxa"/>
            <w:vAlign w:val="bottom"/>
          </w:tcPr>
          <w:p>
            <w:pPr>
              <w:spacing w:after="0"/>
              <w:rPr>
                <w:sz w:val="1"/>
                <w:szCs w:val="1"/>
                <w:color w:val="auto"/>
              </w:rPr>
            </w:pPr>
          </w:p>
        </w:tc>
      </w:tr>
      <w:tr>
        <w:trPr>
          <w:trHeight w:val="180"/>
        </w:trPr>
        <w:tc>
          <w:tcPr>
            <w:tcW w:w="9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proceeds from issuance of long-term debt, net of payments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80"/>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released from escrow distributed to CEG in 2022</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80"/>
        </w:trPr>
        <w:tc>
          <w:tcPr>
            <w:tcW w:w="99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distributions paid to unit holders</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0"/>
        </w:trPr>
        <w:tc>
          <w:tcPr>
            <w:tcW w:w="9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Increase in net borrowings under the revolving credit facility</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80"/>
        </w:trPr>
        <w:tc>
          <w:tcPr>
            <w:tcW w:w="99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6"/>
        </w:trPr>
        <w:tc>
          <w:tcPr>
            <w:tcW w:w="99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0" w:type="dxa"/>
            <w:vAlign w:val="bottom"/>
          </w:tcPr>
          <w:p>
            <w:pPr>
              <w:spacing w:after="0"/>
              <w:rPr>
                <w:sz w:val="1"/>
                <w:szCs w:val="1"/>
                <w:color w:val="auto"/>
              </w:rPr>
            </w:pP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of Derivative Instruments</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The Company may enter into commodity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9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xml:space="preserve">, based on their level within the fair value hierarchy defined in ASC 820; and indicate the maturities of contracts at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For a full discussion of the Company's valuation methodology of its contracts, see</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231F20"/>
        </w:rPr>
        <w:t>Derivative Fair Value Measurements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31F20"/>
        </w:rPr>
        <w:t>in Item 1 —</w:t>
      </w:r>
      <w:r>
        <w:rPr>
          <w:rFonts w:ascii="Times New Roman" w:cs="Times New Roman" w:eastAsia="Times New Roman" w:hAnsi="Times New Roman"/>
          <w:sz w:val="14"/>
          <w:szCs w:val="14"/>
          <w:color w:val="000000"/>
        </w:rPr>
        <w:t xml:space="preserve"> Note 5</w:t>
      </w:r>
      <w:r>
        <w:rPr>
          <w:rFonts w:ascii="Times New Roman" w:cs="Times New Roman" w:eastAsia="Times New Roman" w:hAnsi="Times New Roman"/>
          <w:sz w:val="14"/>
          <w:szCs w:val="14"/>
          <w:color w:val="231F20"/>
        </w:rPr>
        <w: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Derivative Activity (Losses) Gains</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December 31, 2021</w:t>
            </w: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Contracts realized or otherwise settled during the period</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Contracts acquired during the period</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Contracts added due to loss of NPNS exception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8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Changes in fair value</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Fair value of contracts as of March 31, 2022</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9"/>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Fair value of contracts as of March 31, 2022</w:t>
            </w: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1"/>
                <w:szCs w:val="11"/>
                <w:b w:val="1"/>
                <w:bCs w:val="1"/>
                <w:color w:val="auto"/>
              </w:rPr>
              <w:t>Maturity</w:t>
            </w: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Fair Value Hierarchy (Losses) Gains</w:t>
            </w:r>
          </w:p>
        </w:tc>
        <w:tc>
          <w:tcPr>
            <w:tcW w:w="18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1 Year or Less</w:t>
            </w: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120" w:type="dxa"/>
            <w:vAlign w:val="bottom"/>
          </w:tcPr>
          <w:p>
            <w:pPr>
              <w:spacing w:after="0"/>
              <w:rPr>
                <w:sz w:val="9"/>
                <w:szCs w:val="9"/>
                <w:color w:val="auto"/>
              </w:rPr>
            </w:pPr>
          </w:p>
        </w:tc>
        <w:tc>
          <w:tcPr>
            <w:tcW w:w="114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200" w:type="dxa"/>
            <w:vAlign w:val="bottom"/>
          </w:tcPr>
          <w:p>
            <w:pPr>
              <w:spacing w:after="0"/>
              <w:rPr>
                <w:sz w:val="9"/>
                <w:szCs w:val="9"/>
                <w:color w:val="auto"/>
              </w:rPr>
            </w:pPr>
          </w:p>
        </w:tc>
        <w:tc>
          <w:tcPr>
            <w:tcW w:w="1200" w:type="dxa"/>
            <w:vAlign w:val="bottom"/>
            <w:gridSpan w:val="3"/>
          </w:tcPr>
          <w:p>
            <w:pPr>
              <w:jc w:val="center"/>
              <w:ind w:right="320"/>
              <w:spacing w:after="0" w:line="115" w:lineRule="exact"/>
              <w:rPr>
                <w:sz w:val="20"/>
                <w:szCs w:val="20"/>
                <w:color w:val="auto"/>
              </w:rPr>
            </w:pPr>
            <w:r>
              <w:rPr>
                <w:rFonts w:ascii="Times New Roman" w:cs="Times New Roman" w:eastAsia="Times New Roman" w:hAnsi="Times New Roman"/>
                <w:sz w:val="11"/>
                <w:szCs w:val="11"/>
                <w:b w:val="1"/>
                <w:bCs w:val="1"/>
                <w:color w:val="auto"/>
              </w:rPr>
              <w:t>Greater Than</w:t>
            </w:r>
          </w:p>
        </w:tc>
        <w:tc>
          <w:tcPr>
            <w:tcW w:w="80" w:type="dxa"/>
            <w:vAlign w:val="bottom"/>
          </w:tcPr>
          <w:p>
            <w:pPr>
              <w:spacing w:after="0"/>
              <w:rPr>
                <w:sz w:val="9"/>
                <w:szCs w:val="9"/>
                <w:color w:val="auto"/>
              </w:rPr>
            </w:pPr>
          </w:p>
        </w:tc>
        <w:tc>
          <w:tcPr>
            <w:tcW w:w="1060" w:type="dxa"/>
            <w:vAlign w:val="bottom"/>
          </w:tcPr>
          <w:p>
            <w:pPr>
              <w:jc w:val="right"/>
              <w:ind w:right="272"/>
              <w:spacing w:after="0" w:line="115" w:lineRule="exact"/>
              <w:rPr>
                <w:sz w:val="20"/>
                <w:szCs w:val="20"/>
                <w:color w:val="auto"/>
              </w:rPr>
            </w:pPr>
            <w:r>
              <w:rPr>
                <w:rFonts w:ascii="Times New Roman" w:cs="Times New Roman" w:eastAsia="Times New Roman" w:hAnsi="Times New Roman"/>
                <w:sz w:val="11"/>
                <w:szCs w:val="11"/>
                <w:b w:val="1"/>
                <w:bCs w:val="1"/>
                <w:color w:val="auto"/>
              </w:rPr>
              <w:t>Total Fair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86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1 Year to 3 Years</w:t>
            </w:r>
          </w:p>
        </w:tc>
        <w:tc>
          <w:tcPr>
            <w:tcW w:w="120" w:type="dxa"/>
            <w:vAlign w:val="bottom"/>
          </w:tcPr>
          <w:p>
            <w:pPr>
              <w:spacing w:after="0"/>
              <w:rPr>
                <w:sz w:val="9"/>
                <w:szCs w:val="9"/>
                <w:color w:val="auto"/>
              </w:rPr>
            </w:pPr>
          </w:p>
        </w:tc>
        <w:tc>
          <w:tcPr>
            <w:tcW w:w="114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3 Years to 5 Years</w:t>
            </w:r>
          </w:p>
        </w:tc>
        <w:tc>
          <w:tcPr>
            <w:tcW w:w="200" w:type="dxa"/>
            <w:vAlign w:val="bottom"/>
          </w:tcPr>
          <w:p>
            <w:pPr>
              <w:spacing w:after="0"/>
              <w:rPr>
                <w:sz w:val="9"/>
                <w:szCs w:val="9"/>
                <w:color w:val="auto"/>
              </w:rPr>
            </w:pPr>
          </w:p>
        </w:tc>
        <w:tc>
          <w:tcPr>
            <w:tcW w:w="1200" w:type="dxa"/>
            <w:vAlign w:val="bottom"/>
            <w:gridSpan w:val="3"/>
          </w:tcPr>
          <w:p>
            <w:pPr>
              <w:jc w:val="center"/>
              <w:ind w:right="320"/>
              <w:spacing w:after="0" w:line="95" w:lineRule="exact"/>
              <w:rPr>
                <w:sz w:val="20"/>
                <w:szCs w:val="20"/>
                <w:color w:val="auto"/>
              </w:rPr>
            </w:pPr>
            <w:r>
              <w:rPr>
                <w:rFonts w:ascii="Times New Roman" w:cs="Times New Roman" w:eastAsia="Times New Roman" w:hAnsi="Times New Roman"/>
                <w:sz w:val="10"/>
                <w:szCs w:val="10"/>
                <w:b w:val="1"/>
                <w:bCs w:val="1"/>
                <w:color w:val="auto"/>
              </w:rPr>
              <w:t>5 Years</w:t>
            </w:r>
          </w:p>
        </w:tc>
        <w:tc>
          <w:tcPr>
            <w:tcW w:w="80" w:type="dxa"/>
            <w:vAlign w:val="bottom"/>
          </w:tcPr>
          <w:p>
            <w:pPr>
              <w:spacing w:after="0"/>
              <w:rPr>
                <w:sz w:val="9"/>
                <w:szCs w:val="9"/>
                <w:color w:val="auto"/>
              </w:rPr>
            </w:pPr>
          </w:p>
        </w:tc>
        <w:tc>
          <w:tcPr>
            <w:tcW w:w="1060" w:type="dxa"/>
            <w:vAlign w:val="bottom"/>
          </w:tcPr>
          <w:p>
            <w:pPr>
              <w:jc w:val="right"/>
              <w:ind w:right="372"/>
              <w:spacing w:after="0" w:line="95" w:lineRule="exact"/>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center"/>
              <w:ind w:left="678"/>
              <w:spacing w:after="0"/>
              <w:rPr>
                <w:sz w:val="20"/>
                <w:szCs w:val="20"/>
                <w:color w:val="auto"/>
              </w:rPr>
            </w:pPr>
            <w:r>
              <w:rPr>
                <w:rFonts w:ascii="Times New Roman" w:cs="Times New Roman" w:eastAsia="Times New Roman" w:hAnsi="Times New Roman"/>
                <w:sz w:val="14"/>
                <w:szCs w:val="14"/>
                <w:color w:val="auto"/>
                <w:w w:val="99"/>
              </w:rPr>
              <w:t>11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Level 3</w:t>
            </w:r>
          </w:p>
        </w:tc>
        <w:tc>
          <w:tcPr>
            <w:tcW w:w="1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center"/>
              <w:ind w:left="658"/>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4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gridSpan w:val="3"/>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center"/>
              <w:ind w:left="658"/>
              <w:spacing w:after="0"/>
              <w:rPr>
                <w:sz w:val="20"/>
                <w:szCs w:val="20"/>
                <w:color w:val="auto"/>
              </w:rPr>
            </w:pPr>
            <w:r>
              <w:rPr>
                <w:rFonts w:ascii="Times New Roman" w:cs="Times New Roman" w:eastAsia="Times New Roman" w:hAnsi="Times New Roman"/>
                <w:sz w:val="14"/>
                <w:szCs w:val="14"/>
                <w:color w:val="auto"/>
              </w:rPr>
              <w:t>(60)</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the </w:t>
      </w:r>
      <w:r>
        <w:rPr>
          <w:rFonts w:ascii="Times New Roman" w:cs="Times New Roman" w:eastAsia="Times New Roman" w:hAnsi="Times New Roman"/>
          <w:sz w:val="14"/>
          <w:szCs w:val="14"/>
          <w:color w:val="000000"/>
        </w:rPr>
        <w:t>Company, measures the sensitivity of the portfolio to potential changes in market prices using VaR, a</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04"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accounting utilizing Hypothetical Liquidation at Book Value, or HLBV, and acquisition accounting.</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Developments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See Item 1 —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for a discussion of recent accounting developments.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ITEM 3 — Quantitative and Qualitative Disclosures About Market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Times New Roman" w:cs="Times New Roman" w:eastAsia="Times New Roman" w:hAnsi="Times New Roman"/>
          <w:sz w:val="14"/>
          <w:szCs w:val="14"/>
          <w:color w:val="000000"/>
        </w:rPr>
        <w:t>The following disclosures about market risk provide an update to, and should be read in conjunction with, Item 7A —</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Quantitative and Qualitative Disclosures About Market Risk,</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of the</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color w:val="000000"/>
        </w:rPr>
        <w:t>Company's 2021 Form 10-K.</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Interest Rate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Times New Roman" w:cs="Times New Roman" w:eastAsia="Times New Roman" w:hAnsi="Times New Roman"/>
          <w:sz w:val="14"/>
          <w:szCs w:val="14"/>
          <w:color w:val="000000"/>
        </w:rPr>
        <w:t>— Note 6</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Derivative Instruments and Hedging Activities</w:t>
      </w:r>
      <w:r>
        <w:rPr>
          <w:rFonts w:ascii="Times New Roman" w:cs="Times New Roman" w:eastAsia="Times New Roman" w:hAnsi="Times New Roman"/>
          <w:sz w:val="14"/>
          <w:szCs w:val="14"/>
          <w:color w:val="231F20"/>
        </w:rPr>
        <w:t>, for more information.</w:t>
      </w:r>
    </w:p>
    <w:p>
      <w:pPr>
        <w:spacing w:after="0" w:line="93"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 xml:space="preserve">Most of the Company's project subsidiaries enter into interest rate swaps, intended to hedge the risks associated with interest rates on non-recourse project level debt. See Item 15 —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Long-term Debt</w:t>
      </w:r>
      <w:r>
        <w:rPr>
          <w:rFonts w:ascii="Times New Roman" w:cs="Times New Roman" w:eastAsia="Times New Roman" w:hAnsi="Times New Roman"/>
          <w:sz w:val="14"/>
          <w:szCs w:val="14"/>
          <w:i w:val="1"/>
          <w:iCs w:val="1"/>
          <w:color w:val="231F20"/>
        </w:rPr>
        <w:t>,</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to the Company's</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000000"/>
        </w:rPr>
        <w:t>audited consolidated financial statements for the year ended December 31, 2021 included in the 2021 Form 10-K</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for more information about interest rate swaps of</w:t>
      </w:r>
      <w:r>
        <w:rPr>
          <w:rFonts w:ascii="Times New Roman" w:cs="Times New Roman" w:eastAsia="Times New Roman" w:hAnsi="Times New Roman"/>
          <w:sz w:val="14"/>
          <w:szCs w:val="14"/>
          <w:i w:val="1"/>
          <w:iCs w:val="1"/>
          <w:color w:val="000000"/>
        </w:rPr>
        <w:t xml:space="preserve"> </w:t>
      </w:r>
      <w:r>
        <w:rPr>
          <w:rFonts w:ascii="Times New Roman" w:cs="Times New Roman" w:eastAsia="Times New Roman" w:hAnsi="Times New Roman"/>
          <w:sz w:val="14"/>
          <w:szCs w:val="14"/>
          <w:color w:val="231F20"/>
        </w:rPr>
        <w:t>the Company's project subsidiaries.</w:t>
      </w:r>
    </w:p>
    <w:p>
      <w:pPr>
        <w:spacing w:after="0" w:line="93"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If all of the interest rate swaps had been discontinued on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xml:space="preserve">, the Company would have owed the counterparties </w:t>
      </w:r>
      <w:r>
        <w:rPr>
          <w:rFonts w:ascii="Times New Roman" w:cs="Times New Roman" w:eastAsia="Times New Roman" w:hAnsi="Times New Roman"/>
          <w:sz w:val="14"/>
          <w:szCs w:val="14"/>
          <w:color w:val="000000"/>
        </w:rPr>
        <w:t>$6 million.</w:t>
      </w:r>
      <w:r>
        <w:rPr>
          <w:rFonts w:ascii="Times New Roman" w:cs="Times New Roman" w:eastAsia="Times New Roman" w:hAnsi="Times New Roman"/>
          <w:sz w:val="14"/>
          <w:szCs w:val="14"/>
          <w:color w:val="231F20"/>
        </w:rPr>
        <w:t xml:space="preserve"> Based on the credit ratings of the counterparties, the Company believes its exposure to credit risk due to nonperformance by counterparties to its hedge contracts to be insignificant.</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The Company has long-term debt instruments that subject it to the risk of loss associated with movements in market interest rates. As of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a 1% change in interest rates would result in an approximately $6 million change in market interest expense on a rolling twelve-month basis.</w:t>
      </w:r>
    </w:p>
    <w:p>
      <w:pPr>
        <w:spacing w:after="0" w:line="82"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231F20"/>
        </w:rPr>
        <w:t xml:space="preserve">As of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the fair value of the Company's debt was $7,645 million and the carrying value was $7,823 million. The Company estimates that a 1% decrease in market interest rates would have increased the fair value of its long-term debt by approximately $438 million.</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Liquidity Risk</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231F20"/>
        </w:rPr>
        <w:t>Liquidity risk arises from the general funding needs of the Company's activities and in the management of the Company's assets and liabilities.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Commodity Price Risk</w:t>
      </w:r>
    </w:p>
    <w:p>
      <w:pPr>
        <w:spacing w:after="0" w:line="138"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93"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Based on a sensitivity analysis using simplified assumptions, the impact of a $0.50 per MMBtu decrease in natural gas prices across the term of the derivative contracts would cause no change to the net value of natural gas derivatives, and an increase of $0.50 per MMBtu in natural gas prices across the term of the derivative contracts would cause an increase of approximately $1 million to the net value of natural gas derivatives as of </w:t>
      </w:r>
      <w:r>
        <w:rPr>
          <w:rFonts w:ascii="Times New Roman" w:cs="Times New Roman" w:eastAsia="Times New Roman" w:hAnsi="Times New Roman"/>
          <w:sz w:val="14"/>
          <w:szCs w:val="14"/>
          <w:color w:val="000000"/>
        </w:rPr>
        <w:t>March 31, 2022</w:t>
      </w:r>
      <w:r>
        <w:rPr>
          <w:rFonts w:ascii="Times New Roman" w:cs="Times New Roman" w:eastAsia="Times New Roman" w:hAnsi="Times New Roman"/>
          <w:sz w:val="14"/>
          <w:szCs w:val="14"/>
          <w:color w:val="231F20"/>
        </w:rPr>
        <w:t>. The impact of a $0.50 per MWh increase or decrease in power prices across the term of the derivatives contracts would cause a change of approximately $8 million to the net value of power derivatives as of March 31, 2022.</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231F20"/>
        </w:rPr>
        <w:t>Counterparty Credit Risk</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Times New Roman" w:cs="Times New Roman" w:eastAsia="Times New Roman" w:hAnsi="Times New Roman"/>
          <w:sz w:val="14"/>
          <w:szCs w:val="14"/>
          <w:color w:val="000000"/>
        </w:rPr>
        <w:t>Note 5</w:t>
      </w: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i w:val="1"/>
          <w:iCs w:val="1"/>
          <w:color w:val="000000"/>
        </w:rPr>
        <w:t>Fair Value of Financial Instruments</w:t>
      </w:r>
      <w:r>
        <w:rPr>
          <w:rFonts w:ascii="Times New Roman" w:cs="Times New Roman" w:eastAsia="Times New Roman" w:hAnsi="Times New Roman"/>
          <w:sz w:val="14"/>
          <w:szCs w:val="14"/>
          <w:color w:val="231F20"/>
        </w:rPr>
        <w:t>, to the consolidated financial statements for more information about concentration of credit risk.</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color w:val="auto"/>
        </w:rPr>
        <w:t>ITEM 4 — Controls and Procedures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Conclusion Regarding the Effectiveness of Disclosure Controls and Procedures</w:t>
      </w:r>
    </w:p>
    <w:p>
      <w:pPr>
        <w:spacing w:after="0" w:line="13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4"/>
          <w:szCs w:val="14"/>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Changes in Internal Control over Financial Reporting</w:t>
      </w:r>
    </w:p>
    <w:p>
      <w:pPr>
        <w:spacing w:after="0" w:line="138"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(as such term is defined in Rule 13a-15(f) under the Exchange Act) during the quarter ended March 31, 2022 that materially affected, or are reasonably likely to materially affect, the Company’s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 LEGAL PROCEEDINGS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For a discussion of the material legal proceedings in which the Company was involved through March 31, 2022, see Item 1 — Note 10, </w:t>
      </w:r>
      <w:r>
        <w:rPr>
          <w:rFonts w:ascii="Times New Roman" w:cs="Times New Roman" w:eastAsia="Times New Roman" w:hAnsi="Times New Roman"/>
          <w:sz w:val="14"/>
          <w:szCs w:val="14"/>
          <w:i w:val="1"/>
          <w:iCs w:val="1"/>
          <w:color w:val="auto"/>
        </w:rPr>
        <w:t>Contingencies</w:t>
      </w:r>
      <w:r>
        <w:rPr>
          <w:rFonts w:ascii="Times New Roman" w:cs="Times New Roman" w:eastAsia="Times New Roman" w:hAnsi="Times New Roman"/>
          <w:sz w:val="14"/>
          <w:szCs w:val="14"/>
          <w:color w:val="auto"/>
        </w:rPr>
        <w:t>, to this Form 10-Q.</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 RISK FACTORS</w:t>
      </w:r>
    </w:p>
    <w:p>
      <w:pPr>
        <w:spacing w:after="0" w:line="136" w:lineRule="exact"/>
        <w:rPr>
          <w:sz w:val="20"/>
          <w:szCs w:val="20"/>
          <w:color w:val="auto"/>
        </w:rPr>
      </w:pPr>
    </w:p>
    <w:p>
      <w:pPr>
        <w:jc w:val="both"/>
        <w:ind w:firstLine="318"/>
        <w:spacing w:after="0" w:line="290" w:lineRule="auto"/>
        <w:rPr>
          <w:sz w:val="20"/>
          <w:szCs w:val="20"/>
          <w:color w:val="auto"/>
        </w:rPr>
      </w:pPr>
      <w:r>
        <w:rPr>
          <w:rFonts w:ascii="Times New Roman" w:cs="Times New Roman" w:eastAsia="Times New Roman" w:hAnsi="Times New Roman"/>
          <w:sz w:val="14"/>
          <w:szCs w:val="14"/>
          <w:color w:val="auto"/>
        </w:rPr>
        <w:t xml:space="preserve">Information regarding risk factors appears in Part I, Item 1A,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xml:space="preserve"> in the Company's 2021 Form 10-K. There have been no material changes in the Company's risk factors since those reported in its 2021 Form 10-K.</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 UNREGISTERED SALES OF EQUITY SECURITIES AND USE OF PROCEEDS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 DEFAULTS UPON SENIOR SECURITIES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 MINE SAFETY DISCLOSURES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 OTHER INFORMATION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Disclosure Pursuant to Item 2.01 of Form 8-K – Completion of Acquisition or Disposition of Assets.</w:t>
      </w:r>
    </w:p>
    <w:p>
      <w:pPr>
        <w:spacing w:after="0" w:line="127"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4"/>
          <w:szCs w:val="14"/>
          <w:color w:val="auto"/>
        </w:rPr>
        <w:t>As previously disclosed, on October 22, 2021, Clearway Energy Operating LLC, a subsidiary of the Company, entered into a Membership Interest Purchase Agreement (the “Purchase Agreement”) to sell the Company’s Thermal Business to KKR. On May 1, 2022, the Company completed the sale of 100% of its interests in the Thermal Business to KKR for net proceeds of approximately $1.46 billion, which excludes approximately $20 million in transaction expenses that were incurred in connection with the disposition and is subject to certain post-closing adjustments.</w:t>
      </w:r>
    </w:p>
    <w:p>
      <w:pPr>
        <w:spacing w:after="0" w:line="9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4"/>
          <w:szCs w:val="14"/>
          <w:color w:val="auto"/>
        </w:rPr>
        <w:t>The foregoing description of the Purchase Agreement is not complete and is qualified in its entirety by reference to the full text of the Purchase Agreement, a copy of which is filed as Exhibit 10.1 to the Company’s Current Report on Form 8-K, filed with the SEC on October 26, 2021, and is incorporated herein by reference.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color w:val="auto"/>
        </w:rPr>
        <w:t>ITEM 6 — EXHIBITS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Method of Filing</w:t>
            </w:r>
          </w:p>
        </w:tc>
        <w:tc>
          <w:tcPr>
            <w:tcW w:w="0" w:type="dxa"/>
            <w:vAlign w:val="bottom"/>
          </w:tcPr>
          <w:p>
            <w:pPr>
              <w:spacing w:after="0"/>
              <w:rPr>
                <w:sz w:val="1"/>
                <w:szCs w:val="1"/>
                <w:color w:val="auto"/>
              </w:rPr>
            </w:pPr>
          </w:p>
        </w:tc>
      </w:tr>
      <w:tr>
        <w:trPr>
          <w:trHeight w:val="142"/>
        </w:trPr>
        <w:tc>
          <w:tcPr>
            <w:tcW w:w="100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10.1†*</w:t>
            </w:r>
          </w:p>
        </w:tc>
        <w:tc>
          <w:tcPr>
            <w:tcW w:w="5820" w:type="dxa"/>
            <w:vAlign w:val="bottom"/>
            <w:gridSpan w:val="15"/>
          </w:tcPr>
          <w:p>
            <w:pPr>
              <w:spacing w:after="0" w:line="143" w:lineRule="exact"/>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First Amendment to Membership Interest Purchase Agreement, dated as of December 17, 2021, by and among</w:t>
              </w:r>
            </w:hyperlink>
          </w:p>
        </w:tc>
        <w:tc>
          <w:tcPr>
            <w:tcW w:w="42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auto"/>
                <w:w w:val="97"/>
              </w:rPr>
              <w:t>Incorporated herein by reference to Exhibit 10.1 to the Company's Current Report</w:t>
            </w: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40" w:type="dxa"/>
            <w:vAlign w:val="bottom"/>
            <w:tcBorders>
              <w:top w:val="single" w:sz="8" w:color="0000FF"/>
            </w:tcBorders>
            <w:gridSpan w:val="13"/>
          </w:tcPr>
          <w:p>
            <w:pPr>
              <w:spacing w:after="0" w:line="129" w:lineRule="exact"/>
              <w:rPr>
                <w:rFonts w:ascii="Times New Roman" w:cs="Times New Roman" w:eastAsia="Times New Roman" w:hAnsi="Times New Roman"/>
                <w:sz w:val="13"/>
                <w:szCs w:val="13"/>
                <w:color w:val="0000FF"/>
              </w:rPr>
            </w:pPr>
            <w:hyperlink r:id="rId81">
              <w:r>
                <w:rPr>
                  <w:rFonts w:ascii="Times New Roman" w:cs="Times New Roman" w:eastAsia="Times New Roman" w:hAnsi="Times New Roman"/>
                  <w:sz w:val="13"/>
                  <w:szCs w:val="13"/>
                  <w:color w:val="0000FF"/>
                </w:rPr>
                <w:t>Lighthouse Renewable Class A LLC, Clearway Renew LLC and Clearway Energy Operating LLC.</w:t>
              </w:r>
            </w:hyperlink>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on Form 8-K filed on January 18, 2022.</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10.2†*</w:t>
            </w:r>
          </w:p>
        </w:tc>
        <w:tc>
          <w:tcPr>
            <w:tcW w:w="5820" w:type="dxa"/>
            <w:vAlign w:val="bottom"/>
            <w:gridSpan w:val="15"/>
          </w:tcPr>
          <w:p>
            <w:pPr>
              <w:spacing w:after="0"/>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First Amendment to Membership Interest Purchase Agreement, dated as of December 29, 2021, by and among</w:t>
              </w:r>
            </w:hyperlink>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7"/>
              </w:rPr>
              <w:t>Incorporated herein by reference to Exhibit 10.2 to the Company's Current Report</w:t>
            </w: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40" w:type="dxa"/>
            <w:vAlign w:val="bottom"/>
            <w:tcBorders>
              <w:top w:val="single" w:sz="8" w:color="0000FF"/>
            </w:tcBorders>
            <w:gridSpan w:val="13"/>
          </w:tcPr>
          <w:p>
            <w:pPr>
              <w:spacing w:after="0" w:line="129" w:lineRule="exact"/>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Lighthouse Renewable Class A LLC and Clearway Renew LLC.</w:t>
              </w:r>
            </w:hyperlink>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6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auto"/>
              </w:rPr>
              <w:t>on Form 8-K filed on January 18, 2022.</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10.3^</w:t>
            </w:r>
          </w:p>
        </w:tc>
        <w:tc>
          <w:tcPr>
            <w:tcW w:w="5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w w:val="97"/>
              </w:rPr>
              <w:t>Clearway Energy, Inc. Amended and Restated 2013 Equity Incentive Plan, effective as of January 1, 2022.</w:t>
            </w:r>
          </w:p>
        </w:tc>
        <w:tc>
          <w:tcPr>
            <w:tcW w:w="380" w:type="dxa"/>
            <w:vAlign w:val="bottom"/>
            <w:gridSpan w:val="4"/>
          </w:tcPr>
          <w:p>
            <w:pPr>
              <w:spacing w:after="0"/>
              <w:rPr>
                <w:sz w:val="14"/>
                <w:szCs w:val="14"/>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82"/>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10.4^</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Clearway Energy, Inc. Annual Incentive Plan, effective as of January 1, 2022.</w:t>
            </w:r>
          </w:p>
        </w:tc>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line="20" w:lineRule="exact"/>
              <w:rPr>
                <w:sz w:val="1"/>
                <w:szCs w:val="1"/>
                <w:color w:val="auto"/>
              </w:rPr>
            </w:pPr>
          </w:p>
        </w:tc>
      </w:tr>
      <w:tr>
        <w:trPr>
          <w:trHeight w:val="160"/>
        </w:trPr>
        <w:tc>
          <w:tcPr>
            <w:tcW w:w="1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10.5^</w:t>
            </w:r>
          </w:p>
        </w:tc>
        <w:tc>
          <w:tcPr>
            <w:tcW w:w="4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3"/>
                <w:szCs w:val="13"/>
                <w:color w:val="0000FF"/>
                <w:w w:val="97"/>
              </w:rPr>
              <w:t>Clearway Energy, Inc. Involuntary Severance Plan, effective as of January 1, 2022.</w:t>
            </w:r>
          </w:p>
        </w:tc>
        <w:tc>
          <w:tcPr>
            <w:tcW w:w="1580" w:type="dxa"/>
            <w:vAlign w:val="bottom"/>
            <w:gridSpan w:val="6"/>
          </w:tcPr>
          <w:p>
            <w:pPr>
              <w:spacing w:after="0"/>
              <w:rPr>
                <w:sz w:val="13"/>
                <w:szCs w:val="13"/>
                <w:color w:val="auto"/>
              </w:rPr>
            </w:pPr>
          </w:p>
        </w:tc>
        <w:tc>
          <w:tcPr>
            <w:tcW w:w="4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10.6^</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w w:val="98"/>
              </w:rPr>
              <w:t>Clearway Energy, Inc. Key Management Change-in-Control and General Severance Plan, effective as of January</w:t>
            </w:r>
          </w:p>
        </w:tc>
        <w:tc>
          <w:tcPr>
            <w:tcW w:w="4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07"/>
        </w:trPr>
        <w:tc>
          <w:tcPr>
            <w:tcW w:w="1000" w:type="dxa"/>
            <w:vAlign w:val="bottom"/>
            <w:gridSpan w:val="2"/>
            <w:vMerge w:val="continue"/>
          </w:tcPr>
          <w:p>
            <w:pPr>
              <w:spacing w:after="0"/>
              <w:rPr>
                <w:sz w:val="9"/>
                <w:szCs w:val="9"/>
                <w:color w:val="auto"/>
              </w:rPr>
            </w:pPr>
          </w:p>
        </w:tc>
        <w:tc>
          <w:tcPr>
            <w:tcW w:w="420" w:type="dxa"/>
            <w:vAlign w:val="bottom"/>
            <w:tcBorders>
              <w:top w:val="single" w:sz="8" w:color="0000FF"/>
              <w:bottom w:val="single" w:sz="8" w:color="0000FF"/>
            </w:tcBorders>
            <w:gridSpan w:val="2"/>
          </w:tcPr>
          <w:p>
            <w:pPr>
              <w:spacing w:after="0" w:line="107" w:lineRule="exact"/>
              <w:rPr>
                <w:sz w:val="20"/>
                <w:szCs w:val="20"/>
                <w:color w:val="auto"/>
              </w:rPr>
            </w:pPr>
            <w:r>
              <w:rPr>
                <w:rFonts w:ascii="Times New Roman" w:cs="Times New Roman" w:eastAsia="Times New Roman" w:hAnsi="Times New Roman"/>
                <w:sz w:val="12"/>
                <w:szCs w:val="12"/>
                <w:color w:val="0000FF"/>
              </w:rPr>
              <w:t>1, 2022.</w:t>
            </w:r>
          </w:p>
        </w:tc>
        <w:tc>
          <w:tcPr>
            <w:tcW w:w="960" w:type="dxa"/>
            <w:vAlign w:val="bottom"/>
            <w:tcBorders>
              <w:top w:val="single" w:sz="8" w:color="0000FF"/>
            </w:tcBorders>
          </w:tcPr>
          <w:p>
            <w:pPr>
              <w:spacing w:after="0"/>
              <w:rPr>
                <w:sz w:val="9"/>
                <w:szCs w:val="9"/>
                <w:color w:val="auto"/>
              </w:rPr>
            </w:pPr>
          </w:p>
        </w:tc>
        <w:tc>
          <w:tcPr>
            <w:tcW w:w="14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8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10.7^</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Clearway Energy, Inc. Executive Change-in-Control and General Severance Plan, effective as of January 1,</w:t>
            </w:r>
          </w:p>
        </w:tc>
        <w:tc>
          <w:tcPr>
            <w:tcW w:w="4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07"/>
        </w:trPr>
        <w:tc>
          <w:tcPr>
            <w:tcW w:w="1000" w:type="dxa"/>
            <w:vAlign w:val="bottom"/>
            <w:gridSpan w:val="2"/>
            <w:vMerge w:val="continue"/>
          </w:tcPr>
          <w:p>
            <w:pPr>
              <w:spacing w:after="0"/>
              <w:rPr>
                <w:sz w:val="9"/>
                <w:szCs w:val="9"/>
                <w:color w:val="auto"/>
              </w:rPr>
            </w:pPr>
          </w:p>
        </w:tc>
        <w:tc>
          <w:tcPr>
            <w:tcW w:w="300" w:type="dxa"/>
            <w:vAlign w:val="bottom"/>
            <w:tcBorders>
              <w:top w:val="single" w:sz="8" w:color="0000FF"/>
              <w:bottom w:val="single" w:sz="8" w:color="0000FF"/>
            </w:tcBorders>
          </w:tcPr>
          <w:p>
            <w:pPr>
              <w:spacing w:after="0" w:line="107" w:lineRule="exact"/>
              <w:rPr>
                <w:sz w:val="20"/>
                <w:szCs w:val="20"/>
                <w:color w:val="auto"/>
              </w:rPr>
            </w:pPr>
            <w:r>
              <w:rPr>
                <w:rFonts w:ascii="Times New Roman" w:cs="Times New Roman" w:eastAsia="Times New Roman" w:hAnsi="Times New Roman"/>
                <w:sz w:val="12"/>
                <w:szCs w:val="12"/>
                <w:color w:val="0000FF"/>
              </w:rPr>
              <w:t>2022.</w:t>
            </w:r>
          </w:p>
        </w:tc>
        <w:tc>
          <w:tcPr>
            <w:tcW w:w="120" w:type="dxa"/>
            <w:vAlign w:val="bottom"/>
            <w:tcBorders>
              <w:top w:val="single" w:sz="8" w:color="0000FF"/>
            </w:tcBorders>
          </w:tcPr>
          <w:p>
            <w:pPr>
              <w:spacing w:after="0"/>
              <w:rPr>
                <w:sz w:val="9"/>
                <w:szCs w:val="9"/>
                <w:color w:val="auto"/>
              </w:rPr>
            </w:pPr>
          </w:p>
        </w:tc>
        <w:tc>
          <w:tcPr>
            <w:tcW w:w="960" w:type="dxa"/>
            <w:vAlign w:val="bottom"/>
            <w:tcBorders>
              <w:top w:val="single" w:sz="8" w:color="0000FF"/>
            </w:tcBorders>
          </w:tcPr>
          <w:p>
            <w:pPr>
              <w:spacing w:after="0"/>
              <w:rPr>
                <w:sz w:val="9"/>
                <w:szCs w:val="9"/>
                <w:color w:val="auto"/>
              </w:rPr>
            </w:pPr>
          </w:p>
        </w:tc>
        <w:tc>
          <w:tcPr>
            <w:tcW w:w="144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66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820" w:type="dxa"/>
            <w:vAlign w:val="bottom"/>
            <w:tcBorders>
              <w:top w:val="single" w:sz="8" w:color="0000FF"/>
            </w:tcBorders>
          </w:tcPr>
          <w:p>
            <w:pPr>
              <w:spacing w:after="0"/>
              <w:rPr>
                <w:sz w:val="9"/>
                <w:szCs w:val="9"/>
                <w:color w:val="auto"/>
              </w:rPr>
            </w:pPr>
          </w:p>
        </w:tc>
        <w:tc>
          <w:tcPr>
            <w:tcW w:w="38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31.1</w:t>
            </w:r>
          </w:p>
        </w:tc>
        <w:tc>
          <w:tcPr>
            <w:tcW w:w="780" w:type="dxa"/>
            <w:vAlign w:val="bottom"/>
          </w:tcPr>
          <w:p>
            <w:pPr>
              <w:spacing w:after="0"/>
              <w:rPr>
                <w:sz w:val="13"/>
                <w:szCs w:val="13"/>
                <w:color w:val="auto"/>
              </w:rPr>
            </w:pPr>
          </w:p>
        </w:tc>
        <w:tc>
          <w:tcPr>
            <w:tcW w:w="32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Christopher S. Sotos.</w:t>
            </w:r>
          </w:p>
        </w:tc>
        <w:tc>
          <w:tcPr>
            <w:tcW w:w="2600" w:type="dxa"/>
            <w:vAlign w:val="bottom"/>
            <w:gridSpan w:val="9"/>
          </w:tcPr>
          <w:p>
            <w:pPr>
              <w:spacing w:after="0"/>
              <w:rPr>
                <w:sz w:val="13"/>
                <w:szCs w:val="13"/>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16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31.2</w:t>
            </w:r>
          </w:p>
        </w:tc>
        <w:tc>
          <w:tcPr>
            <w:tcW w:w="780" w:type="dxa"/>
            <w:vAlign w:val="bottom"/>
          </w:tcPr>
          <w:p>
            <w:pPr>
              <w:spacing w:after="0"/>
              <w:rPr>
                <w:sz w:val="13"/>
                <w:szCs w:val="13"/>
                <w:color w:val="auto"/>
              </w:rPr>
            </w:pP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Rule 13a-14(a)/15d-14(a) certification of Chad Plotkin.</w:t>
            </w:r>
          </w:p>
        </w:tc>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gridSpan w:val="10"/>
          </w:tcPr>
          <w:p>
            <w:pPr>
              <w:spacing w:after="0" w:line="20" w:lineRule="exact"/>
              <w:rPr>
                <w:sz w:val="1"/>
                <w:szCs w:val="1"/>
                <w:color w:val="auto"/>
              </w:rPr>
            </w:pPr>
          </w:p>
        </w:tc>
        <w:tc>
          <w:tcPr>
            <w:tcW w:w="4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Filed herewith.</w:t>
            </w:r>
          </w:p>
        </w:tc>
        <w:tc>
          <w:tcPr>
            <w:tcW w:w="0" w:type="dxa"/>
            <w:vAlign w:val="bottom"/>
          </w:tcPr>
          <w:p>
            <w:pPr>
              <w:spacing w:after="0" w:line="20" w:lineRule="exact"/>
              <w:rPr>
                <w:sz w:val="1"/>
                <w:szCs w:val="1"/>
                <w:color w:val="auto"/>
              </w:rPr>
            </w:pPr>
          </w:p>
        </w:tc>
      </w:tr>
      <w:tr>
        <w:trPr>
          <w:trHeight w:val="16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w w:val="87"/>
              </w:rPr>
              <w:t>31.3</w:t>
            </w:r>
          </w:p>
        </w:tc>
        <w:tc>
          <w:tcPr>
            <w:tcW w:w="780" w:type="dxa"/>
            <w:vAlign w:val="bottom"/>
          </w:tcPr>
          <w:p>
            <w:pPr>
              <w:spacing w:after="0"/>
              <w:rPr>
                <w:sz w:val="13"/>
                <w:szCs w:val="13"/>
                <w:color w:val="auto"/>
              </w:rPr>
            </w:pPr>
          </w:p>
        </w:tc>
        <w:tc>
          <w:tcPr>
            <w:tcW w:w="30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3"/>
                <w:szCs w:val="13"/>
                <w:color w:val="0000FF"/>
                <w:w w:val="97"/>
              </w:rPr>
              <w:t>Rule 13a-14(a)/15d-14(a) certification of Sarah Rubenstein.</w:t>
            </w:r>
          </w:p>
        </w:tc>
        <w:tc>
          <w:tcPr>
            <w:tcW w:w="2760" w:type="dxa"/>
            <w:vAlign w:val="bottom"/>
            <w:gridSpan w:val="10"/>
          </w:tcPr>
          <w:p>
            <w:pPr>
              <w:spacing w:after="0"/>
              <w:rPr>
                <w:sz w:val="13"/>
                <w:szCs w:val="13"/>
                <w:color w:val="auto"/>
              </w:rPr>
            </w:pPr>
          </w:p>
        </w:tc>
        <w:tc>
          <w:tcPr>
            <w:tcW w:w="4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32</w:t>
            </w:r>
          </w:p>
        </w:tc>
        <w:tc>
          <w:tcPr>
            <w:tcW w:w="780" w:type="dxa"/>
            <w:vAlign w:val="bottom"/>
          </w:tcPr>
          <w:p>
            <w:pPr>
              <w:spacing w:after="0"/>
              <w:rPr>
                <w:sz w:val="13"/>
                <w:szCs w:val="13"/>
                <w:color w:val="auto"/>
              </w:rPr>
            </w:pP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Section 1350 Certification.</w:t>
            </w:r>
          </w:p>
        </w:tc>
        <w:tc>
          <w:tcPr>
            <w:tcW w:w="4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Furnished herewith.</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4440" w:type="dxa"/>
            <w:vAlign w:val="bottom"/>
            <w:gridSpan w:val="1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INS</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SCH</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Schema.</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CAL</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DEF</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LAB</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70"/>
        </w:trPr>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80" w:type="dxa"/>
            <w:vAlign w:val="bottom"/>
          </w:tcPr>
          <w:p>
            <w:pPr>
              <w:spacing w:after="0"/>
              <w:rPr>
                <w:sz w:val="20"/>
                <w:szCs w:val="20"/>
                <w:color w:val="auto"/>
              </w:rPr>
            </w:pPr>
            <w:r>
              <w:rPr>
                <w:rFonts w:ascii="Times New Roman" w:cs="Times New Roman" w:eastAsia="Times New Roman" w:hAnsi="Times New Roman"/>
                <w:sz w:val="13"/>
                <w:szCs w:val="13"/>
                <w:color w:val="auto"/>
              </w:rPr>
              <w:t>PRE</w:t>
            </w: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w:t>
            </w:r>
          </w:p>
        </w:tc>
        <w:tc>
          <w:tcPr>
            <w:tcW w:w="42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32"/>
        </w:trPr>
        <w:tc>
          <w:tcPr>
            <w:tcW w:w="220" w:type="dxa"/>
            <w:vAlign w:val="bottom"/>
          </w:tcPr>
          <w:p>
            <w:pPr>
              <w:spacing w:after="0" w:line="132" w:lineRule="exact"/>
              <w:rPr>
                <w:sz w:val="20"/>
                <w:szCs w:val="20"/>
                <w:color w:val="auto"/>
              </w:rPr>
            </w:pPr>
            <w:r>
              <w:rPr>
                <w:rFonts w:ascii="Times New Roman" w:cs="Times New Roman" w:eastAsia="Times New Roman" w:hAnsi="Times New Roman"/>
                <w:sz w:val="13"/>
                <w:szCs w:val="13"/>
                <w:color w:val="auto"/>
              </w:rPr>
              <w:t>104</w:t>
            </w:r>
          </w:p>
        </w:tc>
        <w:tc>
          <w:tcPr>
            <w:tcW w:w="780" w:type="dxa"/>
            <w:vAlign w:val="bottom"/>
          </w:tcPr>
          <w:p>
            <w:pPr>
              <w:spacing w:after="0"/>
              <w:rPr>
                <w:sz w:val="11"/>
                <w:szCs w:val="11"/>
                <w:color w:val="auto"/>
              </w:rPr>
            </w:pPr>
          </w:p>
        </w:tc>
        <w:tc>
          <w:tcPr>
            <w:tcW w:w="5820" w:type="dxa"/>
            <w:vAlign w:val="bottom"/>
            <w:gridSpan w:val="15"/>
          </w:tcPr>
          <w:p>
            <w:pPr>
              <w:spacing w:after="0" w:line="132" w:lineRule="exact"/>
              <w:rPr>
                <w:sz w:val="20"/>
                <w:szCs w:val="20"/>
                <w:color w:val="auto"/>
              </w:rPr>
            </w:pPr>
            <w:r>
              <w:rPr>
                <w:rFonts w:ascii="Times New Roman" w:cs="Times New Roman" w:eastAsia="Times New Roman" w:hAnsi="Times New Roman"/>
                <w:sz w:val="13"/>
                <w:szCs w:val="13"/>
                <w:color w:val="auto"/>
              </w:rPr>
              <w:t>Cover Page Interactive Data File (the cover page interactive data file does not appear in Exhibit 104 because its</w:t>
            </w:r>
          </w:p>
        </w:tc>
        <w:tc>
          <w:tcPr>
            <w:tcW w:w="426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auto"/>
              </w:rPr>
              <w:t>Filed herewith.</w:t>
            </w:r>
          </w:p>
        </w:tc>
        <w:tc>
          <w:tcPr>
            <w:tcW w:w="0" w:type="dxa"/>
            <w:vAlign w:val="bottom"/>
          </w:tcPr>
          <w:p>
            <w:pPr>
              <w:spacing w:after="0"/>
              <w:rPr>
                <w:sz w:val="1"/>
                <w:szCs w:val="1"/>
                <w:color w:val="auto"/>
              </w:rPr>
            </w:pPr>
          </w:p>
        </w:tc>
      </w:tr>
      <w:tr>
        <w:trPr>
          <w:trHeight w:val="165"/>
        </w:trPr>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2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tags are embedded within the Inline XBRL document).</w:t>
            </w:r>
          </w:p>
        </w:tc>
        <w:tc>
          <w:tcPr>
            <w:tcW w:w="4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13" w:lineRule="exact"/>
        <w:rPr>
          <w:sz w:val="20"/>
          <w:szCs w:val="20"/>
          <w:color w:val="auto"/>
        </w:rPr>
      </w:pPr>
    </w:p>
    <w:p>
      <w:pPr>
        <w:ind w:left="1020" w:right="60" w:hanging="594"/>
        <w:spacing w:after="0" w:line="183" w:lineRule="auto"/>
        <w:tabs>
          <w:tab w:leader="none" w:pos="1020" w:val="left"/>
        </w:tabs>
        <w:numPr>
          <w:ilvl w:val="0"/>
          <w:numId w:val="27"/>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3"/>
          <w:szCs w:val="13"/>
          <w:color w:val="auto"/>
        </w:rPr>
        <w:t>Schedules and similar attachments to this Exhibit have been omitted pursuant to Item 601(a)(5) of Regulation S-K. The Company agrees to furnish supplementally a copy of any omitted schedule or exhibit to the U.S. Securities and Exchange Commission (the “SEC”) upon request.</w:t>
      </w:r>
    </w:p>
    <w:p>
      <w:pPr>
        <w:ind w:left="1020"/>
        <w:spacing w:after="0" w:line="194" w:lineRule="auto"/>
        <w:rPr>
          <w:sz w:val="20"/>
          <w:szCs w:val="20"/>
          <w:color w:val="auto"/>
        </w:rPr>
      </w:pPr>
      <w:r>
        <w:rPr>
          <w:rFonts w:ascii="Times New Roman" w:cs="Times New Roman" w:eastAsia="Times New Roman" w:hAnsi="Times New Roman"/>
          <w:sz w:val="14"/>
          <w:szCs w:val="14"/>
          <w:color w:val="auto"/>
        </w:rPr>
        <w:t>Certain portions of this Exhibit have been redacted pursuant to Item 601(b)(10)(iv) of Regulation S-K. The omitted information is (i) not material and (ii) would likely cause</w:t>
      </w:r>
    </w:p>
    <w:p>
      <w:pPr>
        <w:ind w:left="420"/>
        <w:spacing w:after="0" w:line="181" w:lineRule="auto"/>
        <w:rPr>
          <w:sz w:val="20"/>
          <w:szCs w:val="20"/>
          <w:color w:val="auto"/>
        </w:rPr>
      </w:pPr>
      <w:r>
        <w:rPr>
          <w:rFonts w:ascii="Times New Roman" w:cs="Times New Roman" w:eastAsia="Times New Roman" w:hAnsi="Times New Roman"/>
          <w:sz w:val="11"/>
          <w:szCs w:val="11"/>
          <w:color w:val="auto"/>
        </w:rPr>
        <w:t>*</w:t>
      </w:r>
    </w:p>
    <w:p>
      <w:pPr>
        <w:ind w:left="1020"/>
        <w:spacing w:after="0"/>
        <w:rPr>
          <w:sz w:val="20"/>
          <w:szCs w:val="20"/>
          <w:color w:val="auto"/>
        </w:rPr>
      </w:pPr>
      <w:r>
        <w:rPr>
          <w:rFonts w:ascii="Times New Roman" w:cs="Times New Roman" w:eastAsia="Times New Roman" w:hAnsi="Times New Roman"/>
          <w:sz w:val="14"/>
          <w:szCs w:val="14"/>
          <w:color w:val="auto"/>
        </w:rPr>
        <w:t>competitive harm to the Company if publicly disclosed. The Company agrees to furnish supplementally an unredacted copy of this Exhibit to the SEC upon request.</w:t>
      </w:r>
    </w:p>
    <w:p>
      <w:pPr>
        <w:spacing w:after="0" w:line="39" w:lineRule="exact"/>
        <w:rPr>
          <w:sz w:val="20"/>
          <w:szCs w:val="20"/>
          <w:color w:val="auto"/>
        </w:rPr>
      </w:pPr>
    </w:p>
    <w:p>
      <w:pPr>
        <w:ind w:left="1020" w:hanging="589"/>
        <w:spacing w:after="0"/>
        <w:tabs>
          <w:tab w:leader="none" w:pos="1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Indicates exhibits that constitute compensatory plans or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728" w:right="49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w:t>
      </w:r>
    </w:p>
    <w:p>
      <w:pPr>
        <w:sectPr>
          <w:pgSz w:w="11900" w:h="16838" w:orient="portrait"/>
          <w:cols w:equalWidth="0" w:num="1">
            <w:col w:w="11280"/>
          </w:cols>
          <w:pgMar w:left="300" w:top="728" w:right="319" w:bottom="1440" w:gutter="0" w:footer="0" w:header="0"/>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Date: May 5, 2022</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CLEARWAY ENERGY LLC</w:t>
      </w:r>
    </w:p>
    <w:p>
      <w:pPr>
        <w:spacing w:after="0"/>
        <w:rPr>
          <w:sz w:val="20"/>
          <w:szCs w:val="20"/>
          <w:color w:val="auto"/>
        </w:rPr>
      </w:pPr>
      <w:r>
        <w:rPr>
          <w:rFonts w:ascii="Times New Roman" w:cs="Times New Roman" w:eastAsia="Times New Roman" w:hAnsi="Times New Roman"/>
          <w:sz w:val="14"/>
          <w:szCs w:val="14"/>
          <w:color w:val="auto"/>
        </w:rPr>
        <w:t>(Registrant)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79590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279590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79590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79590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Chad Plotkin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79590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795905" cy="698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Senior Vice President and Chief Accounting Officer</w:t>
      </w:r>
    </w:p>
    <w:p>
      <w:pPr>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00" w:lineRule="exact"/>
        <w:rPr>
          <w:sz w:val="20"/>
          <w:szCs w:val="20"/>
          <w:color w:val="auto"/>
        </w:rPr>
      </w:pPr>
    </w:p>
    <w:p>
      <w:pPr>
        <w:sectPr>
          <w:pgSz w:w="11900" w:h="16838" w:orient="portrait"/>
          <w:cols w:equalWidth="0" w:num="2">
            <w:col w:w="6080" w:space="720"/>
            <w:col w:w="4480"/>
          </w:cols>
          <w:pgMar w:left="300" w:top="728"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1280"/>
          </w:cols>
          <w:pgMar w:left="300" w:top="728" w:right="319" w:bottom="1440" w:gutter="0" w:footer="0" w:header="0"/>
          <w:type w:val="continuous"/>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9" w:name="page120"/>
    <w:bookmarkEnd w:id="1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Christopher S. Sotos, certify that:</w:t>
      </w:r>
    </w:p>
    <w:p>
      <w:pPr>
        <w:spacing w:after="0" w:line="274" w:lineRule="exact"/>
        <w:rPr>
          <w:sz w:val="20"/>
          <w:szCs w:val="20"/>
          <w:color w:val="auto"/>
        </w:rPr>
      </w:pPr>
    </w:p>
    <w:p>
      <w:pPr>
        <w:ind w:left="520" w:hanging="515"/>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14605</wp:posOffset>
            </wp:positionV>
            <wp:extent cx="1805305"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1805305" cy="698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color w:val="auto"/>
        </w:rPr>
        <w:t>Christopher S. Sotos</w:t>
      </w:r>
    </w:p>
    <w:p>
      <w:pPr>
        <w:ind w:left="7220"/>
        <w:spacing w:after="0" w:line="205"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72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2022</w:t>
      </w:r>
    </w:p>
    <w:p>
      <w:pPr>
        <w:sectPr>
          <w:pgSz w:w="11900" w:h="16838" w:orient="portrait"/>
          <w:cols w:equalWidth="0" w:num="1">
            <w:col w:w="11280"/>
          </w:cols>
          <w:pgMar w:left="300" w:top="802"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Chad Plotkin, certify that:</w:t>
      </w:r>
    </w:p>
    <w:p>
      <w:pPr>
        <w:spacing w:after="0" w:line="274" w:lineRule="exact"/>
        <w:rPr>
          <w:sz w:val="20"/>
          <w:szCs w:val="20"/>
          <w:color w:val="auto"/>
        </w:rPr>
      </w:pPr>
    </w:p>
    <w:p>
      <w:pPr>
        <w:ind w:left="520" w:hanging="515"/>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14605</wp:posOffset>
            </wp:positionV>
            <wp:extent cx="1886585"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1886585" cy="6985"/>
                    </a:xfrm>
                    <a:prstGeom prst="rect">
                      <a:avLst/>
                    </a:prstGeom>
                    <a:noFill/>
                  </pic:spPr>
                </pic:pic>
              </a:graphicData>
            </a:graphic>
          </wp:anchor>
        </w:drawing>
      </w:r>
    </w:p>
    <w:p>
      <w:pPr>
        <w:spacing w:after="0" w:line="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color w:val="auto"/>
        </w:rPr>
        <w:t>Chad Plotkin</w:t>
      </w:r>
    </w:p>
    <w:p>
      <w:pPr>
        <w:ind w:left="7080"/>
        <w:spacing w:after="0" w:line="205" w:lineRule="auto"/>
        <w:rPr>
          <w:sz w:val="20"/>
          <w:szCs w:val="20"/>
          <w:color w:val="auto"/>
        </w:rPr>
      </w:pPr>
      <w:r>
        <w:rPr>
          <w:rFonts w:ascii="Times New Roman" w:cs="Times New Roman" w:eastAsia="Times New Roman" w:hAnsi="Times New Roman"/>
          <w:sz w:val="14"/>
          <w:szCs w:val="14"/>
          <w:i w:val="1"/>
          <w:iCs w:val="1"/>
          <w:color w:val="auto"/>
        </w:rPr>
        <w:t>Executive Vice President and Chief Financial</w:t>
      </w:r>
    </w:p>
    <w:p>
      <w:pPr>
        <w:ind w:left="7080"/>
        <w:spacing w:after="0" w:line="222" w:lineRule="auto"/>
        <w:rPr>
          <w:sz w:val="20"/>
          <w:szCs w:val="20"/>
          <w:color w:val="auto"/>
        </w:rPr>
      </w:pPr>
      <w:r>
        <w:rPr>
          <w:rFonts w:ascii="Times New Roman" w:cs="Times New Roman" w:eastAsia="Times New Roman" w:hAnsi="Times New Roman"/>
          <w:sz w:val="14"/>
          <w:szCs w:val="14"/>
          <w:i w:val="1"/>
          <w:iCs w:val="1"/>
          <w:color w:val="auto"/>
        </w:rPr>
        <w:t>Officer</w:t>
      </w:r>
    </w:p>
    <w:p>
      <w:pPr>
        <w:ind w:left="70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2022</w:t>
      </w:r>
    </w:p>
    <w:p>
      <w:pPr>
        <w:sectPr>
          <w:pgSz w:w="11900" w:h="16838" w:orient="portrait"/>
          <w:cols w:equalWidth="0" w:num="1">
            <w:col w:w="11280"/>
          </w:cols>
          <w:pgMar w:left="300" w:top="802"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4"/>
          <w:szCs w:val="14"/>
          <w:b w:val="1"/>
          <w:bCs w:val="1"/>
          <w:color w:val="auto"/>
        </w:rPr>
        <w:t>EXHIBIT 31.3</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Sarah Rubenstein, certify that:</w:t>
      </w:r>
    </w:p>
    <w:p>
      <w:pPr>
        <w:spacing w:after="0" w:line="274" w:lineRule="exact"/>
        <w:rPr>
          <w:sz w:val="20"/>
          <w:szCs w:val="20"/>
          <w:color w:val="auto"/>
        </w:rPr>
      </w:pPr>
    </w:p>
    <w:p>
      <w:pPr>
        <w:ind w:left="520" w:hanging="515"/>
        <w:spacing w:after="0"/>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Clearway Energy LLC;</w:t>
      </w:r>
    </w:p>
    <w:p>
      <w:pPr>
        <w:spacing w:after="0" w:line="178"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8"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3" w:lineRule="exact"/>
        <w:rPr>
          <w:rFonts w:ascii="Times New Roman" w:cs="Times New Roman" w:eastAsia="Times New Roman" w:hAnsi="Times New Roman"/>
          <w:sz w:val="14"/>
          <w:szCs w:val="14"/>
          <w:color w:val="auto"/>
        </w:rPr>
      </w:pPr>
    </w:p>
    <w:p>
      <w:pPr>
        <w:jc w:val="both"/>
        <w:ind w:left="1020" w:hanging="506"/>
        <w:spacing w:after="0" w:line="280" w:lineRule="auto"/>
        <w:tabs>
          <w:tab w:leader="none" w:pos="1015"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3"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5"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1020" w:hanging="506"/>
        <w:spacing w:after="0" w:line="287" w:lineRule="auto"/>
        <w:tabs>
          <w:tab w:leader="none" w:pos="1018"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14605</wp:posOffset>
            </wp:positionV>
            <wp:extent cx="172466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1724660" cy="6985"/>
                    </a:xfrm>
                    <a:prstGeom prst="rect">
                      <a:avLst/>
                    </a:prstGeom>
                    <a:noFill/>
                  </pic:spPr>
                </pic:pic>
              </a:graphicData>
            </a:graphic>
          </wp:anchor>
        </w:drawing>
      </w:r>
    </w:p>
    <w:p>
      <w:pPr>
        <w:spacing w:after="0" w:line="3"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color w:val="auto"/>
        </w:rPr>
        <w:t>Sarah Rubenstein</w:t>
      </w:r>
    </w:p>
    <w:p>
      <w:pPr>
        <w:ind w:left="7500"/>
        <w:spacing w:after="0" w:line="221" w:lineRule="auto"/>
        <w:rPr>
          <w:sz w:val="20"/>
          <w:szCs w:val="20"/>
          <w:color w:val="auto"/>
        </w:rPr>
      </w:pPr>
      <w:r>
        <w:rPr>
          <w:rFonts w:ascii="Times New Roman" w:cs="Times New Roman" w:eastAsia="Times New Roman" w:hAnsi="Times New Roman"/>
          <w:sz w:val="14"/>
          <w:szCs w:val="14"/>
          <w:i w:val="1"/>
          <w:iCs w:val="1"/>
          <w:color w:val="auto"/>
        </w:rPr>
        <w:t>Senior Vice President and Chief Accounting</w:t>
      </w:r>
    </w:p>
    <w:p>
      <w:pPr>
        <w:ind w:left="7500"/>
        <w:spacing w:after="0" w:line="206" w:lineRule="auto"/>
        <w:rPr>
          <w:sz w:val="20"/>
          <w:szCs w:val="20"/>
          <w:color w:val="auto"/>
        </w:rPr>
      </w:pPr>
      <w:r>
        <w:rPr>
          <w:rFonts w:ascii="Times New Roman" w:cs="Times New Roman" w:eastAsia="Times New Roman" w:hAnsi="Times New Roman"/>
          <w:sz w:val="14"/>
          <w:szCs w:val="14"/>
          <w:i w:val="1"/>
          <w:iCs w:val="1"/>
          <w:color w:val="auto"/>
        </w:rPr>
        <w:t>Officer</w:t>
      </w:r>
    </w:p>
    <w:p>
      <w:pPr>
        <w:ind w:left="750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2022</w:t>
      </w:r>
    </w:p>
    <w:p>
      <w:pPr>
        <w:sectPr>
          <w:pgSz w:w="11900" w:h="16838" w:orient="portrait"/>
          <w:cols w:equalWidth="0" w:num="1">
            <w:col w:w="11280"/>
          </w:cols>
          <w:pgMar w:left="300" w:top="727"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4"/>
          <w:szCs w:val="14"/>
          <w:b w:val="1"/>
          <w:bCs w:val="1"/>
          <w:color w:val="auto"/>
        </w:rPr>
        <w:t>EXHIBIT 32</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85"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of Clearway Energy LLC on Form 10-Q for the quarter ended March 31, 2022,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8" w:lineRule="exact"/>
        <w:rPr>
          <w:sz w:val="20"/>
          <w:szCs w:val="20"/>
          <w:color w:val="auto"/>
        </w:rPr>
      </w:pPr>
    </w:p>
    <w:p>
      <w:pPr>
        <w:ind w:left="500" w:hanging="240"/>
        <w:spacing w:after="0"/>
        <w:tabs>
          <w:tab w:leader="none" w:pos="5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 10-Q fully complies with the requirements of Section 13(a) or 15(d) of the Securities Exchange Act of 1934; and</w:t>
      </w:r>
    </w:p>
    <w:p>
      <w:pPr>
        <w:spacing w:after="0" w:line="51" w:lineRule="exact"/>
        <w:rPr>
          <w:rFonts w:ascii="Times New Roman" w:cs="Times New Roman" w:eastAsia="Times New Roman" w:hAnsi="Times New Roman"/>
          <w:sz w:val="14"/>
          <w:szCs w:val="14"/>
          <w:color w:val="auto"/>
        </w:rPr>
      </w:pPr>
    </w:p>
    <w:p>
      <w:pPr>
        <w:ind w:left="520" w:hanging="260"/>
        <w:spacing w:after="0" w:line="287" w:lineRule="auto"/>
        <w:tabs>
          <w:tab w:leader="none" w:pos="515"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Form 10-Q fairly presents, in all material respects, the financial condition and results of operations of the Company as of the dates and for the periods expressed in the Form 10-Q.</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May 5, 2022</w:t>
      </w:r>
    </w:p>
    <w:p>
      <w:pPr>
        <w:spacing w:after="0" w:line="8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Christopher S. Sotos</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37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Chad Plotkin</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Executive Vice President and Chief Financial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p>
      <w:pPr>
        <w:spacing w:after="0" w:line="37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14605</wp:posOffset>
            </wp:positionV>
            <wp:extent cx="309245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3092450" cy="6985"/>
                    </a:xfrm>
                    <a:prstGeom prst="rect">
                      <a:avLst/>
                    </a:prstGeom>
                    <a:noFill/>
                  </pic:spPr>
                </pic:pic>
              </a:graphicData>
            </a:graphic>
          </wp:anchor>
        </w:drawing>
      </w:r>
    </w:p>
    <w:p>
      <w:pPr>
        <w:spacing w:after="0" w:line="1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Sarah Rubenstein</w:t>
      </w:r>
    </w:p>
    <w:p>
      <w:pPr>
        <w:spacing w:after="0" w:line="1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i w:val="1"/>
          <w:iCs w:val="1"/>
          <w:color w:val="auto"/>
        </w:rPr>
        <w:t>Senior Vice President and Chief Accounting Officer</w:t>
      </w:r>
    </w:p>
    <w:p>
      <w:pPr>
        <w:ind w:left="58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foregoing certification is being furnished solely pursuant to 18 U.S.C. Section 1350 and is not being filed as part of this Form 10-Q or as a separate disclosure document.</w:t>
      </w:r>
    </w:p>
    <w:p>
      <w:pPr>
        <w:spacing w:after="0" w:line="51"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lowerLetter"/>
      <w:start w:val="1"/>
    </w:lvl>
  </w:abstractNum>
  <w:abstractNum w:abstractNumId="4">
    <w:nsid w:val="3F2DBA31"/>
    <w:multiLevelType w:val="hybridMultilevel"/>
    <w:lvl w:ilvl="0">
      <w:lvlJc w:val="left"/>
      <w:lvlText w:val="(%1)"/>
      <w:numFmt w:val="lowerLetter"/>
      <w:start w:val="1"/>
    </w:lvl>
  </w:abstractNum>
  <w:abstractNum w:abstractNumId="5">
    <w:nsid w:val="7C83E458"/>
    <w:multiLevelType w:val="hybridMultilevel"/>
    <w:lvl w:ilvl="0">
      <w:lvlJc w:val="left"/>
      <w:lvlText w:val="(%1)"/>
      <w:numFmt w:val="lowerLetter"/>
      <w:start w:val="1"/>
    </w:lvl>
  </w:abstractNum>
  <w:abstractNum w:abstractNumId="6">
    <w:nsid w:val="257130A3"/>
    <w:multiLevelType w:val="hybridMultilevel"/>
    <w:lvl w:ilvl="0">
      <w:lvlJc w:val="left"/>
      <w:lvlText w:val="(%1)"/>
      <w:numFmt w:val="lowerLetter"/>
      <w:start w:val="1"/>
    </w:lvl>
  </w:abstractNum>
  <w:abstractNum w:abstractNumId="7">
    <w:nsid w:val="62BBD95A"/>
    <w:multiLevelType w:val="hybridMultilevel"/>
    <w:lvl w:ilvl="0">
      <w:lvlJc w:val="left"/>
      <w:lvlText w:val="(%1)"/>
      <w:numFmt w:val="lowerLetter"/>
      <w:start w:val="3"/>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1)"/>
      <w:numFmt w:val="lowerLetter"/>
      <w:start w:val="1"/>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lowerLetter"/>
      <w:start w:val="26"/>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lowerLetter"/>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81" Type="http://schemas.openxmlformats.org/officeDocument/2006/relationships/hyperlink" Target="https://www.sec.gov/Archives/edgar/data/1567683/000110465922004681/tm222995d1_ex10-1.htm" TargetMode="External"/><Relationship Id="rId82" Type="http://schemas.openxmlformats.org/officeDocument/2006/relationships/hyperlink" Target="https://www.sec.gov/Archives/edgar/data/1567683/000110465922004681/tm222995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2022-05-05T10:47:28Z</dcterms:created>
  <dcterms:modified xsi:type="dcterms:W3CDTF">2022-05-05T10:47:28Z</dcterms:modified>
</cp:coreProperties>
</file>