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298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7"/>
            <w:vMerge w:val="continue"/>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13"/>
                <w:szCs w:val="13"/>
                <w:color w:val="auto"/>
              </w:rPr>
            </w:pPr>
          </w:p>
        </w:tc>
        <w:tc>
          <w:tcPr>
            <w:tcW w:w="1680" w:type="dxa"/>
            <w:vAlign w:val="bottom"/>
            <w:gridSpan w:val="6"/>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6"/>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9"/>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60" w:type="dxa"/>
            <w:vAlign w:val="bottom"/>
            <w:gridSpan w:val="6"/>
          </w:tcPr>
          <w:p>
            <w:pPr>
              <w:ind w:left="80"/>
              <w:spacing w:after="0"/>
              <w:rPr>
                <w:sz w:val="20"/>
                <w:szCs w:val="20"/>
                <w:color w:val="auto"/>
              </w:rPr>
            </w:pPr>
            <w:r>
              <w:rPr>
                <w:rFonts w:ascii="Arial" w:cs="Arial" w:eastAsia="Arial" w:hAnsi="Arial"/>
                <w:sz w:val="17"/>
                <w:szCs w:val="17"/>
                <w:color w:val="0000FF"/>
              </w:rPr>
              <w:t>05/01/2020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80" w:type="dxa"/>
            <w:vAlign w:val="bottom"/>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tcPr>
          <w:p>
            <w:pPr>
              <w:ind w:left="14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60" w:type="dxa"/>
            <w:vAlign w:val="bottom"/>
            <w:gridSpan w:val="9"/>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24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20" w:type="dxa"/>
            <w:vAlign w:val="bottom"/>
            <w:gridSpan w:val="4"/>
            <w:vMerge w:val="restart"/>
          </w:tcPr>
          <w:p>
            <w:pPr>
              <w:ind w:left="720"/>
              <w:spacing w:after="0"/>
              <w:rPr>
                <w:sz w:val="20"/>
                <w:szCs w:val="20"/>
                <w:color w:val="auto"/>
              </w:rPr>
            </w:pPr>
            <w:r>
              <w:rPr>
                <w:rFonts w:ascii="Arial" w:cs="Arial" w:eastAsia="Arial" w:hAnsi="Arial"/>
                <w:sz w:val="17"/>
                <w:szCs w:val="17"/>
                <w:color w:val="0000FF"/>
              </w:rPr>
              <w:t>05/01/2020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5,560</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340" w:type="dxa"/>
            <w:vAlign w:val="bottom"/>
            <w:vMerge w:val="restart"/>
          </w:tcPr>
          <w:p>
            <w:pPr>
              <w:ind w:left="18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13,724</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8"/>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Global Infrastructure GP III, L.P.</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8"/>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GIP III Zephyr Acquisition Partners L.P.</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-7005320</wp:posOffset>
            </wp:positionV>
            <wp:extent cx="703135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1355" cy="754761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1345 AVENUE OF THE AMERICAS, 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143510</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80" w:type="dxa"/>
            <w:vAlign w:val="bottom"/>
            <w:gridSpan w:val="2"/>
          </w:tcPr>
          <w:p>
            <w:pPr>
              <w:spacing w:after="0"/>
              <w:rPr>
                <w:rFonts w:ascii="Arial" w:cs="Arial" w:eastAsia="Arial" w:hAnsi="Arial"/>
                <w:sz w:val="21"/>
                <w:szCs w:val="21"/>
                <w:u w:val="single" w:color="auto"/>
                <w:color w:val="0000EE"/>
                <w:w w:val="99"/>
              </w:rPr>
            </w:pPr>
            <w:hyperlink r:id="rId19">
              <w:r>
                <w:rPr>
                  <w:rFonts w:ascii="Arial" w:cs="Arial" w:eastAsia="Arial" w:hAnsi="Arial"/>
                  <w:sz w:val="21"/>
                  <w:szCs w:val="21"/>
                  <w:u w:val="single" w:color="auto"/>
                  <w:color w:val="0000EE"/>
                  <w:w w:val="99"/>
                </w:rPr>
                <w:t>Clearway Energy Group LLC</w:t>
              </w:r>
            </w:hyperlink>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-1141730</wp:posOffset>
            </wp:positionV>
            <wp:extent cx="2783840" cy="21577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783840" cy="215773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of its employees.</w:t>
      </w:r>
    </w:p>
    <w:p>
      <w:pPr>
        <w:spacing w:after="0" w:line="1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31"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05/05/2020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05/05/2020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05/05/2020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05/05/2020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13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9"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2020-05-05T20:42:33Z</dcterms:created>
  <dcterms:modified xsi:type="dcterms:W3CDTF">2020-05-05T20:42:33Z</dcterms:modified>
</cp:coreProperties>
</file>