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16" w:lineRule="exact"/>
        <w:rPr>
          <w:sz w:val="24"/>
          <w:szCs w:val="24"/>
          <w:color w:val="auto"/>
        </w:rPr>
      </w:pPr>
    </w:p>
    <w:p>
      <w:pPr>
        <w:ind w:right="2199"/>
        <w:spacing w:after="0" w:line="253"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2020 ANNUAL MEETING OF STOCKHOLDERS PROXY STATEMENT TABLE OF CONTENTS</w:t>
        </w:r>
      </w:hyperlink>
      <w:r>
        <w:rPr>
          <w:rFonts w:ascii="Arial" w:cs="Arial" w:eastAsia="Arial" w:hAnsi="Arial"/>
          <w:sz w:val="19"/>
          <w:szCs w:val="19"/>
          <w:u w:val="single" w:color="auto"/>
          <w:color w:val="0000EE"/>
        </w:rPr>
        <w:t xml:space="preserve"> </w:t>
      </w:r>
      <w:hyperlink w:anchor="page48">
        <w:r>
          <w:rPr>
            <w:rFonts w:ascii="Arial" w:cs="Arial" w:eastAsia="Arial" w:hAnsi="Arial"/>
            <w:sz w:val="19"/>
            <w:szCs w:val="19"/>
            <w:u w:val="single" w:color="auto"/>
            <w:color w:val="0000EE"/>
          </w:rPr>
          <w:t>TABLE OF CONTENTS</w:t>
        </w:r>
      </w:hyperlink>
    </w:p>
    <w:p>
      <w:pPr>
        <w:spacing w:after="0" w:line="165"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83"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139"/>
          </w:cols>
          <w:pgMar w:left="320" w:top="630" w:right="1440" w:bottom="1440" w:gutter="0" w:footer="0" w:header="0"/>
        </w:sectPr>
      </w:pP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Proxy Statement Pursuant to Section 14(a) of</w:t>
      </w:r>
    </w:p>
    <w:p>
      <w:pPr>
        <w:spacing w:after="0" w:line="40"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77" w:lineRule="exact"/>
        <w:rPr>
          <w:sz w:val="20"/>
          <w:szCs w:val="20"/>
          <w:color w:val="auto"/>
        </w:rPr>
      </w:pPr>
    </w:p>
    <w:p>
      <w:pPr>
        <w:sectPr>
          <w:pgSz w:w="11900" w:h="16838" w:orient="portrait"/>
          <w:cols w:equalWidth="0" w:num="2">
            <w:col w:w="7120" w:space="400"/>
            <w:col w:w="2619"/>
          </w:cols>
          <w:pgMar w:left="320" w:top="630" w:right="1440" w:bottom="1440" w:gutter="0" w:footer="0" w:header="0"/>
          <w:type w:val="continuous"/>
        </w:sectPr>
      </w:pPr>
    </w:p>
    <w:p>
      <w:pPr>
        <w:ind w:left="11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5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Filed by a Party other than the Registrant o</w:t>
      </w:r>
    </w:p>
    <w:p>
      <w:pPr>
        <w:spacing w:after="0" w:line="22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139"/>
          </w:cols>
          <w:pgMar w:left="320" w:top="630" w:right="1440" w:bottom="1440" w:gutter="0" w:footer="0" w:header="0"/>
          <w:type w:val="continuous"/>
        </w:sectPr>
      </w:pP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0"/>
          <w:szCs w:val="20"/>
          <w:color w:val="auto"/>
        </w:rPr>
      </w:pPr>
    </w:p>
    <w:p>
      <w:pPr>
        <w:sectPr>
          <w:pgSz w:w="11900" w:h="16838" w:orient="portrait"/>
          <w:cols w:equalWidth="0" w:num="2">
            <w:col w:w="1200" w:space="280"/>
            <w:col w:w="8659"/>
          </w:cols>
          <w:pgMar w:left="320" w:top="630" w:right="1440" w:bottom="1440" w:gutter="0" w:footer="0" w:header="0"/>
          <w:type w:val="continuous"/>
        </w:sectPr>
      </w:pPr>
    </w:p>
    <w:p>
      <w:pPr>
        <w:spacing w:after="0" w:line="52"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0"/>
          <w:szCs w:val="20"/>
          <w:color w:val="auto"/>
        </w:rPr>
      </w:pPr>
    </w:p>
    <w:p>
      <w:pPr>
        <w:sectPr>
          <w:pgSz w:w="11900" w:h="16838" w:orient="portrait"/>
          <w:cols w:equalWidth="0" w:num="2">
            <w:col w:w="1200" w:space="280"/>
            <w:col w:w="8659"/>
          </w:cols>
          <w:pgMar w:left="320" w:top="630" w:right="1440" w:bottom="1440" w:gutter="0" w:footer="0" w:header="0"/>
          <w:type w:val="continuous"/>
        </w:sectPr>
      </w:pPr>
    </w:p>
    <w:p>
      <w:pPr>
        <w:spacing w:after="0" w:line="24" w:lineRule="exact"/>
        <w:rPr>
          <w:sz w:val="20"/>
          <w:szCs w:val="20"/>
          <w:color w:val="auto"/>
        </w:rPr>
      </w:pPr>
    </w:p>
    <w:p>
      <w:pPr>
        <w:ind w:left="11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0"/>
          <w:szCs w:val="20"/>
          <w:color w:val="auto"/>
        </w:rPr>
      </w:pPr>
    </w:p>
    <w:p>
      <w:pPr>
        <w:sectPr>
          <w:pgSz w:w="11900" w:h="16838" w:orient="portrait"/>
          <w:cols w:equalWidth="0" w:num="2">
            <w:col w:w="1260" w:space="220"/>
            <w:col w:w="8659"/>
          </w:cols>
          <w:pgMar w:left="320" w:top="630" w:right="1440" w:bottom="1440" w:gutter="0" w:footer="0" w:header="0"/>
          <w:type w:val="continuous"/>
        </w:sectPr>
      </w:pPr>
    </w:p>
    <w:p>
      <w:pPr>
        <w:spacing w:after="0" w:line="52" w:lineRule="exact"/>
        <w:rPr>
          <w:sz w:val="20"/>
          <w:szCs w:val="20"/>
          <w:color w:val="auto"/>
        </w:rPr>
      </w:pPr>
    </w:p>
    <w:p>
      <w:pPr>
        <w:ind w:left="1480" w:hanging="354"/>
        <w:spacing w:after="0"/>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228" w:lineRule="exact"/>
        <w:rPr>
          <w:rFonts w:ascii="Arial" w:cs="Arial" w:eastAsia="Arial" w:hAnsi="Arial"/>
          <w:sz w:val="16"/>
          <w:szCs w:val="16"/>
          <w:color w:val="auto"/>
        </w:rPr>
      </w:pPr>
    </w:p>
    <w:p>
      <w:pPr>
        <w:ind w:left="1480" w:hanging="354"/>
        <w:spacing w:after="0"/>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200" w:lineRule="exact"/>
        <w:rPr>
          <w:sz w:val="20"/>
          <w:szCs w:val="20"/>
          <w:color w:val="auto"/>
        </w:rPr>
      </w:pP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68580</wp:posOffset>
            </wp:positionV>
            <wp:extent cx="57277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27700" cy="7620"/>
                    </a:xfrm>
                    <a:prstGeom prst="rect">
                      <a:avLst/>
                    </a:prstGeom>
                    <a:noFill/>
                  </pic:spPr>
                </pic:pic>
              </a:graphicData>
            </a:graphic>
          </wp:anchor>
        </w:drawing>
      </w:r>
    </w:p>
    <w:p>
      <w:pPr>
        <w:spacing w:after="0" w:line="164"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328295</wp:posOffset>
            </wp:positionV>
            <wp:extent cx="5727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27700" cy="76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Payment of Filing Fee (Check the appropriate box):</w:t>
      </w:r>
    </w:p>
    <w:p>
      <w:pPr>
        <w:spacing w:after="0" w:line="229" w:lineRule="exact"/>
        <w:rPr>
          <w:sz w:val="20"/>
          <w:szCs w:val="20"/>
          <w:color w:val="auto"/>
        </w:rPr>
      </w:pPr>
    </w:p>
    <w:p>
      <w:pPr>
        <w:ind w:left="1480" w:hanging="354"/>
        <w:spacing w:after="0"/>
        <w:tabs>
          <w:tab w:leader="none" w:pos="1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29" w:lineRule="exact"/>
        <w:rPr>
          <w:sz w:val="20"/>
          <w:szCs w:val="20"/>
          <w:color w:val="auto"/>
        </w:rPr>
      </w:pPr>
    </w:p>
    <w:p>
      <w:pPr>
        <w:ind w:left="1480" w:hanging="354"/>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6"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34"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0" w:lineRule="exact"/>
        <w:rPr>
          <w:rFonts w:ascii="Arial" w:cs="Arial" w:eastAsia="Arial" w:hAnsi="Arial"/>
          <w:sz w:val="16"/>
          <w:szCs w:val="16"/>
          <w:color w:val="auto"/>
        </w:rPr>
      </w:pPr>
    </w:p>
    <w:p>
      <w:pPr>
        <w:ind w:left="1860" w:right="319" w:hanging="382"/>
        <w:spacing w:after="0" w:line="275" w:lineRule="auto"/>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0"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1480" w:hanging="354"/>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28" w:lineRule="exact"/>
        <w:rPr>
          <w:rFonts w:ascii="Arial" w:cs="Arial" w:eastAsia="Arial" w:hAnsi="Arial"/>
          <w:sz w:val="16"/>
          <w:szCs w:val="16"/>
          <w:color w:val="auto"/>
        </w:rPr>
      </w:pPr>
    </w:p>
    <w:p>
      <w:pPr>
        <w:ind w:left="1480" w:right="39" w:hanging="354"/>
        <w:spacing w:after="0" w:line="348" w:lineRule="auto"/>
        <w:tabs>
          <w:tab w:leader="none" w:pos="1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0" w:lineRule="exact"/>
        <w:rPr>
          <w:rFonts w:ascii="Arial" w:cs="Arial" w:eastAsia="Arial" w:hAnsi="Arial"/>
          <w:sz w:val="14"/>
          <w:szCs w:val="14"/>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0"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0"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0"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715137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-2916555</wp:posOffset>
            </wp:positionV>
            <wp:extent cx="52419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-2646680</wp:posOffset>
            </wp:positionV>
            <wp:extent cx="5241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-2253615</wp:posOffset>
            </wp:positionV>
            <wp:extent cx="5241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-1983740</wp:posOffset>
            </wp:positionV>
            <wp:extent cx="5241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-1713865</wp:posOffset>
            </wp:positionV>
            <wp:extent cx="52419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-657860</wp:posOffset>
            </wp:positionV>
            <wp:extent cx="52419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-387985</wp:posOffset>
            </wp:positionV>
            <wp:extent cx="5241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-118110</wp:posOffset>
            </wp:positionV>
            <wp:extent cx="52419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151130</wp:posOffset>
            </wp:positionV>
            <wp:extent cx="52419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41925" cy="7620"/>
                    </a:xfrm>
                    <a:prstGeom prst="rect">
                      <a:avLst/>
                    </a:prstGeom>
                    <a:noFill/>
                  </pic:spPr>
                </pic:pic>
              </a:graphicData>
            </a:graphic>
          </wp:anchor>
        </w:drawing>
      </w:r>
    </w:p>
    <w:p>
      <w:pPr>
        <w:sectPr>
          <w:pgSz w:w="11900" w:h="16838" w:orient="portrait"/>
          <w:cols w:equalWidth="0" w:num="1">
            <w:col w:w="10139"/>
          </w:cols>
          <w:pgMar w:left="320" w:top="630" w:right="1440"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151370" cy="7009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1370" cy="700976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135255</wp:posOffset>
            </wp:positionV>
            <wp:extent cx="1919605" cy="424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9605" cy="42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17, 2020</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04" w:lineRule="exact"/>
        <w:rPr>
          <w:sz w:val="20"/>
          <w:szCs w:val="20"/>
          <w:color w:val="auto"/>
        </w:rPr>
      </w:pPr>
    </w:p>
    <w:p>
      <w:pPr>
        <w:ind w:right="120" w:firstLine="313"/>
        <w:spacing w:after="0" w:line="264" w:lineRule="auto"/>
        <w:rPr>
          <w:sz w:val="20"/>
          <w:szCs w:val="20"/>
          <w:color w:val="auto"/>
        </w:rPr>
      </w:pPr>
      <w:r>
        <w:rPr>
          <w:rFonts w:ascii="Arial" w:cs="Arial" w:eastAsia="Arial" w:hAnsi="Arial"/>
          <w:sz w:val="16"/>
          <w:szCs w:val="16"/>
          <w:color w:val="auto"/>
        </w:rPr>
        <w:t>We are pleased to invite you to attend Clearway Energy, Inc.'s Annual Meeting of Stockholders, which will be held at 9 a.m., Eastern Time, on Thursday, April 30, 2020, at the Hyatt Regency Princeton, located at 102 Carnegie Center, Princeton, New Jersey 08540. Details regarding admission to the meeting and the business to be conducted are more fully described in the accompanying Notice of Annual Meeting of Stockholders and Proxy Statement.</w:t>
      </w:r>
    </w:p>
    <w:p>
      <w:pPr>
        <w:spacing w:after="0" w:line="170" w:lineRule="exact"/>
        <w:rPr>
          <w:sz w:val="20"/>
          <w:szCs w:val="20"/>
          <w:color w:val="auto"/>
        </w:rPr>
      </w:pPr>
    </w:p>
    <w:p>
      <w:pPr>
        <w:ind w:right="120" w:firstLine="313"/>
        <w:spacing w:after="0" w:line="260" w:lineRule="auto"/>
        <w:rPr>
          <w:sz w:val="20"/>
          <w:szCs w:val="20"/>
          <w:color w:val="auto"/>
        </w:rPr>
      </w:pPr>
      <w:r>
        <w:rPr>
          <w:rFonts w:ascii="Arial" w:cs="Arial" w:eastAsia="Arial" w:hAnsi="Arial"/>
          <w:sz w:val="16"/>
          <w:szCs w:val="16"/>
          <w:color w:val="auto"/>
        </w:rPr>
        <w:t>We intend to hold our annual meeting in person. However, we are actively monitoring the public health and travel concerns of our stockholders and employees in light of COVID-19 (Coronavirus), as well as the related protocols that federal, state and local governments may impose. As part of our precautions, we are considering the possibility of changing the location of the annual meeting and/or holding a virtual meeting by means of remote communication. We will announce any alternative arrangements for the annual meeting as promptly as practicable.</w:t>
      </w:r>
    </w:p>
    <w:p>
      <w:pPr>
        <w:spacing w:after="0" w:line="174" w:lineRule="exact"/>
        <w:rPr>
          <w:sz w:val="20"/>
          <w:szCs w:val="20"/>
          <w:color w:val="auto"/>
        </w:rPr>
      </w:pPr>
    </w:p>
    <w:p>
      <w:pPr>
        <w:ind w:right="200" w:firstLine="310"/>
        <w:spacing w:after="0" w:line="275" w:lineRule="auto"/>
        <w:rPr>
          <w:sz w:val="20"/>
          <w:szCs w:val="20"/>
          <w:color w:val="auto"/>
        </w:rPr>
      </w:pPr>
      <w:r>
        <w:rPr>
          <w:rFonts w:ascii="Arial" w:cs="Arial" w:eastAsia="Arial" w:hAnsi="Arial"/>
          <w:sz w:val="16"/>
          <w:szCs w:val="16"/>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61" w:lineRule="exact"/>
        <w:rPr>
          <w:sz w:val="20"/>
          <w:szCs w:val="20"/>
          <w:color w:val="auto"/>
        </w:rPr>
      </w:pPr>
    </w:p>
    <w:p>
      <w:pPr>
        <w:ind w:right="100" w:firstLine="316"/>
        <w:spacing w:after="0" w:line="275" w:lineRule="auto"/>
        <w:rPr>
          <w:sz w:val="20"/>
          <w:szCs w:val="20"/>
          <w:color w:val="auto"/>
        </w:rPr>
      </w:pPr>
      <w:r>
        <w:rPr>
          <w:rFonts w:ascii="Arial" w:cs="Arial" w:eastAsia="Arial" w:hAnsi="Arial"/>
          <w:sz w:val="16"/>
          <w:szCs w:val="16"/>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 (toll free).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1179195" cy="577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9195" cy="57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Jonathan Bram</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PROXY STATEMENT AND PROXY CARD ARE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BEING DISTRIBUTED ON OR ABOUT MARCH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151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3" w:name="page4"/>
    <w:bookmarkEnd w:id="3"/>
    <w:p>
      <w:pPr>
        <w:ind w:left="3"/>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jc w:val="center"/>
        <w:ind w:right="37"/>
        <w:spacing w:after="0"/>
        <w:rPr>
          <w:sz w:val="20"/>
          <w:szCs w:val="20"/>
          <w:color w:val="auto"/>
        </w:rPr>
      </w:pPr>
      <w:r>
        <w:rPr>
          <w:rFonts w:ascii="Arial" w:cs="Arial" w:eastAsia="Arial" w:hAnsi="Arial"/>
          <w:sz w:val="22"/>
          <w:szCs w:val="22"/>
          <w:b w:val="1"/>
          <w:bCs w:val="1"/>
          <w:color w:val="auto"/>
        </w:rPr>
        <w:t>Clearway Energy, Inc.</w:t>
      </w:r>
    </w:p>
    <w:p>
      <w:pPr>
        <w:spacing w:after="0" w:line="30" w:lineRule="exact"/>
        <w:rPr>
          <w:sz w:val="20"/>
          <w:szCs w:val="20"/>
          <w:color w:val="auto"/>
        </w:rPr>
      </w:pPr>
    </w:p>
    <w:p>
      <w:pPr>
        <w:jc w:val="center"/>
        <w:ind w:right="37"/>
        <w:spacing w:after="0"/>
        <w:rPr>
          <w:sz w:val="20"/>
          <w:szCs w:val="20"/>
          <w:color w:val="auto"/>
        </w:rPr>
      </w:pPr>
      <w:r>
        <w:rPr>
          <w:rFonts w:ascii="Arial" w:cs="Arial" w:eastAsia="Arial" w:hAnsi="Arial"/>
          <w:sz w:val="14"/>
          <w:szCs w:val="14"/>
          <w:b w:val="1"/>
          <w:bCs w:val="1"/>
          <w:color w:val="auto"/>
        </w:rPr>
        <w:t>300 Carnegie Center, Suite 300, Princeton, New Jersey 08540</w:t>
      </w:r>
    </w:p>
    <w:p>
      <w:pPr>
        <w:spacing w:after="0" w:line="211" w:lineRule="exact"/>
        <w:rPr>
          <w:sz w:val="20"/>
          <w:szCs w:val="20"/>
          <w:color w:val="auto"/>
        </w:rPr>
      </w:pPr>
    </w:p>
    <w:p>
      <w:pPr>
        <w:ind w:left="3623"/>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04" w:lineRule="exact"/>
        <w:rPr>
          <w:sz w:val="20"/>
          <w:szCs w:val="20"/>
          <w:color w:val="auto"/>
        </w:rPr>
      </w:pPr>
    </w:p>
    <w:p>
      <w:pPr>
        <w:ind w:left="3"/>
        <w:spacing w:after="0"/>
        <w:tabs>
          <w:tab w:leader="none" w:pos="582" w:val="left"/>
        </w:tabs>
        <w:rPr>
          <w:sz w:val="20"/>
          <w:szCs w:val="20"/>
          <w:color w:val="auto"/>
        </w:rPr>
      </w:pPr>
      <w:r>
        <w:rPr>
          <w:rFonts w:ascii="Arial" w:cs="Arial" w:eastAsia="Arial" w:hAnsi="Arial"/>
          <w:sz w:val="16"/>
          <w:szCs w:val="16"/>
          <w:b w:val="1"/>
          <w:bCs w:val="1"/>
          <w:color w:val="auto"/>
        </w:rPr>
        <w:t>When:</w:t>
      </w:r>
      <w:r>
        <w:rPr>
          <w:sz w:val="20"/>
          <w:szCs w:val="20"/>
          <w:color w:val="auto"/>
        </w:rPr>
        <w:tab/>
      </w:r>
      <w:r>
        <w:rPr>
          <w:rFonts w:ascii="Arial" w:cs="Arial" w:eastAsia="Arial" w:hAnsi="Arial"/>
          <w:sz w:val="14"/>
          <w:szCs w:val="14"/>
          <w:color w:val="auto"/>
        </w:rPr>
        <w:t>Thursday, April 30, 2020, 9:00 a.m., Eastern Time</w:t>
      </w:r>
    </w:p>
    <w:p>
      <w:pPr>
        <w:spacing w:after="0" w:line="204" w:lineRule="exact"/>
        <w:rPr>
          <w:sz w:val="20"/>
          <w:szCs w:val="20"/>
          <w:color w:val="auto"/>
        </w:rPr>
      </w:pPr>
    </w:p>
    <w:p>
      <w:pPr>
        <w:ind w:left="3"/>
        <w:spacing w:after="0"/>
        <w:tabs>
          <w:tab w:leader="none" w:pos="642" w:val="left"/>
        </w:tabs>
        <w:rPr>
          <w:sz w:val="20"/>
          <w:szCs w:val="20"/>
          <w:color w:val="auto"/>
        </w:rPr>
      </w:pPr>
      <w:r>
        <w:rPr>
          <w:rFonts w:ascii="Arial" w:cs="Arial" w:eastAsia="Arial" w:hAnsi="Arial"/>
          <w:sz w:val="16"/>
          <w:szCs w:val="16"/>
          <w:b w:val="1"/>
          <w:bCs w:val="1"/>
          <w:color w:val="auto"/>
        </w:rPr>
        <w:t>Where:</w:t>
      </w:r>
      <w:r>
        <w:rPr>
          <w:sz w:val="20"/>
          <w:szCs w:val="20"/>
          <w:color w:val="auto"/>
        </w:rPr>
        <w:tab/>
      </w:r>
      <w:r>
        <w:rPr>
          <w:rFonts w:ascii="Arial" w:cs="Arial" w:eastAsia="Arial" w:hAnsi="Arial"/>
          <w:sz w:val="14"/>
          <w:szCs w:val="14"/>
          <w:color w:val="auto"/>
        </w:rPr>
        <w:t>Hyatt Regency Princeton, located at 102 Carnegie Center, Princeton, New Jersey 08540</w:t>
      </w:r>
    </w:p>
    <w:p>
      <w:pPr>
        <w:spacing w:after="0" w:line="399"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5620" w:type="dxa"/>
            <w:vAlign w:val="bottom"/>
          </w:tcPr>
          <w:p>
            <w:pPr>
              <w:spacing w:after="0"/>
              <w:rPr>
                <w:sz w:val="20"/>
                <w:szCs w:val="20"/>
                <w:color w:val="auto"/>
              </w:rPr>
            </w:pPr>
            <w:r>
              <w:rPr>
                <w:rFonts w:ascii="Arial" w:cs="Arial" w:eastAsia="Arial" w:hAnsi="Arial"/>
                <w:sz w:val="16"/>
                <w:szCs w:val="16"/>
                <w:b w:val="1"/>
                <w:bCs w:val="1"/>
                <w:color w:val="auto"/>
              </w:rPr>
              <w:t>We are pleased to invite you to join our Board of Directors and senior</w:t>
            </w:r>
          </w:p>
        </w:tc>
        <w:tc>
          <w:tcPr>
            <w:tcW w:w="1640" w:type="dxa"/>
            <w:vAlign w:val="bottom"/>
          </w:tcPr>
          <w:p>
            <w:pPr>
              <w:ind w:left="340"/>
              <w:spacing w:after="0"/>
              <w:rPr>
                <w:sz w:val="20"/>
                <w:szCs w:val="20"/>
                <w:color w:val="auto"/>
              </w:rPr>
            </w:pPr>
            <w:r>
              <w:rPr>
                <w:rFonts w:ascii="Arial" w:cs="Arial" w:eastAsia="Arial" w:hAnsi="Arial"/>
                <w:sz w:val="16"/>
                <w:szCs w:val="16"/>
                <w:b w:val="1"/>
                <w:bCs w:val="1"/>
                <w:color w:val="auto"/>
                <w:w w:val="89"/>
              </w:rPr>
              <w:t>Voting Information</w:t>
            </w:r>
          </w:p>
        </w:tc>
        <w:tc>
          <w:tcPr>
            <w:tcW w:w="0" w:type="dxa"/>
            <w:vAlign w:val="bottom"/>
          </w:tcPr>
          <w:p>
            <w:pPr>
              <w:spacing w:after="0"/>
              <w:rPr>
                <w:sz w:val="1"/>
                <w:szCs w:val="1"/>
                <w:color w:val="auto"/>
              </w:rPr>
            </w:pPr>
          </w:p>
        </w:tc>
      </w:tr>
      <w:tr>
        <w:trPr>
          <w:trHeight w:val="205"/>
        </w:trPr>
        <w:tc>
          <w:tcPr>
            <w:tcW w:w="5620" w:type="dxa"/>
            <w:vAlign w:val="bottom"/>
          </w:tcPr>
          <w:p>
            <w:pPr>
              <w:spacing w:after="0"/>
              <w:rPr>
                <w:sz w:val="20"/>
                <w:szCs w:val="20"/>
                <w:color w:val="auto"/>
              </w:rPr>
            </w:pPr>
            <w:r>
              <w:rPr>
                <w:rFonts w:ascii="Arial" w:cs="Arial" w:eastAsia="Arial" w:hAnsi="Arial"/>
                <w:sz w:val="16"/>
                <w:szCs w:val="16"/>
                <w:b w:val="1"/>
                <w:bCs w:val="1"/>
                <w:color w:val="auto"/>
                <w:w w:val="94"/>
              </w:rPr>
              <w:t>leadership at the Clearway Energy, Inc. 2020 Annual Meeting of Stockholders.</w:t>
            </w:r>
          </w:p>
        </w:tc>
        <w:tc>
          <w:tcPr>
            <w:tcW w:w="164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HOW TO VOTE:</w:t>
            </w:r>
          </w:p>
        </w:tc>
        <w:tc>
          <w:tcPr>
            <w:tcW w:w="0" w:type="dxa"/>
            <w:vAlign w:val="bottom"/>
          </w:tcPr>
          <w:p>
            <w:pPr>
              <w:spacing w:after="0"/>
              <w:rPr>
                <w:sz w:val="1"/>
                <w:szCs w:val="1"/>
                <w:color w:val="auto"/>
              </w:rPr>
            </w:pPr>
          </w:p>
        </w:tc>
      </w:tr>
      <w:tr>
        <w:trPr>
          <w:trHeight w:val="194"/>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ITEMS OF BUSINESS:</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62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03"/>
          </w:cols>
          <w:pgMar w:left="317" w:top="131" w:right="279" w:bottom="1440" w:gutter="0" w:footer="0" w:header="0"/>
        </w:sectPr>
      </w:pPr>
    </w:p>
    <w:p>
      <w:pPr>
        <w:spacing w:after="0" w:line="199" w:lineRule="exact"/>
        <w:rPr>
          <w:sz w:val="20"/>
          <w:szCs w:val="20"/>
          <w:color w:val="auto"/>
        </w:rPr>
      </w:pPr>
    </w:p>
    <w:p>
      <w:pPr>
        <w:ind w:left="483" w:hanging="483"/>
        <w:spacing w:after="0"/>
        <w:tabs>
          <w:tab w:leader="none" w:pos="4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nine directors.</w:t>
      </w:r>
    </w:p>
    <w:p>
      <w:pPr>
        <w:spacing w:after="0" w:line="228" w:lineRule="exact"/>
        <w:rPr>
          <w:rFonts w:ascii="Arial" w:cs="Arial" w:eastAsia="Arial" w:hAnsi="Arial"/>
          <w:sz w:val="16"/>
          <w:szCs w:val="16"/>
          <w:color w:val="auto"/>
        </w:rPr>
      </w:pPr>
    </w:p>
    <w:p>
      <w:pPr>
        <w:ind w:left="483" w:right="60" w:hanging="483"/>
        <w:spacing w:after="0" w:line="258" w:lineRule="auto"/>
        <w:tabs>
          <w:tab w:leader="none" w:pos="4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the amendment and restatement of Clearway Energy, Inc.'s restated certificate of incorporation, as amended, to make certain technical changes, including changes resulting from the change of ownership of Clearway Energy, Inc., as described in the Proxy Statement that accompanies this Notice.</w:t>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Arial" w:cs="Arial" w:eastAsia="Arial" w:hAnsi="Arial"/>
          <w:sz w:val="16"/>
          <w:szCs w:val="16"/>
          <w:color w:val="auto"/>
        </w:rPr>
        <w:t>Even if you plan to attend the Annual Meeting in person, please vote right away using one of the following advance voting methods. Make sure to have your proxy card or voting instruction form in hand and follow the instructions in the card or form.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Via the Internet:</w:t>
      </w:r>
    </w:p>
    <w:p>
      <w:pPr>
        <w:spacing w:after="0" w:line="204"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 xml:space="preserve">You may vote at </w:t>
      </w:r>
      <w:r>
        <w:rPr>
          <w:rFonts w:ascii="Arial" w:cs="Arial" w:eastAsia="Arial" w:hAnsi="Arial"/>
          <w:sz w:val="15"/>
          <w:szCs w:val="15"/>
          <w:i w:val="1"/>
          <w:iCs w:val="1"/>
          <w:color w:val="auto"/>
        </w:rPr>
        <w:t>www.proxyvote.com</w:t>
      </w:r>
      <w:r>
        <w:rPr>
          <w:rFonts w:ascii="Arial" w:cs="Arial" w:eastAsia="Arial" w:hAnsi="Arial"/>
          <w:sz w:val="15"/>
          <w:szCs w:val="15"/>
          <w:color w:val="auto"/>
        </w:rPr>
        <w:t>, from anywhere in the world, 24 hours a day, 7 days a week, up until 11:59 p.m. Eastern Time on April 29, 2020.</w:t>
      </w:r>
    </w:p>
    <w:p>
      <w:pPr>
        <w:spacing w:after="0" w:line="13" w:lineRule="exact"/>
        <w:rPr>
          <w:sz w:val="20"/>
          <w:szCs w:val="20"/>
          <w:color w:val="auto"/>
        </w:rPr>
      </w:pPr>
    </w:p>
    <w:p>
      <w:pPr>
        <w:sectPr>
          <w:pgSz w:w="11900" w:h="16838" w:orient="portrait"/>
          <w:cols w:equalWidth="0" w:num="2">
            <w:col w:w="5243" w:space="720"/>
            <w:col w:w="5340"/>
          </w:cols>
          <w:pgMar w:left="317" w:top="131" w:right="279" w:bottom="1440" w:gutter="0" w:footer="0" w:header="0"/>
          <w:type w:val="continuous"/>
        </w:sectPr>
      </w:pPr>
    </w:p>
    <w:p>
      <w:pPr>
        <w:ind w:left="483" w:right="380" w:hanging="483"/>
        <w:spacing w:after="0" w:line="275" w:lineRule="auto"/>
        <w:tabs>
          <w:tab w:leader="none" w:pos="483"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on a non-binding advisory basis, Clearway Energy, Inc.'s executive compensation.</w:t>
      </w:r>
    </w:p>
    <w:p>
      <w:pPr>
        <w:spacing w:after="0" w:line="173" w:lineRule="exact"/>
        <w:rPr>
          <w:rFonts w:ascii="Arial" w:cs="Arial" w:eastAsia="Arial" w:hAnsi="Arial"/>
          <w:sz w:val="16"/>
          <w:szCs w:val="16"/>
          <w:color w:val="auto"/>
        </w:rPr>
      </w:pPr>
    </w:p>
    <w:p>
      <w:pPr>
        <w:ind w:left="483" w:right="320" w:hanging="483"/>
        <w:spacing w:after="0" w:line="348" w:lineRule="auto"/>
        <w:tabs>
          <w:tab w:leader="none" w:pos="483"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ratify the appointment of KPMG LLP as Clearway Energy, Inc.'s independent registered public accounting firm for the 2020 fiscal year.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phone:</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If you live in the United States, you may vote 24 hours a day, 7 days a week, up until 11:59 p.m. Eastern Time on April 29, 2020, by calling 1-800-690-6903 from a touch-tone phone.</w:t>
      </w:r>
    </w:p>
    <w:p>
      <w:pPr>
        <w:spacing w:after="0" w:line="61" w:lineRule="exact"/>
        <w:rPr>
          <w:sz w:val="20"/>
          <w:szCs w:val="20"/>
          <w:color w:val="auto"/>
        </w:rPr>
      </w:pPr>
    </w:p>
    <w:p>
      <w:pPr>
        <w:sectPr>
          <w:pgSz w:w="11900" w:h="16838" w:orient="portrait"/>
          <w:cols w:equalWidth="0" w:num="2">
            <w:col w:w="5243" w:space="720"/>
            <w:col w:w="5340"/>
          </w:cols>
          <w:pgMar w:left="317" w:top="131" w:right="279" w:bottom="1440" w:gutter="0" w:footer="0" w:header="0"/>
          <w:type w:val="continuous"/>
        </w:sectPr>
      </w:pPr>
    </w:p>
    <w:p>
      <w:pPr>
        <w:ind w:left="483" w:right="220" w:hanging="483"/>
        <w:spacing w:after="0" w:line="275" w:lineRule="auto"/>
        <w:tabs>
          <w:tab w:leader="none" w:pos="483"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and any adjournment or postponement.</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RECORD DATE:</w:t>
      </w:r>
    </w:p>
    <w:p>
      <w:pPr>
        <w:spacing w:after="0" w:line="208" w:lineRule="exact"/>
        <w:rPr>
          <w:sz w:val="20"/>
          <w:szCs w:val="20"/>
          <w:color w:val="auto"/>
        </w:rPr>
      </w:pPr>
    </w:p>
    <w:p>
      <w:pPr>
        <w:ind w:left="3"/>
        <w:spacing w:after="0" w:line="348" w:lineRule="auto"/>
        <w:rPr>
          <w:sz w:val="20"/>
          <w:szCs w:val="20"/>
          <w:color w:val="auto"/>
        </w:rPr>
      </w:pPr>
      <w:r>
        <w:rPr>
          <w:rFonts w:ascii="Arial" w:cs="Arial" w:eastAsia="Arial" w:hAnsi="Arial"/>
          <w:sz w:val="14"/>
          <w:szCs w:val="14"/>
          <w:color w:val="auto"/>
        </w:rPr>
        <w:t>You are entitled to vote if you were a stockholder of record of our Class A, Class B, Class C or Class D common stock at the close of business on March 4, 2020.</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mail:</w:t>
      </w:r>
    </w:p>
    <w:p>
      <w:pPr>
        <w:spacing w:after="0" w:line="204"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If you received a paper copy of the materials, you may mark, sign, date and mail your proxy card or voting instruction card in the enclosed, postage-paid address envelope, as soon as possible as it must be received by the Company prior to April 30, 2020, the Annual Meeting date.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person:</w:t>
      </w:r>
    </w:p>
    <w:p>
      <w:pPr>
        <w:spacing w:after="0" w:line="204" w:lineRule="exact"/>
        <w:rPr>
          <w:sz w:val="20"/>
          <w:szCs w:val="20"/>
          <w:color w:val="auto"/>
        </w:rPr>
      </w:pPr>
    </w:p>
    <w:p>
      <w:pPr>
        <w:ind w:right="340"/>
        <w:spacing w:after="0" w:line="283" w:lineRule="auto"/>
        <w:rPr>
          <w:sz w:val="20"/>
          <w:szCs w:val="20"/>
          <w:color w:val="auto"/>
        </w:rPr>
      </w:pPr>
      <w:r>
        <w:rPr>
          <w:rFonts w:ascii="Arial" w:cs="Arial" w:eastAsia="Arial" w:hAnsi="Arial"/>
          <w:sz w:val="15"/>
          <w:szCs w:val="15"/>
          <w:color w:val="auto"/>
        </w:rPr>
        <w:t>You can vote by a ballot that will be provided to you at the Annual Meeting. However, if you are a beneficial owner of shares held in street name (through a bank, broker or other nominee), you must bring a legal proxy from your bank, broker or other nominee to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226695</wp:posOffset>
            </wp:positionV>
            <wp:extent cx="7205345" cy="783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5345" cy="783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3" w:space="680"/>
            <w:col w:w="5340"/>
          </w:cols>
          <w:pgMar w:left="317" w:top="131" w:right="27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163"/>
        <w:spacing w:after="0" w:line="260" w:lineRule="auto"/>
        <w:rPr>
          <w:sz w:val="20"/>
          <w:szCs w:val="20"/>
          <w:color w:val="auto"/>
        </w:rPr>
      </w:pPr>
      <w:r>
        <w:rPr>
          <w:rFonts w:ascii="Arial" w:cs="Arial" w:eastAsia="Arial" w:hAnsi="Arial"/>
          <w:sz w:val="16"/>
          <w:szCs w:val="16"/>
          <w:color w:val="auto"/>
        </w:rPr>
        <w:t>We intend to hold our annual meeting in person. However, we are actively monitoring the public health and travel concerns of our stockholders and employees in light of COVID-19 (Coronavirus), as well as the related protocols that federal, state and local governments may impose. As part of our precautions, we are considering the possibility of changing the location of the annual meeting and/or holding a virtual meeting by means of remote communication. We will announce any alternative arrangements for the annual meeting as promptly as practicable.</w:t>
      </w:r>
    </w:p>
    <w:p>
      <w:pPr>
        <w:spacing w:after="0" w:line="320" w:lineRule="exact"/>
        <w:rPr>
          <w:sz w:val="20"/>
          <w:szCs w:val="20"/>
          <w:color w:val="auto"/>
        </w:rPr>
      </w:pPr>
    </w:p>
    <w:p>
      <w:pPr>
        <w:ind w:left="3"/>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1271905" cy="485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1905" cy="48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
        <w:spacing w:after="0"/>
        <w:rPr>
          <w:sz w:val="20"/>
          <w:szCs w:val="20"/>
          <w:color w:val="auto"/>
        </w:rPr>
      </w:pPr>
      <w:r>
        <w:rPr>
          <w:rFonts w:ascii="Arial" w:cs="Arial" w:eastAsia="Arial" w:hAnsi="Arial"/>
          <w:sz w:val="16"/>
          <w:szCs w:val="16"/>
          <w:color w:val="auto"/>
        </w:rPr>
        <w:t>KEVIN P. MALCARNEY</w:t>
      </w:r>
    </w:p>
    <w:p>
      <w:pPr>
        <w:spacing w:after="0" w:line="1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Senior Vice President, General Counsel and</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7151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303"/>
          </w:cols>
          <w:pgMar w:left="317" w:top="131" w:right="279" w:bottom="1440"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2020 ANNUAL MEETING OF STOCKHOLDERS</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PROXY STATEMENT</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120" w:type="dxa"/>
            <w:vAlign w:val="bottom"/>
          </w:tcPr>
          <w:p>
            <w:pPr>
              <w:spacing w:after="0"/>
              <w:rPr>
                <w:sz w:val="12"/>
                <w:szCs w:val="12"/>
                <w:color w:val="auto"/>
              </w:rPr>
            </w:pPr>
          </w:p>
        </w:tc>
        <w:tc>
          <w:tcPr>
            <w:tcW w:w="8700" w:type="dxa"/>
            <w:vAlign w:val="bottom"/>
            <w:gridSpan w:val="20"/>
            <w:vMerge w:val="restart"/>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PROXY STATEMENT HIGHLIGHTS</w:t>
              </w:r>
            </w:hyperlink>
          </w:p>
        </w:tc>
        <w:tc>
          <w:tcPr>
            <w:tcW w:w="1440" w:type="dxa"/>
            <w:vAlign w:val="bottom"/>
            <w:gridSpan w:val="6"/>
          </w:tcPr>
          <w:p>
            <w:pPr>
              <w:ind w:left="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8700" w:type="dxa"/>
            <w:vAlign w:val="bottom"/>
            <w:gridSpan w:val="20"/>
            <w:vMerge w:val="continue"/>
          </w:tcPr>
          <w:p>
            <w:pPr>
              <w:spacing w:after="0"/>
              <w:rPr>
                <w:sz w:val="13"/>
                <w:szCs w:val="13"/>
                <w:color w:val="auto"/>
              </w:rPr>
            </w:pPr>
          </w:p>
        </w:tc>
        <w:tc>
          <w:tcPr>
            <w:tcW w:w="300" w:type="dxa"/>
            <w:vAlign w:val="bottom"/>
            <w:tcBorders>
              <w:top w:val="single" w:sz="8" w:color="auto"/>
            </w:tcBorders>
            <w:gridSpan w:val="4"/>
          </w:tcPr>
          <w:p>
            <w:pPr>
              <w:jc w:val="right"/>
              <w:spacing w:after="0" w:line="150" w:lineRule="exact"/>
              <w:rPr>
                <w:rFonts w:ascii="Arial" w:cs="Arial" w:eastAsia="Arial" w:hAnsi="Arial"/>
                <w:sz w:val="16"/>
                <w:szCs w:val="16"/>
                <w:color w:val="0000EE"/>
              </w:rPr>
            </w:pPr>
            <w:hyperlink w:anchor="page6">
              <w:r>
                <w:rPr>
                  <w:rFonts w:ascii="Arial" w:cs="Arial" w:eastAsia="Arial" w:hAnsi="Arial"/>
                  <w:sz w:val="16"/>
                  <w:szCs w:val="16"/>
                  <w:color w:val="0000EE"/>
                </w:rPr>
                <w:t>1</w:t>
              </w:r>
            </w:hyperlink>
          </w:p>
        </w:tc>
        <w:tc>
          <w:tcPr>
            <w:tcW w:w="20" w:type="dxa"/>
            <w:vAlign w:val="bottom"/>
            <w:tcBorders>
              <w:top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2500" w:type="dxa"/>
            <w:vAlign w:val="bottom"/>
            <w:tcBorders>
              <w:bottom w:val="single" w:sz="8" w:color="0000EE"/>
            </w:tcBorders>
            <w:gridSpan w:val="8"/>
          </w:tcPr>
          <w:p>
            <w:pPr>
              <w:spacing w:after="0" w:line="175" w:lineRule="exact"/>
              <w:rPr>
                <w:rFonts w:ascii="Arial" w:cs="Arial" w:eastAsia="Arial" w:hAnsi="Arial"/>
                <w:sz w:val="16"/>
                <w:szCs w:val="16"/>
                <w:color w:val="0000EE"/>
                <w:w w:val="94"/>
              </w:rPr>
            </w:pPr>
            <w:hyperlink w:anchor="page9">
              <w:r>
                <w:rPr>
                  <w:rFonts w:ascii="Arial" w:cs="Arial" w:eastAsia="Arial" w:hAnsi="Arial"/>
                  <w:sz w:val="16"/>
                  <w:szCs w:val="16"/>
                  <w:color w:val="0000EE"/>
                  <w:w w:val="94"/>
                </w:rPr>
                <w:t>GOVERNANCE OF THE COMPANY</w:t>
              </w:r>
            </w:hyperlink>
          </w:p>
        </w:tc>
        <w:tc>
          <w:tcPr>
            <w:tcW w:w="6200" w:type="dxa"/>
            <w:vAlign w:val="bottom"/>
            <w:gridSpan w:val="12"/>
          </w:tcPr>
          <w:p>
            <w:pPr>
              <w:spacing w:after="0"/>
              <w:rPr>
                <w:sz w:val="15"/>
                <w:szCs w:val="15"/>
                <w:color w:val="auto"/>
              </w:rPr>
            </w:pPr>
          </w:p>
        </w:tc>
        <w:tc>
          <w:tcPr>
            <w:tcW w:w="220" w:type="dxa"/>
            <w:vAlign w:val="bottom"/>
            <w:gridSpan w:val="3"/>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9">
              <w:r>
                <w:rPr>
                  <w:rFonts w:ascii="Arial" w:cs="Arial" w:eastAsia="Arial" w:hAnsi="Arial"/>
                  <w:sz w:val="15"/>
                  <w:szCs w:val="15"/>
                  <w:color w:val="0000EE"/>
                  <w:w w:val="71"/>
                </w:rPr>
                <w:t>4</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2240" w:type="dxa"/>
            <w:vAlign w:val="bottom"/>
            <w:tcBorders>
              <w:bottom w:val="single" w:sz="8" w:color="0000EE"/>
            </w:tcBorders>
            <w:gridSpan w:val="6"/>
          </w:tcPr>
          <w:p>
            <w:pPr>
              <w:spacing w:after="0" w:line="175" w:lineRule="exact"/>
              <w:rPr>
                <w:rFonts w:ascii="Arial" w:cs="Arial" w:eastAsia="Arial" w:hAnsi="Arial"/>
                <w:sz w:val="16"/>
                <w:szCs w:val="16"/>
                <w:color w:val="0000EE"/>
                <w:w w:val="92"/>
              </w:rPr>
            </w:pPr>
            <w:hyperlink w:anchor="page19">
              <w:r>
                <w:rPr>
                  <w:rFonts w:ascii="Arial" w:cs="Arial" w:eastAsia="Arial" w:hAnsi="Arial"/>
                  <w:sz w:val="16"/>
                  <w:szCs w:val="16"/>
                  <w:color w:val="0000EE"/>
                  <w:w w:val="92"/>
                </w:rPr>
                <w:t>PROPOSALS TO BE VOTED ON</w:t>
              </w:r>
            </w:hyperlink>
          </w:p>
        </w:tc>
        <w:tc>
          <w:tcPr>
            <w:tcW w:w="6460" w:type="dxa"/>
            <w:vAlign w:val="bottom"/>
            <w:gridSpan w:val="14"/>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Borders>
              <w:bottom w:val="single" w:sz="8" w:color="0000EE"/>
            </w:tcBorders>
            <w:gridSpan w:val="2"/>
          </w:tcPr>
          <w:p>
            <w:pPr>
              <w:jc w:val="right"/>
              <w:spacing w:after="0" w:line="175" w:lineRule="exact"/>
              <w:rPr>
                <w:rFonts w:ascii="Arial" w:cs="Arial" w:eastAsia="Arial" w:hAnsi="Arial"/>
                <w:sz w:val="16"/>
                <w:szCs w:val="16"/>
                <w:color w:val="0000EE"/>
                <w:w w:val="78"/>
              </w:rPr>
            </w:pPr>
            <w:hyperlink w:anchor="page19">
              <w:r>
                <w:rPr>
                  <w:rFonts w:ascii="Arial" w:cs="Arial" w:eastAsia="Arial" w:hAnsi="Arial"/>
                  <w:sz w:val="16"/>
                  <w:szCs w:val="16"/>
                  <w:color w:val="0000EE"/>
                  <w:w w:val="78"/>
                </w:rPr>
                <w:t>14</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40" w:type="dxa"/>
            <w:vAlign w:val="bottom"/>
            <w:gridSpan w:val="19"/>
          </w:tcPr>
          <w:p>
            <w:pPr>
              <w:spacing w:after="0" w:line="175" w:lineRule="exact"/>
              <w:rPr>
                <w:rFonts w:ascii="Arial" w:cs="Arial" w:eastAsia="Arial" w:hAnsi="Arial"/>
                <w:sz w:val="16"/>
                <w:szCs w:val="16"/>
                <w:color w:val="0000EE"/>
              </w:rPr>
            </w:pPr>
            <w:hyperlink w:anchor="page19">
              <w:r>
                <w:rPr>
                  <w:rFonts w:ascii="Arial" w:cs="Arial" w:eastAsia="Arial" w:hAnsi="Arial"/>
                  <w:sz w:val="16"/>
                  <w:szCs w:val="16"/>
                  <w:color w:val="0000EE"/>
                </w:rPr>
                <w:t>PROPOSAL NO. 1 ELECTION OF DIRECTORS</w:t>
              </w:r>
            </w:hyperlink>
          </w:p>
        </w:tc>
        <w:tc>
          <w:tcPr>
            <w:tcW w:w="300" w:type="dxa"/>
            <w:vAlign w:val="bottom"/>
            <w:gridSpan w:val="4"/>
          </w:tcPr>
          <w:p>
            <w:pPr>
              <w:jc w:val="right"/>
              <w:spacing w:after="0" w:line="175" w:lineRule="exact"/>
              <w:rPr>
                <w:rFonts w:ascii="Arial" w:cs="Arial" w:eastAsia="Arial" w:hAnsi="Arial"/>
                <w:sz w:val="16"/>
                <w:szCs w:val="16"/>
                <w:color w:val="0000EE"/>
              </w:rPr>
            </w:pPr>
            <w:hyperlink w:anchor="page19">
              <w:r>
                <w:rPr>
                  <w:rFonts w:ascii="Arial" w:cs="Arial" w:eastAsia="Arial" w:hAnsi="Arial"/>
                  <w:sz w:val="16"/>
                  <w:szCs w:val="16"/>
                  <w:color w:val="0000EE"/>
                </w:rPr>
                <w:t>14</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tcBorders>
              <w:left w:val="single" w:sz="8" w:color="0000EE"/>
            </w:tcBorders>
            <w:gridSpan w:val="4"/>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80" w:type="dxa"/>
            <w:vAlign w:val="bottom"/>
            <w:tcBorders>
              <w:bottom w:val="single" w:sz="8" w:color="0000EE"/>
            </w:tcBorders>
            <w:gridSpan w:val="14"/>
          </w:tcPr>
          <w:p>
            <w:pPr>
              <w:spacing w:after="0" w:line="175" w:lineRule="exact"/>
              <w:rPr>
                <w:rFonts w:ascii="Arial" w:cs="Arial" w:eastAsia="Arial" w:hAnsi="Arial"/>
                <w:sz w:val="16"/>
                <w:szCs w:val="16"/>
                <w:color w:val="0000EE"/>
                <w:w w:val="93"/>
              </w:rPr>
            </w:pPr>
            <w:hyperlink w:anchor="page27">
              <w:r>
                <w:rPr>
                  <w:rFonts w:ascii="Arial" w:cs="Arial" w:eastAsia="Arial" w:hAnsi="Arial"/>
                  <w:sz w:val="16"/>
                  <w:szCs w:val="16"/>
                  <w:color w:val="0000EE"/>
                  <w:w w:val="93"/>
                </w:rPr>
                <w:t>PROPOSAL NO. 2 APPROVAL OF THE AMENDED AND RESTATED CERTIFICATE OF INCORPORATION</w:t>
              </w:r>
            </w:hyperlink>
          </w:p>
        </w:tc>
        <w:tc>
          <w:tcPr>
            <w:tcW w:w="1260" w:type="dxa"/>
            <w:vAlign w:val="bottom"/>
            <w:gridSpan w:val="5"/>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Borders>
              <w:bottom w:val="single" w:sz="8" w:color="0000EE"/>
            </w:tcBorders>
            <w:gridSpan w:val="2"/>
          </w:tcPr>
          <w:p>
            <w:pPr>
              <w:jc w:val="right"/>
              <w:spacing w:after="0" w:line="175" w:lineRule="exact"/>
              <w:rPr>
                <w:rFonts w:ascii="Arial" w:cs="Arial" w:eastAsia="Arial" w:hAnsi="Arial"/>
                <w:sz w:val="16"/>
                <w:szCs w:val="16"/>
                <w:color w:val="0000EE"/>
                <w:w w:val="78"/>
              </w:rPr>
            </w:pPr>
            <w:hyperlink w:anchor="page27">
              <w:r>
                <w:rPr>
                  <w:rFonts w:ascii="Arial" w:cs="Arial" w:eastAsia="Arial" w:hAnsi="Arial"/>
                  <w:sz w:val="16"/>
                  <w:szCs w:val="16"/>
                  <w:color w:val="0000EE"/>
                  <w:w w:val="78"/>
                </w:rPr>
                <w:t>22</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40" w:type="dxa"/>
            <w:vAlign w:val="bottom"/>
            <w:tcBorders>
              <w:bottom w:val="single" w:sz="8" w:color="0000EE"/>
            </w:tcBorders>
            <w:gridSpan w:val="17"/>
          </w:tcPr>
          <w:p>
            <w:pPr>
              <w:spacing w:after="0" w:line="175" w:lineRule="exact"/>
              <w:rPr>
                <w:rFonts w:ascii="Arial" w:cs="Arial" w:eastAsia="Arial" w:hAnsi="Arial"/>
                <w:sz w:val="16"/>
                <w:szCs w:val="16"/>
                <w:color w:val="0000EE"/>
                <w:w w:val="94"/>
              </w:rPr>
            </w:pPr>
            <w:hyperlink w:anchor="page29">
              <w:r>
                <w:rPr>
                  <w:rFonts w:ascii="Arial" w:cs="Arial" w:eastAsia="Arial" w:hAnsi="Arial"/>
                  <w:sz w:val="16"/>
                  <w:szCs w:val="16"/>
                  <w:color w:val="0000EE"/>
                  <w:w w:val="94"/>
                </w:rPr>
                <w:t>PROPOSAL NO. 3 APPROVAL, ON AN ADVISORY BASIS, OF THE COMPANY'S EXECUTIVE COMPENSATION</w:t>
              </w:r>
            </w:hyperlink>
          </w:p>
        </w:tc>
        <w:tc>
          <w:tcPr>
            <w:tcW w:w="80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Borders>
              <w:bottom w:val="single" w:sz="8" w:color="0000EE"/>
            </w:tcBorders>
            <w:gridSpan w:val="2"/>
          </w:tcPr>
          <w:p>
            <w:pPr>
              <w:jc w:val="right"/>
              <w:spacing w:after="0" w:line="175" w:lineRule="exact"/>
              <w:rPr>
                <w:rFonts w:ascii="Arial" w:cs="Arial" w:eastAsia="Arial" w:hAnsi="Arial"/>
                <w:sz w:val="16"/>
                <w:szCs w:val="16"/>
                <w:color w:val="0000EE"/>
                <w:w w:val="78"/>
              </w:rPr>
            </w:pPr>
            <w:hyperlink w:anchor="page29">
              <w:r>
                <w:rPr>
                  <w:rFonts w:ascii="Arial" w:cs="Arial" w:eastAsia="Arial" w:hAnsi="Arial"/>
                  <w:sz w:val="16"/>
                  <w:szCs w:val="16"/>
                  <w:color w:val="0000EE"/>
                  <w:w w:val="78"/>
                </w:rPr>
                <w:t>24</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40" w:type="dxa"/>
            <w:vAlign w:val="bottom"/>
            <w:gridSpan w:val="19"/>
          </w:tcPr>
          <w:p>
            <w:pPr>
              <w:spacing w:after="0" w:line="175" w:lineRule="exact"/>
              <w:rPr>
                <w:rFonts w:ascii="Arial" w:cs="Arial" w:eastAsia="Arial" w:hAnsi="Arial"/>
                <w:sz w:val="16"/>
                <w:szCs w:val="16"/>
                <w:color w:val="0000EE"/>
              </w:rPr>
            </w:pPr>
            <w:hyperlink w:anchor="page30">
              <w:r>
                <w:rPr>
                  <w:rFonts w:ascii="Arial" w:cs="Arial" w:eastAsia="Arial" w:hAnsi="Arial"/>
                  <w:sz w:val="16"/>
                  <w:szCs w:val="16"/>
                  <w:color w:val="0000EE"/>
                </w:rPr>
                <w:t>PROPOSAL NO. 4 RATIFICATION OF INDEPENDENT REGISTERED PUBLIC ACCOUNTING FIRM FOR THE 2020</w:t>
              </w:r>
            </w:hyperlink>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720" w:type="dxa"/>
            <w:vAlign w:val="bottom"/>
            <w:tcBorders>
              <w:top w:val="single" w:sz="8" w:color="0000EE"/>
            </w:tcBorders>
            <w:gridSpan w:val="17"/>
          </w:tcPr>
          <w:p>
            <w:pPr>
              <w:spacing w:after="0" w:line="175" w:lineRule="exact"/>
              <w:rPr>
                <w:rFonts w:ascii="Arial" w:cs="Arial" w:eastAsia="Arial" w:hAnsi="Arial"/>
                <w:sz w:val="16"/>
                <w:szCs w:val="16"/>
                <w:color w:val="0000EE"/>
              </w:rPr>
            </w:pPr>
            <w:hyperlink w:anchor="page30">
              <w:r>
                <w:rPr>
                  <w:rFonts w:ascii="Arial" w:cs="Arial" w:eastAsia="Arial" w:hAnsi="Arial"/>
                  <w:sz w:val="16"/>
                  <w:szCs w:val="16"/>
                  <w:color w:val="0000EE"/>
                </w:rPr>
                <w:t>FISCAL YEAR</w:t>
              </w:r>
            </w:hyperlink>
          </w:p>
        </w:tc>
        <w:tc>
          <w:tcPr>
            <w:tcW w:w="660" w:type="dxa"/>
            <w:vAlign w:val="bottom"/>
          </w:tcPr>
          <w:p>
            <w:pPr>
              <w:spacing w:after="0"/>
              <w:rPr>
                <w:sz w:val="15"/>
                <w:szCs w:val="15"/>
                <w:color w:val="auto"/>
              </w:rPr>
            </w:pPr>
          </w:p>
        </w:tc>
        <w:tc>
          <w:tcPr>
            <w:tcW w:w="300" w:type="dxa"/>
            <w:vAlign w:val="bottom"/>
            <w:gridSpan w:val="4"/>
          </w:tcPr>
          <w:p>
            <w:pPr>
              <w:jc w:val="right"/>
              <w:spacing w:after="0" w:line="175" w:lineRule="exact"/>
              <w:rPr>
                <w:rFonts w:ascii="Arial" w:cs="Arial" w:eastAsia="Arial" w:hAnsi="Arial"/>
                <w:sz w:val="16"/>
                <w:szCs w:val="16"/>
                <w:color w:val="0000EE"/>
              </w:rPr>
            </w:pPr>
            <w:hyperlink w:anchor="page30">
              <w:r>
                <w:rPr>
                  <w:rFonts w:ascii="Arial" w:cs="Arial" w:eastAsia="Arial" w:hAnsi="Arial"/>
                  <w:sz w:val="16"/>
                  <w:szCs w:val="16"/>
                  <w:color w:val="0000EE"/>
                </w:rPr>
                <w:t>25</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7740" w:type="dxa"/>
            <w:vAlign w:val="bottom"/>
            <w:tcBorders>
              <w:bottom w:val="single" w:sz="8" w:color="0000EE"/>
            </w:tcBorders>
            <w:gridSpan w:val="17"/>
          </w:tcPr>
          <w:p>
            <w:pPr>
              <w:spacing w:after="0" w:line="175" w:lineRule="exact"/>
              <w:rPr>
                <w:rFonts w:ascii="Arial" w:cs="Arial" w:eastAsia="Arial" w:hAnsi="Arial"/>
                <w:sz w:val="16"/>
                <w:szCs w:val="16"/>
                <w:color w:val="0000EE"/>
                <w:w w:val="94"/>
              </w:rPr>
            </w:pPr>
            <w:hyperlink w:anchor="page32">
              <w:r>
                <w:rPr>
                  <w:rFonts w:ascii="Arial" w:cs="Arial" w:eastAsia="Arial" w:hAnsi="Arial"/>
                  <w:sz w:val="16"/>
                  <w:szCs w:val="16"/>
                  <w:color w:val="0000EE"/>
                  <w:w w:val="94"/>
                </w:rPr>
                <w:t>STOCK OWNERSHIP OF DIRECTORS, NAMED EXECUTIVE OFFICERS AND CERTAIN BENEFICIAL OWNERS</w:t>
              </w:r>
            </w:hyperlink>
          </w:p>
        </w:tc>
        <w:tc>
          <w:tcPr>
            <w:tcW w:w="96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Borders>
              <w:bottom w:val="single" w:sz="8" w:color="0000EE"/>
            </w:tcBorders>
            <w:gridSpan w:val="2"/>
          </w:tcPr>
          <w:p>
            <w:pPr>
              <w:jc w:val="right"/>
              <w:spacing w:after="0" w:line="175" w:lineRule="exact"/>
              <w:rPr>
                <w:rFonts w:ascii="Arial" w:cs="Arial" w:eastAsia="Arial" w:hAnsi="Arial"/>
                <w:sz w:val="16"/>
                <w:szCs w:val="16"/>
                <w:color w:val="0000EE"/>
                <w:w w:val="78"/>
              </w:rPr>
            </w:pPr>
            <w:hyperlink w:anchor="page32">
              <w:r>
                <w:rPr>
                  <w:rFonts w:ascii="Arial" w:cs="Arial" w:eastAsia="Arial" w:hAnsi="Arial"/>
                  <w:sz w:val="16"/>
                  <w:szCs w:val="16"/>
                  <w:color w:val="0000EE"/>
                  <w:w w:val="78"/>
                </w:rPr>
                <w:t>27</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4920" w:type="dxa"/>
            <w:vAlign w:val="bottom"/>
            <w:tcBorders>
              <w:bottom w:val="single" w:sz="8" w:color="0000EE"/>
            </w:tcBorders>
            <w:gridSpan w:val="11"/>
          </w:tcPr>
          <w:p>
            <w:pPr>
              <w:spacing w:after="0" w:line="175" w:lineRule="exact"/>
              <w:rPr>
                <w:rFonts w:ascii="Arial" w:cs="Arial" w:eastAsia="Arial" w:hAnsi="Arial"/>
                <w:sz w:val="16"/>
                <w:szCs w:val="16"/>
                <w:color w:val="0000EE"/>
                <w:w w:val="94"/>
              </w:rPr>
            </w:pPr>
            <w:hyperlink w:anchor="page38">
              <w:r>
                <w:rPr>
                  <w:rFonts w:ascii="Arial" w:cs="Arial" w:eastAsia="Arial" w:hAnsi="Arial"/>
                  <w:sz w:val="16"/>
                  <w:szCs w:val="16"/>
                  <w:color w:val="0000EE"/>
                  <w:w w:val="94"/>
                </w:rPr>
                <w:t>CERTAIN RELATIONSHIPS AND RELATED PERSON TRANSACTIONS</w:t>
              </w:r>
            </w:hyperlink>
          </w:p>
        </w:tc>
        <w:tc>
          <w:tcPr>
            <w:tcW w:w="3780" w:type="dxa"/>
            <w:vAlign w:val="bottom"/>
            <w:gridSpan w:val="9"/>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Borders>
              <w:bottom w:val="single" w:sz="8" w:color="0000EE"/>
            </w:tcBorders>
            <w:gridSpan w:val="2"/>
          </w:tcPr>
          <w:p>
            <w:pPr>
              <w:jc w:val="right"/>
              <w:spacing w:after="0" w:line="175" w:lineRule="exact"/>
              <w:rPr>
                <w:rFonts w:ascii="Arial" w:cs="Arial" w:eastAsia="Arial" w:hAnsi="Arial"/>
                <w:sz w:val="16"/>
                <w:szCs w:val="16"/>
                <w:color w:val="0000EE"/>
                <w:w w:val="78"/>
              </w:rPr>
            </w:pPr>
            <w:hyperlink w:anchor="page38">
              <w:r>
                <w:rPr>
                  <w:rFonts w:ascii="Arial" w:cs="Arial" w:eastAsia="Arial" w:hAnsi="Arial"/>
                  <w:sz w:val="16"/>
                  <w:szCs w:val="16"/>
                  <w:color w:val="0000EE"/>
                  <w:w w:val="78"/>
                </w:rPr>
                <w:t>33</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8700" w:type="dxa"/>
            <w:vAlign w:val="bottom"/>
            <w:gridSpan w:val="20"/>
          </w:tcPr>
          <w:p>
            <w:pPr>
              <w:spacing w:after="0" w:line="175" w:lineRule="exact"/>
              <w:rPr>
                <w:rFonts w:ascii="Arial" w:cs="Arial" w:eastAsia="Arial" w:hAnsi="Arial"/>
                <w:sz w:val="16"/>
                <w:szCs w:val="16"/>
                <w:color w:val="0000EE"/>
              </w:rPr>
            </w:pPr>
            <w:hyperlink w:anchor="page48">
              <w:r>
                <w:rPr>
                  <w:rFonts w:ascii="Arial" w:cs="Arial" w:eastAsia="Arial" w:hAnsi="Arial"/>
                  <w:sz w:val="16"/>
                  <w:szCs w:val="16"/>
                  <w:color w:val="0000EE"/>
                </w:rPr>
                <w:t>EXECUTIVE COMPENSATION</w:t>
              </w:r>
            </w:hyperlink>
          </w:p>
        </w:tc>
        <w:tc>
          <w:tcPr>
            <w:tcW w:w="300" w:type="dxa"/>
            <w:vAlign w:val="bottom"/>
            <w:gridSpan w:val="4"/>
          </w:tcPr>
          <w:p>
            <w:pPr>
              <w:jc w:val="right"/>
              <w:spacing w:after="0" w:line="175" w:lineRule="exact"/>
              <w:rPr>
                <w:rFonts w:ascii="Arial" w:cs="Arial" w:eastAsia="Arial" w:hAnsi="Arial"/>
                <w:sz w:val="16"/>
                <w:szCs w:val="16"/>
                <w:color w:val="0000EE"/>
              </w:rPr>
            </w:pPr>
            <w:hyperlink w:anchor="page48">
              <w:r>
                <w:rPr>
                  <w:rFonts w:ascii="Arial" w:cs="Arial" w:eastAsia="Arial" w:hAnsi="Arial"/>
                  <w:sz w:val="16"/>
                  <w:szCs w:val="16"/>
                  <w:color w:val="0000EE"/>
                </w:rPr>
                <w:t>43</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120" w:type="dxa"/>
            <w:vAlign w:val="bottom"/>
            <w:tcBorders>
              <w:left w:val="single" w:sz="8" w:color="0000EE"/>
            </w:tcBorders>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8700" w:type="dxa"/>
            <w:vAlign w:val="bottom"/>
            <w:gridSpan w:val="20"/>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COMPENSATION COMMITTEE REPORT ON EXECUTIVE COMPENSATION</w:t>
              </w:r>
            </w:hyperlink>
          </w:p>
        </w:tc>
        <w:tc>
          <w:tcPr>
            <w:tcW w:w="300" w:type="dxa"/>
            <w:vAlign w:val="bottom"/>
            <w:gridSpan w:val="4"/>
          </w:tcPr>
          <w:p>
            <w:pPr>
              <w:jc w:val="right"/>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64</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12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8700" w:type="dxa"/>
            <w:vAlign w:val="bottom"/>
            <w:gridSpan w:val="20"/>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COMPENSATION COMMITTEE INTERLOCKS AND INSIDER PARTICIPATION</w:t>
              </w:r>
            </w:hyperlink>
          </w:p>
        </w:tc>
        <w:tc>
          <w:tcPr>
            <w:tcW w:w="300" w:type="dxa"/>
            <w:vAlign w:val="bottom"/>
            <w:gridSpan w:val="4"/>
          </w:tcPr>
          <w:p>
            <w:pPr>
              <w:jc w:val="right"/>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64</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5440" w:type="dxa"/>
            <w:vAlign w:val="bottom"/>
            <w:tcBorders>
              <w:top w:val="single" w:sz="8" w:color="0000EE"/>
            </w:tcBorders>
            <w:gridSpan w:val="14"/>
          </w:tcPr>
          <w:p>
            <w:pPr>
              <w:spacing w:after="0" w:line="175" w:lineRule="exact"/>
              <w:rPr>
                <w:rFonts w:ascii="Arial" w:cs="Arial" w:eastAsia="Arial" w:hAnsi="Arial"/>
                <w:sz w:val="16"/>
                <w:szCs w:val="16"/>
                <w:color w:val="0000EE"/>
              </w:rPr>
            </w:pPr>
            <w:hyperlink w:anchor="page70">
              <w:r>
                <w:rPr>
                  <w:rFonts w:ascii="Arial" w:cs="Arial" w:eastAsia="Arial" w:hAnsi="Arial"/>
                  <w:sz w:val="16"/>
                  <w:szCs w:val="16"/>
                  <w:color w:val="0000EE"/>
                </w:rPr>
                <w:t>AUDIT COMMITTEE REPORT</w:t>
              </w:r>
            </w:hyperlink>
          </w:p>
        </w:tc>
        <w:tc>
          <w:tcPr>
            <w:tcW w:w="3260" w:type="dxa"/>
            <w:vAlign w:val="bottom"/>
            <w:gridSpan w:val="6"/>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Borders>
              <w:top w:val="single" w:sz="8" w:color="0000EE"/>
            </w:tcBorders>
            <w:gridSpan w:val="2"/>
          </w:tcPr>
          <w:p>
            <w:pPr>
              <w:jc w:val="right"/>
              <w:spacing w:after="0" w:line="175" w:lineRule="exact"/>
              <w:rPr>
                <w:rFonts w:ascii="Arial" w:cs="Arial" w:eastAsia="Arial" w:hAnsi="Arial"/>
                <w:sz w:val="16"/>
                <w:szCs w:val="16"/>
                <w:color w:val="0000EE"/>
                <w:w w:val="78"/>
              </w:rPr>
            </w:pPr>
            <w:hyperlink w:anchor="page70">
              <w:r>
                <w:rPr>
                  <w:rFonts w:ascii="Arial" w:cs="Arial" w:eastAsia="Arial" w:hAnsi="Arial"/>
                  <w:sz w:val="16"/>
                  <w:szCs w:val="16"/>
                  <w:color w:val="0000EE"/>
                  <w:w w:val="78"/>
                </w:rPr>
                <w:t>65</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4220" w:type="dxa"/>
            <w:vAlign w:val="bottom"/>
            <w:tcBorders>
              <w:bottom w:val="single" w:sz="8" w:color="0000EE"/>
            </w:tcBorders>
            <w:gridSpan w:val="10"/>
          </w:tcPr>
          <w:p>
            <w:pPr>
              <w:spacing w:after="0" w:line="175" w:lineRule="exact"/>
              <w:rPr>
                <w:rFonts w:ascii="Arial" w:cs="Arial" w:eastAsia="Arial" w:hAnsi="Arial"/>
                <w:sz w:val="16"/>
                <w:szCs w:val="16"/>
                <w:color w:val="0000EE"/>
                <w:w w:val="95"/>
              </w:rPr>
            </w:pPr>
            <w:hyperlink w:anchor="page71">
              <w:r>
                <w:rPr>
                  <w:rFonts w:ascii="Arial" w:cs="Arial" w:eastAsia="Arial" w:hAnsi="Arial"/>
                  <w:sz w:val="16"/>
                  <w:szCs w:val="16"/>
                  <w:color w:val="0000EE"/>
                  <w:w w:val="95"/>
                </w:rPr>
                <w:t>INDEPENDENT REGISTERED PUBLIC ACCOUNTING FIRM</w:t>
              </w:r>
            </w:hyperlink>
          </w:p>
        </w:tc>
        <w:tc>
          <w:tcPr>
            <w:tcW w:w="4480" w:type="dxa"/>
            <w:vAlign w:val="bottom"/>
            <w:gridSpan w:val="10"/>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Borders>
              <w:bottom w:val="single" w:sz="8" w:color="0000EE"/>
            </w:tcBorders>
            <w:gridSpan w:val="2"/>
          </w:tcPr>
          <w:p>
            <w:pPr>
              <w:jc w:val="right"/>
              <w:spacing w:after="0" w:line="175" w:lineRule="exact"/>
              <w:rPr>
                <w:rFonts w:ascii="Arial" w:cs="Arial" w:eastAsia="Arial" w:hAnsi="Arial"/>
                <w:sz w:val="16"/>
                <w:szCs w:val="16"/>
                <w:color w:val="0000EE"/>
                <w:w w:val="78"/>
              </w:rPr>
            </w:pPr>
            <w:hyperlink w:anchor="page71">
              <w:r>
                <w:rPr>
                  <w:rFonts w:ascii="Arial" w:cs="Arial" w:eastAsia="Arial" w:hAnsi="Arial"/>
                  <w:sz w:val="16"/>
                  <w:szCs w:val="16"/>
                  <w:color w:val="0000EE"/>
                  <w:w w:val="78"/>
                </w:rPr>
                <w:t>66</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2100" w:type="dxa"/>
            <w:vAlign w:val="bottom"/>
            <w:tcBorders>
              <w:bottom w:val="single" w:sz="8" w:color="0000EE"/>
            </w:tcBorders>
            <w:gridSpan w:val="5"/>
          </w:tcPr>
          <w:p>
            <w:pPr>
              <w:spacing w:after="0" w:line="175" w:lineRule="exact"/>
              <w:rPr>
                <w:rFonts w:ascii="Arial" w:cs="Arial" w:eastAsia="Arial" w:hAnsi="Arial"/>
                <w:sz w:val="16"/>
                <w:szCs w:val="16"/>
                <w:color w:val="0000EE"/>
                <w:w w:val="94"/>
              </w:rPr>
            </w:pPr>
            <w:hyperlink w:anchor="page73">
              <w:r>
                <w:rPr>
                  <w:rFonts w:ascii="Arial" w:cs="Arial" w:eastAsia="Arial" w:hAnsi="Arial"/>
                  <w:sz w:val="16"/>
                  <w:szCs w:val="16"/>
                  <w:color w:val="0000EE"/>
                  <w:w w:val="94"/>
                </w:rPr>
                <w:t>QUESTIONS AND ANSWERS</w:t>
              </w:r>
            </w:hyperlink>
          </w:p>
        </w:tc>
        <w:tc>
          <w:tcPr>
            <w:tcW w:w="6600" w:type="dxa"/>
            <w:vAlign w:val="bottom"/>
            <w:gridSpan w:val="15"/>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Borders>
              <w:bottom w:val="single" w:sz="8" w:color="0000EE"/>
            </w:tcBorders>
            <w:gridSpan w:val="2"/>
          </w:tcPr>
          <w:p>
            <w:pPr>
              <w:jc w:val="right"/>
              <w:spacing w:after="0" w:line="175" w:lineRule="exact"/>
              <w:rPr>
                <w:rFonts w:ascii="Arial" w:cs="Arial" w:eastAsia="Arial" w:hAnsi="Arial"/>
                <w:sz w:val="16"/>
                <w:szCs w:val="16"/>
                <w:color w:val="0000EE"/>
                <w:w w:val="78"/>
              </w:rPr>
            </w:pPr>
            <w:hyperlink w:anchor="page73">
              <w:r>
                <w:rPr>
                  <w:rFonts w:ascii="Arial" w:cs="Arial" w:eastAsia="Arial" w:hAnsi="Arial"/>
                  <w:sz w:val="16"/>
                  <w:szCs w:val="16"/>
                  <w:color w:val="0000EE"/>
                  <w:w w:val="78"/>
                </w:rPr>
                <w:t>68</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7680" w:type="dxa"/>
            <w:vAlign w:val="bottom"/>
            <w:tcBorders>
              <w:bottom w:val="single" w:sz="8" w:color="0000EE"/>
            </w:tcBorders>
            <w:gridSpan w:val="16"/>
          </w:tcPr>
          <w:p>
            <w:pPr>
              <w:spacing w:after="0" w:line="175" w:lineRule="exact"/>
              <w:rPr>
                <w:rFonts w:ascii="Arial" w:cs="Arial" w:eastAsia="Arial" w:hAnsi="Arial"/>
                <w:sz w:val="16"/>
                <w:szCs w:val="16"/>
                <w:color w:val="0000EE"/>
                <w:w w:val="93"/>
              </w:rPr>
            </w:pPr>
            <w:hyperlink w:anchor="page79">
              <w:r>
                <w:rPr>
                  <w:rFonts w:ascii="Arial" w:cs="Arial" w:eastAsia="Arial" w:hAnsi="Arial"/>
                  <w:sz w:val="16"/>
                  <w:szCs w:val="16"/>
                  <w:color w:val="0000EE"/>
                  <w:w w:val="93"/>
                </w:rPr>
                <w:t>REQUIREMENTS FOR SUBMISSION OF STOCKHOLDER PROPOSALS FOR THE 2021 ANNUAL MEETING OF</w:t>
              </w:r>
            </w:hyperlink>
          </w:p>
        </w:tc>
        <w:tc>
          <w:tcPr>
            <w:tcW w:w="102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bottom w:val="single" w:sz="8" w:color="0000EE"/>
            </w:tcBorders>
            <w:gridSpan w:val="3"/>
          </w:tcPr>
          <w:p>
            <w:pPr>
              <w:spacing w:after="0" w:line="175" w:lineRule="exact"/>
              <w:rPr>
                <w:rFonts w:ascii="Arial" w:cs="Arial" w:eastAsia="Arial" w:hAnsi="Arial"/>
                <w:sz w:val="16"/>
                <w:szCs w:val="16"/>
                <w:color w:val="0000EE"/>
                <w:w w:val="93"/>
              </w:rPr>
            </w:pPr>
            <w:hyperlink w:anchor="page79">
              <w:r>
                <w:rPr>
                  <w:rFonts w:ascii="Arial" w:cs="Arial" w:eastAsia="Arial" w:hAnsi="Arial"/>
                  <w:sz w:val="16"/>
                  <w:szCs w:val="16"/>
                  <w:color w:val="0000EE"/>
                  <w:w w:val="93"/>
                </w:rPr>
                <w:t>STOCKHOLDERS</w:t>
              </w:r>
            </w:hyperlink>
          </w:p>
        </w:tc>
        <w:tc>
          <w:tcPr>
            <w:tcW w:w="7280" w:type="dxa"/>
            <w:vAlign w:val="bottom"/>
            <w:gridSpan w:val="16"/>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Borders>
              <w:bottom w:val="single" w:sz="8" w:color="0000EE"/>
            </w:tcBorders>
            <w:gridSpan w:val="2"/>
          </w:tcPr>
          <w:p>
            <w:pPr>
              <w:jc w:val="right"/>
              <w:spacing w:after="0" w:line="175" w:lineRule="exact"/>
              <w:rPr>
                <w:rFonts w:ascii="Arial" w:cs="Arial" w:eastAsia="Arial" w:hAnsi="Arial"/>
                <w:sz w:val="16"/>
                <w:szCs w:val="16"/>
                <w:color w:val="0000EE"/>
                <w:w w:val="78"/>
              </w:rPr>
            </w:pPr>
            <w:hyperlink w:anchor="page79">
              <w:r>
                <w:rPr>
                  <w:rFonts w:ascii="Arial" w:cs="Arial" w:eastAsia="Arial" w:hAnsi="Arial"/>
                  <w:sz w:val="16"/>
                  <w:szCs w:val="16"/>
                  <w:color w:val="0000EE"/>
                  <w:w w:val="78"/>
                </w:rPr>
                <w:t>74</w:t>
              </w:r>
            </w:hyperlink>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1120" w:type="dxa"/>
            <w:vAlign w:val="bottom"/>
          </w:tcPr>
          <w:p>
            <w:pPr>
              <w:spacing w:after="0"/>
              <w:rPr>
                <w:sz w:val="24"/>
                <w:szCs w:val="24"/>
                <w:color w:val="auto"/>
              </w:rPr>
            </w:pPr>
          </w:p>
        </w:tc>
        <w:tc>
          <w:tcPr>
            <w:tcW w:w="4220" w:type="dxa"/>
            <w:vAlign w:val="bottom"/>
            <w:gridSpan w:val="10"/>
          </w:tcPr>
          <w:p>
            <w:pPr>
              <w:spacing w:after="0"/>
              <w:rPr>
                <w:rFonts w:ascii="Arial" w:cs="Arial" w:eastAsia="Arial" w:hAnsi="Arial"/>
                <w:sz w:val="16"/>
                <w:szCs w:val="16"/>
                <w:color w:val="0000EE"/>
                <w:w w:val="91"/>
              </w:rPr>
            </w:pPr>
            <w:hyperlink w:anchor="page80">
              <w:r>
                <w:rPr>
                  <w:rFonts w:ascii="Arial" w:cs="Arial" w:eastAsia="Arial" w:hAnsi="Arial"/>
                  <w:sz w:val="16"/>
                  <w:szCs w:val="16"/>
                  <w:color w:val="0000EE"/>
                  <w:w w:val="91"/>
                </w:rPr>
                <w:t>APPENDIX A Amended and Restated Certificate of Incorporation</w:t>
              </w:r>
            </w:hyperlink>
          </w:p>
        </w:tc>
        <w:tc>
          <w:tcPr>
            <w:tcW w:w="4480" w:type="dxa"/>
            <w:vAlign w:val="bottom"/>
            <w:gridSpan w:val="10"/>
          </w:tcPr>
          <w:p>
            <w:pPr>
              <w:spacing w:after="0"/>
              <w:rPr>
                <w:sz w:val="24"/>
                <w:szCs w:val="24"/>
                <w:color w:val="auto"/>
              </w:rPr>
            </w:pPr>
          </w:p>
        </w:tc>
        <w:tc>
          <w:tcPr>
            <w:tcW w:w="1440" w:type="dxa"/>
            <w:vAlign w:val="bottom"/>
            <w:gridSpan w:val="6"/>
          </w:tcPr>
          <w:p>
            <w:pPr>
              <w:jc w:val="right"/>
              <w:ind w:right="1140"/>
              <w:spacing w:after="0"/>
              <w:rPr>
                <w:rFonts w:ascii="Arial" w:cs="Arial" w:eastAsia="Arial" w:hAnsi="Arial"/>
                <w:sz w:val="16"/>
                <w:szCs w:val="16"/>
                <w:color w:val="0000EE"/>
              </w:rPr>
            </w:pPr>
            <w:hyperlink w:anchor="page80">
              <w:r>
                <w:rPr>
                  <w:rFonts w:ascii="Arial" w:cs="Arial" w:eastAsia="Arial" w:hAnsi="Arial"/>
                  <w:sz w:val="16"/>
                  <w:szCs w:val="16"/>
                  <w:color w:val="0000EE"/>
                </w:rPr>
                <w:t>A-1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20" w:type="dxa"/>
            <w:vAlign w:val="bottom"/>
            <w:gridSpan w:val="10"/>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120" w:type="dxa"/>
            <w:vAlign w:val="bottom"/>
          </w:tcPr>
          <w:p>
            <w:pPr>
              <w:spacing w:after="0"/>
              <w:rPr>
                <w:sz w:val="24"/>
                <w:szCs w:val="24"/>
                <w:color w:val="auto"/>
              </w:rPr>
            </w:pPr>
          </w:p>
        </w:tc>
        <w:tc>
          <w:tcPr>
            <w:tcW w:w="8700" w:type="dxa"/>
            <w:vAlign w:val="bottom"/>
            <w:gridSpan w:val="20"/>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APPENDIX B Marked Copy of Amended and Restated Certificate of Incorporation</w:t>
              </w:r>
            </w:hyperlink>
          </w:p>
        </w:tc>
        <w:tc>
          <w:tcPr>
            <w:tcW w:w="60" w:type="dxa"/>
            <w:vAlign w:val="bottom"/>
          </w:tcPr>
          <w:p>
            <w:pPr>
              <w:spacing w:after="0"/>
              <w:rPr>
                <w:sz w:val="24"/>
                <w:szCs w:val="24"/>
                <w:color w:val="auto"/>
              </w:rPr>
            </w:pPr>
          </w:p>
        </w:tc>
        <w:tc>
          <w:tcPr>
            <w:tcW w:w="1380" w:type="dxa"/>
            <w:vAlign w:val="bottom"/>
            <w:gridSpan w:val="5"/>
          </w:tcPr>
          <w:p>
            <w:pPr>
              <w:jc w:val="right"/>
              <w:ind w:right="1140"/>
              <w:spacing w:after="0"/>
              <w:rPr>
                <w:rFonts w:ascii="Arial" w:cs="Arial" w:eastAsia="Arial" w:hAnsi="Arial"/>
                <w:sz w:val="16"/>
                <w:szCs w:val="16"/>
                <w:color w:val="0000EE"/>
                <w:w w:val="88"/>
              </w:rPr>
            </w:pPr>
            <w:hyperlink w:anchor="page88">
              <w:r>
                <w:rPr>
                  <w:rFonts w:ascii="Arial" w:cs="Arial" w:eastAsia="Arial" w:hAnsi="Arial"/>
                  <w:sz w:val="16"/>
                  <w:szCs w:val="16"/>
                  <w:color w:val="0000EE"/>
                  <w:w w:val="88"/>
                </w:rPr>
                <w:t>B-1</w:t>
              </w:r>
            </w:hyperlink>
          </w:p>
        </w:tc>
        <w:tc>
          <w:tcPr>
            <w:tcW w:w="0" w:type="dxa"/>
            <w:vAlign w:val="bottom"/>
          </w:tcPr>
          <w:p>
            <w:pPr>
              <w:spacing w:after="0"/>
              <w:rPr>
                <w:sz w:val="1"/>
                <w:szCs w:val="1"/>
                <w:color w:val="auto"/>
              </w:rPr>
            </w:pPr>
          </w:p>
        </w:tc>
      </w:tr>
      <w:tr>
        <w:trPr>
          <w:trHeight w:val="122"/>
        </w:trPr>
        <w:tc>
          <w:tcPr>
            <w:tcW w:w="1120" w:type="dxa"/>
            <w:vAlign w:val="bottom"/>
            <w:tcBorders>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102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680" w:type="dxa"/>
            <w:vAlign w:val="bottom"/>
            <w:tcBorders>
              <w:top w:val="single" w:sz="8" w:color="0000EE"/>
              <w:bottom w:val="single" w:sz="8" w:color="808080"/>
            </w:tcBorders>
          </w:tcPr>
          <w:p>
            <w:pPr>
              <w:spacing w:after="0"/>
              <w:rPr>
                <w:sz w:val="10"/>
                <w:szCs w:val="10"/>
                <w:color w:val="auto"/>
              </w:rPr>
            </w:pPr>
          </w:p>
        </w:tc>
        <w:tc>
          <w:tcPr>
            <w:tcW w:w="140" w:type="dxa"/>
            <w:vAlign w:val="bottom"/>
            <w:tcBorders>
              <w:top w:val="single" w:sz="8" w:color="0000EE"/>
              <w:bottom w:val="single" w:sz="8" w:color="808080"/>
            </w:tcBorders>
          </w:tcPr>
          <w:p>
            <w:pPr>
              <w:spacing w:after="0"/>
              <w:rPr>
                <w:sz w:val="10"/>
                <w:szCs w:val="10"/>
                <w:color w:val="auto"/>
              </w:rPr>
            </w:pPr>
          </w:p>
        </w:tc>
        <w:tc>
          <w:tcPr>
            <w:tcW w:w="24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860" w:type="dxa"/>
            <w:vAlign w:val="bottom"/>
            <w:tcBorders>
              <w:top w:val="single" w:sz="8" w:color="0000EE"/>
              <w:bottom w:val="single" w:sz="8" w:color="808080"/>
            </w:tcBorders>
          </w:tcPr>
          <w:p>
            <w:pPr>
              <w:spacing w:after="0"/>
              <w:rPr>
                <w:sz w:val="10"/>
                <w:szCs w:val="10"/>
                <w:color w:val="auto"/>
              </w:rPr>
            </w:pPr>
          </w:p>
        </w:tc>
        <w:tc>
          <w:tcPr>
            <w:tcW w:w="860" w:type="dxa"/>
            <w:vAlign w:val="bottom"/>
            <w:tcBorders>
              <w:top w:val="single" w:sz="8" w:color="0000EE"/>
              <w:bottom w:val="single" w:sz="8" w:color="808080"/>
            </w:tcBorders>
          </w:tcPr>
          <w:p>
            <w:pPr>
              <w:spacing w:after="0"/>
              <w:rPr>
                <w:sz w:val="10"/>
                <w:szCs w:val="10"/>
                <w:color w:val="auto"/>
              </w:rPr>
            </w:pPr>
          </w:p>
        </w:tc>
        <w:tc>
          <w:tcPr>
            <w:tcW w:w="700" w:type="dxa"/>
            <w:vAlign w:val="bottom"/>
            <w:tcBorders>
              <w:top w:val="single" w:sz="8" w:color="0000EE"/>
              <w:bottom w:val="single" w:sz="8" w:color="808080"/>
            </w:tcBorders>
          </w:tcPr>
          <w:p>
            <w:pPr>
              <w:spacing w:after="0"/>
              <w:rPr>
                <w:sz w:val="10"/>
                <w:szCs w:val="10"/>
                <w:color w:val="auto"/>
              </w:rPr>
            </w:pPr>
          </w:p>
        </w:tc>
        <w:tc>
          <w:tcPr>
            <w:tcW w:w="36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PROXY STATEMENT HIGHLIGHTS</w:t>
      </w:r>
    </w:p>
    <w:p>
      <w:pPr>
        <w:spacing w:after="0" w:line="208" w:lineRule="exact"/>
        <w:rPr>
          <w:sz w:val="20"/>
          <w:szCs w:val="20"/>
          <w:color w:val="auto"/>
        </w:rPr>
      </w:pPr>
    </w:p>
    <w:p>
      <w:pPr>
        <w:jc w:val="both"/>
        <w:ind w:right="240" w:firstLine="316"/>
        <w:spacing w:after="0" w:line="264"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(the "Proxy Statement"). This summary does not contain all of the information that you should consider, and you should read the entire Proxy Statement before voting. For information regarding Clearway Energy, Inc.'s 2019 performance, please review Clearway Energy, Inc.'s Annual Report on Form 10-K for the year ended December 31, 2019 (the "2019 Form 10-K").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ROADMAP OF VOTING MATTERS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Stockholders are being asked to vote on the following matters at the 2020 Annual Meeting of Stockholders (the "Annual Meeting"):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2"/>
              </w:rPr>
              <w:t>Board</w:t>
            </w:r>
          </w:p>
        </w:tc>
        <w:tc>
          <w:tcPr>
            <w:tcW w:w="0" w:type="dxa"/>
            <w:vAlign w:val="bottom"/>
          </w:tcPr>
          <w:p>
            <w:pPr>
              <w:spacing w:after="0"/>
              <w:rPr>
                <w:sz w:val="1"/>
                <w:szCs w:val="1"/>
                <w:color w:val="auto"/>
              </w:rPr>
            </w:pPr>
          </w:p>
        </w:tc>
      </w:tr>
      <w:tr>
        <w:trPr>
          <w:trHeight w:val="146"/>
        </w:trPr>
        <w:tc>
          <w:tcPr>
            <w:tcW w:w="9700" w:type="dxa"/>
            <w:vAlign w:val="bottom"/>
            <w:vMerge w:val="restart"/>
          </w:tcPr>
          <w:p>
            <w:pPr>
              <w:spacing w:after="0"/>
              <w:rPr>
                <w:sz w:val="20"/>
                <w:szCs w:val="20"/>
                <w:color w:val="auto"/>
              </w:rPr>
            </w:pPr>
            <w:r>
              <w:rPr>
                <w:rFonts w:ascii="Arial" w:cs="Arial" w:eastAsia="Arial" w:hAnsi="Arial"/>
                <w:sz w:val="16"/>
                <w:szCs w:val="16"/>
                <w:b w:val="1"/>
                <w:bCs w:val="1"/>
                <w:color w:val="auto"/>
              </w:rPr>
              <w:t>Proposal 1. Election of Directors (page 13)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Recommendation</w:t>
            </w:r>
          </w:p>
        </w:tc>
        <w:tc>
          <w:tcPr>
            <w:tcW w:w="0" w:type="dxa"/>
            <w:vAlign w:val="bottom"/>
          </w:tcPr>
          <w:p>
            <w:pPr>
              <w:spacing w:after="0"/>
              <w:rPr>
                <w:sz w:val="1"/>
                <w:szCs w:val="1"/>
                <w:color w:val="auto"/>
              </w:rPr>
            </w:pPr>
          </w:p>
        </w:tc>
      </w:tr>
      <w:tr>
        <w:trPr>
          <w:trHeight w:val="184"/>
        </w:trPr>
        <w:tc>
          <w:tcPr>
            <w:tcW w:w="9700" w:type="dxa"/>
            <w:vAlign w:val="bottom"/>
            <w:vMerge w:val="continue"/>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406"/>
        </w:trPr>
        <w:tc>
          <w:tcPr>
            <w:tcW w:w="9700" w:type="dxa"/>
            <w:vAlign w:val="bottom"/>
          </w:tcPr>
          <w:p>
            <w:pPr>
              <w:spacing w:after="0"/>
              <w:rPr>
                <w:sz w:val="20"/>
                <w:szCs w:val="20"/>
                <w:color w:val="auto"/>
              </w:rPr>
            </w:pPr>
            <w:r>
              <w:rPr>
                <w:rFonts w:ascii="Arial" w:cs="Arial" w:eastAsia="Arial" w:hAnsi="Arial"/>
                <w:sz w:val="16"/>
                <w:szCs w:val="16"/>
                <w:color w:val="auto"/>
                <w:w w:val="94"/>
              </w:rPr>
              <w:t>The Board of Directors (the "Board") and the Corporate Governance, Conflicts and Nominating Committee believe that the nine director nominees</w:t>
            </w: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700" w:type="dxa"/>
            <w:vAlign w:val="bottom"/>
          </w:tcPr>
          <w:p>
            <w:pPr>
              <w:spacing w:after="0"/>
              <w:rPr>
                <w:sz w:val="20"/>
                <w:szCs w:val="20"/>
                <w:color w:val="auto"/>
              </w:rPr>
            </w:pPr>
            <w:r>
              <w:rPr>
                <w:rFonts w:ascii="Arial" w:cs="Arial" w:eastAsia="Arial" w:hAnsi="Arial"/>
                <w:sz w:val="16"/>
                <w:szCs w:val="16"/>
                <w:color w:val="auto"/>
                <w:w w:val="92"/>
              </w:rPr>
              <w:t>possess the necessary qualifications, attributes, skills and experience to provide advice and counsel to the Company's management and effectively</w:t>
            </w:r>
          </w:p>
        </w:tc>
        <w:tc>
          <w:tcPr>
            <w:tcW w:w="1560" w:type="dxa"/>
            <w:vAlign w:val="bottom"/>
          </w:tcPr>
          <w:p>
            <w:pPr>
              <w:jc w:val="center"/>
              <w:spacing w:after="0"/>
              <w:rPr>
                <w:sz w:val="20"/>
                <w:szCs w:val="20"/>
                <w:color w:val="auto"/>
              </w:rPr>
            </w:pPr>
            <w:r>
              <w:rPr>
                <w:rFonts w:ascii="Arial" w:cs="Arial" w:eastAsia="Arial" w:hAnsi="Arial"/>
                <w:sz w:val="16"/>
                <w:szCs w:val="16"/>
                <w:color w:val="auto"/>
                <w:w w:val="88"/>
              </w:rPr>
              <w:t>each director nominee</w:t>
            </w:r>
          </w:p>
        </w:tc>
        <w:tc>
          <w:tcPr>
            <w:tcW w:w="0" w:type="dxa"/>
            <w:vAlign w:val="bottom"/>
          </w:tcPr>
          <w:p>
            <w:pPr>
              <w:spacing w:after="0"/>
              <w:rPr>
                <w:sz w:val="1"/>
                <w:szCs w:val="1"/>
                <w:color w:val="auto"/>
              </w:rPr>
            </w:pPr>
          </w:p>
        </w:tc>
      </w:tr>
      <w:tr>
        <w:trPr>
          <w:trHeight w:val="201"/>
        </w:trPr>
        <w:tc>
          <w:tcPr>
            <w:tcW w:w="9700" w:type="dxa"/>
            <w:vAlign w:val="bottom"/>
          </w:tcPr>
          <w:p>
            <w:pPr>
              <w:spacing w:after="0"/>
              <w:rPr>
                <w:sz w:val="20"/>
                <w:szCs w:val="20"/>
                <w:color w:val="auto"/>
              </w:rPr>
            </w:pPr>
            <w:r>
              <w:rPr>
                <w:rFonts w:ascii="Arial" w:cs="Arial" w:eastAsia="Arial" w:hAnsi="Arial"/>
                <w:sz w:val="16"/>
                <w:szCs w:val="16"/>
                <w:color w:val="auto"/>
              </w:rPr>
              <w:t>oversee the business and the long-term interests of our stockholders.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9700" w:type="dxa"/>
            <w:vAlign w:val="bottom"/>
          </w:tcPr>
          <w:p>
            <w:pPr>
              <w:spacing w:after="0"/>
              <w:rPr>
                <w:sz w:val="20"/>
                <w:szCs w:val="20"/>
                <w:color w:val="auto"/>
              </w:rPr>
            </w:pPr>
            <w:r>
              <w:rPr>
                <w:rFonts w:ascii="Arial" w:cs="Arial" w:eastAsia="Arial" w:hAnsi="Arial"/>
                <w:sz w:val="16"/>
                <w:szCs w:val="16"/>
                <w:b w:val="1"/>
                <w:bCs w:val="1"/>
                <w:color w:val="auto"/>
                <w:w w:val="93"/>
              </w:rPr>
              <w:t>Proposal 2. Approval of the Amended and Restated Certificate of Incorporation (the "Amended and Restated Certificate of Incorporation</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700" w:type="dxa"/>
            <w:vAlign w:val="bottom"/>
          </w:tcPr>
          <w:p>
            <w:pPr>
              <w:spacing w:after="0"/>
              <w:rPr>
                <w:sz w:val="20"/>
                <w:szCs w:val="20"/>
                <w:color w:val="auto"/>
              </w:rPr>
            </w:pPr>
            <w:r>
              <w:rPr>
                <w:rFonts w:ascii="Arial" w:cs="Arial" w:eastAsia="Arial" w:hAnsi="Arial"/>
                <w:sz w:val="16"/>
                <w:szCs w:val="16"/>
                <w:b w:val="1"/>
                <w:bCs w:val="1"/>
                <w:color w:val="auto"/>
              </w:rPr>
              <w:t>Proposal") (page 21)</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9700" w:type="dxa"/>
            <w:vAlign w:val="bottom"/>
          </w:tcPr>
          <w:p>
            <w:pPr>
              <w:spacing w:after="0"/>
              <w:rPr>
                <w:sz w:val="20"/>
                <w:szCs w:val="20"/>
                <w:color w:val="auto"/>
              </w:rPr>
            </w:pPr>
            <w:r>
              <w:rPr>
                <w:rFonts w:ascii="Arial" w:cs="Arial" w:eastAsia="Arial" w:hAnsi="Arial"/>
                <w:sz w:val="16"/>
                <w:szCs w:val="16"/>
                <w:color w:val="auto"/>
                <w:w w:val="92"/>
              </w:rPr>
              <w:t>The Board seeks approval of the amendment and restatement of Clearway Energy, Inc.'s restated certificate of incorporation, as amended, to make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201"/>
        </w:trPr>
        <w:tc>
          <w:tcPr>
            <w:tcW w:w="9700" w:type="dxa"/>
            <w:vAlign w:val="bottom"/>
          </w:tcPr>
          <w:p>
            <w:pPr>
              <w:spacing w:after="0"/>
              <w:rPr>
                <w:sz w:val="20"/>
                <w:szCs w:val="20"/>
                <w:color w:val="auto"/>
              </w:rPr>
            </w:pPr>
            <w:r>
              <w:rPr>
                <w:rFonts w:ascii="Arial" w:cs="Arial" w:eastAsia="Arial" w:hAnsi="Arial"/>
                <w:sz w:val="16"/>
                <w:szCs w:val="16"/>
                <w:color w:val="auto"/>
                <w:w w:val="99"/>
              </w:rPr>
              <w:t>certain technical changes, including changes resulting from the GIP Transaction (as defined below) as described in this Proxy Statement.</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9700" w:type="dxa"/>
            <w:vAlign w:val="bottom"/>
          </w:tcPr>
          <w:p>
            <w:pPr>
              <w:spacing w:after="0"/>
              <w:rPr>
                <w:sz w:val="20"/>
                <w:szCs w:val="20"/>
                <w:color w:val="auto"/>
              </w:rPr>
            </w:pPr>
            <w:r>
              <w:rPr>
                <w:rFonts w:ascii="Arial" w:cs="Arial" w:eastAsia="Arial" w:hAnsi="Arial"/>
                <w:sz w:val="16"/>
                <w:szCs w:val="16"/>
                <w:b w:val="1"/>
                <w:bCs w:val="1"/>
                <w:color w:val="auto"/>
                <w:w w:val="94"/>
              </w:rPr>
              <w:t>Proposal 3. Approval, on a non-binding advisory basis, of Clearway Energy, Inc.'s executive compensation (the "Say on Pay Proposal")</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700" w:type="dxa"/>
            <w:vAlign w:val="bottom"/>
          </w:tcPr>
          <w:p>
            <w:pPr>
              <w:spacing w:after="0"/>
              <w:rPr>
                <w:sz w:val="20"/>
                <w:szCs w:val="20"/>
                <w:color w:val="auto"/>
              </w:rPr>
            </w:pPr>
            <w:r>
              <w:rPr>
                <w:rFonts w:ascii="Arial" w:cs="Arial" w:eastAsia="Arial" w:hAnsi="Arial"/>
                <w:sz w:val="16"/>
                <w:szCs w:val="16"/>
                <w:b w:val="1"/>
                <w:bCs w:val="1"/>
                <w:color w:val="auto"/>
              </w:rPr>
              <w:t>(page 23)</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9700" w:type="dxa"/>
            <w:vAlign w:val="bottom"/>
          </w:tcPr>
          <w:p>
            <w:pPr>
              <w:spacing w:after="0"/>
              <w:rPr>
                <w:sz w:val="20"/>
                <w:szCs w:val="20"/>
                <w:color w:val="auto"/>
              </w:rPr>
            </w:pPr>
            <w:r>
              <w:rPr>
                <w:rFonts w:ascii="Arial" w:cs="Arial" w:eastAsia="Arial" w:hAnsi="Arial"/>
                <w:sz w:val="16"/>
                <w:szCs w:val="16"/>
                <w:color w:val="auto"/>
                <w:w w:val="95"/>
              </w:rPr>
              <w:t>The Company seeks a non-binding advisory vote to approve the compensation of its named executive officers (the "NEOs") as described in the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94"/>
        </w:trPr>
        <w:tc>
          <w:tcPr>
            <w:tcW w:w="9700" w:type="dxa"/>
            <w:vAlign w:val="bottom"/>
          </w:tcPr>
          <w:p>
            <w:pPr>
              <w:spacing w:after="0"/>
              <w:rPr>
                <w:sz w:val="20"/>
                <w:szCs w:val="20"/>
                <w:color w:val="auto"/>
              </w:rPr>
            </w:pPr>
            <w:r>
              <w:rPr>
                <w:rFonts w:ascii="Arial" w:cs="Arial" w:eastAsia="Arial" w:hAnsi="Arial"/>
                <w:sz w:val="16"/>
                <w:szCs w:val="16"/>
                <w:color w:val="auto"/>
                <w:w w:val="93"/>
              </w:rPr>
              <w:t>Compensation Discussion and Analysis (the "CD&amp;A") beginning on page 39 and the compensation tables and respective narrative discussion. The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700" w:type="dxa"/>
            <w:vAlign w:val="bottom"/>
          </w:tcPr>
          <w:p>
            <w:pPr>
              <w:spacing w:after="0"/>
              <w:rPr>
                <w:sz w:val="20"/>
                <w:szCs w:val="20"/>
                <w:color w:val="auto"/>
              </w:rPr>
            </w:pPr>
            <w:r>
              <w:rPr>
                <w:rFonts w:ascii="Arial" w:cs="Arial" w:eastAsia="Arial" w:hAnsi="Arial"/>
                <w:sz w:val="16"/>
                <w:szCs w:val="16"/>
                <w:color w:val="auto"/>
                <w:w w:val="97"/>
              </w:rPr>
              <w:t>Board values stockholders' opinions, and the Compensation Committee will take into account the outcome of the Say on Pay Proposal when</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700" w:type="dxa"/>
            <w:vAlign w:val="bottom"/>
          </w:tcPr>
          <w:p>
            <w:pPr>
              <w:spacing w:after="0"/>
              <w:rPr>
                <w:sz w:val="20"/>
                <w:szCs w:val="20"/>
                <w:color w:val="auto"/>
              </w:rPr>
            </w:pPr>
            <w:r>
              <w:rPr>
                <w:rFonts w:ascii="Arial" w:cs="Arial" w:eastAsia="Arial" w:hAnsi="Arial"/>
                <w:sz w:val="16"/>
                <w:szCs w:val="16"/>
                <w:color w:val="auto"/>
              </w:rPr>
              <w:t>considering future executive compensation decisions.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9700" w:type="dxa"/>
            <w:vAlign w:val="bottom"/>
          </w:tcPr>
          <w:p>
            <w:pPr>
              <w:spacing w:after="0"/>
              <w:rPr>
                <w:sz w:val="20"/>
                <w:szCs w:val="20"/>
                <w:color w:val="auto"/>
              </w:rPr>
            </w:pPr>
            <w:r>
              <w:rPr>
                <w:rFonts w:ascii="Arial" w:cs="Arial" w:eastAsia="Arial" w:hAnsi="Arial"/>
                <w:sz w:val="16"/>
                <w:szCs w:val="16"/>
                <w:b w:val="1"/>
                <w:bCs w:val="1"/>
                <w:color w:val="auto"/>
                <w:w w:val="92"/>
              </w:rPr>
              <w:t>Proposal 4. Ratification of the appointment of KPMG LLP as Clearway Energy, Inc.'s independent registered public accounting firm for the</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700" w:type="dxa"/>
            <w:vAlign w:val="bottom"/>
          </w:tcPr>
          <w:p>
            <w:pPr>
              <w:spacing w:after="0"/>
              <w:rPr>
                <w:sz w:val="20"/>
                <w:szCs w:val="20"/>
                <w:color w:val="auto"/>
              </w:rPr>
            </w:pPr>
            <w:r>
              <w:rPr>
                <w:rFonts w:ascii="Arial" w:cs="Arial" w:eastAsia="Arial" w:hAnsi="Arial"/>
                <w:sz w:val="16"/>
                <w:szCs w:val="16"/>
                <w:b w:val="1"/>
                <w:bCs w:val="1"/>
                <w:color w:val="auto"/>
              </w:rPr>
              <w:t>2020 fiscal year (the "Ratification of KPMG LLP's Appointment Proposal") (page 24)</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9700" w:type="dxa"/>
            <w:vAlign w:val="bottom"/>
          </w:tcPr>
          <w:p>
            <w:pPr>
              <w:spacing w:after="0"/>
              <w:rPr>
                <w:sz w:val="20"/>
                <w:szCs w:val="20"/>
                <w:color w:val="auto"/>
              </w:rPr>
            </w:pPr>
            <w:r>
              <w:rPr>
                <w:rFonts w:ascii="Arial" w:cs="Arial" w:eastAsia="Arial" w:hAnsi="Arial"/>
                <w:sz w:val="16"/>
                <w:szCs w:val="16"/>
                <w:color w:val="auto"/>
                <w:w w:val="92"/>
              </w:rPr>
              <w:t>The Audit Committee and the Board believe that the retention of KPMG LLP as the Company's independent registered public accounting firm for the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94"/>
        </w:trPr>
        <w:tc>
          <w:tcPr>
            <w:tcW w:w="9700" w:type="dxa"/>
            <w:vAlign w:val="bottom"/>
          </w:tcPr>
          <w:p>
            <w:pPr>
              <w:spacing w:after="0"/>
              <w:rPr>
                <w:sz w:val="20"/>
                <w:szCs w:val="20"/>
                <w:color w:val="auto"/>
              </w:rPr>
            </w:pPr>
            <w:r>
              <w:rPr>
                <w:rFonts w:ascii="Arial" w:cs="Arial" w:eastAsia="Arial" w:hAnsi="Arial"/>
                <w:sz w:val="16"/>
                <w:szCs w:val="16"/>
                <w:color w:val="auto"/>
                <w:w w:val="89"/>
              </w:rPr>
              <w:t>2020 fiscal year is in the best interests of the Company and its stockholders. As a matter of good corporate governance, stockholders are being asked to</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700" w:type="dxa"/>
            <w:vAlign w:val="bottom"/>
          </w:tcPr>
          <w:p>
            <w:pPr>
              <w:spacing w:after="0"/>
              <w:rPr>
                <w:sz w:val="20"/>
                <w:szCs w:val="20"/>
                <w:color w:val="auto"/>
              </w:rPr>
            </w:pPr>
            <w:r>
              <w:rPr>
                <w:rFonts w:ascii="Arial" w:cs="Arial" w:eastAsia="Arial" w:hAnsi="Arial"/>
                <w:sz w:val="16"/>
                <w:szCs w:val="16"/>
                <w:color w:val="auto"/>
              </w:rPr>
              <w:t>ratify the Audit Committee's selection of KPMG LLP.</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7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HIGHLIGHTS</w:t>
      </w:r>
    </w:p>
    <w:p>
      <w:pPr>
        <w:spacing w:after="0" w:line="208" w:lineRule="exact"/>
        <w:rPr>
          <w:sz w:val="20"/>
          <w:szCs w:val="20"/>
          <w:color w:val="auto"/>
        </w:rPr>
      </w:pPr>
    </w:p>
    <w:p>
      <w:pPr>
        <w:ind w:firstLine="313"/>
        <w:spacing w:after="0" w:line="264" w:lineRule="auto"/>
        <w:rPr>
          <w:sz w:val="20"/>
          <w:szCs w:val="20"/>
          <w:color w:val="auto"/>
        </w:rPr>
      </w:pPr>
      <w:r>
        <w:rPr>
          <w:rFonts w:ascii="Arial" w:cs="Arial" w:eastAsia="Arial" w:hAnsi="Arial"/>
          <w:sz w:val="16"/>
          <w:szCs w:val="16"/>
          <w:color w:val="auto"/>
        </w:rPr>
        <w:t>We are committed to maintaining high standards of corporate governance, which promote the long-term interests of our stockholders, strengthen Board and management accountability and help build public trust in the Company. The "Governance of the Company" section beginning on page 4 describes our corporate governance framework, which includes the following highlights:</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201"/>
        </w:trPr>
        <w:tc>
          <w:tcPr>
            <w:tcW w:w="4220" w:type="dxa"/>
            <w:vAlign w:val="bottom"/>
            <w:gridSpan w:val="2"/>
          </w:tcPr>
          <w:p>
            <w:pPr>
              <w:spacing w:after="0"/>
              <w:rPr>
                <w:sz w:val="20"/>
                <w:szCs w:val="20"/>
                <w:color w:val="auto"/>
              </w:rPr>
            </w:pPr>
            <w:r>
              <w:rPr>
                <w:rFonts w:ascii="Arial" w:cs="Arial" w:eastAsia="Arial" w:hAnsi="Arial"/>
                <w:sz w:val="16"/>
                <w:szCs w:val="16"/>
                <w:color w:val="auto"/>
              </w:rPr>
              <w:t>•  Separate Chairman and Chief Executive Officer</w:t>
            </w:r>
          </w:p>
        </w:tc>
        <w:tc>
          <w:tcPr>
            <w:tcW w:w="580" w:type="dxa"/>
            <w:vAlign w:val="bottom"/>
          </w:tcPr>
          <w:p>
            <w:pPr>
              <w:ind w:left="480"/>
              <w:spacing w:after="0"/>
              <w:rPr>
                <w:sz w:val="20"/>
                <w:szCs w:val="20"/>
                <w:color w:val="auto"/>
              </w:rPr>
            </w:pPr>
            <w:r>
              <w:rPr>
                <w:rFonts w:ascii="Arial" w:cs="Arial" w:eastAsia="Arial" w:hAnsi="Arial"/>
                <w:sz w:val="16"/>
                <w:szCs w:val="16"/>
                <w:color w:val="auto"/>
              </w:rPr>
              <w:t>•</w:t>
            </w:r>
          </w:p>
        </w:tc>
        <w:tc>
          <w:tcPr>
            <w:tcW w:w="3520" w:type="dxa"/>
            <w:vAlign w:val="bottom"/>
          </w:tcPr>
          <w:p>
            <w:pPr>
              <w:ind w:left="60"/>
              <w:spacing w:after="0"/>
              <w:rPr>
                <w:sz w:val="20"/>
                <w:szCs w:val="20"/>
                <w:color w:val="auto"/>
              </w:rPr>
            </w:pPr>
            <w:r>
              <w:rPr>
                <w:rFonts w:ascii="Arial" w:cs="Arial" w:eastAsia="Arial" w:hAnsi="Arial"/>
                <w:sz w:val="16"/>
                <w:szCs w:val="16"/>
                <w:color w:val="auto"/>
              </w:rPr>
              <w:t>Lead Independent Director</w:t>
            </w:r>
          </w:p>
        </w:tc>
      </w:tr>
      <w:tr>
        <w:trPr>
          <w:trHeight w:val="388"/>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4100" w:type="dxa"/>
            <w:vAlign w:val="bottom"/>
          </w:tcPr>
          <w:p>
            <w:pPr>
              <w:ind w:left="40"/>
              <w:spacing w:after="0"/>
              <w:rPr>
                <w:sz w:val="20"/>
                <w:szCs w:val="20"/>
                <w:color w:val="auto"/>
              </w:rPr>
            </w:pPr>
            <w:r>
              <w:rPr>
                <w:rFonts w:ascii="Arial" w:cs="Arial" w:eastAsia="Arial" w:hAnsi="Arial"/>
                <w:sz w:val="16"/>
                <w:szCs w:val="16"/>
                <w:color w:val="auto"/>
              </w:rPr>
              <w:t>9 director nominees</w:t>
            </w:r>
          </w:p>
        </w:tc>
        <w:tc>
          <w:tcPr>
            <w:tcW w:w="4100" w:type="dxa"/>
            <w:vAlign w:val="bottom"/>
            <w:gridSpan w:val="2"/>
          </w:tcPr>
          <w:p>
            <w:pPr>
              <w:ind w:left="480"/>
              <w:spacing w:after="0"/>
              <w:rPr>
                <w:sz w:val="20"/>
                <w:szCs w:val="20"/>
                <w:color w:val="auto"/>
              </w:rPr>
            </w:pPr>
            <w:r>
              <w:rPr>
                <w:rFonts w:ascii="Arial" w:cs="Arial" w:eastAsia="Arial" w:hAnsi="Arial"/>
                <w:sz w:val="16"/>
                <w:szCs w:val="16"/>
                <w:color w:val="auto"/>
              </w:rPr>
              <w:t>•  Independent audit and governance committees</w:t>
            </w:r>
          </w:p>
        </w:tc>
      </w:tr>
      <w:tr>
        <w:trPr>
          <w:trHeight w:val="388"/>
        </w:trPr>
        <w:tc>
          <w:tcPr>
            <w:tcW w:w="4220" w:type="dxa"/>
            <w:vAlign w:val="bottom"/>
            <w:gridSpan w:val="2"/>
          </w:tcPr>
          <w:p>
            <w:pPr>
              <w:spacing w:after="0"/>
              <w:rPr>
                <w:sz w:val="20"/>
                <w:szCs w:val="20"/>
                <w:color w:val="auto"/>
              </w:rPr>
            </w:pPr>
            <w:r>
              <w:rPr>
                <w:rFonts w:ascii="Arial" w:cs="Arial" w:eastAsia="Arial" w:hAnsi="Arial"/>
                <w:sz w:val="16"/>
                <w:szCs w:val="16"/>
                <w:color w:val="auto"/>
              </w:rPr>
              <w:t>•  4 independent director nominees</w:t>
            </w:r>
          </w:p>
        </w:tc>
        <w:tc>
          <w:tcPr>
            <w:tcW w:w="4100" w:type="dxa"/>
            <w:vAlign w:val="bottom"/>
            <w:gridSpan w:val="2"/>
          </w:tcPr>
          <w:p>
            <w:pPr>
              <w:ind w:left="480"/>
              <w:spacing w:after="0"/>
              <w:rPr>
                <w:sz w:val="20"/>
                <w:szCs w:val="20"/>
                <w:color w:val="auto"/>
              </w:rPr>
            </w:pPr>
            <w:r>
              <w:rPr>
                <w:rFonts w:ascii="Arial" w:cs="Arial" w:eastAsia="Arial" w:hAnsi="Arial"/>
                <w:sz w:val="16"/>
                <w:szCs w:val="16"/>
                <w:color w:val="auto"/>
                <w:w w:val="93"/>
              </w:rPr>
              <w:t>•  Regular executive sessions of independent directors</w:t>
            </w:r>
          </w:p>
        </w:tc>
      </w:tr>
      <w:tr>
        <w:trPr>
          <w:trHeight w:val="388"/>
        </w:trPr>
        <w:tc>
          <w:tcPr>
            <w:tcW w:w="4220" w:type="dxa"/>
            <w:vAlign w:val="bottom"/>
            <w:gridSpan w:val="2"/>
          </w:tcPr>
          <w:p>
            <w:pPr>
              <w:spacing w:after="0"/>
              <w:rPr>
                <w:sz w:val="20"/>
                <w:szCs w:val="20"/>
                <w:color w:val="auto"/>
              </w:rPr>
            </w:pPr>
            <w:r>
              <w:rPr>
                <w:rFonts w:ascii="Arial" w:cs="Arial" w:eastAsia="Arial" w:hAnsi="Arial"/>
                <w:sz w:val="16"/>
                <w:szCs w:val="16"/>
                <w:color w:val="auto"/>
              </w:rPr>
              <w:t>•  Risk oversight by full Board and committees</w:t>
            </w:r>
          </w:p>
        </w:tc>
        <w:tc>
          <w:tcPr>
            <w:tcW w:w="4100" w:type="dxa"/>
            <w:vAlign w:val="bottom"/>
            <w:gridSpan w:val="2"/>
          </w:tcPr>
          <w:p>
            <w:pPr>
              <w:ind w:left="480"/>
              <w:spacing w:after="0"/>
              <w:rPr>
                <w:sz w:val="20"/>
                <w:szCs w:val="20"/>
                <w:color w:val="auto"/>
              </w:rPr>
            </w:pPr>
            <w:r>
              <w:rPr>
                <w:rFonts w:ascii="Arial" w:cs="Arial" w:eastAsia="Arial" w:hAnsi="Arial"/>
                <w:sz w:val="16"/>
                <w:szCs w:val="16"/>
                <w:color w:val="auto"/>
              </w:rPr>
              <w:t>•  Anti-hedging and anti-pledging policies</w:t>
            </w:r>
          </w:p>
        </w:tc>
      </w:tr>
      <w:tr>
        <w:trPr>
          <w:trHeight w:val="388"/>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4100" w:type="dxa"/>
            <w:vAlign w:val="bottom"/>
          </w:tcPr>
          <w:p>
            <w:pPr>
              <w:ind w:left="40"/>
              <w:spacing w:after="0"/>
              <w:rPr>
                <w:sz w:val="20"/>
                <w:szCs w:val="20"/>
                <w:color w:val="auto"/>
              </w:rPr>
            </w:pPr>
            <w:r>
              <w:rPr>
                <w:rFonts w:ascii="Arial" w:cs="Arial" w:eastAsia="Arial" w:hAnsi="Arial"/>
                <w:sz w:val="16"/>
                <w:szCs w:val="16"/>
                <w:color w:val="auto"/>
              </w:rPr>
              <w:t>Annual self-evaluation of full Board and each committee</w:t>
            </w:r>
          </w:p>
        </w:tc>
        <w:tc>
          <w:tcPr>
            <w:tcW w:w="580" w:type="dxa"/>
            <w:vAlign w:val="bottom"/>
          </w:tcPr>
          <w:p>
            <w:pPr>
              <w:ind w:left="480"/>
              <w:spacing w:after="0"/>
              <w:rPr>
                <w:sz w:val="20"/>
                <w:szCs w:val="20"/>
                <w:color w:val="auto"/>
              </w:rPr>
            </w:pPr>
            <w:r>
              <w:rPr>
                <w:rFonts w:ascii="Arial" w:cs="Arial" w:eastAsia="Arial" w:hAnsi="Arial"/>
                <w:sz w:val="16"/>
                <w:szCs w:val="16"/>
                <w:color w:val="auto"/>
              </w:rPr>
              <w:t>•</w:t>
            </w:r>
          </w:p>
        </w:tc>
        <w:tc>
          <w:tcPr>
            <w:tcW w:w="3520" w:type="dxa"/>
            <w:vAlign w:val="bottom"/>
          </w:tcPr>
          <w:p>
            <w:pPr>
              <w:ind w:left="60"/>
              <w:spacing w:after="0"/>
              <w:rPr>
                <w:sz w:val="20"/>
                <w:szCs w:val="20"/>
                <w:color w:val="auto"/>
              </w:rPr>
            </w:pPr>
            <w:r>
              <w:rPr>
                <w:rFonts w:ascii="Arial" w:cs="Arial" w:eastAsia="Arial" w:hAnsi="Arial"/>
                <w:sz w:val="16"/>
                <w:szCs w:val="16"/>
                <w:color w:val="auto"/>
                <w:w w:val="90"/>
              </w:rPr>
              <w:t>Director orientation and continuing education program</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NOMINEES</w:t>
      </w:r>
    </w:p>
    <w:p>
      <w:pPr>
        <w:spacing w:after="0" w:line="28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Other Public</w:t>
            </w:r>
          </w:p>
        </w:tc>
        <w:tc>
          <w:tcPr>
            <w:tcW w:w="200" w:type="dxa"/>
            <w:vAlign w:val="bottom"/>
          </w:tcPr>
          <w:p>
            <w:pPr>
              <w:spacing w:after="0"/>
              <w:rPr>
                <w:sz w:val="12"/>
                <w:szCs w:val="12"/>
                <w:color w:val="auto"/>
              </w:rPr>
            </w:pPr>
          </w:p>
        </w:tc>
        <w:tc>
          <w:tcPr>
            <w:tcW w:w="800" w:type="dxa"/>
            <w:vAlign w:val="bottom"/>
            <w:gridSpan w:val="4"/>
          </w:tcPr>
          <w:p>
            <w:pPr>
              <w:jc w:val="center"/>
              <w:ind w:right="106"/>
              <w:spacing w:after="0"/>
              <w:rPr>
                <w:sz w:val="20"/>
                <w:szCs w:val="20"/>
                <w:color w:val="auto"/>
              </w:rPr>
            </w:pPr>
            <w:r>
              <w:rPr>
                <w:rFonts w:ascii="Arial" w:cs="Arial" w:eastAsia="Arial" w:hAnsi="Arial"/>
                <w:sz w:val="12"/>
                <w:szCs w:val="12"/>
                <w:b w:val="1"/>
                <w:bCs w:val="1"/>
                <w:color w:val="auto"/>
                <w:w w:val="93"/>
              </w:rPr>
              <w:t>Committee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5"/>
          </w:tcPr>
          <w:p>
            <w:pPr>
              <w:jc w:val="center"/>
              <w:spacing w:after="0" w:line="149" w:lineRule="exact"/>
              <w:rPr>
                <w:sz w:val="20"/>
                <w:szCs w:val="20"/>
                <w:color w:val="auto"/>
              </w:rPr>
            </w:pPr>
            <w:r>
              <w:rPr>
                <w:rFonts w:ascii="Arial" w:cs="Arial" w:eastAsia="Arial" w:hAnsi="Arial"/>
                <w:sz w:val="11"/>
                <w:szCs w:val="11"/>
                <w:b w:val="1"/>
                <w:bCs w:val="1"/>
                <w:color w:val="auto"/>
                <w:w w:val="96"/>
              </w:rPr>
              <w:t>Memberships</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vMerge w:val="restart"/>
          </w:tcPr>
          <w:p>
            <w:pPr>
              <w:jc w:val="center"/>
              <w:spacing w:after="0" w:line="96" w:lineRule="exact"/>
              <w:rPr>
                <w:sz w:val="20"/>
                <w:szCs w:val="20"/>
                <w:color w:val="auto"/>
              </w:rPr>
            </w:pPr>
            <w:r>
              <w:rPr>
                <w:rFonts w:ascii="Arial" w:cs="Arial" w:eastAsia="Arial" w:hAnsi="Arial"/>
                <w:sz w:val="11"/>
                <w:szCs w:val="11"/>
                <w:b w:val="1"/>
                <w:bCs w:val="1"/>
                <w:color w:val="auto"/>
                <w:w w:val="99"/>
              </w:rPr>
              <w:t>Director</w:t>
            </w: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restart"/>
          </w:tcPr>
          <w:p>
            <w:pPr>
              <w:jc w:val="center"/>
              <w:ind w:right="140"/>
              <w:spacing w:after="0" w:line="96" w:lineRule="exact"/>
              <w:rPr>
                <w:sz w:val="20"/>
                <w:szCs w:val="20"/>
                <w:color w:val="auto"/>
              </w:rPr>
            </w:pPr>
            <w:r>
              <w:rPr>
                <w:rFonts w:ascii="Arial" w:cs="Arial" w:eastAsia="Arial" w:hAnsi="Arial"/>
                <w:sz w:val="11"/>
                <w:szCs w:val="11"/>
                <w:b w:val="1"/>
                <w:bCs w:val="1"/>
                <w:color w:val="auto"/>
                <w:w w:val="99"/>
              </w:rPr>
              <w:t>Company</w:t>
            </w: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5100" w:type="dxa"/>
            <w:vAlign w:val="bottom"/>
            <w:gridSpan w:val="4"/>
          </w:tcPr>
          <w:p>
            <w:pPr>
              <w:spacing w:after="0"/>
              <w:rPr>
                <w:sz w:val="20"/>
                <w:szCs w:val="20"/>
                <w:color w:val="auto"/>
              </w:rPr>
            </w:pPr>
            <w:r>
              <w:rPr>
                <w:rFonts w:ascii="Arial" w:cs="Arial" w:eastAsia="Arial" w:hAnsi="Arial"/>
                <w:sz w:val="12"/>
                <w:szCs w:val="12"/>
                <w:b w:val="1"/>
                <w:bCs w:val="1"/>
                <w:color w:val="auto"/>
              </w:rPr>
              <w:t>Name, Primary Occupation</w:t>
            </w:r>
          </w:p>
        </w:tc>
        <w:tc>
          <w:tcPr>
            <w:tcW w:w="140" w:type="dxa"/>
            <w:vAlign w:val="bottom"/>
          </w:tcPr>
          <w:p>
            <w:pPr>
              <w:spacing w:after="0"/>
              <w:rPr>
                <w:sz w:val="12"/>
                <w:szCs w:val="12"/>
                <w:color w:val="auto"/>
              </w:rPr>
            </w:pPr>
          </w:p>
        </w:tc>
        <w:tc>
          <w:tcPr>
            <w:tcW w:w="3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Age</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81"/>
              </w:rPr>
              <w:t>Since</w:t>
            </w:r>
          </w:p>
        </w:tc>
        <w:tc>
          <w:tcPr>
            <w:tcW w:w="14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Independent</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Boards</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14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C</w:t>
            </w:r>
          </w:p>
        </w:tc>
        <w:tc>
          <w:tcPr>
            <w:tcW w:w="140" w:type="dxa"/>
            <w:vAlign w:val="bottom"/>
          </w:tcPr>
          <w:p>
            <w:pPr>
              <w:spacing w:after="0"/>
              <w:rPr>
                <w:sz w:val="12"/>
                <w:szCs w:val="12"/>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GCN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Jonathan Bram</w:t>
            </w:r>
          </w:p>
        </w:tc>
        <w:tc>
          <w:tcPr>
            <w:tcW w:w="36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4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4"/>
              </w:rPr>
              <w:t>2018</w:t>
            </w:r>
          </w:p>
        </w:tc>
        <w:tc>
          <w:tcPr>
            <w:tcW w:w="14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NO</w:t>
            </w:r>
          </w:p>
        </w:tc>
        <w:tc>
          <w:tcPr>
            <w:tcW w:w="1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1"/>
              </w:rPr>
              <w:t>0</w:t>
            </w: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ü</w:t>
            </w:r>
          </w:p>
        </w:tc>
        <w:tc>
          <w:tcPr>
            <w:tcW w:w="14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Chairman of the Board of the Company, Founding Partner of Global</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Infrastructure Partners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Nathaniel Anschuetz</w:t>
            </w:r>
          </w:p>
        </w:tc>
        <w:tc>
          <w:tcPr>
            <w:tcW w:w="38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32</w:t>
            </w:r>
          </w:p>
        </w:tc>
        <w:tc>
          <w:tcPr>
            <w:tcW w:w="1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84"/>
              </w:rPr>
              <w:t>2018</w:t>
            </w:r>
          </w:p>
        </w:tc>
        <w:tc>
          <w:tcPr>
            <w:tcW w:w="14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NO</w:t>
            </w:r>
          </w:p>
        </w:tc>
        <w:tc>
          <w:tcPr>
            <w:tcW w:w="740" w:type="dxa"/>
            <w:vAlign w:val="bottom"/>
          </w:tcPr>
          <w:p>
            <w:pPr>
              <w:jc w:val="center"/>
              <w:spacing w:after="0"/>
              <w:rPr>
                <w:sz w:val="20"/>
                <w:szCs w:val="20"/>
                <w:color w:val="auto"/>
              </w:rPr>
            </w:pPr>
            <w:r>
              <w:rPr>
                <w:rFonts w:ascii="Arial" w:cs="Arial" w:eastAsia="Arial" w:hAnsi="Arial"/>
                <w:sz w:val="15"/>
                <w:szCs w:val="15"/>
                <w:color w:val="auto"/>
                <w:w w:val="71"/>
              </w:rPr>
              <w:t>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i w:val="1"/>
                <w:iCs w:val="1"/>
                <w:color w:val="auto"/>
              </w:rPr>
              <w:t>Principal at Global Infrastructure Partners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80" w:type="dxa"/>
            <w:vAlign w:val="bottom"/>
            <w:gridSpan w:val="3"/>
            <w:shd w:val="clear" w:color="auto" w:fill="CCEEFF"/>
          </w:tcPr>
          <w:p>
            <w:pPr>
              <w:spacing w:after="0" w:line="233" w:lineRule="exact"/>
              <w:rPr>
                <w:sz w:val="20"/>
                <w:szCs w:val="20"/>
                <w:color w:val="auto"/>
              </w:rPr>
            </w:pPr>
            <w:r>
              <w:rPr>
                <w:rFonts w:ascii="Arial" w:cs="Arial" w:eastAsia="Arial" w:hAnsi="Arial"/>
                <w:sz w:val="16"/>
                <w:szCs w:val="16"/>
                <w:b w:val="1"/>
                <w:bCs w:val="1"/>
                <w:color w:val="auto"/>
              </w:rPr>
              <w:t>Brian R. Ford</w:t>
            </w:r>
            <w:r>
              <w:rPr>
                <w:rFonts w:ascii="Arial" w:cs="Arial" w:eastAsia="Arial" w:hAnsi="Arial"/>
                <w:sz w:val="26"/>
                <w:szCs w:val="26"/>
                <w:b w:val="1"/>
                <w:bCs w:val="1"/>
                <w:color w:val="auto"/>
                <w:vertAlign w:val="superscript"/>
              </w:rPr>
              <w:t>(2)</w:t>
            </w:r>
          </w:p>
        </w:tc>
        <w:tc>
          <w:tcPr>
            <w:tcW w:w="380" w:type="dxa"/>
            <w:vAlign w:val="bottom"/>
            <w:gridSpan w:val="2"/>
            <w:shd w:val="clear" w:color="auto" w:fill="CCEEFF"/>
          </w:tcPr>
          <w:p>
            <w:pPr>
              <w:jc w:val="center"/>
              <w:ind w:left="61"/>
              <w:spacing w:after="0"/>
              <w:rPr>
                <w:sz w:val="20"/>
                <w:szCs w:val="20"/>
                <w:color w:val="auto"/>
              </w:rPr>
            </w:pPr>
            <w:r>
              <w:rPr>
                <w:rFonts w:ascii="Arial" w:cs="Arial" w:eastAsia="Arial" w:hAnsi="Arial"/>
                <w:sz w:val="16"/>
                <w:szCs w:val="16"/>
                <w:color w:val="auto"/>
                <w:w w:val="89"/>
              </w:rPr>
              <w:t>71</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2013</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YES</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ü</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ü</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w w:val="96"/>
              </w:rPr>
              <w:t>Former Chief Executive Officer of Washington Philadelphia Partners, LP</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Bruce MacLennan</w:t>
            </w:r>
          </w:p>
        </w:tc>
        <w:tc>
          <w:tcPr>
            <w:tcW w:w="38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53</w:t>
            </w:r>
          </w:p>
        </w:tc>
        <w:tc>
          <w:tcPr>
            <w:tcW w:w="1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84"/>
              </w:rPr>
              <w:t>2018</w:t>
            </w:r>
          </w:p>
        </w:tc>
        <w:tc>
          <w:tcPr>
            <w:tcW w:w="14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NO</w:t>
            </w:r>
          </w:p>
        </w:tc>
        <w:tc>
          <w:tcPr>
            <w:tcW w:w="740" w:type="dxa"/>
            <w:vAlign w:val="bottom"/>
          </w:tcPr>
          <w:p>
            <w:pPr>
              <w:jc w:val="center"/>
              <w:spacing w:after="0"/>
              <w:rPr>
                <w:sz w:val="20"/>
                <w:szCs w:val="20"/>
                <w:color w:val="auto"/>
              </w:rPr>
            </w:pPr>
            <w:r>
              <w:rPr>
                <w:rFonts w:ascii="Arial" w:cs="Arial" w:eastAsia="Arial" w:hAnsi="Arial"/>
                <w:sz w:val="15"/>
                <w:szCs w:val="15"/>
                <w:color w:val="auto"/>
                <w:w w:val="71"/>
              </w:rPr>
              <w:t>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i w:val="1"/>
                <w:iCs w:val="1"/>
                <w:color w:val="auto"/>
              </w:rPr>
              <w:t>Partner of Global Infrastructure Partners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Ferrell P. McClean</w:t>
            </w:r>
          </w:p>
        </w:tc>
        <w:tc>
          <w:tcPr>
            <w:tcW w:w="380" w:type="dxa"/>
            <w:vAlign w:val="bottom"/>
            <w:gridSpan w:val="2"/>
            <w:shd w:val="clear" w:color="auto" w:fill="CCEEFF"/>
          </w:tcPr>
          <w:p>
            <w:pPr>
              <w:jc w:val="center"/>
              <w:ind w:left="61"/>
              <w:spacing w:after="0"/>
              <w:rPr>
                <w:sz w:val="20"/>
                <w:szCs w:val="20"/>
                <w:color w:val="auto"/>
              </w:rPr>
            </w:pPr>
            <w:r>
              <w:rPr>
                <w:rFonts w:ascii="Arial" w:cs="Arial" w:eastAsia="Arial" w:hAnsi="Arial"/>
                <w:sz w:val="16"/>
                <w:szCs w:val="16"/>
                <w:color w:val="auto"/>
                <w:w w:val="89"/>
              </w:rPr>
              <w:t>73</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2013</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YES</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ü</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Former Managing Director at J.P. Morgan Chase &amp; Co.</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Daniel B. More</w:t>
            </w:r>
          </w:p>
        </w:tc>
        <w:tc>
          <w:tcPr>
            <w:tcW w:w="38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63</w:t>
            </w:r>
          </w:p>
        </w:tc>
        <w:tc>
          <w:tcPr>
            <w:tcW w:w="1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84"/>
              </w:rPr>
              <w:t>2019</w:t>
            </w:r>
          </w:p>
        </w:tc>
        <w:tc>
          <w:tcPr>
            <w:tcW w:w="14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YES</w:t>
            </w:r>
          </w:p>
        </w:tc>
        <w:tc>
          <w:tcPr>
            <w:tcW w:w="740" w:type="dxa"/>
            <w:vAlign w:val="bottom"/>
          </w:tcPr>
          <w:p>
            <w:pPr>
              <w:jc w:val="center"/>
              <w:spacing w:after="0"/>
              <w:rPr>
                <w:sz w:val="20"/>
                <w:szCs w:val="20"/>
                <w:color w:val="auto"/>
              </w:rPr>
            </w:pPr>
            <w:r>
              <w:rPr>
                <w:rFonts w:ascii="Arial" w:cs="Arial" w:eastAsia="Arial" w:hAnsi="Arial"/>
                <w:sz w:val="15"/>
                <w:szCs w:val="15"/>
                <w:color w:val="auto"/>
                <w:w w:val="71"/>
              </w:rPr>
              <w:t>1</w:t>
            </w:r>
          </w:p>
        </w:tc>
        <w:tc>
          <w:tcPr>
            <w:tcW w:w="140" w:type="dxa"/>
            <w:vAlign w:val="bottom"/>
          </w:tcPr>
          <w:p>
            <w:pPr>
              <w:spacing w:after="0"/>
              <w:rPr>
                <w:sz w:val="16"/>
                <w:szCs w:val="16"/>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ü</w:t>
            </w:r>
          </w:p>
        </w:tc>
        <w:tc>
          <w:tcPr>
            <w:tcW w:w="140" w:type="dxa"/>
            <w:vAlign w:val="bottom"/>
          </w:tcPr>
          <w:p>
            <w:pPr>
              <w:spacing w:after="0"/>
              <w:rPr>
                <w:sz w:val="16"/>
                <w:szCs w:val="16"/>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ü</w:t>
            </w:r>
          </w:p>
        </w:tc>
        <w:tc>
          <w:tcPr>
            <w:tcW w:w="14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ü</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i w:val="1"/>
                <w:iCs w:val="1"/>
                <w:color w:val="auto"/>
              </w:rPr>
              <w:t>Senior Advisor at Guggenheim Securities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E. Stanley O'Neal</w:t>
            </w:r>
          </w:p>
        </w:tc>
        <w:tc>
          <w:tcPr>
            <w:tcW w:w="380" w:type="dxa"/>
            <w:vAlign w:val="bottom"/>
            <w:gridSpan w:val="2"/>
            <w:shd w:val="clear" w:color="auto" w:fill="CCEEFF"/>
          </w:tcPr>
          <w:p>
            <w:pPr>
              <w:jc w:val="center"/>
              <w:ind w:left="61"/>
              <w:spacing w:after="0"/>
              <w:rPr>
                <w:sz w:val="20"/>
                <w:szCs w:val="20"/>
                <w:color w:val="auto"/>
              </w:rPr>
            </w:pPr>
            <w:r>
              <w:rPr>
                <w:rFonts w:ascii="Arial" w:cs="Arial" w:eastAsia="Arial" w:hAnsi="Arial"/>
                <w:sz w:val="16"/>
                <w:szCs w:val="16"/>
                <w:color w:val="auto"/>
                <w:w w:val="89"/>
              </w:rPr>
              <w:t>68</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YES</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ü</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ü</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Former Chairman of the Board and Chief Executive Officer of Merrill</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Lynch &amp; Co.</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Christopher S. Sotos</w:t>
            </w:r>
          </w:p>
        </w:tc>
        <w:tc>
          <w:tcPr>
            <w:tcW w:w="380" w:type="dxa"/>
            <w:vAlign w:val="bottom"/>
            <w:gridSpan w:val="2"/>
          </w:tcPr>
          <w:p>
            <w:pPr>
              <w:jc w:val="center"/>
              <w:ind w:left="61"/>
              <w:spacing w:after="0"/>
              <w:rPr>
                <w:sz w:val="20"/>
                <w:szCs w:val="20"/>
                <w:color w:val="auto"/>
              </w:rPr>
            </w:pPr>
            <w:r>
              <w:rPr>
                <w:rFonts w:ascii="Arial" w:cs="Arial" w:eastAsia="Arial" w:hAnsi="Arial"/>
                <w:sz w:val="16"/>
                <w:szCs w:val="16"/>
                <w:color w:val="auto"/>
                <w:w w:val="89"/>
              </w:rPr>
              <w:t>48</w:t>
            </w:r>
          </w:p>
        </w:tc>
        <w:tc>
          <w:tcPr>
            <w:tcW w:w="1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84"/>
              </w:rPr>
              <w:t>2013</w:t>
            </w:r>
          </w:p>
        </w:tc>
        <w:tc>
          <w:tcPr>
            <w:tcW w:w="14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NO</w:t>
            </w:r>
          </w:p>
        </w:tc>
        <w:tc>
          <w:tcPr>
            <w:tcW w:w="740" w:type="dxa"/>
            <w:vAlign w:val="bottom"/>
          </w:tcPr>
          <w:p>
            <w:pPr>
              <w:jc w:val="center"/>
              <w:spacing w:after="0"/>
              <w:rPr>
                <w:sz w:val="20"/>
                <w:szCs w:val="20"/>
                <w:color w:val="auto"/>
              </w:rPr>
            </w:pPr>
            <w:r>
              <w:rPr>
                <w:rFonts w:ascii="Arial" w:cs="Arial" w:eastAsia="Arial" w:hAnsi="Arial"/>
                <w:sz w:val="15"/>
                <w:szCs w:val="15"/>
                <w:color w:val="auto"/>
                <w:w w:val="71"/>
              </w:rPr>
              <w:t>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i w:val="1"/>
                <w:iCs w:val="1"/>
                <w:color w:val="auto"/>
              </w:rPr>
              <w:t>President and Chief Executive Officer of the Company</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Scott Stanley</w:t>
            </w:r>
          </w:p>
        </w:tc>
        <w:tc>
          <w:tcPr>
            <w:tcW w:w="380" w:type="dxa"/>
            <w:vAlign w:val="bottom"/>
            <w:gridSpan w:val="2"/>
            <w:shd w:val="clear" w:color="auto" w:fill="CCEEFF"/>
          </w:tcPr>
          <w:p>
            <w:pPr>
              <w:jc w:val="center"/>
              <w:ind w:left="61"/>
              <w:spacing w:after="0"/>
              <w:rPr>
                <w:sz w:val="20"/>
                <w:szCs w:val="20"/>
                <w:color w:val="auto"/>
              </w:rPr>
            </w:pPr>
            <w:r>
              <w:rPr>
                <w:rFonts w:ascii="Arial" w:cs="Arial" w:eastAsia="Arial" w:hAnsi="Arial"/>
                <w:sz w:val="16"/>
                <w:szCs w:val="16"/>
                <w:color w:val="auto"/>
                <w:w w:val="89"/>
              </w:rPr>
              <w:t>63</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NO</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Operating Partner of Global Infrastructure Partners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600" w:hanging="478"/>
        <w:spacing w:after="0" w:line="184" w:lineRule="exact"/>
        <w:tabs>
          <w:tab w:leader="none" w:pos="1600" w:val="left"/>
        </w:tabs>
        <w:numPr>
          <w:ilvl w:val="0"/>
          <w:numId w:val="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Chair ü Member</w:t>
      </w:r>
    </w:p>
    <w:p>
      <w:pPr>
        <w:spacing w:after="0" w:line="280" w:lineRule="exact"/>
        <w:rPr>
          <w:rFonts w:ascii="Arial" w:cs="Arial" w:eastAsia="Arial" w:hAnsi="Arial"/>
          <w:sz w:val="16"/>
          <w:szCs w:val="16"/>
          <w:color w:val="auto"/>
        </w:rPr>
      </w:pPr>
    </w:p>
    <w:p>
      <w:pPr>
        <w:ind w:left="1600"/>
        <w:spacing w:after="0"/>
        <w:rPr>
          <w:rFonts w:ascii="Arial" w:cs="Arial" w:eastAsia="Arial" w:hAnsi="Arial"/>
          <w:sz w:val="16"/>
          <w:szCs w:val="16"/>
          <w:color w:val="auto"/>
        </w:rPr>
      </w:pPr>
      <w:r>
        <w:rPr>
          <w:rFonts w:ascii="Arial" w:cs="Arial" w:eastAsia="Arial" w:hAnsi="Arial"/>
          <w:sz w:val="16"/>
          <w:szCs w:val="16"/>
          <w:color w:val="auto"/>
        </w:rPr>
        <w:t>A = Audit Committee; C = Compensation Committee; GCN = Corporate Governance, Conflicts and Nominating Committee</w:t>
      </w:r>
    </w:p>
    <w:p>
      <w:pPr>
        <w:spacing w:after="0" w:line="216" w:lineRule="exact"/>
        <w:rPr>
          <w:rFonts w:ascii="Arial" w:cs="Arial" w:eastAsia="Arial" w:hAnsi="Arial"/>
          <w:sz w:val="16"/>
          <w:szCs w:val="16"/>
          <w:color w:val="auto"/>
        </w:rPr>
      </w:pPr>
    </w:p>
    <w:p>
      <w:pPr>
        <w:ind w:left="1600" w:hanging="478"/>
        <w:spacing w:after="0"/>
        <w:tabs>
          <w:tab w:leader="none" w:pos="1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QUESTIONS AND ANSWERS</w:t>
      </w:r>
    </w:p>
    <w:p>
      <w:pPr>
        <w:spacing w:after="0" w:line="208" w:lineRule="exact"/>
        <w:rPr>
          <w:sz w:val="20"/>
          <w:szCs w:val="20"/>
          <w:color w:val="auto"/>
        </w:rPr>
      </w:pPr>
    </w:p>
    <w:p>
      <w:pPr>
        <w:ind w:firstLine="316"/>
        <w:spacing w:after="0" w:line="275" w:lineRule="auto"/>
        <w:rPr>
          <w:sz w:val="20"/>
          <w:szCs w:val="20"/>
          <w:color w:val="auto"/>
        </w:rPr>
      </w:pPr>
      <w:r>
        <w:rPr>
          <w:rFonts w:ascii="Arial" w:cs="Arial" w:eastAsia="Arial" w:hAnsi="Arial"/>
          <w:sz w:val="16"/>
          <w:szCs w:val="16"/>
          <w:color w:val="auto"/>
        </w:rPr>
        <w:t xml:space="preserve">Please see the Questions and Answers section beginning on page 61 for important information about the proxy materials, voting and the Annual Meeting. Additional questions may be directed to our proxy solicitor, MacKenzie Partners, Inc. at (800) 322-2885 or </w:t>
      </w:r>
      <w:r>
        <w:rPr>
          <w:rFonts w:ascii="Arial" w:cs="Arial" w:eastAsia="Arial" w:hAnsi="Arial"/>
          <w:sz w:val="16"/>
          <w:szCs w:val="16"/>
          <w:i w:val="1"/>
          <w:iCs w:val="1"/>
          <w:color w:val="auto"/>
        </w:rPr>
        <w:t>proxy@mackenziepartners.com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LEARN MORE ABOUT OUR COMPANY</w:t>
      </w:r>
    </w:p>
    <w:p>
      <w:pPr>
        <w:spacing w:after="0" w:line="208" w:lineRule="exact"/>
        <w:rPr>
          <w:sz w:val="20"/>
          <w:szCs w:val="20"/>
          <w:color w:val="auto"/>
        </w:rPr>
      </w:pPr>
    </w:p>
    <w:p>
      <w:pPr>
        <w:ind w:right="620" w:firstLine="310"/>
        <w:spacing w:after="0" w:line="275" w:lineRule="auto"/>
        <w:rPr>
          <w:sz w:val="20"/>
          <w:szCs w:val="20"/>
          <w:color w:val="auto"/>
        </w:rPr>
      </w:pPr>
      <w:r>
        <w:rPr>
          <w:rFonts w:ascii="Arial" w:cs="Arial" w:eastAsia="Arial" w:hAnsi="Arial"/>
          <w:sz w:val="16"/>
          <w:szCs w:val="16"/>
          <w:color w:val="auto"/>
        </w:rPr>
        <w:t xml:space="preserve">You can learn more about the Company and view our governance materials and much more by visiting the "Corporate Governance" section of our website, </w:t>
      </w:r>
      <w:r>
        <w:rPr>
          <w:rFonts w:ascii="Arial" w:cs="Arial" w:eastAsia="Arial" w:hAnsi="Arial"/>
          <w:sz w:val="16"/>
          <w:szCs w:val="16"/>
          <w:i w:val="1"/>
          <w:iCs w:val="1"/>
          <w:color w:val="auto"/>
        </w:rPr>
        <w:t>www.clearwayenergy.com.</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Please also visit our Annual Meeting website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to easily access the Company's proxy materials and vote through the Internet.</w:t>
      </w:r>
    </w:p>
    <w:p>
      <w:pPr>
        <w:spacing w:after="0" w:line="204"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PROXY STATEMENT</w:t>
      </w:r>
    </w:p>
    <w:p>
      <w:pPr>
        <w:spacing w:after="0" w:line="208" w:lineRule="exact"/>
        <w:rPr>
          <w:sz w:val="20"/>
          <w:szCs w:val="20"/>
          <w:color w:val="auto"/>
        </w:rPr>
      </w:pPr>
    </w:p>
    <w:p>
      <w:pPr>
        <w:ind w:right="140" w:firstLine="313"/>
        <w:spacing w:after="0" w:line="319" w:lineRule="auto"/>
        <w:rPr>
          <w:sz w:val="20"/>
          <w:szCs w:val="20"/>
          <w:color w:val="auto"/>
        </w:rPr>
      </w:pPr>
      <w:r>
        <w:rPr>
          <w:rFonts w:ascii="Arial" w:cs="Arial" w:eastAsia="Arial" w:hAnsi="Arial"/>
          <w:sz w:val="14"/>
          <w:szCs w:val="14"/>
          <w:color w:val="auto"/>
        </w:rPr>
        <w:t>We are providing these proxy materials to you in connection with the solicitation of proxies by the Board of Clearway Energy, Inc. for the Annual Meeting and for any adjournment or postponement of the Annual Meeting. The Annual Meeting will be held Thursday, April 30, 2020, at 9 a.m., Eastern Time, at the Hyatt Regency Princeton, 102 Carnegie Center, Princeton, NJ 08540. In this Proxy Statement, "we," "us," "our," "Clearway Energy," "Clearway," "CWEN" and the "Company" refer to Clearway Energy, Inc.</w:t>
      </w:r>
    </w:p>
    <w:p>
      <w:pPr>
        <w:spacing w:after="0" w:line="135" w:lineRule="exact"/>
        <w:rPr>
          <w:sz w:val="20"/>
          <w:szCs w:val="20"/>
          <w:color w:val="auto"/>
        </w:rPr>
      </w:pPr>
    </w:p>
    <w:p>
      <w:pPr>
        <w:ind w:right="140" w:firstLine="310"/>
        <w:spacing w:after="0" w:line="264" w:lineRule="auto"/>
        <w:rPr>
          <w:sz w:val="20"/>
          <w:szCs w:val="20"/>
          <w:color w:val="auto"/>
        </w:rPr>
      </w:pPr>
      <w:r>
        <w:rPr>
          <w:rFonts w:ascii="Arial" w:cs="Arial" w:eastAsia="Arial" w:hAnsi="Arial"/>
          <w:sz w:val="16"/>
          <w:szCs w:val="16"/>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Annual Meeting of Stockholders to be held on Thursday, April 30, 2020</w:t>
      </w:r>
    </w:p>
    <w:p>
      <w:pPr>
        <w:spacing w:after="0" w:line="194" w:lineRule="exact"/>
        <w:rPr>
          <w:sz w:val="20"/>
          <w:szCs w:val="20"/>
          <w:color w:val="auto"/>
        </w:rPr>
      </w:pPr>
    </w:p>
    <w:p>
      <w:pPr>
        <w:ind w:right="140" w:firstLine="316"/>
        <w:spacing w:after="0" w:line="266" w:lineRule="auto"/>
        <w:rPr>
          <w:sz w:val="20"/>
          <w:szCs w:val="20"/>
          <w:color w:val="auto"/>
        </w:rPr>
      </w:pPr>
      <w:r>
        <w:rPr>
          <w:rFonts w:ascii="Arial" w:cs="Arial" w:eastAsia="Arial" w:hAnsi="Arial"/>
          <w:sz w:val="16"/>
          <w:szCs w:val="16"/>
          <w:color w:val="auto"/>
        </w:rPr>
        <w:t xml:space="preserve">Each of the Notice of Annual Meeting, this Proxy Statement and our 2019 Form 10-K is available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w:t>
      </w:r>
      <w:r>
        <w:rPr>
          <w:rFonts w:ascii="Arial" w:cs="Arial" w:eastAsia="Arial" w:hAnsi="Arial"/>
          <w:sz w:val="16"/>
          <w:szCs w:val="16"/>
          <w:b w:val="1"/>
          <w:bCs w:val="1"/>
          <w:color w:val="auto"/>
        </w:rPr>
        <w:t>If you would like to receive, without charge, a</w:t>
      </w:r>
      <w:r>
        <w:rPr>
          <w:rFonts w:ascii="Arial" w:cs="Arial" w:eastAsia="Arial" w:hAnsi="Arial"/>
          <w:sz w:val="16"/>
          <w:szCs w:val="16"/>
          <w:color w:val="auto"/>
        </w:rPr>
        <w:t xml:space="preserve"> </w:t>
      </w:r>
      <w:r>
        <w:rPr>
          <w:rFonts w:ascii="Arial" w:cs="Arial" w:eastAsia="Arial" w:hAnsi="Arial"/>
          <w:sz w:val="16"/>
          <w:szCs w:val="16"/>
          <w:b w:val="1"/>
          <w:bCs w:val="1"/>
          <w:color w:val="auto"/>
        </w:rPr>
        <w:t>paper copy of our 2019 Form 10-K, including the financial statements and the financial statement schedules, please send your request to Investor Relations, 300 Carnegie Center, Suite 300, Princeton, New Jersey 08540.</w:t>
      </w:r>
    </w:p>
    <w:p>
      <w:pPr>
        <w:spacing w:after="0" w:line="35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GOVERNANCE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GUIDELINES AND CHARTERS</w:t>
      </w:r>
    </w:p>
    <w:p>
      <w:pPr>
        <w:spacing w:after="0" w:line="208" w:lineRule="exact"/>
        <w:rPr>
          <w:sz w:val="20"/>
          <w:szCs w:val="20"/>
          <w:color w:val="auto"/>
        </w:rPr>
      </w:pPr>
    </w:p>
    <w:p>
      <w:pPr>
        <w:ind w:firstLine="313"/>
        <w:spacing w:after="0" w:line="276" w:lineRule="auto"/>
        <w:rPr>
          <w:sz w:val="20"/>
          <w:szCs w:val="20"/>
          <w:color w:val="auto"/>
        </w:rPr>
      </w:pPr>
      <w:r>
        <w:rPr>
          <w:rFonts w:ascii="Arial" w:cs="Arial" w:eastAsia="Arial" w:hAnsi="Arial"/>
          <w:sz w:val="15"/>
          <w:szCs w:val="15"/>
          <w:color w:val="auto"/>
        </w:rPr>
        <w:t xml:space="preserve">The Board has adopted Corporate Governance Guidelines (the "Guidelines") that, along with the Restated Certificate of Incorporation, as amended, the Fourth Amended and Restated Bylaws (the "Bylaws") and the written charters of the committees of the Board (the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Arial" w:cs="Arial" w:eastAsia="Arial" w:hAnsi="Arial"/>
          <w:sz w:val="15"/>
          <w:szCs w:val="15"/>
          <w:i w:val="1"/>
          <w:iCs w:val="1"/>
          <w:color w:val="auto"/>
        </w:rPr>
        <w:t>www.clearwayenergy.com</w:t>
      </w:r>
      <w:r>
        <w:rPr>
          <w:rFonts w:ascii="Arial" w:cs="Arial" w:eastAsia="Arial" w:hAnsi="Arial"/>
          <w:sz w:val="15"/>
          <w:szCs w:val="15"/>
          <w:color w:val="auto"/>
        </w:rPr>
        <w:t>, along with the written charters of all of the Committees and the Company's Code of Business Conduct and Ethics (the "Code of Conduct").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CONTROLLED COMPANY</w:t>
      </w:r>
    </w:p>
    <w:p>
      <w:pPr>
        <w:spacing w:after="0" w:line="208" w:lineRule="exact"/>
        <w:rPr>
          <w:sz w:val="20"/>
          <w:szCs w:val="20"/>
          <w:color w:val="auto"/>
        </w:rPr>
      </w:pPr>
    </w:p>
    <w:p>
      <w:pPr>
        <w:ind w:firstLine="316"/>
        <w:spacing w:after="0" w:line="275" w:lineRule="auto"/>
        <w:rPr>
          <w:sz w:val="20"/>
          <w:szCs w:val="20"/>
          <w:color w:val="auto"/>
        </w:rPr>
      </w:pPr>
      <w:r>
        <w:rPr>
          <w:rFonts w:ascii="Arial" w:cs="Arial" w:eastAsia="Arial" w:hAnsi="Arial"/>
          <w:sz w:val="15"/>
          <w:szCs w:val="15"/>
          <w:color w:val="auto"/>
        </w:rPr>
        <w:t>In February 2018, the funds comprising Global Infrastructure Partners III ("GIP"), through an affiliate, entered into a purchase and sale agreement with NRG Energy, Inc. ("NRG") for the acquisition of NRG's full ownership interest in us as well as NRG's renewable energy development and operations platform (the "GIP Transaction"). The GIP Transaction closed on August 31, 2018. As a result, GIP, through its portfolio company, Clearway Energy Group LLC (formerly Zephyr Renewables, LLC) ("CEG") controls more than 50% of the combined voting power of our common stock and has the voting power to elect the members of our Board. Thus, for purposes of the New York Stock Exchange ("NYSE") rules, we are a "controlled company." Controlled companies under those rules are companies of which more than 50% of the 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independent directors, (b) a nominating/corporate governance committee composed entirely of independent directors, (c) a compensation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committee composed entirely of independent directors or (d) an annual performance evaluation of the nominating/corporate governance and compensation committees.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Therefore, our stockholders may not have the same protections afforded to stockholders of companies that are subject to all of the applicable NYSE rules.</w:t>
      </w:r>
    </w:p>
    <w:p>
      <w:pPr>
        <w:spacing w:after="0" w:line="198" w:lineRule="exact"/>
        <w:rPr>
          <w:sz w:val="20"/>
          <w:szCs w:val="20"/>
          <w:color w:val="auto"/>
        </w:rPr>
      </w:pPr>
    </w:p>
    <w:p>
      <w:pPr>
        <w:ind w:right="120" w:firstLine="313"/>
        <w:spacing w:after="0" w:line="309" w:lineRule="auto"/>
        <w:rPr>
          <w:sz w:val="20"/>
          <w:szCs w:val="20"/>
          <w:color w:val="auto"/>
        </w:rPr>
      </w:pPr>
      <w:r>
        <w:rPr>
          <w:rFonts w:ascii="Arial" w:cs="Arial" w:eastAsia="Arial" w:hAnsi="Arial"/>
          <w:sz w:val="14"/>
          <w:szCs w:val="14"/>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 annual performance evaluation of the Committees. The controlled company exemption does not modify the independence requirements for the Audit Committee, and we comply with the requirements of the Sarbanes-Oxley Act of 2002 and the NYSE rules, which require that our Audit Committee be composed of at least three members, all of whom are independent.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60" w:type="dxa"/>
            <w:vAlign w:val="bottom"/>
          </w:tcPr>
          <w:p>
            <w:pPr>
              <w:spacing w:after="0"/>
              <w:rPr>
                <w:sz w:val="20"/>
                <w:szCs w:val="20"/>
                <w:color w:val="auto"/>
              </w:rPr>
            </w:pPr>
            <w:r>
              <w:rPr>
                <w:rFonts w:ascii="Arial" w:cs="Arial" w:eastAsia="Arial" w:hAnsi="Arial"/>
                <w:sz w:val="16"/>
                <w:szCs w:val="16"/>
                <w:b w:val="1"/>
                <w:bCs w:val="1"/>
                <w:color w:val="auto"/>
              </w:rPr>
              <w:t>BOARD STRUCTURE AND LEADERSHIP</w:t>
            </w: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5060" w:type="dxa"/>
            <w:vAlign w:val="bottom"/>
          </w:tcPr>
          <w:p>
            <w:pPr>
              <w:ind w:left="11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Chairman of the Board</w:t>
            </w:r>
            <w:r>
              <w:rPr>
                <w:rFonts w:ascii="Arial" w:cs="Arial" w:eastAsia="Arial" w:hAnsi="Arial"/>
                <w:sz w:val="16"/>
                <w:szCs w:val="16"/>
                <w:color w:val="auto"/>
              </w:rPr>
              <w:t>: Jonathan Bram</w:t>
            </w:r>
          </w:p>
        </w:tc>
        <w:tc>
          <w:tcPr>
            <w:tcW w:w="4740" w:type="dxa"/>
            <w:vAlign w:val="bottom"/>
          </w:tcPr>
          <w:p>
            <w:pPr>
              <w:ind w:left="7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Lead Independent Director</w:t>
            </w:r>
            <w:r>
              <w:rPr>
                <w:rFonts w:ascii="Arial" w:cs="Arial" w:eastAsia="Arial" w:hAnsi="Arial"/>
                <w:sz w:val="16"/>
                <w:szCs w:val="16"/>
                <w:color w:val="auto"/>
              </w:rPr>
              <w:t>: Brian R. Ford</w:t>
            </w:r>
          </w:p>
        </w:tc>
        <w:tc>
          <w:tcPr>
            <w:tcW w:w="0" w:type="dxa"/>
            <w:vAlign w:val="bottom"/>
          </w:tcPr>
          <w:p>
            <w:pPr>
              <w:spacing w:after="0"/>
              <w:rPr>
                <w:sz w:val="1"/>
                <w:szCs w:val="1"/>
                <w:color w:val="auto"/>
              </w:rPr>
            </w:pPr>
          </w:p>
        </w:tc>
      </w:tr>
      <w:tr>
        <w:trPr>
          <w:trHeight w:val="583"/>
        </w:trPr>
        <w:tc>
          <w:tcPr>
            <w:tcW w:w="5060" w:type="dxa"/>
            <w:vAlign w:val="bottom"/>
          </w:tcPr>
          <w:p>
            <w:pPr>
              <w:ind w:left="11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Number of directors</w:t>
            </w:r>
            <w:r>
              <w:rPr>
                <w:rFonts w:ascii="Arial" w:cs="Arial" w:eastAsia="Arial" w:hAnsi="Arial"/>
                <w:sz w:val="16"/>
                <w:szCs w:val="16"/>
                <w:color w:val="auto"/>
              </w:rPr>
              <w:t>: 9</w:t>
            </w:r>
          </w:p>
        </w:tc>
        <w:tc>
          <w:tcPr>
            <w:tcW w:w="4740" w:type="dxa"/>
            <w:vAlign w:val="bottom"/>
          </w:tcPr>
          <w:p>
            <w:pPr>
              <w:ind w:left="760"/>
              <w:spacing w:after="0"/>
              <w:rPr>
                <w:sz w:val="20"/>
                <w:szCs w:val="20"/>
                <w:color w:val="auto"/>
              </w:rPr>
            </w:pPr>
            <w:r>
              <w:rPr>
                <w:rFonts w:ascii="Arial" w:cs="Arial" w:eastAsia="Arial" w:hAnsi="Arial"/>
                <w:sz w:val="16"/>
                <w:szCs w:val="16"/>
                <w:color w:val="auto"/>
              </w:rPr>
              <w:t>•  Regular executive sessions of independent directors</w:t>
            </w:r>
          </w:p>
        </w:tc>
        <w:tc>
          <w:tcPr>
            <w:tcW w:w="0" w:type="dxa"/>
            <w:vAlign w:val="bottom"/>
          </w:tcPr>
          <w:p>
            <w:pPr>
              <w:spacing w:after="0"/>
              <w:rPr>
                <w:sz w:val="1"/>
                <w:szCs w:val="1"/>
                <w:color w:val="auto"/>
              </w:rPr>
            </w:pPr>
          </w:p>
        </w:tc>
      </w:tr>
      <w:tr>
        <w:trPr>
          <w:trHeight w:val="576"/>
        </w:trPr>
        <w:tc>
          <w:tcPr>
            <w:tcW w:w="5060" w:type="dxa"/>
            <w:vAlign w:val="bottom"/>
          </w:tcPr>
          <w:p>
            <w:pPr>
              <w:ind w:left="11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Number of regular meetings in 2019</w:t>
            </w:r>
            <w:r>
              <w:rPr>
                <w:rFonts w:ascii="Arial" w:cs="Arial" w:eastAsia="Arial" w:hAnsi="Arial"/>
                <w:sz w:val="16"/>
                <w:szCs w:val="16"/>
                <w:color w:val="auto"/>
              </w:rPr>
              <w:t>: 5</w:t>
            </w:r>
          </w:p>
        </w:tc>
        <w:tc>
          <w:tcPr>
            <w:tcW w:w="4740" w:type="dxa"/>
            <w:vAlign w:val="bottom"/>
          </w:tcPr>
          <w:p>
            <w:pPr>
              <w:ind w:left="760"/>
              <w:spacing w:after="0"/>
              <w:rPr>
                <w:sz w:val="20"/>
                <w:szCs w:val="20"/>
                <w:color w:val="auto"/>
              </w:rPr>
            </w:pPr>
            <w:r>
              <w:rPr>
                <w:rFonts w:ascii="Arial" w:cs="Arial" w:eastAsia="Arial" w:hAnsi="Arial"/>
                <w:sz w:val="16"/>
                <w:szCs w:val="16"/>
                <w:color w:val="auto"/>
                <w:w w:val="90"/>
              </w:rPr>
              <w:t>•  Audit and Corporate Governance, Conflicts and Nominating</w:t>
            </w:r>
          </w:p>
        </w:tc>
        <w:tc>
          <w:tcPr>
            <w:tcW w:w="0" w:type="dxa"/>
            <w:vAlign w:val="bottom"/>
          </w:tcPr>
          <w:p>
            <w:pPr>
              <w:spacing w:after="0"/>
              <w:rPr>
                <w:sz w:val="1"/>
                <w:szCs w:val="1"/>
                <w:color w:val="auto"/>
              </w:rPr>
            </w:pPr>
          </w:p>
        </w:tc>
      </w:tr>
      <w:tr>
        <w:trPr>
          <w:trHeight w:val="201"/>
        </w:trPr>
        <w:tc>
          <w:tcPr>
            <w:tcW w:w="5060" w:type="dxa"/>
            <w:vAlign w:val="bottom"/>
          </w:tcPr>
          <w:p>
            <w:pPr>
              <w:spacing w:after="0"/>
              <w:rPr>
                <w:sz w:val="17"/>
                <w:szCs w:val="17"/>
                <w:color w:val="auto"/>
              </w:rPr>
            </w:pPr>
          </w:p>
        </w:tc>
        <w:tc>
          <w:tcPr>
            <w:tcW w:w="4740" w:type="dxa"/>
            <w:vAlign w:val="bottom"/>
          </w:tcPr>
          <w:p>
            <w:pPr>
              <w:ind w:left="920"/>
              <w:spacing w:after="0"/>
              <w:rPr>
                <w:sz w:val="20"/>
                <w:szCs w:val="20"/>
                <w:color w:val="auto"/>
              </w:rPr>
            </w:pPr>
            <w:r>
              <w:rPr>
                <w:rFonts w:ascii="Arial" w:cs="Arial" w:eastAsia="Arial" w:hAnsi="Arial"/>
                <w:sz w:val="16"/>
                <w:szCs w:val="16"/>
                <w:color w:val="auto"/>
              </w:rPr>
              <w:t>Committees composed of all independent directors</w:t>
            </w:r>
          </w:p>
        </w:tc>
        <w:tc>
          <w:tcPr>
            <w:tcW w:w="0" w:type="dxa"/>
            <w:vAlign w:val="bottom"/>
          </w:tcPr>
          <w:p>
            <w:pPr>
              <w:spacing w:after="0"/>
              <w:rPr>
                <w:sz w:val="1"/>
                <w:szCs w:val="1"/>
                <w:color w:val="auto"/>
              </w:rPr>
            </w:pPr>
          </w:p>
        </w:tc>
      </w:tr>
      <w:tr>
        <w:trPr>
          <w:trHeight w:val="388"/>
        </w:trPr>
        <w:tc>
          <w:tcPr>
            <w:tcW w:w="5060" w:type="dxa"/>
            <w:vAlign w:val="bottom"/>
          </w:tcPr>
          <w:p>
            <w:pPr>
              <w:ind w:left="11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Number of special meetings in 2019</w:t>
            </w:r>
            <w:r>
              <w:rPr>
                <w:rFonts w:ascii="Arial" w:cs="Arial" w:eastAsia="Arial" w:hAnsi="Arial"/>
                <w:sz w:val="16"/>
                <w:szCs w:val="16"/>
                <w:color w:val="auto"/>
              </w:rPr>
              <w:t>: 4</w:t>
            </w:r>
          </w:p>
        </w:tc>
        <w:tc>
          <w:tcPr>
            <w:tcW w:w="4740" w:type="dxa"/>
            <w:vAlign w:val="bottom"/>
            <w:vMerge w:val="restart"/>
          </w:tcPr>
          <w:p>
            <w:pPr>
              <w:ind w:left="760"/>
              <w:spacing w:after="0"/>
              <w:rPr>
                <w:sz w:val="20"/>
                <w:szCs w:val="20"/>
                <w:color w:val="auto"/>
              </w:rPr>
            </w:pPr>
            <w:r>
              <w:rPr>
                <w:rFonts w:ascii="Arial" w:cs="Arial" w:eastAsia="Arial" w:hAnsi="Arial"/>
                <w:sz w:val="16"/>
                <w:szCs w:val="16"/>
                <w:color w:val="auto"/>
              </w:rPr>
              <w:t>•  Active engagement by all directors</w:t>
            </w: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4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5060" w:type="dxa"/>
            <w:vAlign w:val="bottom"/>
          </w:tcPr>
          <w:p>
            <w:pPr>
              <w:ind w:left="1120"/>
              <w:spacing w:after="0"/>
              <w:rPr>
                <w:sz w:val="20"/>
                <w:szCs w:val="20"/>
                <w:color w:val="auto"/>
              </w:rPr>
            </w:pPr>
            <w:r>
              <w:rPr>
                <w:rFonts w:ascii="Arial" w:cs="Arial" w:eastAsia="Arial" w:hAnsi="Arial"/>
                <w:sz w:val="16"/>
                <w:szCs w:val="16"/>
                <w:color w:val="auto"/>
              </w:rPr>
              <w:t>•  Annual election of directors</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5060" w:type="dxa"/>
            <w:vAlign w:val="bottom"/>
          </w:tcPr>
          <w:p>
            <w:pPr>
              <w:ind w:left="1120"/>
              <w:spacing w:after="0"/>
              <w:rPr>
                <w:sz w:val="20"/>
                <w:szCs w:val="20"/>
                <w:color w:val="auto"/>
              </w:rPr>
            </w:pPr>
            <w:r>
              <w:rPr>
                <w:rFonts w:ascii="Arial" w:cs="Arial" w:eastAsia="Arial" w:hAnsi="Arial"/>
                <w:sz w:val="16"/>
                <w:szCs w:val="16"/>
                <w:color w:val="auto"/>
              </w:rPr>
              <w:t>•  Separate Chairman and Chief Executive Officer</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316"/>
        <w:spacing w:after="0" w:line="280" w:lineRule="auto"/>
        <w:rPr>
          <w:sz w:val="20"/>
          <w:szCs w:val="20"/>
          <w:color w:val="auto"/>
        </w:rPr>
      </w:pPr>
      <w:r>
        <w:rPr>
          <w:rFonts w:ascii="Arial" w:cs="Arial" w:eastAsia="Arial" w:hAnsi="Arial"/>
          <w:sz w:val="15"/>
          <w:szCs w:val="15"/>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(the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59" w:lineRule="exact"/>
        <w:rPr>
          <w:sz w:val="20"/>
          <w:szCs w:val="20"/>
          <w:color w:val="auto"/>
        </w:rPr>
      </w:pPr>
    </w:p>
    <w:p>
      <w:pPr>
        <w:ind w:right="60" w:firstLine="316"/>
        <w:spacing w:after="0" w:line="264" w:lineRule="auto"/>
        <w:rPr>
          <w:sz w:val="20"/>
          <w:szCs w:val="20"/>
          <w:color w:val="auto"/>
        </w:rPr>
      </w:pPr>
      <w:r>
        <w:rPr>
          <w:rFonts w:ascii="Arial" w:cs="Arial" w:eastAsia="Arial" w:hAnsi="Arial"/>
          <w:sz w:val="16"/>
          <w:szCs w:val="16"/>
          <w:color w:val="auto"/>
        </w:rPr>
        <w:t>During the 2019 fiscal year, all directors attended at least 75% of the meetings of the Board and Committees on which they served in 2019. Non-management directors meet in executive session regularly following Board meetings. Directors are encouraged to attend the annual meetings of stockholders. All of the directors who served as such at the time of the meeting attended the 2019 Annual Meeting of Stockholders.</w:t>
      </w:r>
    </w:p>
    <w:p>
      <w:pPr>
        <w:spacing w:after="0" w:line="170" w:lineRule="exact"/>
        <w:rPr>
          <w:sz w:val="20"/>
          <w:szCs w:val="20"/>
          <w:color w:val="auto"/>
        </w:rPr>
      </w:pPr>
    </w:p>
    <w:p>
      <w:pPr>
        <w:ind w:right="100" w:firstLine="307"/>
        <w:spacing w:after="0" w:line="256" w:lineRule="auto"/>
        <w:rPr>
          <w:sz w:val="20"/>
          <w:szCs w:val="20"/>
          <w:color w:val="auto"/>
        </w:rPr>
      </w:pPr>
      <w:r>
        <w:rPr>
          <w:rFonts w:ascii="Arial" w:cs="Arial" w:eastAsia="Arial" w:hAnsi="Arial"/>
          <w:sz w:val="16"/>
          <w:szCs w:val="16"/>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of GIP, our majority voting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w:t>
      </w:r>
    </w:p>
    <w:p>
      <w:pPr>
        <w:spacing w:after="0" w:line="180" w:lineRule="exact"/>
        <w:rPr>
          <w:sz w:val="20"/>
          <w:szCs w:val="20"/>
          <w:color w:val="auto"/>
        </w:rPr>
      </w:pPr>
    </w:p>
    <w:p>
      <w:pPr>
        <w:ind w:right="260" w:firstLine="316"/>
        <w:spacing w:after="0" w:line="275" w:lineRule="auto"/>
        <w:rPr>
          <w:sz w:val="20"/>
          <w:szCs w:val="20"/>
          <w:color w:val="auto"/>
        </w:rPr>
      </w:pPr>
      <w:r>
        <w:rPr>
          <w:rFonts w:ascii="Arial" w:cs="Arial" w:eastAsia="Arial" w:hAnsi="Arial"/>
          <w:sz w:val="16"/>
          <w:szCs w:val="16"/>
          <w:color w:val="auto"/>
        </w:rPr>
        <w:t>Our President and CEO, Mr. Sotos, and the Chairman, Mr. Bram, work together in complementary roles. Mr. Sotos focuses on the day-to-day operations of the Company and establishes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w:t>
      </w:r>
    </w:p>
    <w:p>
      <w:pPr>
        <w:spacing w:after="0" w:line="170" w:lineRule="exact"/>
        <w:rPr>
          <w:sz w:val="20"/>
          <w:szCs w:val="20"/>
          <w:color w:val="auto"/>
        </w:rPr>
      </w:pPr>
    </w:p>
    <w:p>
      <w:pPr>
        <w:ind w:firstLine="313"/>
        <w:spacing w:after="0" w:line="309" w:lineRule="auto"/>
        <w:rPr>
          <w:sz w:val="20"/>
          <w:szCs w:val="20"/>
          <w:color w:val="auto"/>
        </w:rPr>
      </w:pPr>
      <w:r>
        <w:rPr>
          <w:rFonts w:ascii="Arial" w:cs="Arial" w:eastAsia="Arial" w:hAnsi="Arial"/>
          <w:sz w:val="14"/>
          <w:szCs w:val="14"/>
          <w:color w:val="auto"/>
        </w:rPr>
        <w:t>When the Chairman is a director affiliated with our majority owner, GIP,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is responsible for the activities of the independent directors and is authorized to call meetings of the independent directors, chairs executive sessions of the independent directors, and performs the other duties either specified in the Guidelines or as assigned from time to time by the Board.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 PRACTICES</w:t>
      </w:r>
    </w:p>
    <w:p>
      <w:pPr>
        <w:spacing w:after="0" w:line="208" w:lineRule="exact"/>
        <w:rPr>
          <w:sz w:val="20"/>
          <w:szCs w:val="20"/>
          <w:color w:val="auto"/>
        </w:rPr>
      </w:pPr>
    </w:p>
    <w:p>
      <w:pPr>
        <w:ind w:right="100" w:firstLine="313"/>
        <w:spacing w:after="0" w:line="275" w:lineRule="auto"/>
        <w:rPr>
          <w:sz w:val="20"/>
          <w:szCs w:val="20"/>
          <w:color w:val="auto"/>
        </w:rPr>
      </w:pPr>
      <w:r>
        <w:rPr>
          <w:rFonts w:ascii="Arial" w:cs="Arial" w:eastAsia="Arial" w:hAnsi="Arial"/>
          <w:sz w:val="16"/>
          <w:szCs w:val="16"/>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173" w:lineRule="exact"/>
        <w:rPr>
          <w:sz w:val="20"/>
          <w:szCs w:val="20"/>
          <w:color w:val="auto"/>
        </w:rPr>
      </w:pPr>
    </w:p>
    <w:p>
      <w:pPr>
        <w:ind w:left="960" w:hanging="477"/>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succession planning for the CEO and other senior management;</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annual performance evaluations of the Board and each of its standing Committees, as well as periodic peer review for individual directors;</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director orientation and continuing education program, including Company site visits and information sessions with Company management at relevant sites; and</w:t>
      </w:r>
    </w:p>
    <w:p>
      <w:pPr>
        <w:spacing w:after="0" w:line="239" w:lineRule="exact"/>
        <w:rPr>
          <w:rFonts w:ascii="Arial" w:cs="Arial" w:eastAsia="Arial" w:hAnsi="Arial"/>
          <w:sz w:val="14"/>
          <w:szCs w:val="14"/>
          <w:color w:val="auto"/>
        </w:rPr>
      </w:pPr>
    </w:p>
    <w:p>
      <w:pPr>
        <w:ind w:left="960" w:hanging="477"/>
        <w:spacing w:after="0"/>
        <w:tabs>
          <w:tab w:leader="none" w:pos="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access to and engagement of outside advisors and consultants to assist the Board and the Committees in the performance of their duties, as appropriate.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233" w:lineRule="exact"/>
        <w:rPr>
          <w:sz w:val="20"/>
          <w:szCs w:val="20"/>
          <w:color w:val="auto"/>
        </w:rPr>
      </w:pPr>
    </w:p>
    <w:p>
      <w:pPr>
        <w:ind w:left="960" w:hanging="477"/>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Board has responsibility for overall risk oversight of the Company.</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Audit Committee oversees financial risks.</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Compensation Committee oversees risks related to compensation policies and practices.</w:t>
      </w:r>
    </w:p>
    <w:p>
      <w:pPr>
        <w:spacing w:after="0" w:line="228" w:lineRule="exact"/>
        <w:rPr>
          <w:rFonts w:ascii="Arial" w:cs="Arial" w:eastAsia="Arial" w:hAnsi="Arial"/>
          <w:sz w:val="16"/>
          <w:szCs w:val="16"/>
          <w:color w:val="auto"/>
        </w:rPr>
      </w:pPr>
    </w:p>
    <w:p>
      <w:pPr>
        <w:ind w:left="960" w:right="240" w:hanging="477"/>
        <w:spacing w:after="0" w:line="275"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Corporate Governance, Conflicts and Nominating Committee oversees risks related to governance practices, conflicts of interest or changes of control and related person transactions.</w:t>
      </w:r>
    </w:p>
    <w:p>
      <w:pPr>
        <w:spacing w:after="0" w:line="173" w:lineRule="exact"/>
        <w:rPr>
          <w:rFonts w:ascii="Arial" w:cs="Arial" w:eastAsia="Arial" w:hAnsi="Arial"/>
          <w:sz w:val="16"/>
          <w:szCs w:val="16"/>
          <w:color w:val="auto"/>
        </w:rPr>
      </w:pPr>
    </w:p>
    <w:p>
      <w:pPr>
        <w:ind w:left="960" w:right="20" w:hanging="477"/>
        <w:spacing w:after="0" w:line="275"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173" w:lineRule="exact"/>
        <w:rPr>
          <w:rFonts w:ascii="Arial" w:cs="Arial" w:eastAsia="Arial" w:hAnsi="Arial"/>
          <w:sz w:val="16"/>
          <w:szCs w:val="16"/>
          <w:color w:val="auto"/>
        </w:rPr>
      </w:pPr>
    </w:p>
    <w:p>
      <w:pPr>
        <w:ind w:left="960" w:right="460" w:hanging="477"/>
        <w:spacing w:after="0" w:line="275"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define the Company's risk appetite, the Board reviews and approves the annual business plan, budget and long-term plan, strategic initiatives, individual development projects, capital raising, acquisitions and divestitures, and capital allocation plan.</w:t>
      </w:r>
    </w:p>
    <w:p>
      <w:pPr>
        <w:spacing w:after="0" w:line="161" w:lineRule="exact"/>
        <w:rPr>
          <w:sz w:val="20"/>
          <w:szCs w:val="20"/>
          <w:color w:val="auto"/>
        </w:rPr>
      </w:pPr>
    </w:p>
    <w:p>
      <w:pPr>
        <w:ind w:right="40" w:firstLine="313"/>
        <w:spacing w:after="0" w:line="260" w:lineRule="auto"/>
        <w:rPr>
          <w:sz w:val="20"/>
          <w:szCs w:val="20"/>
          <w:color w:val="auto"/>
        </w:rPr>
      </w:pPr>
      <w:r>
        <w:rPr>
          <w:rFonts w:ascii="Arial" w:cs="Arial" w:eastAsia="Arial" w:hAnsi="Arial"/>
          <w:sz w:val="16"/>
          <w:szCs w:val="16"/>
          <w:color w:val="auto"/>
        </w:rPr>
        <w:t>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risk-related issues or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61" w:lineRule="exact"/>
        <w:rPr>
          <w:sz w:val="20"/>
          <w:szCs w:val="20"/>
          <w:color w:val="auto"/>
        </w:rPr>
      </w:pPr>
    </w:p>
    <w:p>
      <w:pPr>
        <w:ind w:firstLine="313"/>
        <w:spacing w:after="0" w:line="280" w:lineRule="auto"/>
        <w:rPr>
          <w:sz w:val="20"/>
          <w:szCs w:val="20"/>
          <w:color w:val="auto"/>
        </w:rPr>
      </w:pPr>
      <w:r>
        <w:rPr>
          <w:rFonts w:ascii="Arial" w:cs="Arial" w:eastAsia="Arial" w:hAnsi="Arial"/>
          <w:sz w:val="15"/>
          <w:szCs w:val="15"/>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pacing w:after="0" w:line="159" w:lineRule="exact"/>
        <w:rPr>
          <w:sz w:val="20"/>
          <w:szCs w:val="20"/>
          <w:color w:val="auto"/>
        </w:rPr>
      </w:pPr>
    </w:p>
    <w:p>
      <w:pPr>
        <w:ind w:right="220" w:firstLine="313"/>
        <w:spacing w:after="0" w:line="319" w:lineRule="auto"/>
        <w:rPr>
          <w:sz w:val="20"/>
          <w:szCs w:val="20"/>
          <w:color w:val="auto"/>
        </w:rPr>
      </w:pPr>
      <w:r>
        <w:rPr>
          <w:rFonts w:ascii="Arial" w:cs="Arial" w:eastAsia="Arial" w:hAnsi="Arial"/>
          <w:sz w:val="14"/>
          <w:szCs w:val="14"/>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pacing w:after="0" w:line="135" w:lineRule="exact"/>
        <w:rPr>
          <w:sz w:val="20"/>
          <w:szCs w:val="20"/>
          <w:color w:val="auto"/>
        </w:rPr>
      </w:pPr>
    </w:p>
    <w:p>
      <w:pPr>
        <w:ind w:right="160" w:firstLine="313"/>
        <w:spacing w:after="0" w:line="260" w:lineRule="auto"/>
        <w:rPr>
          <w:sz w:val="20"/>
          <w:szCs w:val="20"/>
          <w:color w:val="auto"/>
        </w:rPr>
      </w:pPr>
      <w:r>
        <w:rPr>
          <w:rFonts w:ascii="Arial" w:cs="Arial" w:eastAsia="Arial" w:hAnsi="Arial"/>
          <w:sz w:val="16"/>
          <w:szCs w:val="16"/>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of the CEG ROFO Assets (as defined and described in "Certain Relationships and Related Person Transactions") from, and agreements that we have in place with, CEG, and its affiliates, and other related person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NOMINEE SELECTION PROCESS</w:t>
      </w:r>
    </w:p>
    <w:p>
      <w:pPr>
        <w:spacing w:after="0" w:line="208" w:lineRule="exact"/>
        <w:rPr>
          <w:sz w:val="20"/>
          <w:szCs w:val="20"/>
          <w:color w:val="auto"/>
        </w:rPr>
      </w:pPr>
    </w:p>
    <w:p>
      <w:pPr>
        <w:ind w:right="20" w:firstLine="313"/>
        <w:spacing w:after="0" w:line="296" w:lineRule="auto"/>
        <w:rPr>
          <w:sz w:val="20"/>
          <w:szCs w:val="20"/>
          <w:color w:val="auto"/>
        </w:rPr>
      </w:pPr>
      <w:r>
        <w:rPr>
          <w:rFonts w:ascii="Arial" w:cs="Arial" w:eastAsia="Arial" w:hAnsi="Arial"/>
          <w:sz w:val="14"/>
          <w:szCs w:val="14"/>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technology, marketing, international business and government;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 While the Company does not have a formal diversity policy, the Guidelines provide that the Committee considers diversity criteria in the context of the perceived needs of the Board as a whole and seeks to achieve a diversity of backgrounds and perspectives on the Board. The composition of the current Board reflects diversity in business and professional experience and skills.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320" w:firstLine="313"/>
        <w:spacing w:after="0" w:line="289" w:lineRule="auto"/>
        <w:rPr>
          <w:sz w:val="20"/>
          <w:szCs w:val="20"/>
          <w:color w:val="auto"/>
        </w:rPr>
      </w:pPr>
      <w:r>
        <w:rPr>
          <w:rFonts w:ascii="Arial" w:cs="Arial" w:eastAsia="Arial" w:hAnsi="Arial"/>
          <w:sz w:val="15"/>
          <w:szCs w:val="15"/>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Stockholder-Recommended Director Candidates</w:t>
      </w:r>
    </w:p>
    <w:p>
      <w:pPr>
        <w:spacing w:after="0" w:line="208" w:lineRule="exact"/>
        <w:rPr>
          <w:sz w:val="20"/>
          <w:szCs w:val="20"/>
          <w:color w:val="auto"/>
        </w:rPr>
      </w:pPr>
    </w:p>
    <w:p>
      <w:pPr>
        <w:ind w:right="320" w:firstLine="313"/>
        <w:spacing w:after="0" w:line="283" w:lineRule="auto"/>
        <w:rPr>
          <w:sz w:val="20"/>
          <w:szCs w:val="20"/>
          <w:color w:val="auto"/>
        </w:rPr>
      </w:pPr>
      <w:r>
        <w:rPr>
          <w:rFonts w:ascii="Arial" w:cs="Arial" w:eastAsia="Arial" w:hAnsi="Arial"/>
          <w:sz w:val="15"/>
          <w:szCs w:val="15"/>
          <w:color w:val="auto"/>
        </w:rPr>
        <w:t>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Clearway Energy, Inc., 300 Carnegie Center, Suite 300, Princeton, New Jersey 08540, and by following the requirements to submit nominees discussed under "Stockholder Proposals or Stockholder Nomination of Director to be brought at the 2021 Annual Meeting (without Inclusion in the Company's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Stockholder-Nominated Director Candidates</w:t>
      </w:r>
    </w:p>
    <w:p>
      <w:pPr>
        <w:spacing w:after="0" w:line="208" w:lineRule="exact"/>
        <w:rPr>
          <w:sz w:val="20"/>
          <w:szCs w:val="20"/>
          <w:color w:val="auto"/>
        </w:rPr>
      </w:pPr>
    </w:p>
    <w:p>
      <w:pPr>
        <w:ind w:firstLine="307"/>
        <w:spacing w:after="0" w:line="260" w:lineRule="auto"/>
        <w:rPr>
          <w:sz w:val="20"/>
          <w:szCs w:val="20"/>
          <w:color w:val="auto"/>
        </w:rPr>
      </w:pPr>
      <w:r>
        <w:rPr>
          <w:rFonts w:ascii="Arial" w:cs="Arial" w:eastAsia="Arial" w:hAnsi="Arial"/>
          <w:sz w:val="16"/>
          <w:szCs w:val="16"/>
          <w:color w:val="auto"/>
        </w:rPr>
        <w:t>As discussed under "Requirements for Submission of Stockholder Proposals for the 2021 Annual Meeting of Stockholders," stockholders intending to appear at the 2021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has the following three standing Committees:</w:t>
      </w:r>
    </w:p>
    <w:p>
      <w:pPr>
        <w:spacing w:after="0" w:line="217" w:lineRule="exact"/>
        <w:rPr>
          <w:sz w:val="20"/>
          <w:szCs w:val="20"/>
          <w:color w:val="auto"/>
        </w:rPr>
      </w:pPr>
    </w:p>
    <w:p>
      <w:pPr>
        <w:ind w:left="960" w:hanging="477"/>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Audit</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Corporate Governance, Conflicts and Nominating</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membership and the functions of each Committee are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17" w:lineRule="exact"/>
        <w:rPr>
          <w:sz w:val="20"/>
          <w:szCs w:val="20"/>
          <w:color w:val="auto"/>
        </w:rPr>
      </w:pPr>
    </w:p>
    <w:p>
      <w:pPr>
        <w:ind w:left="960" w:hanging="477"/>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Current Members: </w:t>
      </w:r>
      <w:r>
        <w:rPr>
          <w:rFonts w:ascii="Arial" w:cs="Arial" w:eastAsia="Arial" w:hAnsi="Arial"/>
          <w:sz w:val="16"/>
          <w:szCs w:val="16"/>
          <w:color w:val="auto"/>
        </w:rPr>
        <w:t>Brian R. Ford (Chair), Ferrell P. McClean, Daniel B. More, E. Stanley O'Neal</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Number of meetings in 2019: </w:t>
      </w:r>
      <w:r>
        <w:rPr>
          <w:rFonts w:ascii="Arial" w:cs="Arial" w:eastAsia="Arial" w:hAnsi="Arial"/>
          <w:sz w:val="16"/>
          <w:szCs w:val="16"/>
          <w:color w:val="auto"/>
        </w:rPr>
        <w:t>5</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Audit Committee Financial Experts: </w:t>
      </w:r>
      <w:r>
        <w:rPr>
          <w:rFonts w:ascii="Arial" w:cs="Arial" w:eastAsia="Arial" w:hAnsi="Arial"/>
          <w:sz w:val="16"/>
          <w:szCs w:val="16"/>
          <w:color w:val="auto"/>
        </w:rPr>
        <w:t>Brian R. Ford, Ferrell P. McClean, Daniel B. More, E. Stanley O'Neal</w:t>
      </w:r>
    </w:p>
    <w:p>
      <w:pPr>
        <w:spacing w:after="0" w:line="216" w:lineRule="exact"/>
        <w:rPr>
          <w:rFonts w:ascii="Arial" w:cs="Arial" w:eastAsia="Arial" w:hAnsi="Arial"/>
          <w:sz w:val="16"/>
          <w:szCs w:val="16"/>
          <w:color w:val="auto"/>
        </w:rPr>
      </w:pPr>
    </w:p>
    <w:p>
      <w:pPr>
        <w:ind w:left="960" w:right="760" w:hanging="477"/>
        <w:spacing w:after="0" w:line="314" w:lineRule="auto"/>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 xml:space="preserve">Primary Responsibilities: </w:t>
      </w:r>
      <w:r>
        <w:rPr>
          <w:rFonts w:ascii="Arial" w:cs="Arial" w:eastAsia="Arial" w:hAnsi="Arial"/>
          <w:sz w:val="15"/>
          <w:szCs w:val="15"/>
          <w:color w:val="auto"/>
        </w:rPr>
        <w:t>appoints, retains, oversees, evaluates, and compensates the independent auditors; reviews the annual audited and quarterly</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consolidated financial statements; and reviews major issues regarding accounting principles and financial statement presentations.</w:t>
      </w:r>
    </w:p>
    <w:p>
      <w:pPr>
        <w:spacing w:after="0" w:line="155" w:lineRule="exact"/>
        <w:rPr>
          <w:rFonts w:ascii="Arial" w:cs="Arial" w:eastAsia="Arial" w:hAnsi="Arial"/>
          <w:sz w:val="15"/>
          <w:szCs w:val="15"/>
          <w:color w:val="auto"/>
        </w:rPr>
      </w:pPr>
    </w:p>
    <w:p>
      <w:pPr>
        <w:ind w:left="960" w:hanging="477"/>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Independence: </w:t>
      </w:r>
      <w:r>
        <w:rPr>
          <w:rFonts w:ascii="Arial" w:cs="Arial" w:eastAsia="Arial" w:hAnsi="Arial"/>
          <w:sz w:val="16"/>
          <w:szCs w:val="16"/>
          <w:color w:val="auto"/>
        </w:rPr>
        <w:t>all members</w:t>
      </w:r>
    </w:p>
    <w:p>
      <w:pPr>
        <w:spacing w:after="0" w:line="208" w:lineRule="exact"/>
        <w:rPr>
          <w:sz w:val="20"/>
          <w:szCs w:val="20"/>
          <w:color w:val="auto"/>
        </w:rPr>
      </w:pPr>
    </w:p>
    <w:p>
      <w:pPr>
        <w:ind w:right="300" w:firstLine="313"/>
        <w:spacing w:after="0" w:line="275" w:lineRule="auto"/>
        <w:rPr>
          <w:sz w:val="20"/>
          <w:szCs w:val="20"/>
          <w:color w:val="auto"/>
        </w:rPr>
      </w:pPr>
      <w:r>
        <w:rPr>
          <w:rFonts w:ascii="Arial" w:cs="Arial" w:eastAsia="Arial" w:hAnsi="Arial"/>
          <w:sz w:val="16"/>
          <w:szCs w:val="16"/>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Among other things, the Audit Committee:</w:t>
      </w:r>
    </w:p>
    <w:p>
      <w:pPr>
        <w:spacing w:after="0" w:line="217" w:lineRule="exact"/>
        <w:rPr>
          <w:sz w:val="20"/>
          <w:szCs w:val="20"/>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appoints, retains, oversees, evaluates, compensates, and terminates the independent auditors;</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reviews the annual audited and quarterly consolidated financial statements with management and independent auditors;</w:t>
      </w:r>
    </w:p>
    <w:p>
      <w:pPr>
        <w:spacing w:after="0" w:line="216" w:lineRule="exact"/>
        <w:rPr>
          <w:rFonts w:ascii="Arial" w:cs="Arial" w:eastAsia="Arial" w:hAnsi="Arial"/>
          <w:sz w:val="16"/>
          <w:szCs w:val="16"/>
          <w:color w:val="auto"/>
        </w:rPr>
      </w:pPr>
    </w:p>
    <w:p>
      <w:pPr>
        <w:ind w:left="960" w:right="220" w:hanging="477"/>
        <w:spacing w:after="0" w:line="275"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reviews significant accounting and reporting issues, including significant changes in Company's application of accounting principles and recent professional or regulatory pronouncements;</w:t>
      </w:r>
    </w:p>
    <w:p>
      <w:pPr>
        <w:spacing w:after="0" w:line="173"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reviews major issues regarding accounting principles and financial statement presentations;</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reviews earnings press releases and earnings guidance provided to analysts and rating agencies;</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reviews and pre-approves all audit and permitted non-audit services provided by the independent auditors;</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resolves disagreements between management and independent auditors regarding financial reporting;</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considers the adequacy and effectiveness of the Company's internal control and reporting system;</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reviews and approves the internal corporate audit staff functions and sets hiring policies for employees or former employees of the independent auditors;</w:t>
      </w:r>
    </w:p>
    <w:p>
      <w:pPr>
        <w:spacing w:after="0" w:line="228" w:lineRule="exact"/>
        <w:rPr>
          <w:rFonts w:ascii="Arial" w:cs="Arial" w:eastAsia="Arial" w:hAnsi="Arial"/>
          <w:sz w:val="15"/>
          <w:szCs w:val="15"/>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reviews and concurs the appointment, replacement, and dismissal of the Chief Audit Executive;</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ensures rotation of the lead or coordinating audit partner;</w:t>
      </w:r>
    </w:p>
    <w:p>
      <w:pPr>
        <w:spacing w:after="0" w:line="216" w:lineRule="exact"/>
        <w:rPr>
          <w:rFonts w:ascii="Arial" w:cs="Arial" w:eastAsia="Arial" w:hAnsi="Arial"/>
          <w:sz w:val="16"/>
          <w:szCs w:val="16"/>
          <w:color w:val="auto"/>
        </w:rPr>
      </w:pPr>
    </w:p>
    <w:p>
      <w:pPr>
        <w:ind w:left="960" w:right="420" w:hanging="477"/>
        <w:spacing w:after="0" w:line="264"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discusses policies with respect to risk assessment and risk management, including the Company's major financial risk exposures and the effectiveness of the Company's system for monitoring compliance with laws and regulations, and reviews the Company's tax policies and findings of regulatory agencies and independent auditors;</w:t>
      </w:r>
    </w:p>
    <w:p>
      <w:pPr>
        <w:spacing w:after="0" w:line="181"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reports regularly to the Board regarding its activities and prepares and publishes required annual Committee reports;</w:t>
      </w:r>
    </w:p>
    <w:p>
      <w:pPr>
        <w:spacing w:after="0" w:line="228" w:lineRule="exact"/>
        <w:rPr>
          <w:rFonts w:ascii="Arial" w:cs="Arial" w:eastAsia="Arial" w:hAnsi="Arial"/>
          <w:sz w:val="16"/>
          <w:szCs w:val="16"/>
          <w:color w:val="auto"/>
        </w:rPr>
      </w:pPr>
    </w:p>
    <w:p>
      <w:pPr>
        <w:ind w:left="960" w:right="660" w:hanging="477"/>
        <w:spacing w:after="0" w:line="275"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reviews updates from management and Company legal counsel regarding compliance matters that may be material to financial performance or reporting obligations;</w:t>
      </w:r>
    </w:p>
    <w:p>
      <w:pPr>
        <w:spacing w:after="0" w:line="173" w:lineRule="exact"/>
        <w:rPr>
          <w:rFonts w:ascii="Arial" w:cs="Arial" w:eastAsia="Arial" w:hAnsi="Arial"/>
          <w:sz w:val="16"/>
          <w:szCs w:val="16"/>
          <w:color w:val="auto"/>
        </w:rPr>
      </w:pPr>
    </w:p>
    <w:p>
      <w:pPr>
        <w:ind w:left="960" w:hanging="477"/>
        <w:spacing w:after="0" w:line="275"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discusses with management and the internal audit executive compliance by the Company and its subsidiaries with material applicable laws and regulations and the Code of Conduct;</w:t>
      </w:r>
    </w:p>
    <w:p>
      <w:pPr>
        <w:spacing w:after="0" w:line="185" w:lineRule="exact"/>
        <w:rPr>
          <w:rFonts w:ascii="Arial" w:cs="Arial" w:eastAsia="Arial" w:hAnsi="Arial"/>
          <w:sz w:val="16"/>
          <w:szCs w:val="16"/>
          <w:color w:val="auto"/>
        </w:rPr>
      </w:pPr>
    </w:p>
    <w:p>
      <w:pPr>
        <w:ind w:left="960" w:right="80" w:hanging="477"/>
        <w:spacing w:after="0" w:line="275"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establishes confidential and anonymous procedures for the receipt, retention, and treatment of complaints and concerns regarding accounting, internal accounting controls, or auditing matters;</w:t>
      </w:r>
    </w:p>
    <w:p>
      <w:pPr>
        <w:spacing w:after="0" w:line="173"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oversees the internal audit and corporate compliance functions;</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prepares the report required to be included in the Company's proxy statement; and</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annually evaluates the performance of the Audit Committee and the adequacy of its charter.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20" w:firstLine="313"/>
        <w:spacing w:after="0" w:line="275" w:lineRule="auto"/>
        <w:rPr>
          <w:sz w:val="20"/>
          <w:szCs w:val="20"/>
          <w:color w:val="auto"/>
        </w:rPr>
      </w:pPr>
      <w:r>
        <w:rPr>
          <w:rFonts w:ascii="Arial" w:cs="Arial" w:eastAsia="Arial" w:hAnsi="Arial"/>
          <w:sz w:val="16"/>
          <w:szCs w:val="16"/>
          <w:color w:val="auto"/>
        </w:rPr>
        <w:t>The Board has determined that all of the current Audit Committee members are independent according to the rules and regulations of the SEC and the listing standards of the NYSE with respect to audit committee membership.</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17" w:lineRule="exact"/>
        <w:rPr>
          <w:sz w:val="20"/>
          <w:szCs w:val="20"/>
          <w:color w:val="auto"/>
        </w:rPr>
      </w:pPr>
    </w:p>
    <w:p>
      <w:pPr>
        <w:ind w:left="960" w:hanging="477"/>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Current Members: </w:t>
      </w:r>
      <w:r>
        <w:rPr>
          <w:rFonts w:ascii="Arial" w:cs="Arial" w:eastAsia="Arial" w:hAnsi="Arial"/>
          <w:sz w:val="16"/>
          <w:szCs w:val="16"/>
          <w:color w:val="auto"/>
        </w:rPr>
        <w:t>Ferrell P. McClean (Chair), Jonathan Bram, Brian R. Ford, Daniel B. More, E. Stanley O'Neal</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Number of meetings in 2019: </w:t>
      </w:r>
      <w:r>
        <w:rPr>
          <w:rFonts w:ascii="Arial" w:cs="Arial" w:eastAsia="Arial" w:hAnsi="Arial"/>
          <w:sz w:val="16"/>
          <w:szCs w:val="16"/>
          <w:color w:val="auto"/>
        </w:rPr>
        <w:t>5</w:t>
      </w:r>
    </w:p>
    <w:p>
      <w:pPr>
        <w:spacing w:after="0" w:line="216" w:lineRule="exact"/>
        <w:rPr>
          <w:rFonts w:ascii="Arial" w:cs="Arial" w:eastAsia="Arial" w:hAnsi="Arial"/>
          <w:sz w:val="16"/>
          <w:szCs w:val="16"/>
          <w:color w:val="auto"/>
        </w:rPr>
      </w:pPr>
    </w:p>
    <w:p>
      <w:pPr>
        <w:ind w:left="960" w:right="380" w:hanging="477"/>
        <w:spacing w:after="0" w:line="266"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Primary Responsibilities: </w:t>
      </w:r>
      <w:r>
        <w:rPr>
          <w:rFonts w:ascii="Arial" w:cs="Arial" w:eastAsia="Arial" w:hAnsi="Arial"/>
          <w:sz w:val="16"/>
          <w:szCs w:val="16"/>
          <w:color w:val="auto"/>
        </w:rPr>
        <w:t>oversees the Company's overall compensation structure, policies and programs; evaluates the performance of the CEO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senior executives against goals and objectives relevant to their compensation; and reviews the compensation of directors for service on the Board and its Committees.</w:t>
      </w:r>
    </w:p>
    <w:p>
      <w:pPr>
        <w:spacing w:after="0" w:line="177" w:lineRule="exact"/>
        <w:rPr>
          <w:rFonts w:ascii="Arial" w:cs="Arial" w:eastAsia="Arial" w:hAnsi="Arial"/>
          <w:sz w:val="16"/>
          <w:szCs w:val="16"/>
          <w:color w:val="auto"/>
        </w:rPr>
      </w:pPr>
    </w:p>
    <w:p>
      <w:pPr>
        <w:ind w:left="960" w:hanging="477"/>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Independence: </w:t>
      </w:r>
      <w:r>
        <w:rPr>
          <w:rFonts w:ascii="Arial" w:cs="Arial" w:eastAsia="Arial" w:hAnsi="Arial"/>
          <w:sz w:val="16"/>
          <w:szCs w:val="16"/>
          <w:color w:val="auto"/>
        </w:rPr>
        <w:t>4 members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Compensation Committee provides leadership and guidance to the Board regarding the Company's overall compensation strategy, structure, policies and programs.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Among other things, the Compensation Committee:</w:t>
      </w:r>
    </w:p>
    <w:p>
      <w:pPr>
        <w:spacing w:after="0" w:line="229" w:lineRule="exact"/>
        <w:rPr>
          <w:sz w:val="20"/>
          <w:szCs w:val="20"/>
          <w:color w:val="auto"/>
        </w:rPr>
      </w:pPr>
    </w:p>
    <w:p>
      <w:pPr>
        <w:ind w:left="960" w:right="300" w:hanging="477"/>
        <w:spacing w:after="0" w:line="264"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181" w:lineRule="exact"/>
        <w:rPr>
          <w:rFonts w:ascii="Arial" w:cs="Arial" w:eastAsia="Arial" w:hAnsi="Arial"/>
          <w:sz w:val="16"/>
          <w:szCs w:val="16"/>
          <w:color w:val="auto"/>
        </w:rPr>
      </w:pPr>
    </w:p>
    <w:p>
      <w:pPr>
        <w:ind w:left="960" w:right="40" w:hanging="477"/>
        <w:spacing w:after="0" w:line="304" w:lineRule="auto"/>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reports to the Board with respect to the Chief Financial Officer (the "CFO"), any executive or senior vice presidents and any other officer designated by the Board and compensated by the Company (other than the CEO)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157" w:lineRule="exact"/>
        <w:rPr>
          <w:rFonts w:ascii="Arial" w:cs="Arial" w:eastAsia="Arial" w:hAnsi="Arial"/>
          <w:sz w:val="14"/>
          <w:szCs w:val="14"/>
          <w:color w:val="auto"/>
        </w:rPr>
      </w:pPr>
    </w:p>
    <w:p>
      <w:pPr>
        <w:ind w:left="960" w:hanging="477"/>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reviews and recommends to the Board the compensation, incentive compensation and equity-based plans that are subject to Board approval;</w:t>
      </w:r>
    </w:p>
    <w:p>
      <w:pPr>
        <w:spacing w:after="0" w:line="228" w:lineRule="exact"/>
        <w:rPr>
          <w:rFonts w:ascii="Arial" w:cs="Arial" w:eastAsia="Arial" w:hAnsi="Arial"/>
          <w:sz w:val="16"/>
          <w:szCs w:val="16"/>
          <w:color w:val="auto"/>
        </w:rPr>
      </w:pPr>
    </w:p>
    <w:p>
      <w:pPr>
        <w:ind w:left="960" w:hanging="477"/>
        <w:spacing w:after="0" w:line="275"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recommends to the Board stock option and other stock incentive awards for the CEO and approves stock option and other stock incentive awards for officers other than the CEO;</w:t>
      </w:r>
    </w:p>
    <w:p>
      <w:pPr>
        <w:spacing w:after="0" w:line="173" w:lineRule="exact"/>
        <w:rPr>
          <w:rFonts w:ascii="Arial" w:cs="Arial" w:eastAsia="Arial" w:hAnsi="Arial"/>
          <w:sz w:val="16"/>
          <w:szCs w:val="16"/>
          <w:color w:val="auto"/>
        </w:rPr>
      </w:pPr>
    </w:p>
    <w:p>
      <w:pPr>
        <w:ind w:left="960" w:right="180" w:hanging="477"/>
        <w:spacing w:after="0" w:line="309" w:lineRule="auto"/>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150" w:lineRule="exact"/>
        <w:rPr>
          <w:rFonts w:ascii="Arial" w:cs="Arial" w:eastAsia="Arial" w:hAnsi="Arial"/>
          <w:sz w:val="15"/>
          <w:szCs w:val="15"/>
          <w:color w:val="auto"/>
        </w:rPr>
      </w:pPr>
    </w:p>
    <w:p>
      <w:pPr>
        <w:jc w:val="both"/>
        <w:ind w:left="960" w:right="680" w:hanging="477"/>
        <w:spacing w:after="0" w:line="348" w:lineRule="auto"/>
        <w:tabs>
          <w:tab w:leader="none" w:pos="9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40" w:lineRule="exact"/>
        <w:rPr>
          <w:rFonts w:ascii="Arial" w:cs="Arial" w:eastAsia="Arial" w:hAnsi="Arial"/>
          <w:sz w:val="14"/>
          <w:szCs w:val="14"/>
          <w:color w:val="auto"/>
        </w:rPr>
      </w:pPr>
    </w:p>
    <w:p>
      <w:pPr>
        <w:ind w:left="960" w:hanging="477"/>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recommends and monitors officers' and directors' compliance regarding any stock ownership guidelines;</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reviews the compensation of directors for service on the Board and its Committees and recommends changes in compensation to the Board;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960" w:right="400" w:hanging="477"/>
        <w:spacing w:after="0" w:line="275"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retains and terminates any adviser to assist the Compensation Committee in the performance of its duties, but only after taking into consideration all factors relevant to the adviser's independence from management; and</w:t>
      </w:r>
    </w:p>
    <w:p>
      <w:pPr>
        <w:spacing w:after="0" w:line="185" w:lineRule="exact"/>
        <w:rPr>
          <w:rFonts w:ascii="Arial" w:cs="Arial" w:eastAsia="Arial" w:hAnsi="Arial"/>
          <w:sz w:val="16"/>
          <w:szCs w:val="16"/>
          <w:color w:val="auto"/>
        </w:rPr>
      </w:pPr>
    </w:p>
    <w:p>
      <w:pPr>
        <w:ind w:left="960" w:hanging="477"/>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annually evaluates the performance of the Compensation Committee and the adequacy of its charter.</w:t>
      </w:r>
    </w:p>
    <w:p>
      <w:pPr>
        <w:spacing w:after="0" w:line="204" w:lineRule="exact"/>
        <w:rPr>
          <w:sz w:val="20"/>
          <w:szCs w:val="20"/>
          <w:color w:val="auto"/>
        </w:rPr>
      </w:pPr>
    </w:p>
    <w:p>
      <w:pPr>
        <w:ind w:firstLine="313"/>
        <w:spacing w:after="0" w:line="264" w:lineRule="auto"/>
        <w:rPr>
          <w:sz w:val="20"/>
          <w:szCs w:val="20"/>
          <w:color w:val="auto"/>
        </w:rPr>
      </w:pPr>
      <w:r>
        <w:rPr>
          <w:rFonts w:ascii="Arial" w:cs="Arial" w:eastAsia="Arial" w:hAnsi="Arial"/>
          <w:sz w:val="16"/>
          <w:szCs w:val="16"/>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w:t>
      </w:r>
    </w:p>
    <w:p>
      <w:pPr>
        <w:spacing w:after="0" w:line="170" w:lineRule="exact"/>
        <w:rPr>
          <w:sz w:val="20"/>
          <w:szCs w:val="20"/>
          <w:color w:val="auto"/>
        </w:rPr>
      </w:pPr>
    </w:p>
    <w:p>
      <w:pPr>
        <w:ind w:right="80" w:firstLine="313"/>
        <w:spacing w:after="0" w:line="299" w:lineRule="auto"/>
        <w:rPr>
          <w:sz w:val="20"/>
          <w:szCs w:val="20"/>
          <w:color w:val="auto"/>
        </w:rPr>
      </w:pPr>
      <w:r>
        <w:rPr>
          <w:rFonts w:ascii="Arial" w:cs="Arial" w:eastAsia="Arial" w:hAnsi="Arial"/>
          <w:sz w:val="14"/>
          <w:szCs w:val="14"/>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Each of Pay Governance and Deloitte Consulting LLP ("Deloitte") served as the Compensation Committee's independent compensation consultant at separate times during fiscal year 2019, with Pay Governance serving in such capacity for the first eight months of the year and Deloitte serving in such capacity for the remainder of the year. As the Compensation Committee's independent compensation consultant, Pay Governance worked with the Compensation Committee in connection with the director compensation, and both Pay Governance and Deloitte assisted with executive pay data and worked with the Compensation Committee in connection with executive compensation programs and the CEO evaluation process.</w:t>
      </w:r>
    </w:p>
    <w:p>
      <w:pPr>
        <w:spacing w:after="0" w:line="150" w:lineRule="exact"/>
        <w:rPr>
          <w:sz w:val="20"/>
          <w:szCs w:val="20"/>
          <w:color w:val="auto"/>
        </w:rPr>
      </w:pPr>
    </w:p>
    <w:p>
      <w:pPr>
        <w:ind w:right="80" w:firstLine="313"/>
        <w:spacing w:after="0" w:line="275" w:lineRule="auto"/>
        <w:rPr>
          <w:sz w:val="20"/>
          <w:szCs w:val="20"/>
          <w:color w:val="auto"/>
        </w:rPr>
      </w:pPr>
      <w:r>
        <w:rPr>
          <w:rFonts w:ascii="Arial" w:cs="Arial" w:eastAsia="Arial" w:hAnsi="Arial"/>
          <w:sz w:val="16"/>
          <w:szCs w:val="16"/>
          <w:color w:val="auto"/>
        </w:rPr>
        <w:t>The Board has determined that Ms. McClean, Mr. Ford, Mr. More and Mr. O'Neal are independent under the listing standards of the NYSE and that they are "nonemployee directors" for purposes of Rule 16b-3 under the Securities Exchange Act of 1934, as amended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Conflicts and Nominating Committee</w:t>
      </w:r>
    </w:p>
    <w:p>
      <w:pPr>
        <w:spacing w:after="0" w:line="217" w:lineRule="exact"/>
        <w:rPr>
          <w:sz w:val="20"/>
          <w:szCs w:val="20"/>
          <w:color w:val="auto"/>
        </w:rPr>
      </w:pPr>
    </w:p>
    <w:p>
      <w:pPr>
        <w:ind w:left="960" w:hanging="477"/>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Current Members: </w:t>
      </w:r>
      <w:r>
        <w:rPr>
          <w:rFonts w:ascii="Arial" w:cs="Arial" w:eastAsia="Arial" w:hAnsi="Arial"/>
          <w:sz w:val="16"/>
          <w:szCs w:val="16"/>
          <w:color w:val="auto"/>
        </w:rPr>
        <w:t>Ferrell P. McClean (Chair), Brian R. Ford, Daniel B. More</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Number of meetings in 2019: </w:t>
      </w:r>
      <w:r>
        <w:rPr>
          <w:rFonts w:ascii="Arial" w:cs="Arial" w:eastAsia="Arial" w:hAnsi="Arial"/>
          <w:sz w:val="16"/>
          <w:szCs w:val="16"/>
          <w:color w:val="auto"/>
        </w:rPr>
        <w:t>11</w:t>
      </w:r>
    </w:p>
    <w:p>
      <w:pPr>
        <w:spacing w:after="0" w:line="228" w:lineRule="exact"/>
        <w:rPr>
          <w:rFonts w:ascii="Arial" w:cs="Arial" w:eastAsia="Arial" w:hAnsi="Arial"/>
          <w:sz w:val="16"/>
          <w:szCs w:val="16"/>
          <w:color w:val="auto"/>
        </w:rPr>
      </w:pPr>
    </w:p>
    <w:p>
      <w:pPr>
        <w:ind w:left="960" w:right="340" w:hanging="477"/>
        <w:spacing w:after="0" w:line="266"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Primary Responsibilities: </w:t>
      </w:r>
      <w:r>
        <w:rPr>
          <w:rFonts w:ascii="Arial" w:cs="Arial" w:eastAsia="Arial" w:hAnsi="Arial"/>
          <w:sz w:val="16"/>
          <w:szCs w:val="16"/>
          <w:color w:val="auto"/>
        </w:rPr>
        <w:t>recommends director candidates to the Board; makes recommendations on Board and Committee structure and function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 related matters; oversees the evaluation of the Board and Committees; and reviews potential conflict transactions between the Company and any affiliated parties, including GIP and CEG, and any change of control of the Company.</w:t>
      </w:r>
    </w:p>
    <w:p>
      <w:pPr>
        <w:spacing w:after="0" w:line="177" w:lineRule="exact"/>
        <w:rPr>
          <w:rFonts w:ascii="Arial" w:cs="Arial" w:eastAsia="Arial" w:hAnsi="Arial"/>
          <w:sz w:val="16"/>
          <w:szCs w:val="16"/>
          <w:color w:val="auto"/>
        </w:rPr>
      </w:pPr>
    </w:p>
    <w:p>
      <w:pPr>
        <w:ind w:left="960" w:hanging="477"/>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Independence: </w:t>
      </w:r>
      <w:r>
        <w:rPr>
          <w:rFonts w:ascii="Arial" w:cs="Arial" w:eastAsia="Arial" w:hAnsi="Arial"/>
          <w:sz w:val="16"/>
          <w:szCs w:val="16"/>
          <w:color w:val="auto"/>
        </w:rPr>
        <w:t>all members</w:t>
      </w:r>
    </w:p>
    <w:p>
      <w:pPr>
        <w:spacing w:after="0" w:line="208" w:lineRule="exact"/>
        <w:rPr>
          <w:sz w:val="20"/>
          <w:szCs w:val="20"/>
          <w:color w:val="auto"/>
        </w:rPr>
      </w:pPr>
    </w:p>
    <w:p>
      <w:pPr>
        <w:ind w:right="320" w:firstLine="313"/>
        <w:spacing w:after="0" w:line="264" w:lineRule="auto"/>
        <w:rPr>
          <w:sz w:val="20"/>
          <w:szCs w:val="20"/>
          <w:color w:val="auto"/>
        </w:rPr>
      </w:pPr>
      <w:r>
        <w:rPr>
          <w:rFonts w:ascii="Arial" w:cs="Arial" w:eastAsia="Arial" w:hAnsi="Arial"/>
          <w:sz w:val="16"/>
          <w:szCs w:val="16"/>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and the Board and committees annual performance review.</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Among other things, the Corporate Governance, Conflicts and Nominating Committee:</w:t>
      </w:r>
    </w:p>
    <w:p>
      <w:pPr>
        <w:spacing w:after="0" w:line="217" w:lineRule="exact"/>
        <w:rPr>
          <w:sz w:val="20"/>
          <w:szCs w:val="20"/>
          <w:color w:val="auto"/>
        </w:rPr>
      </w:pPr>
    </w:p>
    <w:p>
      <w:pPr>
        <w:ind w:left="960" w:hanging="477"/>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identifies and reviews the qualifications of potential nominees to the Board consistent with criteria approved by the Board;</w:t>
      </w:r>
    </w:p>
    <w:p>
      <w:pPr>
        <w:spacing w:after="0" w:line="228" w:lineRule="exact"/>
        <w:rPr>
          <w:rFonts w:ascii="Arial" w:cs="Arial" w:eastAsia="Arial" w:hAnsi="Arial"/>
          <w:sz w:val="16"/>
          <w:szCs w:val="16"/>
          <w:color w:val="auto"/>
        </w:rPr>
      </w:pPr>
    </w:p>
    <w:p>
      <w:pPr>
        <w:ind w:left="5540" w:right="2180" w:hanging="5057"/>
        <w:spacing w:after="0" w:line="528"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assesses the contributions and independence of incumbent directors in determining whether to recommend them for re-election;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137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develops, periodically evaluates, and oversees compliance with the Guidelines and recommends any changes to the Guidelines to the Board;</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establishes and reviews procedures for the consideration of Board candidates recommended by the Company's stockholders;</w:t>
      </w:r>
    </w:p>
    <w:p>
      <w:pPr>
        <w:spacing w:after="0" w:line="216" w:lineRule="exact"/>
        <w:rPr>
          <w:rFonts w:ascii="Arial" w:cs="Arial" w:eastAsia="Arial" w:hAnsi="Arial"/>
          <w:sz w:val="16"/>
          <w:szCs w:val="16"/>
          <w:color w:val="auto"/>
        </w:rPr>
      </w:pPr>
    </w:p>
    <w:p>
      <w:pPr>
        <w:ind w:left="960" w:right="260" w:hanging="477"/>
        <w:spacing w:after="0" w:line="260"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and approves potential conflict transactions between the Company and any affiliated parties, including GIP and CEG, with respect to acquisitions of assets and other transactions, including, but not limited to, the evaluation of acquisition opportunities presented to the Company pursuant to the Right of First Offer Agreement by and between the Company and CEG, as described in "Certain Relationships and Related Person Transactions—Right of First Offer Agreements";</w:t>
      </w:r>
    </w:p>
    <w:p>
      <w:pPr>
        <w:spacing w:after="0" w:line="186"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and approves strategic transactions involving the transfer of 50% or more of the voting power in the Company;</w:t>
      </w:r>
    </w:p>
    <w:p>
      <w:pPr>
        <w:spacing w:after="0" w:line="228" w:lineRule="exact"/>
        <w:rPr>
          <w:rFonts w:ascii="Arial" w:cs="Arial" w:eastAsia="Arial" w:hAnsi="Arial"/>
          <w:sz w:val="16"/>
          <w:szCs w:val="16"/>
          <w:color w:val="auto"/>
        </w:rPr>
      </w:pPr>
    </w:p>
    <w:p>
      <w:pPr>
        <w:ind w:left="960" w:right="80" w:hanging="477"/>
        <w:spacing w:after="0" w:line="275"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periodically reviews relationships between the Company and each director and reports the results of its review to the Board for purposes of determining whether directors satisfy independence requirements;</w:t>
      </w:r>
    </w:p>
    <w:p>
      <w:pPr>
        <w:spacing w:after="0" w:line="173"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makes recommendations to the Board concerning the structure, composition, and functioning of the Board and its committees;</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recommends to the Board candidates for appointment to Board committees;</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and assesses the channels through which the Board receives information, and the quality and timeliness of information received;</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and recommends to the Board retirement and other tenure policies for directors;</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and approves Company policies applicable to the Board, the directors and officers subject to Section 16 of the Exchange Act;</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and reports to the Board regarding potential conflicts of interests of directors;</w:t>
      </w:r>
    </w:p>
    <w:p>
      <w:pPr>
        <w:spacing w:after="0" w:line="216" w:lineRule="exact"/>
        <w:rPr>
          <w:rFonts w:ascii="Arial" w:cs="Arial" w:eastAsia="Arial" w:hAnsi="Arial"/>
          <w:sz w:val="16"/>
          <w:szCs w:val="16"/>
          <w:color w:val="auto"/>
        </w:rPr>
      </w:pPr>
    </w:p>
    <w:p>
      <w:pPr>
        <w:ind w:left="960" w:right="40" w:hanging="477"/>
        <w:spacing w:after="0" w:line="275"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recommends to the Board director candidates for the annual meeting of stockholders, and candidates to be elected by the Board as necessary to fill vacancies and newly created directorships;</w:t>
      </w:r>
    </w:p>
    <w:p>
      <w:pPr>
        <w:spacing w:after="0" w:line="173" w:lineRule="exact"/>
        <w:rPr>
          <w:rFonts w:ascii="Arial" w:cs="Arial" w:eastAsia="Arial" w:hAnsi="Arial"/>
          <w:sz w:val="16"/>
          <w:szCs w:val="16"/>
          <w:color w:val="auto"/>
        </w:rPr>
      </w:pPr>
    </w:p>
    <w:p>
      <w:pPr>
        <w:ind w:left="960" w:hanging="477"/>
        <w:spacing w:after="0" w:line="275"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oversees the evaluation of the Board, its committees and management, and develops and recommends to the Board an annual self-evaluation process of the Board and its Committees;</w:t>
      </w:r>
    </w:p>
    <w:p>
      <w:pPr>
        <w:spacing w:after="0" w:line="185"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the Company's senior management succession plans at the CEO and other senior management levels annually;</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monitors directorships in other public companies held by directors and senior officers of the Company;</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oversees the orientation process for new director and programs for the continuing education of directors; and</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performs such other duties and responsibilities as are consistent with the purpose of the Committee and as the Board deems appropriate.</w:t>
      </w:r>
    </w:p>
    <w:p>
      <w:pPr>
        <w:spacing w:after="0" w:line="204" w:lineRule="exact"/>
        <w:rPr>
          <w:sz w:val="20"/>
          <w:szCs w:val="20"/>
          <w:color w:val="auto"/>
        </w:rPr>
      </w:pPr>
    </w:p>
    <w:p>
      <w:pPr>
        <w:ind w:right="60" w:firstLine="313"/>
        <w:spacing w:after="0" w:line="275" w:lineRule="auto"/>
        <w:rPr>
          <w:sz w:val="20"/>
          <w:szCs w:val="20"/>
          <w:color w:val="auto"/>
        </w:rPr>
      </w:pPr>
      <w:r>
        <w:rPr>
          <w:rFonts w:ascii="Arial" w:cs="Arial" w:eastAsia="Arial" w:hAnsi="Arial"/>
          <w:sz w:val="16"/>
          <w:szCs w:val="16"/>
          <w:color w:val="auto"/>
        </w:rPr>
        <w:t>The Board and each of the Committees conduct annual self-evaluations to assess their effectiveness and review their charters. Individual directors are also evaluated by the Board. The Corporate Governance, Conflicts and Nominating Committee coordinates each of these annual evaluations.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Board has determined that all of the Corporate Governance, Conflicts, and Nominating Committee members are independent under the listing standards of the NYSE.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CONDUCT</w:t>
      </w:r>
    </w:p>
    <w:p>
      <w:pPr>
        <w:spacing w:after="0" w:line="208" w:lineRule="exact"/>
        <w:rPr>
          <w:sz w:val="20"/>
          <w:szCs w:val="20"/>
          <w:color w:val="auto"/>
        </w:rPr>
      </w:pPr>
    </w:p>
    <w:p>
      <w:pPr>
        <w:jc w:val="both"/>
        <w:ind w:firstLine="316"/>
        <w:spacing w:after="0" w:line="260" w:lineRule="auto"/>
        <w:rPr>
          <w:sz w:val="20"/>
          <w:szCs w:val="20"/>
          <w:color w:val="auto"/>
        </w:rPr>
      </w:pPr>
      <w:r>
        <w:rPr>
          <w:rFonts w:ascii="Arial" w:cs="Arial" w:eastAsia="Arial" w:hAnsi="Arial"/>
          <w:sz w:val="16"/>
          <w:szCs w:val="16"/>
          <w:color w:val="auto"/>
        </w:rPr>
        <w:t>Our Board has adopted a Code of Conduct that applies to all of our directors and employees, including our officers.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ANTI-HEDGING AND ANTI-PLEDGING POLICIES</w:t>
      </w:r>
    </w:p>
    <w:p>
      <w:pPr>
        <w:spacing w:after="0" w:line="208" w:lineRule="exact"/>
        <w:rPr>
          <w:sz w:val="20"/>
          <w:szCs w:val="20"/>
          <w:color w:val="auto"/>
        </w:rPr>
      </w:pPr>
    </w:p>
    <w:p>
      <w:pPr>
        <w:ind w:right="20" w:firstLine="313"/>
        <w:spacing w:after="0" w:line="260" w:lineRule="auto"/>
        <w:rPr>
          <w:sz w:val="20"/>
          <w:szCs w:val="20"/>
          <w:color w:val="auto"/>
        </w:rPr>
      </w:pPr>
      <w:r>
        <w:rPr>
          <w:rFonts w:ascii="Arial" w:cs="Arial" w:eastAsia="Arial" w:hAnsi="Arial"/>
          <w:sz w:val="16"/>
          <w:szCs w:val="16"/>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 WITH DIRECTORS</w:t>
      </w:r>
    </w:p>
    <w:p>
      <w:pPr>
        <w:spacing w:after="0" w:line="208" w:lineRule="exact"/>
        <w:rPr>
          <w:sz w:val="20"/>
          <w:szCs w:val="20"/>
          <w:color w:val="auto"/>
        </w:rPr>
      </w:pPr>
    </w:p>
    <w:p>
      <w:pPr>
        <w:ind w:right="20" w:firstLine="316"/>
        <w:spacing w:after="0" w:line="278" w:lineRule="auto"/>
        <w:rPr>
          <w:sz w:val="20"/>
          <w:szCs w:val="20"/>
          <w:color w:val="auto"/>
        </w:rPr>
      </w:pPr>
      <w:r>
        <w:rPr>
          <w:rFonts w:ascii="Arial" w:cs="Arial" w:eastAsia="Arial" w:hAnsi="Arial"/>
          <w:sz w:val="15"/>
          <w:szCs w:val="15"/>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PROPOSALS TO BE VOTED 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NO. 1</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ELECTION OF DIRECTORS</w:t>
      </w:r>
    </w:p>
    <w:p>
      <w:pPr>
        <w:spacing w:after="0" w:line="208" w:lineRule="exact"/>
        <w:rPr>
          <w:sz w:val="20"/>
          <w:szCs w:val="20"/>
          <w:color w:val="auto"/>
        </w:rPr>
      </w:pPr>
    </w:p>
    <w:p>
      <w:pPr>
        <w:ind w:right="40" w:firstLine="316"/>
        <w:spacing w:after="0" w:line="278" w:lineRule="auto"/>
        <w:rPr>
          <w:sz w:val="20"/>
          <w:szCs w:val="20"/>
          <w:color w:val="auto"/>
        </w:rPr>
      </w:pPr>
      <w:r>
        <w:rPr>
          <w:rFonts w:ascii="Arial" w:cs="Arial" w:eastAsia="Arial" w:hAnsi="Arial"/>
          <w:sz w:val="15"/>
          <w:szCs w:val="15"/>
          <w:color w:val="auto"/>
        </w:rPr>
        <w:t>Each of the nine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Director</w:t>
      </w:r>
    </w:p>
    <w:p>
      <w:pPr>
        <w:spacing w:after="0" w:line="208" w:lineRule="exact"/>
        <w:rPr>
          <w:sz w:val="20"/>
          <w:szCs w:val="20"/>
          <w:color w:val="auto"/>
        </w:rPr>
      </w:pPr>
    </w:p>
    <w:p>
      <w:pPr>
        <w:ind w:right="200" w:firstLine="313"/>
        <w:spacing w:after="0" w:line="275" w:lineRule="auto"/>
        <w:rPr>
          <w:sz w:val="20"/>
          <w:szCs w:val="20"/>
          <w:color w:val="auto"/>
        </w:rPr>
      </w:pPr>
      <w:r>
        <w:rPr>
          <w:rFonts w:ascii="Arial" w:cs="Arial" w:eastAsia="Arial" w:hAnsi="Arial"/>
          <w:sz w:val="16"/>
          <w:szCs w:val="16"/>
          <w:color w:val="auto"/>
        </w:rPr>
        <w:t>The following nine directors are being nominated for a one-year term, and will be elected annually. Each director will hold office until his or her successor has been duly elected and qualified or until the director's earlier death, resignation or removal.</w:t>
      </w:r>
    </w:p>
    <w:p>
      <w:pPr>
        <w:spacing w:after="0" w:line="161" w:lineRule="exact"/>
        <w:rPr>
          <w:sz w:val="20"/>
          <w:szCs w:val="20"/>
          <w:color w:val="auto"/>
        </w:rPr>
      </w:pPr>
    </w:p>
    <w:p>
      <w:pPr>
        <w:ind w:left="1780"/>
        <w:spacing w:after="0"/>
        <w:rPr>
          <w:sz w:val="20"/>
          <w:szCs w:val="20"/>
          <w:color w:val="auto"/>
        </w:rPr>
      </w:pPr>
      <w:r>
        <w:rPr>
          <w:rFonts w:ascii="Arial" w:cs="Arial" w:eastAsia="Arial" w:hAnsi="Arial"/>
          <w:sz w:val="16"/>
          <w:szCs w:val="16"/>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040765" cy="1456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40765" cy="14566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Age: 54</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Chairman of the Board</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Compensation Committee</w:t>
      </w:r>
    </w:p>
    <w:p>
      <w:pPr>
        <w:spacing w:after="0" w:line="222" w:lineRule="exact"/>
        <w:rPr>
          <w:sz w:val="20"/>
          <w:szCs w:val="20"/>
          <w:color w:val="auto"/>
        </w:rPr>
      </w:pPr>
    </w:p>
    <w:p>
      <w:pPr>
        <w:ind w:left="1780"/>
        <w:spacing w:after="0" w:line="290" w:lineRule="auto"/>
        <w:rPr>
          <w:sz w:val="20"/>
          <w:szCs w:val="20"/>
          <w:color w:val="auto"/>
        </w:rPr>
      </w:pPr>
      <w:r>
        <w:rPr>
          <w:rFonts w:ascii="Arial" w:cs="Arial" w:eastAsia="Arial" w:hAnsi="Arial"/>
          <w:sz w:val="14"/>
          <w:szCs w:val="14"/>
          <w:color w:val="auto"/>
        </w:rPr>
        <w:t>Mr. Bram has served as a director and Chairman of the Board since August 2018. Mr. Bram is a Founding Partner of GIP and 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w:t>
      </w:r>
    </w:p>
    <w:p>
      <w:pPr>
        <w:spacing w:after="0" w:line="4" w:lineRule="exact"/>
        <w:rPr>
          <w:sz w:val="20"/>
          <w:szCs w:val="20"/>
          <w:color w:val="auto"/>
        </w:rPr>
      </w:pPr>
    </w:p>
    <w:p>
      <w:pPr>
        <w:jc w:val="both"/>
        <w:ind w:left="1780" w:right="180"/>
        <w:spacing w:after="0" w:line="314" w:lineRule="auto"/>
        <w:rPr>
          <w:sz w:val="20"/>
          <w:szCs w:val="20"/>
          <w:color w:val="auto"/>
        </w:rPr>
      </w:pPr>
      <w:r>
        <w:rPr>
          <w:rFonts w:ascii="Arial" w:cs="Arial" w:eastAsia="Arial" w:hAnsi="Arial"/>
          <w:sz w:val="14"/>
          <w:szCs w:val="14"/>
          <w:color w:val="auto"/>
        </w:rPr>
        <w:t>Group LLC and Guacolda Energia, S.A. and previously served on the board of Terra-Gen Power as well as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our Board.</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left="1780"/>
        <w:spacing w:after="0"/>
        <w:rPr>
          <w:sz w:val="20"/>
          <w:szCs w:val="20"/>
          <w:color w:val="auto"/>
        </w:rPr>
      </w:pPr>
      <w:r>
        <w:rPr>
          <w:rFonts w:ascii="Arial" w:cs="Arial" w:eastAsia="Arial" w:hAnsi="Arial"/>
          <w:sz w:val="16"/>
          <w:szCs w:val="16"/>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040765" cy="1456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0765" cy="14566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Age: 32</w:t>
      </w:r>
    </w:p>
    <w:p>
      <w:pPr>
        <w:spacing w:after="0" w:line="222" w:lineRule="exact"/>
        <w:rPr>
          <w:sz w:val="20"/>
          <w:szCs w:val="20"/>
          <w:color w:val="auto"/>
        </w:rPr>
      </w:pPr>
    </w:p>
    <w:p>
      <w:pPr>
        <w:ind w:left="1780" w:right="60"/>
        <w:spacing w:after="0" w:line="258" w:lineRule="auto"/>
        <w:rPr>
          <w:sz w:val="20"/>
          <w:szCs w:val="20"/>
          <w:color w:val="auto"/>
        </w:rPr>
      </w:pPr>
      <w:r>
        <w:rPr>
          <w:rFonts w:ascii="Arial" w:cs="Arial" w:eastAsia="Arial" w:hAnsi="Arial"/>
          <w:sz w:val="16"/>
          <w:szCs w:val="16"/>
          <w:color w:val="auto"/>
        </w:rPr>
        <w:t>Mr. Anschuetz has served as a director since August 2018. Mr. Anschuetz is a Principal at GIP. Prior to joining GIP in 2012, Mr. Anschuetz was an Analyst in the Power &amp; Utilities Coverage Group at Citigroup from June 2010 through June 2012. Mr. Anschuetz is also a member of the Board of Directors of Clearway Energy Group LLC. Mr. Anschuetz graduated with cum laude honors from Columbia College in 2010 with an A.B. in Economics and Operations Research, and a concentration in Sustainable Development. Mr. Anschuetz's financial expertise provides significant value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80"/>
        <w:spacing w:after="0"/>
        <w:rPr>
          <w:sz w:val="20"/>
          <w:szCs w:val="20"/>
          <w:color w:val="auto"/>
        </w:rPr>
      </w:pPr>
      <w:r>
        <w:rPr>
          <w:rFonts w:ascii="Arial" w:cs="Arial" w:eastAsia="Arial" w:hAnsi="Arial"/>
          <w:sz w:val="16"/>
          <w:szCs w:val="16"/>
          <w:b w:val="1"/>
          <w:bCs w:val="1"/>
          <w:i w:val="1"/>
          <w:iCs w:val="1"/>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040765" cy="1456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0765" cy="14566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Age: 71</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Lead Independent Director</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Audit Committee (Chair)</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Compensation Committee</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Corporate Governance, Conflicts and Nominating Committee</w:t>
      </w:r>
    </w:p>
    <w:p>
      <w:pPr>
        <w:spacing w:after="0" w:line="222" w:lineRule="exact"/>
        <w:rPr>
          <w:sz w:val="20"/>
          <w:szCs w:val="20"/>
          <w:color w:val="auto"/>
        </w:rPr>
      </w:pPr>
    </w:p>
    <w:p>
      <w:pPr>
        <w:ind w:left="1780"/>
        <w:spacing w:after="0" w:line="301" w:lineRule="auto"/>
        <w:rPr>
          <w:sz w:val="20"/>
          <w:szCs w:val="20"/>
          <w:color w:val="auto"/>
        </w:rPr>
      </w:pPr>
      <w:r>
        <w:rPr>
          <w:rFonts w:ascii="Arial" w:cs="Arial" w:eastAsia="Arial" w:hAnsi="Arial"/>
          <w:sz w:val="14"/>
          <w:szCs w:val="14"/>
          <w:color w:val="auto"/>
        </w:rPr>
        <w:t>Mr. Ford 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FS Investment Corporation portfolios, a specialty finance company that invests primarily in the debt securities of private U.S. middle-market companies, since 2013, where he also serves as the chairman of the audit committee. He also serves on the board of Drexel University. Mr. Ford received his B.S. in Economics from Rutgers University. Mr. Ford's extensive experience in accounting and public company matters provides strong financial, audit and accounting skills to our Board.</w:t>
      </w:r>
    </w:p>
    <w:p>
      <w:pPr>
        <w:spacing w:after="0" w:line="172" w:lineRule="exact"/>
        <w:rPr>
          <w:sz w:val="20"/>
          <w:szCs w:val="20"/>
          <w:color w:val="auto"/>
        </w:rPr>
      </w:pPr>
    </w:p>
    <w:p>
      <w:pPr>
        <w:ind w:left="1780"/>
        <w:spacing w:after="0"/>
        <w:rPr>
          <w:sz w:val="20"/>
          <w:szCs w:val="20"/>
          <w:color w:val="auto"/>
        </w:rPr>
      </w:pPr>
      <w:r>
        <w:rPr>
          <w:rFonts w:ascii="Arial" w:cs="Arial" w:eastAsia="Arial" w:hAnsi="Arial"/>
          <w:sz w:val="16"/>
          <w:szCs w:val="16"/>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040765" cy="1456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0765" cy="14566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Age: 53</w:t>
      </w:r>
    </w:p>
    <w:p>
      <w:pPr>
        <w:spacing w:after="0" w:line="222" w:lineRule="exact"/>
        <w:rPr>
          <w:sz w:val="20"/>
          <w:szCs w:val="20"/>
          <w:color w:val="auto"/>
        </w:rPr>
      </w:pPr>
    </w:p>
    <w:p>
      <w:pPr>
        <w:ind w:left="1780" w:right="60"/>
        <w:spacing w:after="0" w:line="275" w:lineRule="auto"/>
        <w:rPr>
          <w:sz w:val="20"/>
          <w:szCs w:val="20"/>
          <w:color w:val="auto"/>
        </w:rPr>
      </w:pPr>
      <w:r>
        <w:rPr>
          <w:rFonts w:ascii="Arial" w:cs="Arial" w:eastAsia="Arial" w:hAnsi="Arial"/>
          <w:sz w:val="15"/>
          <w:szCs w:val="15"/>
          <w:color w:val="auto"/>
        </w:rPr>
        <w:t>Mr. MacLennan has served as a director since August 2018. Mr. MacLennan is a Partner of GIP and serves on its Investment and Operating Committees. He focuses on the energy and electricity and renewables sectors and led GIP's investment in Competitive Power Ventures, a power generation development and asset management company.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Competitive Power Ventures. Mr. MacLennan's significant experience in investment banking for, and investments in, energy and power companies, as well as his leadership role at GIP, provide strong financial and transactional experience to our Board.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left="1780"/>
        <w:spacing w:after="0"/>
        <w:rPr>
          <w:sz w:val="20"/>
          <w:szCs w:val="20"/>
          <w:color w:val="auto"/>
        </w:rPr>
      </w:pPr>
      <w:r>
        <w:rPr>
          <w:rFonts w:ascii="Arial" w:cs="Arial" w:eastAsia="Arial" w:hAnsi="Arial"/>
          <w:sz w:val="16"/>
          <w:szCs w:val="16"/>
          <w:b w:val="1"/>
          <w:bCs w:val="1"/>
          <w:i w:val="1"/>
          <w:iCs w:val="1"/>
          <w:color w:val="auto"/>
        </w:rPr>
        <w:t>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040765" cy="1456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0765" cy="14566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Age: 73</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Corporate Governance, Conflicts and Nominating Committee (Chair)</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Compensation Committee (Chair)</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Audit Committee</w:t>
      </w:r>
    </w:p>
    <w:p>
      <w:pPr>
        <w:spacing w:after="0" w:line="222"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Ms. McClean has served as a director since July 2013. Ms. McClean was a Managing Director and the Senior Advisor to the head of the Global</w:t>
      </w:r>
    </w:p>
    <w:p>
      <w:pPr>
        <w:spacing w:after="0" w:line="40" w:lineRule="exact"/>
        <w:rPr>
          <w:sz w:val="20"/>
          <w:szCs w:val="20"/>
          <w:color w:val="auto"/>
        </w:rPr>
      </w:pPr>
    </w:p>
    <w:p>
      <w:pPr>
        <w:ind w:left="1780" w:right="20"/>
        <w:spacing w:after="0" w:line="276" w:lineRule="auto"/>
        <w:rPr>
          <w:sz w:val="20"/>
          <w:szCs w:val="20"/>
          <w:color w:val="auto"/>
        </w:rPr>
      </w:pPr>
      <w:r>
        <w:rPr>
          <w:rFonts w:ascii="Arial" w:cs="Arial" w:eastAsia="Arial" w:hAnsi="Arial"/>
          <w:sz w:val="15"/>
          <w:szCs w:val="15"/>
          <w:color w:val="auto"/>
        </w:rPr>
        <w:t>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our Board and management team.</w:t>
      </w:r>
    </w:p>
    <w:p>
      <w:pPr>
        <w:spacing w:after="0" w:line="187" w:lineRule="exact"/>
        <w:rPr>
          <w:sz w:val="20"/>
          <w:szCs w:val="20"/>
          <w:color w:val="auto"/>
        </w:rPr>
      </w:pPr>
    </w:p>
    <w:p>
      <w:pPr>
        <w:ind w:left="1780"/>
        <w:spacing w:after="0"/>
        <w:rPr>
          <w:sz w:val="20"/>
          <w:szCs w:val="20"/>
          <w:color w:val="auto"/>
        </w:rPr>
      </w:pPr>
      <w:r>
        <w:rPr>
          <w:rFonts w:ascii="Arial" w:cs="Arial" w:eastAsia="Arial" w:hAnsi="Arial"/>
          <w:sz w:val="16"/>
          <w:szCs w:val="16"/>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040765" cy="1456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40765" cy="14566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Age: 63</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Corporate Governance, Conflicts and Nominating Committee</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Compensation Committee</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Audit Committee</w:t>
      </w:r>
    </w:p>
    <w:p>
      <w:pPr>
        <w:spacing w:after="0" w:line="222"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Mr. More has served as a director since February 2019. Mr. More has been a Senior Advisor with Guggenheim Securities since October 2015.</w:t>
      </w:r>
    </w:p>
    <w:p>
      <w:pPr>
        <w:spacing w:after="0" w:line="28" w:lineRule="exact"/>
        <w:rPr>
          <w:sz w:val="20"/>
          <w:szCs w:val="20"/>
          <w:color w:val="auto"/>
        </w:rPr>
      </w:pPr>
    </w:p>
    <w:p>
      <w:pPr>
        <w:ind w:left="1780"/>
        <w:spacing w:after="0" w:line="256" w:lineRule="auto"/>
        <w:rPr>
          <w:sz w:val="20"/>
          <w:szCs w:val="20"/>
          <w:color w:val="auto"/>
        </w:rPr>
      </w:pPr>
      <w:r>
        <w:rPr>
          <w:rFonts w:ascii="Arial" w:cs="Arial" w:eastAsia="Arial" w:hAnsi="Arial"/>
          <w:sz w:val="16"/>
          <w:szCs w:val="16"/>
          <w:color w:val="auto"/>
        </w:rPr>
        <w:t>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our Board.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1780"/>
        <w:spacing w:after="0"/>
        <w:rPr>
          <w:sz w:val="20"/>
          <w:szCs w:val="20"/>
          <w:color w:val="auto"/>
        </w:rPr>
      </w:pPr>
      <w:r>
        <w:rPr>
          <w:rFonts w:ascii="Arial" w:cs="Arial" w:eastAsia="Arial" w:hAnsi="Arial"/>
          <w:sz w:val="16"/>
          <w:szCs w:val="16"/>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040765" cy="1456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0765" cy="14566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Age: 68</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Compensation Committee</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Audit Committee</w:t>
      </w:r>
    </w:p>
    <w:p>
      <w:pPr>
        <w:spacing w:after="0" w:line="222"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Mr. O'Neal has served as a director since August 2018. Mr. O'Neal served as Chairman of the Board and Chief Executive Officer of Merrill</w:t>
      </w:r>
    </w:p>
    <w:p>
      <w:pPr>
        <w:spacing w:after="0" w:line="28" w:lineRule="exact"/>
        <w:rPr>
          <w:sz w:val="20"/>
          <w:szCs w:val="20"/>
          <w:color w:val="auto"/>
        </w:rPr>
      </w:pPr>
    </w:p>
    <w:p>
      <w:pPr>
        <w:ind w:left="1780" w:right="20"/>
        <w:spacing w:after="0" w:line="294" w:lineRule="auto"/>
        <w:rPr>
          <w:sz w:val="20"/>
          <w:szCs w:val="20"/>
          <w:color w:val="auto"/>
        </w:rPr>
      </w:pPr>
      <w:r>
        <w:rPr>
          <w:rFonts w:ascii="Arial" w:cs="Arial" w:eastAsia="Arial" w:hAnsi="Arial"/>
          <w:sz w:val="14"/>
          <w:szCs w:val="14"/>
          <w:color w:val="auto"/>
        </w:rPr>
        <w:t>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a member of the Audit and Finance committees of Arconic Inc., an aluminum manufacturing company and the former parent company of Alcoa Inc. Mr. O'Neal is also a director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 was selected to serve as a director due to, among other factors, his extensive executive experience, financial expertise and leadership skills, which enable him to provide unique guidance to our Board and management team.</w:t>
      </w:r>
    </w:p>
    <w:p>
      <w:pPr>
        <w:spacing w:after="0" w:line="179" w:lineRule="exact"/>
        <w:rPr>
          <w:sz w:val="20"/>
          <w:szCs w:val="20"/>
          <w:color w:val="auto"/>
        </w:rPr>
      </w:pPr>
    </w:p>
    <w:p>
      <w:pPr>
        <w:ind w:left="1780"/>
        <w:spacing w:after="0"/>
        <w:rPr>
          <w:sz w:val="20"/>
          <w:szCs w:val="20"/>
          <w:color w:val="auto"/>
        </w:rPr>
      </w:pPr>
      <w:r>
        <w:rPr>
          <w:rFonts w:ascii="Arial" w:cs="Arial" w:eastAsia="Arial" w:hAnsi="Arial"/>
          <w:sz w:val="16"/>
          <w:szCs w:val="16"/>
          <w:b w:val="1"/>
          <w:bCs w:val="1"/>
          <w:i w:val="1"/>
          <w:iCs w:val="1"/>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040765" cy="1456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0765" cy="14566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Age: 48</w:t>
      </w:r>
    </w:p>
    <w:p>
      <w:pPr>
        <w:spacing w:after="0" w:line="1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President, CEO and Director</w:t>
      </w:r>
    </w:p>
    <w:p>
      <w:pPr>
        <w:spacing w:after="0" w:line="222" w:lineRule="exact"/>
        <w:rPr>
          <w:sz w:val="20"/>
          <w:szCs w:val="20"/>
          <w:color w:val="auto"/>
        </w:rPr>
      </w:pPr>
    </w:p>
    <w:p>
      <w:pPr>
        <w:ind w:left="1780"/>
        <w:spacing w:after="0" w:line="297" w:lineRule="auto"/>
        <w:rPr>
          <w:sz w:val="20"/>
          <w:szCs w:val="20"/>
          <w:color w:val="auto"/>
        </w:rPr>
      </w:pPr>
      <w:r>
        <w:rPr>
          <w:rFonts w:ascii="Arial" w:cs="Arial" w:eastAsia="Arial" w:hAnsi="Arial"/>
          <w:sz w:val="14"/>
          <w:szCs w:val="14"/>
          <w:color w:val="auto"/>
        </w:rPr>
        <w:t>Mr. Sotos has served as President and CEO since May 2016, and as a director since May 2013. Mr. Sotos had also served in various positions at NRG, including most recently as Executive Vice President—Strategy and Mergers and Acquisitions from February 2016 through May 2016 and Senior Vice President—Strategy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CEO of the Company, Mr. Sotos provides our Board with management's perspective regarding the Company's day to day operations and overall strategic plan. Mr. Sotos also brings strong financial and accounting skills to our Board.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left="1780"/>
        <w:spacing w:after="0"/>
        <w:rPr>
          <w:sz w:val="20"/>
          <w:szCs w:val="20"/>
          <w:color w:val="auto"/>
        </w:rPr>
      </w:pPr>
      <w:r>
        <w:rPr>
          <w:rFonts w:ascii="Arial" w:cs="Arial" w:eastAsia="Arial" w:hAnsi="Arial"/>
          <w:sz w:val="16"/>
          <w:szCs w:val="16"/>
          <w:b w:val="1"/>
          <w:bCs w:val="1"/>
          <w:i w:val="1"/>
          <w:iCs w:val="1"/>
          <w:color w:val="auto"/>
        </w:rPr>
        <w:t>Scott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1040765" cy="1456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0765" cy="14566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Age: 63</w:t>
      </w:r>
    </w:p>
    <w:p>
      <w:pPr>
        <w:spacing w:after="0" w:line="222" w:lineRule="exact"/>
        <w:rPr>
          <w:sz w:val="20"/>
          <w:szCs w:val="20"/>
          <w:color w:val="auto"/>
        </w:rPr>
      </w:pPr>
    </w:p>
    <w:p>
      <w:pPr>
        <w:ind w:left="1780" w:right="160"/>
        <w:spacing w:after="0" w:line="294" w:lineRule="auto"/>
        <w:rPr>
          <w:sz w:val="20"/>
          <w:szCs w:val="20"/>
          <w:color w:val="auto"/>
        </w:rPr>
      </w:pPr>
      <w:r>
        <w:rPr>
          <w:rFonts w:ascii="Arial" w:cs="Arial" w:eastAsia="Arial" w:hAnsi="Arial"/>
          <w:sz w:val="14"/>
          <w:szCs w:val="14"/>
          <w:color w:val="auto"/>
        </w:rPr>
        <w:t>Mr. Stanley has served as a director since August 2018. Mr. Stanley has been employed by GIP as an Operating Principal since April 2007, and in August 2018 was appointed as an Operating Partner. Mr. Stanley holds a B.S. in Ceramic Engineering from The Ohio State University and has</w:t>
      </w:r>
    </w:p>
    <w:p>
      <w:pPr>
        <w:jc w:val="both"/>
        <w:ind w:left="1780"/>
        <w:spacing w:after="0" w:line="256" w:lineRule="auto"/>
        <w:rPr>
          <w:sz w:val="20"/>
          <w:szCs w:val="20"/>
          <w:color w:val="auto"/>
        </w:rPr>
      </w:pPr>
      <w:r>
        <w:rPr>
          <w:rFonts w:ascii="Arial" w:cs="Arial" w:eastAsia="Arial" w:hAnsi="Arial"/>
          <w:sz w:val="16"/>
          <w:szCs w:val="16"/>
          <w:color w:val="auto"/>
        </w:rPr>
        <w:t>39 years of experience in operational roles, including prior assignments with General Electric, Honeywell, and United Technologies Corporation. Working predominantly in the transport sector with GIP, Mr. Stanley has held roles as Chief Operating Officer with London City Airport, Gatwick Airport, and Pacific National and was also on the Board of Directors at Edinburgh Airport. Mr. Stanley serves on the Board of Directors of Naturgy Energy Group, S.A., a public company, and is also a member of the Board of Directors of Clearway Energy Group LLC and Italo S.p.A. Mr. Stanley adds significant operational expertise to our Board.</w:t>
      </w:r>
    </w:p>
    <w:p>
      <w:pPr>
        <w:spacing w:after="0" w:line="200" w:lineRule="exact"/>
        <w:rPr>
          <w:sz w:val="20"/>
          <w:szCs w:val="20"/>
          <w:color w:val="auto"/>
        </w:rPr>
      </w:pPr>
    </w:p>
    <w:p>
      <w:pPr>
        <w:spacing w:after="0" w:line="302" w:lineRule="exact"/>
        <w:rPr>
          <w:sz w:val="20"/>
          <w:szCs w:val="20"/>
          <w:color w:val="auto"/>
        </w:rPr>
      </w:pPr>
    </w:p>
    <w:p>
      <w:pPr>
        <w:jc w:val="center"/>
        <w:ind w:left="400" w:right="100"/>
        <w:spacing w:after="0" w:line="280" w:lineRule="auto"/>
        <w:rPr>
          <w:sz w:val="20"/>
          <w:szCs w:val="20"/>
          <w:color w:val="auto"/>
        </w:rPr>
      </w:pPr>
      <w:r>
        <w:rPr>
          <w:rFonts w:ascii="Arial" w:cs="Arial" w:eastAsia="Arial" w:hAnsi="Arial"/>
          <w:sz w:val="16"/>
          <w:szCs w:val="16"/>
          <w:b w:val="1"/>
          <w:bCs w:val="1"/>
          <w:color w:val="auto"/>
        </w:rPr>
        <w:t>The Board recommends a vote "FOR" the election to the Board of each of the foregoing nominees. Proxies received by the Board will be voted "FOR" each of the nominees unless a contrary vote is specified.</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DIRECTOR COMPENSATION</w:t>
      </w:r>
    </w:p>
    <w:p>
      <w:pPr>
        <w:spacing w:after="0" w:line="208" w:lineRule="exact"/>
        <w:rPr>
          <w:sz w:val="20"/>
          <w:szCs w:val="20"/>
          <w:color w:val="auto"/>
        </w:rPr>
      </w:pPr>
    </w:p>
    <w:p>
      <w:pPr>
        <w:ind w:right="180" w:firstLine="313"/>
        <w:spacing w:after="0" w:line="260" w:lineRule="auto"/>
        <w:rPr>
          <w:sz w:val="20"/>
          <w:szCs w:val="20"/>
          <w:color w:val="auto"/>
        </w:rPr>
      </w:pPr>
      <w:r>
        <w:rPr>
          <w:rFonts w:ascii="Arial" w:cs="Arial" w:eastAsia="Arial" w:hAnsi="Arial"/>
          <w:sz w:val="16"/>
          <w:szCs w:val="16"/>
          <w:color w:val="auto"/>
        </w:rPr>
        <w:t>The chart below describes the compensation program established for our directors for their service as Board members, chairs of the Committees and Lead Independent Director, as applicable, in 2019. Only our independent, non-employee directors receive compensation for their services as directors, which is set by our Board based on recommendations by the Compensation Committee. Our CEO, Mr. Sotos, does not receive compensation for his service as a director, and none of the directors who are officers or employees of GIP receive compensation for their services as directors.</w:t>
      </w:r>
    </w:p>
    <w:p>
      <w:pPr>
        <w:spacing w:after="0" w:line="170" w:lineRule="exact"/>
        <w:rPr>
          <w:sz w:val="20"/>
          <w:szCs w:val="20"/>
          <w:color w:val="auto"/>
        </w:rPr>
      </w:pPr>
    </w:p>
    <w:tbl>
      <w:tblPr>
        <w:tblLayout w:type="fixed"/>
        <w:tblInd w:w="1680" w:type="dxa"/>
        <w:tblCellMar>
          <w:top w:w="0" w:type="dxa"/>
          <w:left w:w="0" w:type="dxa"/>
          <w:bottom w:w="0" w:type="dxa"/>
          <w:right w:w="0" w:type="dxa"/>
        </w:tblCellMar>
      </w:tblPr>
      <w:tr>
        <w:trPr>
          <w:trHeight w:val="146"/>
        </w:trPr>
        <w:tc>
          <w:tcPr>
            <w:tcW w:w="6340" w:type="dxa"/>
            <w:vAlign w:val="bottom"/>
            <w:gridSpan w:val="2"/>
          </w:tcPr>
          <w:p>
            <w:pPr>
              <w:ind w:left="20"/>
              <w:spacing w:after="0"/>
              <w:rPr>
                <w:sz w:val="20"/>
                <w:szCs w:val="20"/>
                <w:color w:val="auto"/>
              </w:rPr>
            </w:pPr>
            <w:r>
              <w:rPr>
                <w:rFonts w:ascii="Arial" w:cs="Arial" w:eastAsia="Arial" w:hAnsi="Arial"/>
                <w:sz w:val="12"/>
                <w:szCs w:val="12"/>
                <w:b w:val="1"/>
                <w:bCs w:val="1"/>
                <w:color w:val="auto"/>
              </w:rPr>
              <w:t>Compensation Element</w:t>
            </w:r>
          </w:p>
        </w:tc>
        <w:tc>
          <w:tcPr>
            <w:tcW w:w="10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9"/>
              </w:rPr>
              <w:t>Compensation Amount</w:t>
            </w:r>
          </w:p>
        </w:tc>
      </w:tr>
      <w:tr>
        <w:trPr>
          <w:trHeight w:val="20"/>
        </w:trPr>
        <w:tc>
          <w:tcPr>
            <w:tcW w:w="12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6"/>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Annual Cash Retainer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80,000</w:t>
            </w:r>
          </w:p>
        </w:tc>
      </w:tr>
      <w:tr>
        <w:trPr>
          <w:trHeight w:val="194"/>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Annual Deferred Stock Unit Award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95,000</w:t>
            </w:r>
          </w:p>
        </w:tc>
      </w:tr>
      <w:tr>
        <w:trPr>
          <w:trHeight w:val="194"/>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Lead Independent Director Retainer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20,000</w:t>
            </w:r>
          </w:p>
        </w:tc>
      </w:tr>
      <w:tr>
        <w:trPr>
          <w:trHeight w:val="194"/>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Committee Chair Retainer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15,000</w:t>
            </w:r>
          </w:p>
        </w:tc>
      </w:tr>
      <w:tr>
        <w:trPr>
          <w:trHeight w:val="194"/>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or Directors Affiliated with GIP</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No compensation</w:t>
            </w:r>
          </w:p>
        </w:tc>
      </w:tr>
    </w:tbl>
    <w:p>
      <w:pPr>
        <w:spacing w:after="0" w:line="185" w:lineRule="exact"/>
        <w:rPr>
          <w:sz w:val="20"/>
          <w:szCs w:val="20"/>
          <w:color w:val="auto"/>
        </w:rPr>
      </w:pPr>
    </w:p>
    <w:p>
      <w:pPr>
        <w:ind w:right="160" w:firstLine="316"/>
        <w:spacing w:after="0" w:line="319" w:lineRule="auto"/>
        <w:rPr>
          <w:sz w:val="20"/>
          <w:szCs w:val="20"/>
          <w:color w:val="auto"/>
        </w:rPr>
      </w:pPr>
      <w:r>
        <w:rPr>
          <w:rFonts w:ascii="Arial" w:cs="Arial" w:eastAsia="Arial" w:hAnsi="Arial"/>
          <w:sz w:val="14"/>
          <w:szCs w:val="14"/>
          <w:color w:val="auto"/>
        </w:rPr>
        <w:t>Our independent directors receive an annual retainer of cash and equity for their services as directors. The independent directors received $80,000 in the form of cash and $95,000 in the form of stock awards issued under our Amended and Restated 2013 Equity Incentive Plan (the "LTIP"). Each stock award may, pursuant to an independent director's deferral election, be awarded as deferred stock units (the "DSUs"). In addition, directors may defer the cash component of their annual retainers into additional DSUs.</w:t>
      </w:r>
    </w:p>
    <w:p>
      <w:pPr>
        <w:spacing w:after="0" w:line="135" w:lineRule="exact"/>
        <w:rPr>
          <w:sz w:val="20"/>
          <w:szCs w:val="20"/>
          <w:color w:val="auto"/>
        </w:rPr>
      </w:pPr>
    </w:p>
    <w:p>
      <w:pPr>
        <w:ind w:firstLine="316"/>
        <w:spacing w:after="0" w:line="275" w:lineRule="auto"/>
        <w:rPr>
          <w:sz w:val="20"/>
          <w:szCs w:val="20"/>
          <w:color w:val="auto"/>
        </w:rPr>
      </w:pPr>
      <w:r>
        <w:rPr>
          <w:rFonts w:ascii="Arial" w:cs="Arial" w:eastAsia="Arial" w:hAnsi="Arial"/>
          <w:sz w:val="15"/>
          <w:szCs w:val="15"/>
          <w:color w:val="auto"/>
        </w:rPr>
        <w:t>Each DSU issued in 2019 was equivalent in value to one share of Class C common stock and represents the right to receive one such share of Class C common stock payable at the time elected by the director,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Typically, accrued DERs are credited as additional shares that will be subject to the vesting and payment terms of the corresponding award of DSUs. Accordingly, DERs are intended to represent the economic value that our independent directors would otherwise receive if, as applicable, they did not elect to receive DSUs and they, instead, held the shares relating to the DSUs outright.</w:t>
      </w:r>
    </w:p>
    <w:p>
      <w:pPr>
        <w:spacing w:after="0" w:line="164" w:lineRule="exact"/>
        <w:rPr>
          <w:sz w:val="20"/>
          <w:szCs w:val="20"/>
          <w:color w:val="auto"/>
        </w:rPr>
      </w:pPr>
    </w:p>
    <w:p>
      <w:pPr>
        <w:ind w:right="60" w:firstLine="316"/>
        <w:spacing w:after="0" w:line="304" w:lineRule="auto"/>
        <w:rPr>
          <w:sz w:val="20"/>
          <w:szCs w:val="20"/>
          <w:color w:val="auto"/>
        </w:rPr>
      </w:pPr>
      <w:r>
        <w:rPr>
          <w:rFonts w:ascii="Arial" w:cs="Arial" w:eastAsia="Arial" w:hAnsi="Arial"/>
          <w:sz w:val="14"/>
          <w:szCs w:val="14"/>
          <w:color w:val="auto"/>
        </w:rPr>
        <w:t>Similar to its competitive assessment of NEO compensation, Pay Governance, the Compensation Committee's compensation consultant for the first eight months of fiscal year 2019, performed a review of director compensation in early 2019. Results of the review were shared with the Compensation Committee, which made a recommendation to the full Board for final approval. The Compensation Committee previously implemented a stock ownership guideline for directors requiring stock ownership equal to five times the annual cash retainer fee. Although directors are not required to make purchases of our common stock to meet their target ownership multiple, they are restricted from divesting any securities until such ownership multiple is attained, except to make a required tax payment, and must maintain their ownership multiple after any such transactions.</w:t>
      </w:r>
    </w:p>
    <w:p>
      <w:pPr>
        <w:spacing w:after="0" w:line="146" w:lineRule="exact"/>
        <w:rPr>
          <w:sz w:val="20"/>
          <w:szCs w:val="20"/>
          <w:color w:val="auto"/>
        </w:rPr>
      </w:pPr>
    </w:p>
    <w:p>
      <w:pPr>
        <w:jc w:val="both"/>
        <w:ind w:right="20" w:firstLine="316"/>
        <w:spacing w:after="0" w:line="264" w:lineRule="auto"/>
        <w:rPr>
          <w:sz w:val="20"/>
          <w:szCs w:val="20"/>
          <w:color w:val="auto"/>
        </w:rPr>
      </w:pPr>
      <w:r>
        <w:rPr>
          <w:rFonts w:ascii="Arial" w:cs="Arial" w:eastAsia="Arial" w:hAnsi="Arial"/>
          <w:sz w:val="16"/>
          <w:szCs w:val="16"/>
          <w:color w:val="auto"/>
        </w:rPr>
        <w:t>In addition, our independent directors are reimbursed for out-of-pocket expenses in connection with attending meetings of the Board or its Committees. As a general matter, we expect that in the future, any independent director will receive grants of equity-based awards upon appointment to our Board and from time to time thereafter for so long as he or she serves as a director.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80" w:firstLine="316"/>
        <w:spacing w:after="0" w:line="289" w:lineRule="auto"/>
        <w:rPr>
          <w:sz w:val="20"/>
          <w:szCs w:val="20"/>
          <w:color w:val="auto"/>
        </w:rPr>
      </w:pPr>
      <w:r>
        <w:rPr>
          <w:rFonts w:ascii="Arial" w:cs="Arial" w:eastAsia="Arial" w:hAnsi="Arial"/>
          <w:sz w:val="15"/>
          <w:szCs w:val="15"/>
          <w:color w:val="auto"/>
        </w:rPr>
        <w:t>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Fiscal Year Ended December 31, 2019</w:t>
      </w:r>
      <w:r>
        <w:rPr>
          <w:rFonts w:ascii="Arial" w:cs="Arial" w:eastAsia="Arial" w:hAnsi="Arial"/>
          <w:sz w:val="26"/>
          <w:szCs w:val="26"/>
          <w:b w:val="1"/>
          <w:bCs w:val="1"/>
          <w:color w:val="auto"/>
          <w:vertAlign w:val="superscript"/>
        </w:rPr>
        <w:t>(1)</w:t>
      </w:r>
    </w:p>
    <w:p>
      <w:pPr>
        <w:spacing w:after="0" w:line="111"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Fees Earned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1"/>
        </w:trPr>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1"/>
                <w:szCs w:val="11"/>
                <w:color w:val="auto"/>
              </w:rPr>
            </w:pPr>
          </w:p>
        </w:tc>
        <w:tc>
          <w:tcPr>
            <w:tcW w:w="760" w:type="dxa"/>
            <w:vAlign w:val="bottom"/>
            <w:gridSpan w:val="2"/>
          </w:tcPr>
          <w:p>
            <w:pPr>
              <w:jc w:val="right"/>
              <w:ind w:right="340"/>
              <w:spacing w:after="0" w:line="132" w:lineRule="exact"/>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3"/>
        </w:trPr>
        <w:tc>
          <w:tcPr>
            <w:tcW w:w="5200" w:type="dxa"/>
            <w:vAlign w:val="bottom"/>
            <w:gridSpan w:val="3"/>
          </w:tcPr>
          <w:p>
            <w:pPr>
              <w:ind w:left="20"/>
              <w:spacing w:after="0"/>
              <w:rPr>
                <w:sz w:val="20"/>
                <w:szCs w:val="20"/>
                <w:color w:val="auto"/>
              </w:rPr>
            </w:pPr>
            <w:r>
              <w:rPr>
                <w:rFonts w:ascii="Arial" w:cs="Arial" w:eastAsia="Arial" w:hAnsi="Arial"/>
                <w:sz w:val="12"/>
                <w:szCs w:val="12"/>
                <w:b w:val="1"/>
                <w:bCs w:val="1"/>
                <w:color w:val="auto"/>
              </w:rPr>
              <w:t>Name</w:t>
            </w:r>
          </w:p>
        </w:tc>
        <w:tc>
          <w:tcPr>
            <w:tcW w:w="980" w:type="dxa"/>
            <w:vAlign w:val="bottom"/>
            <w:gridSpan w:val="3"/>
          </w:tcPr>
          <w:p>
            <w:pPr>
              <w:jc w:val="center"/>
              <w:ind w:right="160"/>
              <w:spacing w:after="0" w:line="173" w:lineRule="exact"/>
              <w:rPr>
                <w:sz w:val="20"/>
                <w:szCs w:val="20"/>
                <w:color w:val="auto"/>
              </w:rPr>
            </w:pPr>
            <w:r>
              <w:rPr>
                <w:rFonts w:ascii="Arial" w:cs="Arial" w:eastAsia="Arial" w:hAnsi="Arial"/>
                <w:sz w:val="12"/>
                <w:szCs w:val="12"/>
                <w:b w:val="1"/>
                <w:bCs w:val="1"/>
                <w:color w:val="auto"/>
                <w:w w:val="88"/>
              </w:rPr>
              <w:t>Paid in Cash</w:t>
            </w:r>
            <w:r>
              <w:rPr>
                <w:rFonts w:ascii="Arial" w:cs="Arial" w:eastAsia="Arial" w:hAnsi="Arial"/>
                <w:sz w:val="20"/>
                <w:szCs w:val="20"/>
                <w:b w:val="1"/>
                <w:bCs w:val="1"/>
                <w:color w:val="auto"/>
                <w:w w:val="88"/>
                <w:vertAlign w:val="superscript"/>
              </w:rPr>
              <w:t>(2)</w:t>
            </w:r>
          </w:p>
        </w:tc>
        <w:tc>
          <w:tcPr>
            <w:tcW w:w="80" w:type="dxa"/>
            <w:vAlign w:val="bottom"/>
          </w:tcPr>
          <w:p>
            <w:pPr>
              <w:spacing w:after="0"/>
              <w:rPr>
                <w:sz w:val="15"/>
                <w:szCs w:val="15"/>
                <w:color w:val="auto"/>
              </w:rPr>
            </w:pPr>
          </w:p>
        </w:tc>
        <w:tc>
          <w:tcPr>
            <w:tcW w:w="760" w:type="dxa"/>
            <w:vAlign w:val="bottom"/>
            <w:gridSpan w:val="2"/>
          </w:tcPr>
          <w:p>
            <w:pPr>
              <w:jc w:val="right"/>
              <w:ind w:right="240"/>
              <w:spacing w:after="0" w:line="173" w:lineRule="exact"/>
              <w:rPr>
                <w:sz w:val="20"/>
                <w:szCs w:val="20"/>
                <w:color w:val="auto"/>
              </w:rPr>
            </w:pPr>
            <w:r>
              <w:rPr>
                <w:rFonts w:ascii="Arial" w:cs="Arial" w:eastAsia="Arial" w:hAnsi="Arial"/>
                <w:sz w:val="12"/>
                <w:szCs w:val="12"/>
                <w:b w:val="1"/>
                <w:bCs w:val="1"/>
                <w:color w:val="auto"/>
                <w:w w:val="83"/>
              </w:rPr>
              <w:t>Awards</w:t>
            </w:r>
            <w:r>
              <w:rPr>
                <w:rFonts w:ascii="Arial" w:cs="Arial" w:eastAsia="Arial" w:hAnsi="Arial"/>
                <w:sz w:val="20"/>
                <w:szCs w:val="20"/>
                <w:b w:val="1"/>
                <w:bCs w:val="1"/>
                <w:color w:val="auto"/>
                <w:w w:val="83"/>
                <w:vertAlign w:val="superscript"/>
              </w:rPr>
              <w:t>(3)</w:t>
            </w:r>
          </w:p>
        </w:tc>
        <w:tc>
          <w:tcPr>
            <w:tcW w:w="14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Total</w:t>
            </w: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John F. Chlebowski</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4"/>
        </w:trPr>
        <w:tc>
          <w:tcPr>
            <w:tcW w:w="5200" w:type="dxa"/>
            <w:vAlign w:val="bottom"/>
            <w:gridSpan w:val="3"/>
          </w:tcPr>
          <w:p>
            <w:pPr>
              <w:ind w:left="20"/>
              <w:spacing w:after="0"/>
              <w:rPr>
                <w:sz w:val="20"/>
                <w:szCs w:val="20"/>
                <w:color w:val="auto"/>
              </w:rPr>
            </w:pPr>
            <w:r>
              <w:rPr>
                <w:rFonts w:ascii="Arial" w:cs="Arial" w:eastAsia="Arial" w:hAnsi="Arial"/>
                <w:sz w:val="16"/>
                <w:szCs w:val="16"/>
                <w:color w:val="auto"/>
              </w:rPr>
              <w:t>Brian R. Ford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105,616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145,065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250,681</w:t>
            </w:r>
          </w:p>
        </w:tc>
      </w:tr>
      <w:tr>
        <w:trPr>
          <w:trHeight w:val="231"/>
        </w:trPr>
        <w:tc>
          <w:tcPr>
            <w:tcW w:w="5200" w:type="dxa"/>
            <w:vAlign w:val="bottom"/>
            <w:gridSpan w:val="3"/>
            <w:shd w:val="clear" w:color="auto" w:fill="CCEEFF"/>
          </w:tcPr>
          <w:p>
            <w:pPr>
              <w:ind w:left="20"/>
              <w:spacing w:after="0" w:line="231" w:lineRule="exact"/>
              <w:rPr>
                <w:sz w:val="20"/>
                <w:szCs w:val="20"/>
                <w:color w:val="auto"/>
              </w:rPr>
            </w:pPr>
            <w:r>
              <w:rPr>
                <w:rFonts w:ascii="Arial" w:cs="Arial" w:eastAsia="Arial" w:hAnsi="Arial"/>
                <w:sz w:val="16"/>
                <w:szCs w:val="16"/>
                <w:color w:val="auto"/>
              </w:rPr>
              <w:t>Ferrell P. McClean</w:t>
            </w:r>
            <w:r>
              <w:rPr>
                <w:rFonts w:ascii="Arial" w:cs="Arial" w:eastAsia="Arial" w:hAnsi="Arial"/>
                <w:sz w:val="26"/>
                <w:szCs w:val="26"/>
                <w:color w:val="auto"/>
                <w:vertAlign w:val="superscript"/>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246,671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251,171</w:t>
            </w:r>
          </w:p>
        </w:tc>
      </w:tr>
      <w:tr>
        <w:trPr>
          <w:trHeight w:val="231"/>
        </w:trPr>
        <w:tc>
          <w:tcPr>
            <w:tcW w:w="5200" w:type="dxa"/>
            <w:vAlign w:val="bottom"/>
            <w:gridSpan w:val="3"/>
          </w:tcPr>
          <w:p>
            <w:pPr>
              <w:ind w:left="20"/>
              <w:spacing w:after="0" w:line="231" w:lineRule="exact"/>
              <w:rPr>
                <w:sz w:val="20"/>
                <w:szCs w:val="20"/>
                <w:color w:val="auto"/>
              </w:rPr>
            </w:pPr>
            <w:r>
              <w:rPr>
                <w:rFonts w:ascii="Arial" w:cs="Arial" w:eastAsia="Arial" w:hAnsi="Arial"/>
                <w:sz w:val="16"/>
                <w:szCs w:val="16"/>
                <w:color w:val="auto"/>
              </w:rPr>
              <w:t>Daniel B. More</w:t>
            </w:r>
            <w:r>
              <w:rPr>
                <w:rFonts w:ascii="Arial" w:cs="Arial" w:eastAsia="Arial" w:hAnsi="Arial"/>
                <w:sz w:val="26"/>
                <w:szCs w:val="26"/>
                <w:color w:val="auto"/>
                <w:vertAlign w:val="superscript"/>
              </w:rPr>
              <w:t>(5)</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231,447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231,447</w:t>
            </w:r>
          </w:p>
        </w:tc>
      </w:tr>
      <w:tr>
        <w:trPr>
          <w:trHeight w:val="231"/>
        </w:trPr>
        <w:tc>
          <w:tcPr>
            <w:tcW w:w="5200" w:type="dxa"/>
            <w:vAlign w:val="bottom"/>
            <w:gridSpan w:val="3"/>
            <w:shd w:val="clear" w:color="auto" w:fill="CCEEFF"/>
          </w:tcPr>
          <w:p>
            <w:pPr>
              <w:ind w:left="20"/>
              <w:spacing w:after="0" w:line="231" w:lineRule="exact"/>
              <w:rPr>
                <w:sz w:val="20"/>
                <w:szCs w:val="20"/>
                <w:color w:val="auto"/>
              </w:rPr>
            </w:pPr>
            <w:r>
              <w:rPr>
                <w:rFonts w:ascii="Arial" w:cs="Arial" w:eastAsia="Arial" w:hAnsi="Arial"/>
                <w:sz w:val="16"/>
                <w:szCs w:val="16"/>
                <w:color w:val="auto"/>
              </w:rPr>
              <w:t>E. Stanley O'Neal</w:t>
            </w:r>
            <w:r>
              <w:rPr>
                <w:rFonts w:ascii="Arial" w:cs="Arial" w:eastAsia="Arial" w:hAnsi="Arial"/>
                <w:sz w:val="26"/>
                <w:szCs w:val="26"/>
                <w:color w:val="auto"/>
                <w:vertAlign w:val="superscript"/>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27,826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215,146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242,972</w:t>
            </w:r>
          </w:p>
        </w:tc>
      </w:tr>
      <w:tr>
        <w:trPr>
          <w:trHeight w:val="97"/>
        </w:trPr>
        <w:tc>
          <w:tcPr>
            <w:tcW w:w="3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7" w:lineRule="exact"/>
        <w:rPr>
          <w:sz w:val="20"/>
          <w:szCs w:val="20"/>
          <w:color w:val="auto"/>
        </w:rPr>
      </w:pPr>
    </w:p>
    <w:p>
      <w:pPr>
        <w:ind w:left="2180" w:right="140" w:hanging="495"/>
        <w:spacing w:after="0" w:line="301" w:lineRule="auto"/>
        <w:tabs>
          <w:tab w:leader="none" w:pos="2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Chlebowski retired as a director on January 4, 2019, at which time he received payment in respect of his outstanding DSU awards and related DERs. Mr. Ford became the Lead Independent Director on January 4, 2019 and Ms. McClean became the Chair of the Compensation Committee on February 13, 2019. As a result of the Company's 2018 year end director independence review, Mr. O'Neal was deemed independent. Mr. O'Neal became an independent director and joined the Audit Committee effective January 28, 2019 and joined the Compensation Committee effective August 1, 2019. In addition, on February 22, 2019, Mr. More joined the Board as an independent director and member of the Audit, Compensation and Corporate Governance, Conflicts and Nominating Committees of the Board.</w:t>
      </w:r>
    </w:p>
    <w:p>
      <w:pPr>
        <w:spacing w:after="0" w:line="172" w:lineRule="exact"/>
        <w:rPr>
          <w:rFonts w:ascii="Arial" w:cs="Arial" w:eastAsia="Arial" w:hAnsi="Arial"/>
          <w:sz w:val="14"/>
          <w:szCs w:val="14"/>
          <w:color w:val="auto"/>
        </w:rPr>
      </w:pPr>
    </w:p>
    <w:p>
      <w:pPr>
        <w:ind w:left="2180" w:right="100" w:hanging="495"/>
        <w:spacing w:after="0" w:line="309" w:lineRule="auto"/>
        <w:tabs>
          <w:tab w:leader="none" w:pos="2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 a prorated annual cash retainer payment to Mr. O'Neal for his period of service beginning on the date of his deemed independence through May 31, 2019, (ii) a prorated Lead Independent Director retainer cash payment to Mr. Ford for his period of service as Lead Independent Director beginning on January 4, 2019 through May 31, 2019 and (iii) a prorated Committee Chair retainer cash payment for Ms. McClean for her period of service as Chair of the Compensation Committee beginning on February 13, 2019 through May 31, 2019.</w:t>
      </w:r>
    </w:p>
    <w:p>
      <w:pPr>
        <w:spacing w:after="0" w:line="154" w:lineRule="exact"/>
        <w:rPr>
          <w:rFonts w:ascii="Arial" w:cs="Arial" w:eastAsia="Arial" w:hAnsi="Arial"/>
          <w:sz w:val="14"/>
          <w:szCs w:val="14"/>
          <w:color w:val="auto"/>
        </w:rPr>
      </w:pPr>
    </w:p>
    <w:p>
      <w:pPr>
        <w:ind w:left="2180" w:hanging="495"/>
        <w:spacing w:after="0" w:line="274" w:lineRule="auto"/>
        <w:tabs>
          <w:tab w:leader="none" w:pos="21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Reflects the grant date fair value of stock awards granted, whether as DSUs or otherwise, and any DERs received in 2019 determined in accordance with Financial Accounting Standards Board Accounting Standards Codification Topic 718, Compensation Stock Compensation, the full amount of which is recorded as a compensation expense in the income statement for the 2019 fiscal year. For all directors, the grant date fair value of the stock awards that are payable in Class C common stock was based on the closing price of our Class C common stock on the date of grant, or the last trading day prior if such day is not a trading day. The grant date fair value of prorated DSUs awarded on March 15, 2019 to Mr. More for his period of service beginning February 22, 2019 was based on the March 15, 2019 Class C closing stock price of $14.72. The grant date fair value of prorated DSUs awarded on February 15, 2019 to Mr. O'Neal for his period of service beginning January 28, 2019 and ending on May 31, 2019 was based on the February 15, 2019 Class C closing stock price of $14.51. For all directors, the grant date fair value of the stock awards granted on June 1, 2019 for their period of service beginning on June 1, 2019 through May 31, 2020 was based on the May 31, 2019 Class C closing stock price of $15.00.</w:t>
      </w:r>
    </w:p>
    <w:p>
      <w:pPr>
        <w:spacing w:after="0" w:line="179" w:lineRule="exact"/>
        <w:rPr>
          <w:rFonts w:ascii="Arial" w:cs="Arial" w:eastAsia="Arial" w:hAnsi="Arial"/>
          <w:sz w:val="15"/>
          <w:szCs w:val="15"/>
          <w:color w:val="auto"/>
        </w:rPr>
      </w:pPr>
    </w:p>
    <w:p>
      <w:pPr>
        <w:ind w:left="2180" w:right="620" w:hanging="495"/>
        <w:spacing w:after="0" w:line="275" w:lineRule="auto"/>
        <w:tabs>
          <w:tab w:leader="none" w:pos="2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McClean elected to receive the cash portion of her director compensation, her $15,000 compensation for serving as the Corporate Governance, Conflicts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2180" w:right="60"/>
        <w:spacing w:after="0" w:line="275" w:lineRule="auto"/>
        <w:rPr>
          <w:sz w:val="20"/>
          <w:szCs w:val="20"/>
          <w:color w:val="auto"/>
        </w:rPr>
      </w:pPr>
      <w:r>
        <w:rPr>
          <w:rFonts w:ascii="Arial" w:cs="Arial" w:eastAsia="Arial" w:hAnsi="Arial"/>
          <w:sz w:val="16"/>
          <w:szCs w:val="16"/>
          <w:color w:val="auto"/>
        </w:rPr>
        <w:t>Nominating Committee Chair, and her $15,000 compensation for serving as the Compensation Committee Chair in the 2019 fiscal year in the form of DSUs that are payable in Class C common stock upon termination of service as a Board member.</w:t>
      </w:r>
    </w:p>
    <w:p>
      <w:pPr>
        <w:spacing w:after="0" w:line="173" w:lineRule="exact"/>
        <w:rPr>
          <w:sz w:val="20"/>
          <w:szCs w:val="20"/>
          <w:color w:val="auto"/>
        </w:rPr>
      </w:pPr>
    </w:p>
    <w:p>
      <w:pPr>
        <w:ind w:left="2180" w:right="400" w:hanging="495"/>
        <w:spacing w:after="0" w:line="275" w:lineRule="auto"/>
        <w:tabs>
          <w:tab w:leader="none" w:pos="2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More elected to receive the cash portion of his director compensation in the 2019 fiscal year in the form of DSUs that are payable in Class C common stock upon termination of service as a Board member.</w:t>
      </w:r>
    </w:p>
    <w:p>
      <w:pPr>
        <w:spacing w:after="0" w:line="185" w:lineRule="exact"/>
        <w:rPr>
          <w:rFonts w:ascii="Arial" w:cs="Arial" w:eastAsia="Arial" w:hAnsi="Arial"/>
          <w:sz w:val="16"/>
          <w:szCs w:val="16"/>
          <w:color w:val="auto"/>
        </w:rPr>
      </w:pPr>
    </w:p>
    <w:p>
      <w:pPr>
        <w:ind w:left="2180" w:right="100" w:hanging="495"/>
        <w:spacing w:after="0" w:line="309" w:lineRule="auto"/>
        <w:tabs>
          <w:tab w:leader="none" w:pos="21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Mr. O'Neal elected to receive the cash portion of his director compensation for the period of service beginning June 1, 2019 through May 31, 2020 in the form of DSUs that are payable in Class C common stock upon termination of service as a Board member.</w:t>
      </w:r>
    </w:p>
    <w:p>
      <w:pPr>
        <w:spacing w:after="0" w:line="139" w:lineRule="exact"/>
        <w:rPr>
          <w:sz w:val="20"/>
          <w:szCs w:val="20"/>
          <w:color w:val="auto"/>
        </w:rPr>
      </w:pPr>
    </w:p>
    <w:p>
      <w:pPr>
        <w:ind w:right="40" w:firstLine="313"/>
        <w:spacing w:after="0" w:line="275" w:lineRule="auto"/>
        <w:rPr>
          <w:sz w:val="20"/>
          <w:szCs w:val="20"/>
          <w:color w:val="auto"/>
        </w:rPr>
      </w:pPr>
      <w:r>
        <w:rPr>
          <w:rFonts w:ascii="Arial" w:cs="Arial" w:eastAsia="Arial" w:hAnsi="Arial"/>
          <w:sz w:val="16"/>
          <w:szCs w:val="16"/>
          <w:color w:val="auto"/>
        </w:rPr>
        <w:t>The following table sets forth the aggregate number of stock awards (DSUs and any DERs thereon) held by each of the independent directors as of December 31, 2019. All DSUs held by the independent directors are payable upon termination of service as a Board member.</w:t>
      </w:r>
    </w:p>
    <w:p>
      <w:pPr>
        <w:spacing w:after="0" w:line="153"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Class A</w:t>
            </w:r>
          </w:p>
        </w:tc>
        <w:tc>
          <w:tcPr>
            <w:tcW w:w="10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Class C</w:t>
            </w:r>
          </w:p>
        </w:tc>
      </w:tr>
      <w:tr>
        <w:trPr>
          <w:trHeight w:val="146"/>
        </w:trPr>
        <w:tc>
          <w:tcPr>
            <w:tcW w:w="5860" w:type="dxa"/>
            <w:vAlign w:val="bottom"/>
            <w:gridSpan w:val="3"/>
          </w:tcPr>
          <w:p>
            <w:pPr>
              <w:ind w:left="20"/>
              <w:spacing w:after="0"/>
              <w:rPr>
                <w:sz w:val="20"/>
                <w:szCs w:val="20"/>
                <w:color w:val="auto"/>
              </w:rPr>
            </w:pPr>
            <w:r>
              <w:rPr>
                <w:rFonts w:ascii="Arial" w:cs="Arial" w:eastAsia="Arial" w:hAnsi="Arial"/>
                <w:sz w:val="12"/>
                <w:szCs w:val="12"/>
                <w:b w:val="1"/>
                <w:bCs w:val="1"/>
                <w:color w:val="auto"/>
              </w:rPr>
              <w:t>Name</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8"/>
              </w:rPr>
              <w:t>Stock Awards</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8"/>
              </w:rPr>
              <w:t>Stock Awards</w:t>
            </w: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586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5"/>
                <w:szCs w:val="15"/>
                <w:color w:val="auto"/>
              </w:rPr>
              <w:t>John F. Chlebowski</w:t>
            </w:r>
            <w:r>
              <w:rPr>
                <w:rFonts w:ascii="Arial" w:cs="Arial" w:eastAsia="Arial" w:hAnsi="Arial"/>
                <w:sz w:val="25"/>
                <w:szCs w:val="25"/>
                <w:color w:val="auto"/>
                <w:vertAlign w:val="superscript"/>
              </w:rPr>
              <w:t>(1)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4"/>
        </w:trPr>
        <w:tc>
          <w:tcPr>
            <w:tcW w:w="5860" w:type="dxa"/>
            <w:vAlign w:val="bottom"/>
            <w:gridSpan w:val="3"/>
          </w:tcPr>
          <w:p>
            <w:pPr>
              <w:ind w:left="20"/>
              <w:spacing w:after="0"/>
              <w:rPr>
                <w:sz w:val="20"/>
                <w:szCs w:val="20"/>
                <w:color w:val="auto"/>
              </w:rPr>
            </w:pPr>
            <w:r>
              <w:rPr>
                <w:rFonts w:ascii="Arial" w:cs="Arial" w:eastAsia="Arial" w:hAnsi="Arial"/>
                <w:sz w:val="16"/>
                <w:szCs w:val="16"/>
                <w:color w:val="auto"/>
              </w:rPr>
              <w:t>Brian R. Ford</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6,277</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37,515</w:t>
            </w:r>
          </w:p>
        </w:tc>
      </w:tr>
      <w:tr>
        <w:trPr>
          <w:trHeight w:val="194"/>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Ferrell P. McClean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12,553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44,517</w:t>
            </w:r>
          </w:p>
        </w:tc>
      </w:tr>
      <w:tr>
        <w:trPr>
          <w:trHeight w:val="194"/>
        </w:trPr>
        <w:tc>
          <w:tcPr>
            <w:tcW w:w="5860" w:type="dxa"/>
            <w:vAlign w:val="bottom"/>
            <w:gridSpan w:val="3"/>
          </w:tcPr>
          <w:p>
            <w:pPr>
              <w:ind w:left="20"/>
              <w:spacing w:after="0"/>
              <w:rPr>
                <w:sz w:val="20"/>
                <w:szCs w:val="20"/>
                <w:color w:val="auto"/>
              </w:rPr>
            </w:pPr>
            <w:r>
              <w:rPr>
                <w:rFonts w:ascii="Arial" w:cs="Arial" w:eastAsia="Arial" w:hAnsi="Arial"/>
                <w:sz w:val="16"/>
                <w:szCs w:val="16"/>
                <w:color w:val="auto"/>
              </w:rPr>
              <w:t>Daniel B. More</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15,408</w:t>
            </w:r>
          </w:p>
        </w:tc>
      </w:tr>
      <w:tr>
        <w:trPr>
          <w:trHeight w:val="194"/>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 Stanley O'Neal</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12,075</w:t>
            </w:r>
          </w:p>
        </w:tc>
      </w:tr>
      <w:tr>
        <w:trPr>
          <w:trHeight w:val="97"/>
        </w:trPr>
        <w:tc>
          <w:tcPr>
            <w:tcW w:w="3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7" w:lineRule="exact"/>
        <w:rPr>
          <w:sz w:val="20"/>
          <w:szCs w:val="20"/>
          <w:color w:val="auto"/>
        </w:rPr>
      </w:pPr>
    </w:p>
    <w:p>
      <w:pPr>
        <w:ind w:left="2180" w:hanging="495"/>
        <w:spacing w:after="0" w:line="275" w:lineRule="auto"/>
        <w:tabs>
          <w:tab w:leader="none" w:pos="2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January 4, 2019, Mr. Chlebowski retired as a director and all outstanding stock awards converted to Class A and Class C common stock, as applicable, upon his retirement.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6" w:name="page27"/>
    <w:bookmarkEnd w:id="26"/>
    <w:p>
      <w:pPr>
        <w:ind w:left="3"/>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PROPOSAL NO. 2</w:t>
      </w:r>
    </w:p>
    <w:p>
      <w:pPr>
        <w:spacing w:after="0" w:line="204"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APPROVAL OF THE AMENDED AND RESTATED</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CERTIFICATE OF INCORPORATION</w:t>
      </w:r>
    </w:p>
    <w:p>
      <w:pPr>
        <w:spacing w:after="0" w:line="198" w:lineRule="exact"/>
        <w:rPr>
          <w:sz w:val="20"/>
          <w:szCs w:val="20"/>
          <w:color w:val="auto"/>
        </w:rPr>
      </w:pPr>
    </w:p>
    <w:p>
      <w:pPr>
        <w:ind w:left="3" w:right="40" w:firstLine="313"/>
        <w:spacing w:after="0" w:line="264" w:lineRule="auto"/>
        <w:rPr>
          <w:sz w:val="20"/>
          <w:szCs w:val="20"/>
          <w:color w:val="auto"/>
        </w:rPr>
      </w:pPr>
      <w:r>
        <w:rPr>
          <w:rFonts w:ascii="Arial" w:cs="Arial" w:eastAsia="Arial" w:hAnsi="Arial"/>
          <w:sz w:val="16"/>
          <w:szCs w:val="16"/>
          <w:color w:val="auto"/>
        </w:rPr>
        <w:t>This Proposal No. 2 provides for the amendment of our Restated Certificate of Incorporation, as amended (the "Current Certificate") to make certain technical changes, including changes resulting from the GIP Transaction, as defined previously in this Proxy Statement (the "Certificate Changes"). We are seeking the Certificate Changes in order to reflect our current corporate structure in light of the GIP Transaction.</w:t>
      </w:r>
    </w:p>
    <w:p>
      <w:pPr>
        <w:spacing w:after="0" w:line="170" w:lineRule="exact"/>
        <w:rPr>
          <w:sz w:val="20"/>
          <w:szCs w:val="20"/>
          <w:color w:val="auto"/>
        </w:rPr>
      </w:pPr>
    </w:p>
    <w:p>
      <w:pPr>
        <w:ind w:left="3" w:right="20" w:firstLine="313"/>
        <w:spacing w:after="0" w:line="260" w:lineRule="auto"/>
        <w:rPr>
          <w:sz w:val="20"/>
          <w:szCs w:val="20"/>
          <w:color w:val="auto"/>
        </w:rPr>
      </w:pPr>
      <w:r>
        <w:rPr>
          <w:rFonts w:ascii="Arial" w:cs="Arial" w:eastAsia="Arial" w:hAnsi="Arial"/>
          <w:sz w:val="16"/>
          <w:szCs w:val="16"/>
          <w:color w:val="auto"/>
        </w:rPr>
        <w:t xml:space="preserve">The description of the Amended and Restated Certificate of Incorporation in this Proxy Statement is qualified in its entirety by reference to, and should be read in conjunction with, the full text of the Amended and Restated Certificate of Incorporation, which is attached to this Proxy Statement as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For convenience, a copy of the Amended and Restated Certificate of Incorporation showing the changes from the Current Certificate, with deleted text shown as strike-through and added text shown as underlined, is attached to this Proxy Statement as </w:t>
      </w:r>
      <w:r>
        <w:rPr>
          <w:rFonts w:ascii="Arial" w:cs="Arial" w:eastAsia="Arial" w:hAnsi="Arial"/>
          <w:sz w:val="16"/>
          <w:szCs w:val="16"/>
          <w:i w:val="1"/>
          <w:iCs w:val="1"/>
          <w:color w:val="auto"/>
        </w:rPr>
        <w:t>Appendix B</w:t>
      </w:r>
      <w:r>
        <w:rPr>
          <w:rFonts w:ascii="Arial" w:cs="Arial" w:eastAsia="Arial" w:hAnsi="Arial"/>
          <w:sz w:val="16"/>
          <w:szCs w:val="16"/>
          <w:color w:val="auto"/>
        </w:rPr>
        <w:t>.</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FERC Changes</w:t>
      </w:r>
    </w:p>
    <w:p>
      <w:pPr>
        <w:spacing w:after="0" w:line="208" w:lineRule="exact"/>
        <w:rPr>
          <w:sz w:val="20"/>
          <w:szCs w:val="20"/>
          <w:color w:val="auto"/>
        </w:rPr>
      </w:pPr>
    </w:p>
    <w:p>
      <w:pPr>
        <w:ind w:left="3" w:right="40" w:firstLine="313"/>
        <w:spacing w:after="0" w:line="296" w:lineRule="auto"/>
        <w:rPr>
          <w:sz w:val="20"/>
          <w:szCs w:val="20"/>
          <w:color w:val="auto"/>
        </w:rPr>
      </w:pPr>
      <w:r>
        <w:rPr>
          <w:rFonts w:ascii="Arial" w:cs="Arial" w:eastAsia="Arial" w:hAnsi="Arial"/>
          <w:sz w:val="14"/>
          <w:szCs w:val="14"/>
          <w:color w:val="auto"/>
        </w:rPr>
        <w:t>We are proposing to amend references to the Federal Energy Regulatory Commission ("FERC") and related matters (the "FERC Updates"). We are proposing to modify a restriction on certain transfers of our Class A and Class C shares to reflect the change in ownership of our Class B and Class D shares, as well as changes in FERC policies announced since the existing transfer restriction was put in place. The transfer restriction was put in place to ensure that FERC approval under Section 203 of the Federal Power Act (the "FPA") is obtained prior to any transfer of our Class A or Class C shares that might be deemed to result in a change in direct or indirect "control" over any of our subsidiaries that are "public utilities" under the FPA. It generally prohibits transfers of Class A or Class C shares other than through secondary market transactions that would result in an investor, together with its affiliates, directly or indirectly holding 10% or more of the voting securities of us or any of our public utility subsidiaries. The existing transfer restriction addresses ownership of interests in us and our public utility subsidiaries owned indirectly through ownership of interests in NRG and does so in terms of derivative ownership interests in us based on the voting power of the Class B and Class D shares. The proposed modifications reflect the fact that the Class B and Class D shares are now owned by CEG, not NRG, and also reflect recent FERC precedent limiting reliance on derivative ownership interests.</w:t>
      </w:r>
    </w:p>
    <w:p>
      <w:pPr>
        <w:spacing w:after="0" w:line="155" w:lineRule="exact"/>
        <w:rPr>
          <w:sz w:val="20"/>
          <w:szCs w:val="20"/>
          <w:color w:val="auto"/>
        </w:rPr>
      </w:pPr>
    </w:p>
    <w:p>
      <w:pPr>
        <w:ind w:left="3" w:firstLine="307"/>
        <w:spacing w:after="0" w:line="292" w:lineRule="auto"/>
        <w:rPr>
          <w:sz w:val="20"/>
          <w:szCs w:val="20"/>
          <w:color w:val="auto"/>
        </w:rPr>
      </w:pPr>
      <w:r>
        <w:rPr>
          <w:rFonts w:ascii="Arial" w:cs="Arial" w:eastAsia="Arial" w:hAnsi="Arial"/>
          <w:sz w:val="14"/>
          <w:szCs w:val="14"/>
          <w:color w:val="auto"/>
        </w:rPr>
        <w:t>As modified, the transfer restriction would require board approval for any transfer of our Class A or Class C shares other than through secondary market transactions if, after such a transfer, a given investor, together with its affiliates, would hold 10% or more of our voting securities. Board approval would also be required if, after such a transfer, the sum of the following equals or exceeds 10%: (a) the percentage of our voting securities held by the investor and its affiliates (other than indirectly through interests in CEG), plus</w:t>
      </w:r>
    </w:p>
    <w:p>
      <w:pPr>
        <w:spacing w:after="0" w:line="1" w:lineRule="exact"/>
        <w:rPr>
          <w:sz w:val="20"/>
          <w:szCs w:val="20"/>
          <w:color w:val="auto"/>
        </w:rPr>
      </w:pPr>
    </w:p>
    <w:p>
      <w:pPr>
        <w:ind w:left="3" w:right="100" w:hanging="3"/>
        <w:spacing w:after="0" w:line="257" w:lineRule="auto"/>
        <w:tabs>
          <w:tab w:leader="none" w:pos="22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percentage of CEG's voting securities held by the investor and its affiliates, plus (c) the percentage of any of our public utility subsidiaries' voting securities held by the investor and its affiliates (other than indirectly through interests in us and CEG). The latter provision is a conservative screen that we regard as prudent in light of current FERC policy in this area. In addition, given that the underlying purpose of the restriction is to ensure that FERC approval under Section 203 is obtained as appropriate, the affiliate definition would be revised to reference the affiliate definition in FERC's regulations.</w:t>
      </w:r>
    </w:p>
    <w:p>
      <w:pPr>
        <w:spacing w:after="0" w:line="177" w:lineRule="exact"/>
        <w:rPr>
          <w:sz w:val="20"/>
          <w:szCs w:val="20"/>
          <w:color w:val="auto"/>
        </w:rPr>
      </w:pPr>
    </w:p>
    <w:p>
      <w:pPr>
        <w:ind w:left="323"/>
        <w:spacing w:after="0"/>
        <w:rPr>
          <w:sz w:val="20"/>
          <w:szCs w:val="20"/>
          <w:color w:val="auto"/>
        </w:rPr>
      </w:pPr>
      <w:r>
        <w:rPr>
          <w:rFonts w:ascii="Arial" w:cs="Arial" w:eastAsia="Arial" w:hAnsi="Arial"/>
          <w:sz w:val="16"/>
          <w:szCs w:val="16"/>
          <w:color w:val="auto"/>
        </w:rPr>
        <w:t>We view the FERC Updates as non-substantive changes that are necessary to reflect our current corporate structure in light of the GIP Transaction.</w:t>
      </w:r>
    </w:p>
    <w:p>
      <w:pPr>
        <w:spacing w:after="0" w:line="20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5137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3"/>
          </w:cols>
          <w:pgMar w:left="317" w:top="131" w:right="3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Technical Changes</w:t>
      </w:r>
    </w:p>
    <w:p>
      <w:pPr>
        <w:spacing w:after="0" w:line="208" w:lineRule="exact"/>
        <w:rPr>
          <w:sz w:val="20"/>
          <w:szCs w:val="20"/>
          <w:color w:val="auto"/>
        </w:rPr>
      </w:pPr>
    </w:p>
    <w:p>
      <w:pPr>
        <w:ind w:right="40" w:firstLine="307"/>
        <w:spacing w:after="0" w:line="283" w:lineRule="auto"/>
        <w:rPr>
          <w:sz w:val="20"/>
          <w:szCs w:val="20"/>
          <w:color w:val="auto"/>
        </w:rPr>
      </w:pPr>
      <w:r>
        <w:rPr>
          <w:rFonts w:ascii="Arial" w:cs="Arial" w:eastAsia="Arial" w:hAnsi="Arial"/>
          <w:sz w:val="15"/>
          <w:szCs w:val="15"/>
          <w:color w:val="auto"/>
        </w:rPr>
        <w:t>As a result of the GIP Transaction, NRG is no longer our affiliate and references to NRG in the Current Certificate are no longer applicable. We are seeking to amend and restate the Current Certificate, in part, to replace references to NRG in the Current Certificate with references to GIP or CEG when applicable (the "Reference Updates"). Certain of these Reference Updates are located in provisions of the Current Certificate, which, by the terms of the Current Certificate, require the affirmative vote of 66 and 2/3% of the combined voting power of shares of our common stock outstanding and entitled to vote to amend.</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view the Reference Updates as non-substantive changes that are necessary to reflect our current corporate structure in light of the GIP Transaction.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Required Vote</w:t>
      </w:r>
    </w:p>
    <w:p>
      <w:pPr>
        <w:spacing w:after="0" w:line="208" w:lineRule="exact"/>
        <w:rPr>
          <w:sz w:val="20"/>
          <w:szCs w:val="20"/>
          <w:color w:val="auto"/>
        </w:rPr>
      </w:pPr>
    </w:p>
    <w:p>
      <w:pPr>
        <w:ind w:right="60" w:firstLine="307"/>
        <w:spacing w:after="0" w:line="258" w:lineRule="auto"/>
        <w:rPr>
          <w:sz w:val="20"/>
          <w:szCs w:val="20"/>
          <w:color w:val="auto"/>
        </w:rPr>
      </w:pPr>
      <w:r>
        <w:rPr>
          <w:rFonts w:ascii="Arial" w:cs="Arial" w:eastAsia="Arial" w:hAnsi="Arial"/>
          <w:sz w:val="16"/>
          <w:szCs w:val="16"/>
          <w:color w:val="auto"/>
        </w:rPr>
        <w:t>Adoption of this proposal requires the affirmative vote of 66 and 2/3% of the combined voting power of shares of our common stock outstanding and entitled to vote. Abstentions and broker non-votes will have the same effect as a vote "against" this proposal. If our stockholders approve the Amended and Restated Certificate of Incorporation, it would become effective upon acceptance of its filing by the Secretary of State of the State of Delaware. If our stockholders do not approve this proposal, the Amended and Restated Certificate of Incorporation will not be filed. The Board reserves the right to abandon or delay the filing of the Amended and Restated Certificate of Incorporation even if it is approved by our stockholders.</w:t>
      </w:r>
    </w:p>
    <w:p>
      <w:pPr>
        <w:spacing w:after="0" w:line="173" w:lineRule="exact"/>
        <w:rPr>
          <w:sz w:val="20"/>
          <w:szCs w:val="20"/>
          <w:color w:val="auto"/>
        </w:rPr>
      </w:pPr>
    </w:p>
    <w:p>
      <w:pPr>
        <w:jc w:val="center"/>
        <w:ind w:left="340"/>
        <w:spacing w:after="0" w:line="314" w:lineRule="auto"/>
        <w:rPr>
          <w:sz w:val="20"/>
          <w:szCs w:val="20"/>
          <w:color w:val="auto"/>
        </w:rPr>
      </w:pPr>
      <w:r>
        <w:rPr>
          <w:rFonts w:ascii="Arial" w:cs="Arial" w:eastAsia="Arial" w:hAnsi="Arial"/>
          <w:sz w:val="15"/>
          <w:szCs w:val="15"/>
          <w:b w:val="1"/>
          <w:bCs w:val="1"/>
          <w:color w:val="auto"/>
        </w:rPr>
        <w:t>The Board recommends that you vote "FOR" the proposal to approve the Amended and Restated Certificate of Incorporation Proposal. Proxies received by the Board will be voted "FOR" the approval of the Amended and Restated Certificate of Incorporation Proposal unless otherwise specified.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NO. 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APPROVAL, ON AN ADVISORY BASIS, OF THE COMPANY'S EXECUTIVE COMPENSATION</w:t>
      </w:r>
    </w:p>
    <w:p>
      <w:pPr>
        <w:spacing w:after="0" w:line="208" w:lineRule="exact"/>
        <w:rPr>
          <w:sz w:val="20"/>
          <w:szCs w:val="20"/>
          <w:color w:val="auto"/>
        </w:rPr>
      </w:pPr>
    </w:p>
    <w:p>
      <w:pPr>
        <w:ind w:right="180" w:firstLine="316"/>
        <w:spacing w:after="0" w:line="289" w:lineRule="auto"/>
        <w:rPr>
          <w:sz w:val="20"/>
          <w:szCs w:val="20"/>
          <w:color w:val="auto"/>
        </w:rPr>
      </w:pPr>
      <w:r>
        <w:rPr>
          <w:rFonts w:ascii="Arial" w:cs="Arial" w:eastAsia="Arial" w:hAnsi="Arial"/>
          <w:sz w:val="15"/>
          <w:szCs w:val="15"/>
          <w:color w:val="auto"/>
        </w:rPr>
        <w:t>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(the "Securities Act"). Currently, this vote is conducted every year. The next vote will occur at the 2021 Annual Meeting.</w:t>
      </w:r>
    </w:p>
    <w:p>
      <w:pPr>
        <w:spacing w:after="0" w:line="154" w:lineRule="exact"/>
        <w:rPr>
          <w:sz w:val="20"/>
          <w:szCs w:val="20"/>
          <w:color w:val="auto"/>
        </w:rPr>
      </w:pPr>
    </w:p>
    <w:p>
      <w:pPr>
        <w:ind w:right="120" w:firstLine="307"/>
        <w:spacing w:after="0" w:line="264" w:lineRule="auto"/>
        <w:rPr>
          <w:sz w:val="20"/>
          <w:szCs w:val="20"/>
          <w:color w:val="auto"/>
        </w:rPr>
      </w:pPr>
      <w:r>
        <w:rPr>
          <w:rFonts w:ascii="Arial" w:cs="Arial" w:eastAsia="Arial" w:hAnsi="Arial"/>
          <w:sz w:val="16"/>
          <w:szCs w:val="16"/>
          <w:color w:val="auto"/>
        </w:rPr>
        <w:t>As described more fully in the CD&amp;A beginning on page 39,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70" w:lineRule="exact"/>
        <w:rPr>
          <w:sz w:val="20"/>
          <w:szCs w:val="20"/>
          <w:color w:val="auto"/>
        </w:rPr>
      </w:pPr>
    </w:p>
    <w:p>
      <w:pPr>
        <w:ind w:firstLine="313"/>
        <w:spacing w:after="0" w:line="264" w:lineRule="auto"/>
        <w:rPr>
          <w:sz w:val="20"/>
          <w:szCs w:val="20"/>
          <w:color w:val="auto"/>
        </w:rPr>
      </w:pPr>
      <w:r>
        <w:rPr>
          <w:rFonts w:ascii="Arial" w:cs="Arial" w:eastAsia="Arial" w:hAnsi="Arial"/>
          <w:sz w:val="16"/>
          <w:szCs w:val="16"/>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170" w:lineRule="exact"/>
        <w:rPr>
          <w:sz w:val="20"/>
          <w:szCs w:val="20"/>
          <w:color w:val="auto"/>
        </w:rPr>
      </w:pPr>
    </w:p>
    <w:p>
      <w:pPr>
        <w:ind w:left="960" w:right="360"/>
        <w:spacing w:after="0" w:line="275" w:lineRule="auto"/>
        <w:rPr>
          <w:sz w:val="20"/>
          <w:szCs w:val="20"/>
          <w:color w:val="auto"/>
        </w:rPr>
      </w:pPr>
      <w:r>
        <w:rPr>
          <w:rFonts w:ascii="Arial" w:cs="Arial" w:eastAsia="Arial" w:hAnsi="Arial"/>
          <w:sz w:val="16"/>
          <w:szCs w:val="16"/>
          <w:color w:val="auto"/>
        </w:rPr>
        <w:t>"RESOLVED, that the compensation paid to the NEOs, as disclosed pursuant to Item 402 of Regulation S-K, including the CD&amp;A, compensation tables and narrative discussion, is hereby APPROVED."</w:t>
      </w:r>
    </w:p>
    <w:p>
      <w:pPr>
        <w:spacing w:after="0" w:line="161" w:lineRule="exact"/>
        <w:rPr>
          <w:sz w:val="20"/>
          <w:szCs w:val="20"/>
          <w:color w:val="auto"/>
        </w:rPr>
      </w:pPr>
    </w:p>
    <w:p>
      <w:pPr>
        <w:ind w:right="260" w:firstLine="313"/>
        <w:spacing w:after="0" w:line="319" w:lineRule="auto"/>
        <w:rPr>
          <w:sz w:val="20"/>
          <w:szCs w:val="20"/>
          <w:color w:val="auto"/>
        </w:rPr>
      </w:pPr>
      <w:r>
        <w:rPr>
          <w:rFonts w:ascii="Arial" w:cs="Arial" w:eastAsia="Arial" w:hAnsi="Arial"/>
          <w:sz w:val="14"/>
          <w:szCs w:val="14"/>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31" w:lineRule="exact"/>
        <w:rPr>
          <w:sz w:val="20"/>
          <w:szCs w:val="20"/>
          <w:color w:val="auto"/>
        </w:rPr>
      </w:pPr>
    </w:p>
    <w:p>
      <w:pPr>
        <w:jc w:val="center"/>
        <w:ind w:left="340" w:right="20"/>
        <w:spacing w:after="0" w:line="280" w:lineRule="auto"/>
        <w:rPr>
          <w:sz w:val="20"/>
          <w:szCs w:val="20"/>
          <w:color w:val="auto"/>
        </w:rPr>
      </w:pPr>
      <w:r>
        <w:rPr>
          <w:rFonts w:ascii="Arial" w:cs="Arial" w:eastAsia="Arial" w:hAnsi="Arial"/>
          <w:sz w:val="16"/>
          <w:szCs w:val="16"/>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PROPOSAL NO. 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RATIFICATION OF INDEPENDENT REGISTERED PUBLIC ACCOUNTING FIRM</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2020 FISCAL YEAR</w:t>
      </w:r>
    </w:p>
    <w:p>
      <w:pPr>
        <w:spacing w:after="0" w:line="198" w:lineRule="exact"/>
        <w:rPr>
          <w:sz w:val="20"/>
          <w:szCs w:val="20"/>
          <w:color w:val="auto"/>
        </w:rPr>
      </w:pPr>
    </w:p>
    <w:p>
      <w:pPr>
        <w:ind w:right="160" w:firstLine="313"/>
        <w:spacing w:after="0" w:line="260"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74" w:lineRule="exact"/>
        <w:rPr>
          <w:sz w:val="20"/>
          <w:szCs w:val="20"/>
          <w:color w:val="auto"/>
        </w:rPr>
      </w:pPr>
    </w:p>
    <w:p>
      <w:pPr>
        <w:ind w:right="100" w:firstLine="313"/>
        <w:spacing w:after="0" w:line="304" w:lineRule="auto"/>
        <w:rPr>
          <w:sz w:val="20"/>
          <w:szCs w:val="20"/>
          <w:color w:val="auto"/>
        </w:rPr>
      </w:pPr>
      <w:r>
        <w:rPr>
          <w:rFonts w:ascii="Arial" w:cs="Arial" w:eastAsia="Arial" w:hAnsi="Arial"/>
          <w:sz w:val="14"/>
          <w:szCs w:val="14"/>
          <w:color w:val="auto"/>
        </w:rPr>
        <w:t>The Audit Committee appointed the firm of KPMG LLP, an independent registered public accounting firm, to audit the consolidated financial statements of the Company and its subsidiaries for the 2020 fiscal year at a meeting held in February 2020. KPMG LLP has been retained as the Company's independent registered public accounting firm continuously since the Company's initial public offering in July 2013. In accordance with SEC rules and KPMG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KPMG LLP's lead audit partner.</w:t>
      </w:r>
    </w:p>
    <w:p>
      <w:pPr>
        <w:spacing w:after="0" w:line="146" w:lineRule="exact"/>
        <w:rPr>
          <w:sz w:val="20"/>
          <w:szCs w:val="20"/>
          <w:color w:val="auto"/>
        </w:rPr>
      </w:pPr>
    </w:p>
    <w:p>
      <w:pPr>
        <w:ind w:firstLine="313"/>
        <w:spacing w:after="0" w:line="260" w:lineRule="auto"/>
        <w:rPr>
          <w:sz w:val="20"/>
          <w:szCs w:val="20"/>
          <w:color w:val="auto"/>
        </w:rPr>
      </w:pPr>
      <w:r>
        <w:rPr>
          <w:rFonts w:ascii="Arial" w:cs="Arial" w:eastAsia="Arial" w:hAnsi="Arial"/>
          <w:sz w:val="16"/>
          <w:szCs w:val="16"/>
          <w:color w:val="auto"/>
        </w:rPr>
        <w:t>The Audit Committee and the Board believe that the continued retention of KPMG LLP to serve as the Company's independent registered public accounting firm for the 2020 fiscal year is in the best interests of the Company and its stockholders. If the stockholders do not ratify the appointment of KPMG LLP, the Audit Committee will reconsider its selection. Representatives of KMPG LLP are expected to attend the Annual Meeting where they will be available to respond to questions and, if they desire, to make a statement.</w:t>
      </w:r>
    </w:p>
    <w:p>
      <w:pPr>
        <w:spacing w:after="0" w:line="170" w:lineRule="exact"/>
        <w:rPr>
          <w:sz w:val="20"/>
          <w:szCs w:val="20"/>
          <w:color w:val="auto"/>
        </w:rPr>
      </w:pPr>
    </w:p>
    <w:p>
      <w:pPr>
        <w:jc w:val="center"/>
        <w:ind w:left="340"/>
        <w:spacing w:after="0" w:line="280" w:lineRule="auto"/>
        <w:rPr>
          <w:sz w:val="20"/>
          <w:szCs w:val="20"/>
          <w:color w:val="auto"/>
        </w:rPr>
      </w:pPr>
      <w:r>
        <w:rPr>
          <w:rFonts w:ascii="Arial" w:cs="Arial" w:eastAsia="Arial" w:hAnsi="Arial"/>
          <w:sz w:val="16"/>
          <w:szCs w:val="16"/>
          <w:b w:val="1"/>
          <w:bCs w:val="1"/>
          <w:color w:val="auto"/>
        </w:rPr>
        <w:t>The Board recommends a vote "FOR" the ratification of the appointment of KPMG LLP as the Company's lead independent registered public accounting firm for the 2020 fiscal year. Proxies received by the Board will be voted "FOR" ratification unless a contrary vote is specified.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EXECUTIVE OFFICERS</w:t>
      </w:r>
    </w:p>
    <w:p>
      <w:pPr>
        <w:spacing w:after="0" w:line="208" w:lineRule="exact"/>
        <w:rPr>
          <w:sz w:val="20"/>
          <w:szCs w:val="20"/>
          <w:color w:val="auto"/>
        </w:rPr>
      </w:pPr>
    </w:p>
    <w:p>
      <w:pPr>
        <w:ind w:firstLine="316"/>
        <w:spacing w:after="0" w:line="275" w:lineRule="auto"/>
        <w:rPr>
          <w:sz w:val="20"/>
          <w:szCs w:val="20"/>
          <w:color w:val="auto"/>
        </w:rPr>
      </w:pPr>
      <w:r>
        <w:rPr>
          <w:rFonts w:ascii="Arial" w:cs="Arial" w:eastAsia="Arial" w:hAnsi="Arial"/>
          <w:sz w:val="16"/>
          <w:szCs w:val="16"/>
          <w:color w:val="auto"/>
        </w:rPr>
        <w:t>Our executive officers are elected by the Board annually to hold office until their successors are elected and qualified. The biographical information for each of the executive officers is provided below.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Christopher S. Sotos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Age 48</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biographical information for Christopher S. Sotos, see "Proposal No. 1—Nominees for Director."</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Chad Plotkin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Age 44</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198" w:lineRule="exact"/>
        <w:rPr>
          <w:sz w:val="20"/>
          <w:szCs w:val="20"/>
          <w:color w:val="auto"/>
        </w:rPr>
      </w:pPr>
    </w:p>
    <w:p>
      <w:pPr>
        <w:ind w:right="20" w:firstLine="316"/>
        <w:spacing w:after="0" w:line="258" w:lineRule="auto"/>
        <w:rPr>
          <w:sz w:val="20"/>
          <w:szCs w:val="20"/>
          <w:color w:val="auto"/>
        </w:rPr>
      </w:pPr>
      <w:r>
        <w:rPr>
          <w:rFonts w:ascii="Arial" w:cs="Arial" w:eastAsia="Arial" w:hAnsi="Arial"/>
          <w:sz w:val="16"/>
          <w:szCs w:val="16"/>
          <w:color w:val="auto"/>
        </w:rPr>
        <w:t>Mr. Plotkin has served as our Senior Vice President and Chief Financial Officer since November 2016. From January 2016 until his appointment as Senior Vice President and Chief Financial Officer,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Kevin P. Malcarney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Age 53</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General Counsel and Corporate Secretary</w:t>
      </w:r>
    </w:p>
    <w:p>
      <w:pPr>
        <w:spacing w:after="0" w:line="198" w:lineRule="exact"/>
        <w:rPr>
          <w:sz w:val="20"/>
          <w:szCs w:val="20"/>
          <w:color w:val="auto"/>
        </w:rPr>
      </w:pPr>
    </w:p>
    <w:p>
      <w:pPr>
        <w:ind w:right="160" w:firstLine="316"/>
        <w:spacing w:after="0" w:line="260" w:lineRule="auto"/>
        <w:rPr>
          <w:sz w:val="20"/>
          <w:szCs w:val="20"/>
          <w:color w:val="auto"/>
        </w:rPr>
      </w:pPr>
      <w:r>
        <w:rPr>
          <w:rFonts w:ascii="Arial" w:cs="Arial" w:eastAsia="Arial" w:hAnsi="Arial"/>
          <w:sz w:val="16"/>
          <w:szCs w:val="16"/>
          <w:color w:val="auto"/>
        </w:rPr>
        <w:t>Mr. Malcarney has served as Senior Vice President, General Counsel and Corporate Secretary since May 11, 2018. He served as Interim General Counsel of the Company from March 16, 2018. Mr. Malcarney was previously Vice President and Deputy General Counsel and served in various other roles at NRG since September 2008. Prior to that, Mr. Malcarney worked at two major law firms in Princeton, New Jersey and Philadelphia, Pennsylvania, and handled mergers and acquisitions, project financing and general corporate matters.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Mary-Lee Stillwell</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Age 46</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Chief Accounting Officer</w:t>
      </w:r>
    </w:p>
    <w:p>
      <w:pPr>
        <w:spacing w:after="0" w:line="198" w:lineRule="exact"/>
        <w:rPr>
          <w:sz w:val="20"/>
          <w:szCs w:val="20"/>
          <w:color w:val="auto"/>
        </w:rPr>
      </w:pPr>
    </w:p>
    <w:p>
      <w:pPr>
        <w:ind w:right="80" w:firstLine="316"/>
        <w:spacing w:after="0" w:line="258" w:lineRule="auto"/>
        <w:rPr>
          <w:sz w:val="20"/>
          <w:szCs w:val="20"/>
          <w:color w:val="auto"/>
        </w:rPr>
      </w:pPr>
      <w:r>
        <w:rPr>
          <w:rFonts w:ascii="Arial" w:cs="Arial" w:eastAsia="Arial" w:hAnsi="Arial"/>
          <w:sz w:val="16"/>
          <w:szCs w:val="16"/>
          <w:color w:val="auto"/>
        </w:rPr>
        <w:t>Ms. Stillwell has served as Vice President and Chief Accounting Officer of the Company since August 31, 2018. Ms. Stillwell previously served as Vice President and Assistant Controller of NRG since December 2012, where she was responsible for managing and directing NRG's financial accounting and reporting activities as well as overseeing the accounting for the Renewables business and various shared service functions. Prior to her work at NRG, Ms. Stillwell served as Assistant Controller—Integration and Internal Controls of GenOn Energy, Inc., in Houston, Texas, from September 2010 to December 2012, where she was responsible for all Sarbanes-Oxley compliance as well as integrations of mergers and acquisitions.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STOCK OWNERSHIP OF DIRECTORS, NAMED EXECUTIVE OFFICERS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BENEFICIAL OWNERS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OF DIRECTORS AND EXECUTIVE OFFICERS</w:t>
      </w:r>
    </w:p>
    <w:p>
      <w:pPr>
        <w:spacing w:after="0" w:line="208" w:lineRule="exact"/>
        <w:rPr>
          <w:sz w:val="20"/>
          <w:szCs w:val="20"/>
          <w:color w:val="auto"/>
        </w:rPr>
      </w:pPr>
    </w:p>
    <w:p>
      <w:pPr>
        <w:ind w:firstLine="313"/>
        <w:spacing w:after="0" w:line="256" w:lineRule="auto"/>
        <w:rPr>
          <w:sz w:val="20"/>
          <w:szCs w:val="20"/>
          <w:color w:val="auto"/>
        </w:rPr>
      </w:pPr>
      <w:r>
        <w:rPr>
          <w:rFonts w:ascii="Arial" w:cs="Arial" w:eastAsia="Arial" w:hAnsi="Arial"/>
          <w:sz w:val="16"/>
          <w:szCs w:val="16"/>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34,599,645 shares of Class A common stock outstanding as of March 4, 2020 and 78,851,377 shares of Class C common stock outstanding as of March 4, 2020, and percentage of combined voting power is based on 78,554,297 votes represented by our outstanding Class A, Class B, Class C and Class D common stock in the aggregate as of March 4, 2020. The percentage of beneficial ownership and the percentage of combined voting power also include any shares that such person has the right to acquire within 60 days of March 4, 2020. Unless otherwise indicated, each person has sole voting and dispositive power with respect to the shares set forth in the following table.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address of the beneficial owners is Clearway Energy, Inc., 300 Carnegie Center, Suite 300, Princeton, New Jersey 08540.</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40" w:type="dxa"/>
            <w:vAlign w:val="bottom"/>
            <w:gridSpan w:val="3"/>
          </w:tcPr>
          <w:p>
            <w:pPr>
              <w:jc w:val="right"/>
              <w:ind w:right="184"/>
              <w:spacing w:after="0"/>
              <w:rPr>
                <w:sz w:val="20"/>
                <w:szCs w:val="20"/>
                <w:color w:val="auto"/>
              </w:rPr>
            </w:pPr>
            <w:r>
              <w:rPr>
                <w:rFonts w:ascii="Arial" w:cs="Arial" w:eastAsia="Arial" w:hAnsi="Arial"/>
                <w:sz w:val="12"/>
                <w:szCs w:val="12"/>
                <w:b w:val="1"/>
                <w:bCs w:val="1"/>
                <w:color w:val="auto"/>
              </w:rPr>
              <w:t>Class A Common Stock</w:t>
            </w:r>
          </w:p>
        </w:tc>
        <w:tc>
          <w:tcPr>
            <w:tcW w:w="140" w:type="dxa"/>
            <w:vAlign w:val="bottom"/>
          </w:tcPr>
          <w:p>
            <w:pPr>
              <w:spacing w:after="0"/>
              <w:rPr>
                <w:sz w:val="12"/>
                <w:szCs w:val="12"/>
                <w:color w:val="auto"/>
              </w:rPr>
            </w:pPr>
          </w:p>
        </w:tc>
        <w:tc>
          <w:tcPr>
            <w:tcW w:w="1860" w:type="dxa"/>
            <w:vAlign w:val="bottom"/>
            <w:gridSpan w:val="3"/>
          </w:tcPr>
          <w:p>
            <w:pPr>
              <w:jc w:val="right"/>
              <w:ind w:right="244"/>
              <w:spacing w:after="0"/>
              <w:rPr>
                <w:sz w:val="20"/>
                <w:szCs w:val="20"/>
                <w:color w:val="auto"/>
              </w:rPr>
            </w:pPr>
            <w:r>
              <w:rPr>
                <w:rFonts w:ascii="Arial" w:cs="Arial" w:eastAsia="Arial" w:hAnsi="Arial"/>
                <w:sz w:val="12"/>
                <w:szCs w:val="12"/>
                <w:b w:val="1"/>
                <w:bCs w:val="1"/>
                <w:color w:val="auto"/>
              </w:rPr>
              <w:t>Class C Common Stock</w:t>
            </w:r>
          </w:p>
        </w:tc>
        <w:tc>
          <w:tcPr>
            <w:tcW w:w="14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Common Stock</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 of</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7"/>
              </w:rPr>
              <w:t>Number</w:t>
            </w:r>
            <w:r>
              <w:rPr>
                <w:rFonts w:ascii="Arial" w:cs="Arial" w:eastAsia="Arial" w:hAnsi="Arial"/>
                <w:sz w:val="20"/>
                <w:szCs w:val="20"/>
                <w:b w:val="1"/>
                <w:bCs w:val="1"/>
                <w:color w:val="auto"/>
                <w:w w:val="87"/>
                <w:vertAlign w:val="superscript"/>
              </w:rPr>
              <w:t>(1)</w:t>
            </w:r>
          </w:p>
        </w:tc>
        <w:tc>
          <w:tcPr>
            <w:tcW w:w="960" w:type="dxa"/>
            <w:vAlign w:val="bottom"/>
          </w:tcPr>
          <w:p>
            <w:pPr>
              <w:jc w:val="right"/>
              <w:ind w:right="64"/>
              <w:spacing w:after="0"/>
              <w:rPr>
                <w:sz w:val="20"/>
                <w:szCs w:val="20"/>
                <w:color w:val="auto"/>
              </w:rPr>
            </w:pPr>
            <w:r>
              <w:rPr>
                <w:rFonts w:ascii="Arial" w:cs="Arial" w:eastAsia="Arial" w:hAnsi="Arial"/>
                <w:sz w:val="12"/>
                <w:szCs w:val="12"/>
                <w:b w:val="1"/>
                <w:bCs w:val="1"/>
                <w:color w:val="auto"/>
              </w:rPr>
              <w:t>% of Class A</w:t>
            </w:r>
          </w:p>
        </w:tc>
        <w:tc>
          <w:tcPr>
            <w:tcW w:w="14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w w:val="94"/>
              </w:rPr>
              <w:t>Number</w:t>
            </w:r>
            <w:r>
              <w:rPr>
                <w:rFonts w:ascii="Arial" w:cs="Arial" w:eastAsia="Arial" w:hAnsi="Arial"/>
                <w:sz w:val="20"/>
                <w:szCs w:val="20"/>
                <w:b w:val="1"/>
                <w:bCs w:val="1"/>
                <w:color w:val="auto"/>
                <w:w w:val="94"/>
                <w:vertAlign w:val="superscript"/>
              </w:rPr>
              <w:t>(1)</w:t>
            </w:r>
          </w:p>
        </w:tc>
        <w:tc>
          <w:tcPr>
            <w:tcW w:w="960" w:type="dxa"/>
            <w:vAlign w:val="bottom"/>
          </w:tcPr>
          <w:p>
            <w:pPr>
              <w:jc w:val="right"/>
              <w:ind w:right="84"/>
              <w:spacing w:after="0"/>
              <w:rPr>
                <w:sz w:val="20"/>
                <w:szCs w:val="20"/>
                <w:color w:val="auto"/>
              </w:rPr>
            </w:pPr>
            <w:r>
              <w:rPr>
                <w:rFonts w:ascii="Arial" w:cs="Arial" w:eastAsia="Arial" w:hAnsi="Arial"/>
                <w:sz w:val="12"/>
                <w:szCs w:val="12"/>
                <w:b w:val="1"/>
                <w:bCs w:val="1"/>
                <w:color w:val="auto"/>
              </w:rPr>
              <w:t>% of Class C</w:t>
            </w:r>
          </w:p>
        </w:tc>
        <w:tc>
          <w:tcPr>
            <w:tcW w:w="14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Combined</w:t>
            </w:r>
          </w:p>
        </w:tc>
        <w:tc>
          <w:tcPr>
            <w:tcW w:w="0" w:type="dxa"/>
            <w:vAlign w:val="bottom"/>
          </w:tcPr>
          <w:p>
            <w:pPr>
              <w:spacing w:after="0"/>
              <w:rPr>
                <w:sz w:val="1"/>
                <w:szCs w:val="1"/>
                <w:color w:val="auto"/>
              </w:rPr>
            </w:pPr>
          </w:p>
        </w:tc>
      </w:tr>
      <w:tr>
        <w:trPr>
          <w:trHeight w:val="158"/>
        </w:trPr>
        <w:tc>
          <w:tcPr>
            <w:tcW w:w="4200" w:type="dxa"/>
            <w:vAlign w:val="bottom"/>
            <w:gridSpan w:val="4"/>
          </w:tcPr>
          <w:p>
            <w:pPr>
              <w:spacing w:after="0"/>
              <w:rPr>
                <w:sz w:val="20"/>
                <w:szCs w:val="20"/>
                <w:color w:val="auto"/>
              </w:rPr>
            </w:pPr>
            <w:r>
              <w:rPr>
                <w:rFonts w:ascii="Arial" w:cs="Arial" w:eastAsia="Arial" w:hAnsi="Arial"/>
                <w:sz w:val="12"/>
                <w:szCs w:val="12"/>
                <w:b w:val="1"/>
                <w:bCs w:val="1"/>
                <w:color w:val="auto"/>
              </w:rPr>
              <w:t>Directors and Executive Officers</w:t>
            </w:r>
          </w:p>
        </w:tc>
        <w:tc>
          <w:tcPr>
            <w:tcW w:w="780" w:type="dxa"/>
            <w:vAlign w:val="bottom"/>
            <w:gridSpan w:val="2"/>
            <w:vMerge w:val="continue"/>
          </w:tcPr>
          <w:p>
            <w:pPr>
              <w:spacing w:after="0"/>
              <w:rPr>
                <w:sz w:val="13"/>
                <w:szCs w:val="13"/>
                <w:color w:val="auto"/>
              </w:rPr>
            </w:pPr>
          </w:p>
        </w:tc>
        <w:tc>
          <w:tcPr>
            <w:tcW w:w="960" w:type="dxa"/>
            <w:vAlign w:val="bottom"/>
          </w:tcPr>
          <w:p>
            <w:pPr>
              <w:jc w:val="right"/>
              <w:ind w:right="4"/>
              <w:spacing w:after="0"/>
              <w:rPr>
                <w:sz w:val="20"/>
                <w:szCs w:val="20"/>
                <w:color w:val="auto"/>
              </w:rPr>
            </w:pPr>
            <w:r>
              <w:rPr>
                <w:rFonts w:ascii="Arial" w:cs="Arial" w:eastAsia="Arial" w:hAnsi="Arial"/>
                <w:sz w:val="12"/>
                <w:szCs w:val="12"/>
                <w:b w:val="1"/>
                <w:bCs w:val="1"/>
                <w:color w:val="auto"/>
                <w:w w:val="97"/>
              </w:rPr>
              <w:t>Common Stock</w:t>
            </w: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60" w:type="dxa"/>
            <w:vAlign w:val="bottom"/>
          </w:tcPr>
          <w:p>
            <w:pPr>
              <w:jc w:val="right"/>
              <w:ind w:right="24"/>
              <w:spacing w:after="0"/>
              <w:rPr>
                <w:sz w:val="20"/>
                <w:szCs w:val="20"/>
                <w:color w:val="auto"/>
              </w:rPr>
            </w:pPr>
            <w:r>
              <w:rPr>
                <w:rFonts w:ascii="Arial" w:cs="Arial" w:eastAsia="Arial" w:hAnsi="Arial"/>
                <w:sz w:val="12"/>
                <w:szCs w:val="12"/>
                <w:b w:val="1"/>
                <w:bCs w:val="1"/>
                <w:color w:val="auto"/>
                <w:w w:val="95"/>
              </w:rPr>
              <w:t>Common Stock</w:t>
            </w:r>
          </w:p>
        </w:tc>
        <w:tc>
          <w:tcPr>
            <w:tcW w:w="1120" w:type="dxa"/>
            <w:vAlign w:val="bottom"/>
            <w:gridSpan w:val="3"/>
          </w:tcPr>
          <w:p>
            <w:pPr>
              <w:jc w:val="center"/>
              <w:ind w:right="20"/>
              <w:spacing w:after="0" w:line="157" w:lineRule="exact"/>
              <w:rPr>
                <w:sz w:val="20"/>
                <w:szCs w:val="20"/>
                <w:color w:val="auto"/>
              </w:rPr>
            </w:pPr>
            <w:r>
              <w:rPr>
                <w:rFonts w:ascii="Arial" w:cs="Arial" w:eastAsia="Arial" w:hAnsi="Arial"/>
                <w:sz w:val="11"/>
                <w:szCs w:val="11"/>
                <w:b w:val="1"/>
                <w:bCs w:val="1"/>
                <w:color w:val="auto"/>
                <w:w w:val="96"/>
              </w:rPr>
              <w:t>Voting Power</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Jonathan Bram</w:t>
            </w:r>
          </w:p>
        </w:tc>
        <w:tc>
          <w:tcPr>
            <w:tcW w:w="2500" w:type="dxa"/>
            <w:vAlign w:val="bottom"/>
            <w:gridSpan w:val="2"/>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Arial" w:cs="Arial" w:eastAsia="Arial" w:hAnsi="Arial"/>
                <w:sz w:val="16"/>
                <w:szCs w:val="16"/>
                <w:color w:val="auto"/>
              </w:rPr>
              <w:t>Christopher S. Sotos</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23,100</w:t>
            </w:r>
            <w:r>
              <w:rPr>
                <w:rFonts w:ascii="Arial" w:cs="Arial" w:eastAsia="Arial" w:hAnsi="Arial"/>
                <w:sz w:val="13"/>
                <w:szCs w:val="13"/>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125,783</w:t>
            </w:r>
            <w:r>
              <w:rPr>
                <w:rFonts w:ascii="Arial" w:cs="Arial" w:eastAsia="Arial" w:hAnsi="Arial"/>
                <w:sz w:val="13"/>
                <w:szCs w:val="13"/>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Chad Plotkin</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6,697</w:t>
            </w:r>
            <w:r>
              <w:rPr>
                <w:rFonts w:ascii="Arial" w:cs="Arial" w:eastAsia="Arial" w:hAnsi="Arial"/>
                <w:sz w:val="13"/>
                <w:szCs w:val="13"/>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30,763</w:t>
            </w:r>
            <w:r>
              <w:rPr>
                <w:rFonts w:ascii="Arial" w:cs="Arial" w:eastAsia="Arial" w:hAnsi="Arial"/>
                <w:sz w:val="13"/>
                <w:szCs w:val="13"/>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Arial" w:cs="Arial" w:eastAsia="Arial" w:hAnsi="Arial"/>
                <w:sz w:val="16"/>
                <w:szCs w:val="16"/>
                <w:color w:val="auto"/>
              </w:rPr>
              <w:t>Kevin P. Malcarney</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600</w:t>
            </w:r>
            <w:r>
              <w:rPr>
                <w:rFonts w:ascii="Arial" w:cs="Arial" w:eastAsia="Arial" w:hAnsi="Arial"/>
                <w:sz w:val="13"/>
                <w:szCs w:val="13"/>
                <w:color w:val="auto"/>
              </w:rPr>
              <w:t>(5)</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29,500</w:t>
            </w:r>
            <w:r>
              <w:rPr>
                <w:rFonts w:ascii="Arial" w:cs="Arial" w:eastAsia="Arial" w:hAnsi="Arial"/>
                <w:sz w:val="13"/>
                <w:szCs w:val="13"/>
                <w:color w:val="auto"/>
              </w:rPr>
              <w:t>(5)</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Mary-Lee Stillwell</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17,670</w:t>
            </w:r>
            <w:r>
              <w:rPr>
                <w:rFonts w:ascii="Arial" w:cs="Arial" w:eastAsia="Arial" w:hAnsi="Arial"/>
                <w:sz w:val="13"/>
                <w:szCs w:val="13"/>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Arial" w:cs="Arial" w:eastAsia="Arial" w:hAnsi="Arial"/>
                <w:sz w:val="16"/>
                <w:szCs w:val="16"/>
                <w:color w:val="auto"/>
              </w:rPr>
              <w:t>Nathaniel Anschuetz</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Brian R. Ford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7,340</w:t>
            </w:r>
            <w:r>
              <w:rPr>
                <w:rFonts w:ascii="Arial" w:cs="Arial" w:eastAsia="Arial" w:hAnsi="Arial"/>
                <w:sz w:val="13"/>
                <w:szCs w:val="13"/>
                <w:color w:val="auto"/>
              </w:rPr>
              <w:t>(7)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38,879</w:t>
            </w:r>
            <w:r>
              <w:rPr>
                <w:rFonts w:ascii="Arial" w:cs="Arial" w:eastAsia="Arial" w:hAnsi="Arial"/>
                <w:sz w:val="13"/>
                <w:szCs w:val="13"/>
                <w:color w:val="auto"/>
              </w:rPr>
              <w:t>(7)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Arial" w:cs="Arial" w:eastAsia="Arial" w:hAnsi="Arial"/>
                <w:sz w:val="16"/>
                <w:szCs w:val="16"/>
                <w:color w:val="auto"/>
              </w:rPr>
              <w:t>Bruce MacLennan</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Ferrell P. McClean</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15,679</w:t>
            </w:r>
            <w:r>
              <w:rPr>
                <w:rFonts w:ascii="Arial" w:cs="Arial" w:eastAsia="Arial" w:hAnsi="Arial"/>
                <w:sz w:val="13"/>
                <w:szCs w:val="13"/>
                <w:color w:val="auto"/>
              </w:rPr>
              <w:t>(8)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73,902</w:t>
            </w:r>
            <w:r>
              <w:rPr>
                <w:rFonts w:ascii="Arial" w:cs="Arial" w:eastAsia="Arial" w:hAnsi="Arial"/>
                <w:sz w:val="13"/>
                <w:szCs w:val="13"/>
                <w:color w:val="auto"/>
              </w:rPr>
              <w:t>(8)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Arial" w:cs="Arial" w:eastAsia="Arial" w:hAnsi="Arial"/>
                <w:sz w:val="16"/>
                <w:szCs w:val="16"/>
                <w:color w:val="auto"/>
              </w:rPr>
              <w:t>Daniel B. More</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15,557</w:t>
            </w:r>
            <w:r>
              <w:rPr>
                <w:rFonts w:ascii="Arial" w:cs="Arial" w:eastAsia="Arial" w:hAnsi="Arial"/>
                <w:sz w:val="13"/>
                <w:szCs w:val="13"/>
                <w:color w:val="auto"/>
              </w:rPr>
              <w:t>(9)</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 Stanley O'Neal</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14,470</w:t>
            </w:r>
            <w:r>
              <w:rPr>
                <w:rFonts w:ascii="Arial" w:cs="Arial" w:eastAsia="Arial" w:hAnsi="Arial"/>
                <w:sz w:val="13"/>
                <w:szCs w:val="13"/>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Arial" w:cs="Arial" w:eastAsia="Arial" w:hAnsi="Arial"/>
                <w:sz w:val="16"/>
                <w:szCs w:val="16"/>
                <w:color w:val="auto"/>
              </w:rPr>
              <w:t>Scott Stanley</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All directors and executive officers as a group (12 people)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53,416</w:t>
            </w:r>
            <w:r>
              <w:rPr>
                <w:rFonts w:ascii="Arial" w:cs="Arial" w:eastAsia="Arial" w:hAnsi="Arial"/>
                <w:sz w:val="13"/>
                <w:szCs w:val="13"/>
                <w:color w:val="auto"/>
              </w:rPr>
              <w:t>(11)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346,524</w:t>
            </w:r>
            <w:r>
              <w:rPr>
                <w:rFonts w:ascii="Arial" w:cs="Arial" w:eastAsia="Arial" w:hAnsi="Arial"/>
                <w:sz w:val="13"/>
                <w:szCs w:val="13"/>
                <w:color w:val="auto"/>
              </w:rPr>
              <w:t>(11)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0" w:hanging="478"/>
        <w:spacing w:after="0"/>
        <w:tabs>
          <w:tab w:leader="none" w:pos="1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Less than one percent of outstanding Class A common stock, Class C common stock or combined voting power, as applicable.</w:t>
      </w:r>
    </w:p>
    <w:p>
      <w:pPr>
        <w:spacing w:after="0" w:line="229" w:lineRule="exact"/>
        <w:rPr>
          <w:sz w:val="20"/>
          <w:szCs w:val="20"/>
          <w:color w:val="auto"/>
        </w:rPr>
      </w:pPr>
    </w:p>
    <w:p>
      <w:pPr>
        <w:ind w:left="1600" w:hanging="478"/>
        <w:spacing w:after="0" w:line="260" w:lineRule="auto"/>
        <w:tabs>
          <w:tab w:leader="none" w:pos="1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186" w:lineRule="exact"/>
        <w:rPr>
          <w:rFonts w:ascii="Arial" w:cs="Arial" w:eastAsia="Arial" w:hAnsi="Arial"/>
          <w:sz w:val="16"/>
          <w:szCs w:val="16"/>
          <w:color w:val="auto"/>
        </w:rPr>
      </w:pPr>
    </w:p>
    <w:p>
      <w:pPr>
        <w:ind w:left="1600" w:right="80" w:hanging="478"/>
        <w:spacing w:after="0" w:line="231" w:lineRule="auto"/>
        <w:tabs>
          <w:tab w:leader="none" w:pos="1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1600" w:right="120" w:hanging="478"/>
        <w:spacing w:after="0" w:line="257" w:lineRule="auto"/>
        <w:tabs>
          <w:tab w:leader="none" w:pos="1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10,757 dividend equivalent rights (DERs) to be paid in Class C common stock. Excludes 26,650 restricted stock units (RSUs) and 94,270 relative performance stock units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201" w:lineRule="exact"/>
        <w:rPr>
          <w:rFonts w:ascii="Arial" w:cs="Arial" w:eastAsia="Arial" w:hAnsi="Arial"/>
          <w:sz w:val="16"/>
          <w:szCs w:val="16"/>
          <w:color w:val="auto"/>
        </w:rPr>
      </w:pPr>
    </w:p>
    <w:p>
      <w:pPr>
        <w:ind w:left="1600" w:hanging="478"/>
        <w:spacing w:after="0" w:line="258" w:lineRule="auto"/>
        <w:tabs>
          <w:tab w:leader="none" w:pos="1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3,149 DERs to be paid in Class C common stock. Excludes 8,069 RSUs and 28,089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88" w:lineRule="exact"/>
        <w:rPr>
          <w:rFonts w:ascii="Arial" w:cs="Arial" w:eastAsia="Arial" w:hAnsi="Arial"/>
          <w:sz w:val="16"/>
          <w:szCs w:val="16"/>
          <w:color w:val="auto"/>
        </w:rPr>
      </w:pPr>
    </w:p>
    <w:p>
      <w:pPr>
        <w:ind w:left="1600" w:hanging="478"/>
        <w:spacing w:after="0" w:line="258" w:lineRule="auto"/>
        <w:tabs>
          <w:tab w:leader="none" w:pos="1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1,250 DERs to be paid in Class C common stock. Excludes 7,163 RSUs and 10,738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88" w:lineRule="exact"/>
        <w:rPr>
          <w:rFonts w:ascii="Arial" w:cs="Arial" w:eastAsia="Arial" w:hAnsi="Arial"/>
          <w:sz w:val="16"/>
          <w:szCs w:val="16"/>
          <w:color w:val="auto"/>
        </w:rPr>
      </w:pPr>
    </w:p>
    <w:p>
      <w:pPr>
        <w:ind w:left="1600" w:right="80" w:hanging="478"/>
        <w:spacing w:after="0" w:line="289"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779 DERs to be paid in Class C common stock. Excludes 11,384 RSUs. Each RSU represents the right to receive one share of Class C common stock upon vesting. Each DER represents the right to receive the dividends and distributions that would have otherwise been paid with respect to a share subject to a RSU award (if such share were outstanding rather than being subject to the applicable award).</w:t>
      </w:r>
    </w:p>
    <w:p>
      <w:pPr>
        <w:spacing w:after="0" w:line="178" w:lineRule="exact"/>
        <w:rPr>
          <w:rFonts w:ascii="Arial" w:cs="Arial" w:eastAsia="Arial" w:hAnsi="Arial"/>
          <w:sz w:val="15"/>
          <w:szCs w:val="15"/>
          <w:color w:val="auto"/>
        </w:rPr>
      </w:pPr>
    </w:p>
    <w:p>
      <w:pPr>
        <w:ind w:left="1600" w:right="20" w:hanging="478"/>
        <w:spacing w:after="0" w:line="301" w:lineRule="auto"/>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4,547 DSUs and 1,793 outstanding DERs to be paid in Class A common stock and 31,696 DSUs and 6,183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160" w:lineRule="exact"/>
        <w:rPr>
          <w:rFonts w:ascii="Arial" w:cs="Arial" w:eastAsia="Arial" w:hAnsi="Arial"/>
          <w:sz w:val="14"/>
          <w:szCs w:val="14"/>
          <w:color w:val="auto"/>
        </w:rPr>
      </w:pPr>
    </w:p>
    <w:p>
      <w:pPr>
        <w:ind w:left="1600" w:right="20" w:hanging="478"/>
        <w:spacing w:after="0" w:line="257" w:lineRule="auto"/>
        <w:tabs>
          <w:tab w:leader="none" w:pos="1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9,093 DSUs and 3,586 outstanding DERs to be paid in Class A common stock and 38,668 DSUs and 6,282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with respect to a share subject to a DSU award (if such share were outstanding rather than being subject to the DSU award).</w:t>
      </w:r>
    </w:p>
    <w:p>
      <w:pPr>
        <w:spacing w:after="0" w:line="217" w:lineRule="exact"/>
        <w:rPr>
          <w:sz w:val="20"/>
          <w:szCs w:val="20"/>
          <w:color w:val="auto"/>
        </w:rPr>
      </w:pPr>
    </w:p>
    <w:p>
      <w:pPr>
        <w:ind w:left="1600" w:right="120" w:hanging="478"/>
        <w:spacing w:after="0" w:line="257" w:lineRule="auto"/>
        <w:tabs>
          <w:tab w:leader="none" w:pos="1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14,887 DSUs and 670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201" w:lineRule="exact"/>
        <w:rPr>
          <w:rFonts w:ascii="Arial" w:cs="Arial" w:eastAsia="Arial" w:hAnsi="Arial"/>
          <w:sz w:val="16"/>
          <w:szCs w:val="16"/>
          <w:color w:val="auto"/>
        </w:rPr>
      </w:pPr>
    </w:p>
    <w:p>
      <w:pPr>
        <w:ind w:left="1600" w:right="120" w:hanging="478"/>
        <w:spacing w:after="0" w:line="257" w:lineRule="auto"/>
        <w:tabs>
          <w:tab w:leader="none" w:pos="1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11,667 DSUs and 525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189" w:lineRule="exact"/>
        <w:rPr>
          <w:rFonts w:ascii="Arial" w:cs="Arial" w:eastAsia="Arial" w:hAnsi="Arial"/>
          <w:sz w:val="16"/>
          <w:szCs w:val="16"/>
          <w:color w:val="auto"/>
        </w:rPr>
      </w:pPr>
    </w:p>
    <w:p>
      <w:pPr>
        <w:ind w:left="1600" w:hanging="478"/>
        <w:spacing w:after="0"/>
        <w:tabs>
          <w:tab w:leader="none" w:pos="1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the total holdings of directors and all executive officers as a group.</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OF PRINCIPAL STOCKHOLDERS</w:t>
      </w:r>
    </w:p>
    <w:p>
      <w:pPr>
        <w:spacing w:after="0" w:line="208" w:lineRule="exact"/>
        <w:rPr>
          <w:sz w:val="20"/>
          <w:szCs w:val="20"/>
          <w:color w:val="auto"/>
        </w:rPr>
      </w:pPr>
    </w:p>
    <w:p>
      <w:pPr>
        <w:ind w:firstLine="313"/>
        <w:spacing w:after="0" w:line="275" w:lineRule="auto"/>
        <w:rPr>
          <w:sz w:val="20"/>
          <w:szCs w:val="20"/>
          <w:color w:val="auto"/>
        </w:rPr>
      </w:pPr>
      <w:r>
        <w:rPr>
          <w:rFonts w:ascii="Arial" w:cs="Arial" w:eastAsia="Arial" w:hAnsi="Arial"/>
          <w:sz w:val="15"/>
          <w:szCs w:val="15"/>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percentage of beneficial ownership is based on 34,599,645 shares of Class A common stock outstanding as of March 4, 2020 and 78,851,377 shares of Class C common stock outstanding as of March 4, 2020, and percentage of combined voting power is based on 78,554,297 votes represented by our outstanding Class A, Class B, Class C and Class D common stock in the aggregate as of March 4, 2020. For the GIP Entities (as defined below), who are the sole beneficial owners of our Class B and Class D common stock, percentage of beneficial ownership is based on 34,599,645 shares of Class A common stock outstanding as of March 4, 2020 and 78,851,377 shares of Class C common stock outstanding as of March 4, 2020, plus any shares exchangeable into Class A or Class C common stock within 60 days of March 4, 2020, and percentage of combined voting power is based on 78,554,297 votes represented by our outstanding Class A, Class B, Class C and Class D common stock in the aggregate as of March 4, 2020. Unless otherwise indicated, each person has sole voting and dispositive power with respect the shares set forth in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following table. For further information regarding material transactions between us and other related persons, see "Certain Relationships and Related Person Transactions."</w:t>
      </w: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2"/>
                <w:szCs w:val="12"/>
                <w:b w:val="1"/>
                <w:bCs w:val="1"/>
                <w:color w:val="auto"/>
              </w:rPr>
              <w:t>Class A Common Stock</w:t>
            </w:r>
          </w:p>
        </w:tc>
        <w:tc>
          <w:tcPr>
            <w:tcW w:w="16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2"/>
                <w:szCs w:val="12"/>
                <w:b w:val="1"/>
                <w:bCs w:val="1"/>
                <w:color w:val="auto"/>
              </w:rPr>
              <w:t>Class C Common Stock</w:t>
            </w:r>
          </w:p>
        </w:tc>
        <w:tc>
          <w:tcPr>
            <w:tcW w:w="140" w:type="dxa"/>
            <w:vAlign w:val="bottom"/>
          </w:tcPr>
          <w:p>
            <w:pPr>
              <w:spacing w:after="0"/>
              <w:rPr>
                <w:sz w:val="12"/>
                <w:szCs w:val="1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97"/>
              </w:rPr>
              <w:t>Common Stock</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w w:val="94"/>
              </w:rPr>
              <w:t>Number</w:t>
            </w:r>
            <w:r>
              <w:rPr>
                <w:rFonts w:ascii="Arial" w:cs="Arial" w:eastAsia="Arial" w:hAnsi="Arial"/>
                <w:sz w:val="20"/>
                <w:szCs w:val="20"/>
                <w:b w:val="1"/>
                <w:bCs w:val="1"/>
                <w:color w:val="auto"/>
                <w:w w:val="94"/>
                <w:vertAlign w:val="superscript"/>
              </w:rPr>
              <w:t>(1)</w:t>
            </w:r>
          </w:p>
        </w:tc>
        <w:tc>
          <w:tcPr>
            <w:tcW w:w="1120" w:type="dxa"/>
            <w:vAlign w:val="bottom"/>
            <w:gridSpan w:val="2"/>
          </w:tcPr>
          <w:p>
            <w:pPr>
              <w:jc w:val="right"/>
              <w:ind w:right="320"/>
              <w:spacing w:after="0" w:line="126" w:lineRule="exact"/>
              <w:rPr>
                <w:sz w:val="20"/>
                <w:szCs w:val="20"/>
                <w:color w:val="auto"/>
              </w:rPr>
            </w:pPr>
            <w:r>
              <w:rPr>
                <w:rFonts w:ascii="Arial" w:cs="Arial" w:eastAsia="Arial" w:hAnsi="Arial"/>
                <w:sz w:val="12"/>
                <w:szCs w:val="12"/>
                <w:b w:val="1"/>
                <w:bCs w:val="1"/>
                <w:color w:val="auto"/>
              </w:rPr>
              <w:t>% of Class A</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w w:val="97"/>
              </w:rPr>
              <w:t>Number</w:t>
            </w:r>
            <w:r>
              <w:rPr>
                <w:rFonts w:ascii="Arial" w:cs="Arial" w:eastAsia="Arial" w:hAnsi="Arial"/>
                <w:sz w:val="20"/>
                <w:szCs w:val="20"/>
                <w:b w:val="1"/>
                <w:bCs w:val="1"/>
                <w:color w:val="auto"/>
                <w:w w:val="97"/>
                <w:vertAlign w:val="superscript"/>
              </w:rPr>
              <w:t>(1)</w:t>
            </w:r>
          </w:p>
        </w:tc>
        <w:tc>
          <w:tcPr>
            <w:tcW w:w="1080" w:type="dxa"/>
            <w:vAlign w:val="bottom"/>
            <w:gridSpan w:val="2"/>
          </w:tcPr>
          <w:p>
            <w:pPr>
              <w:jc w:val="right"/>
              <w:ind w:right="280"/>
              <w:spacing w:after="0" w:line="126" w:lineRule="exact"/>
              <w:rPr>
                <w:sz w:val="20"/>
                <w:szCs w:val="20"/>
                <w:color w:val="auto"/>
              </w:rPr>
            </w:pPr>
            <w:r>
              <w:rPr>
                <w:rFonts w:ascii="Arial" w:cs="Arial" w:eastAsia="Arial" w:hAnsi="Arial"/>
                <w:sz w:val="12"/>
                <w:szCs w:val="12"/>
                <w:b w:val="1"/>
                <w:bCs w:val="1"/>
                <w:color w:val="auto"/>
              </w:rPr>
              <w:t>% of Class C</w:t>
            </w:r>
          </w:p>
        </w:tc>
        <w:tc>
          <w:tcPr>
            <w:tcW w:w="960" w:type="dxa"/>
            <w:vAlign w:val="bottom"/>
          </w:tcPr>
          <w:p>
            <w:pPr>
              <w:jc w:val="right"/>
              <w:ind w:right="21"/>
              <w:spacing w:after="0" w:line="126" w:lineRule="exact"/>
              <w:rPr>
                <w:sz w:val="20"/>
                <w:szCs w:val="20"/>
                <w:color w:val="auto"/>
              </w:rPr>
            </w:pPr>
            <w:r>
              <w:rPr>
                <w:rFonts w:ascii="Arial" w:cs="Arial" w:eastAsia="Arial" w:hAnsi="Arial"/>
                <w:sz w:val="12"/>
                <w:szCs w:val="12"/>
                <w:b w:val="1"/>
                <w:bCs w:val="1"/>
                <w:color w:val="auto"/>
                <w:w w:val="98"/>
              </w:rPr>
              <w:t>% of Combined</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700" w:type="dxa"/>
            <w:vAlign w:val="bottom"/>
            <w:gridSpan w:val="4"/>
          </w:tcPr>
          <w:p>
            <w:pPr>
              <w:spacing w:after="0"/>
              <w:rPr>
                <w:sz w:val="20"/>
                <w:szCs w:val="20"/>
                <w:color w:val="auto"/>
              </w:rPr>
            </w:pPr>
            <w:r>
              <w:rPr>
                <w:rFonts w:ascii="Arial" w:cs="Arial" w:eastAsia="Arial" w:hAnsi="Arial"/>
                <w:sz w:val="12"/>
                <w:szCs w:val="12"/>
                <w:b w:val="1"/>
                <w:bCs w:val="1"/>
                <w:color w:val="auto"/>
              </w:rPr>
              <w:t>Name of Beneficial Owner</w:t>
            </w: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7"/>
              </w:rPr>
              <w:t>Common Stock</w:t>
            </w:r>
          </w:p>
        </w:tc>
        <w:tc>
          <w:tcPr>
            <w:tcW w:w="860" w:type="dxa"/>
            <w:vAlign w:val="bottom"/>
            <w:gridSpan w:val="2"/>
            <w:vMerge w:val="continue"/>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5"/>
              </w:rPr>
              <w:t>Common Stock</w:t>
            </w:r>
          </w:p>
        </w:tc>
        <w:tc>
          <w:tcPr>
            <w:tcW w:w="1320" w:type="dxa"/>
            <w:vAlign w:val="bottom"/>
            <w:gridSpan w:val="2"/>
          </w:tcPr>
          <w:p>
            <w:pPr>
              <w:jc w:val="right"/>
              <w:ind w:right="440"/>
              <w:spacing w:after="0" w:line="157" w:lineRule="exact"/>
              <w:rPr>
                <w:sz w:val="20"/>
                <w:szCs w:val="20"/>
                <w:color w:val="auto"/>
              </w:rPr>
            </w:pPr>
            <w:r>
              <w:rPr>
                <w:rFonts w:ascii="Arial" w:cs="Arial" w:eastAsia="Arial" w:hAnsi="Arial"/>
                <w:sz w:val="11"/>
                <w:szCs w:val="11"/>
                <w:b w:val="1"/>
                <w:bCs w:val="1"/>
                <w:color w:val="auto"/>
              </w:rPr>
              <w:t>Voting Power</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GIP Entities</w:t>
            </w:r>
          </w:p>
        </w:tc>
        <w:tc>
          <w:tcPr>
            <w:tcW w:w="23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0" w:lineRule="exact"/>
              <w:rPr>
                <w:sz w:val="20"/>
                <w:szCs w:val="20"/>
                <w:color w:val="auto"/>
              </w:rPr>
            </w:pPr>
            <w:r>
              <w:rPr>
                <w:rFonts w:ascii="Arial" w:cs="Arial" w:eastAsia="Arial" w:hAnsi="Arial"/>
                <w:sz w:val="11"/>
                <w:szCs w:val="11"/>
                <w:color w:val="auto"/>
              </w:rPr>
              <w:t>42,738,750</w:t>
            </w:r>
            <w:r>
              <w:rPr>
                <w:rFonts w:ascii="Arial" w:cs="Arial" w:eastAsia="Arial" w:hAnsi="Arial"/>
                <w:sz w:val="17"/>
                <w:szCs w:val="17"/>
                <w:color w:val="auto"/>
                <w:vertAlign w:val="superscript"/>
              </w:rPr>
              <w:t>(3)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55.3%</w:t>
            </w:r>
          </w:p>
        </w:tc>
        <w:tc>
          <w:tcPr>
            <w:tcW w:w="860" w:type="dxa"/>
            <w:vAlign w:val="bottom"/>
            <w:gridSpan w:val="2"/>
            <w:shd w:val="clear" w:color="auto" w:fill="CCEEFF"/>
          </w:tcPr>
          <w:p>
            <w:pPr>
              <w:jc w:val="right"/>
              <w:ind w:right="60"/>
              <w:spacing w:after="0" w:line="150" w:lineRule="exact"/>
              <w:rPr>
                <w:sz w:val="20"/>
                <w:szCs w:val="20"/>
                <w:color w:val="auto"/>
              </w:rPr>
            </w:pPr>
            <w:r>
              <w:rPr>
                <w:rFonts w:ascii="Arial" w:cs="Arial" w:eastAsia="Arial" w:hAnsi="Arial"/>
                <w:sz w:val="11"/>
                <w:szCs w:val="11"/>
                <w:color w:val="auto"/>
              </w:rPr>
              <w:t>42,738,750</w:t>
            </w:r>
            <w:r>
              <w:rPr>
                <w:rFonts w:ascii="Arial" w:cs="Arial" w:eastAsia="Arial" w:hAnsi="Arial"/>
                <w:sz w:val="17"/>
                <w:szCs w:val="17"/>
                <w:color w:val="auto"/>
                <w:vertAlign w:val="superscript"/>
              </w:rPr>
              <w:t>(3)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36.8%</w:t>
            </w:r>
          </w:p>
        </w:tc>
        <w:tc>
          <w:tcPr>
            <w:tcW w:w="1320" w:type="dxa"/>
            <w:vAlign w:val="bottom"/>
            <w:gridSpan w:val="2"/>
            <w:shd w:val="clear" w:color="auto" w:fill="CCEEFF"/>
          </w:tcPr>
          <w:p>
            <w:pPr>
              <w:jc w:val="right"/>
              <w:ind w:right="160"/>
              <w:spacing w:after="0" w:line="150" w:lineRule="exact"/>
              <w:rPr>
                <w:sz w:val="20"/>
                <w:szCs w:val="20"/>
                <w:color w:val="auto"/>
              </w:rPr>
            </w:pPr>
            <w:r>
              <w:rPr>
                <w:rFonts w:ascii="Arial" w:cs="Arial" w:eastAsia="Arial" w:hAnsi="Arial"/>
                <w:sz w:val="17"/>
                <w:szCs w:val="17"/>
                <w:color w:val="auto"/>
                <w:vertAlign w:val="subscript"/>
              </w:rPr>
              <w:t>55%</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1345 Avenue of the Americas,</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30th Floor</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New York, New York 10105</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80" w:type="dxa"/>
            <w:vAlign w:val="bottom"/>
            <w:gridSpan w:val="3"/>
          </w:tcPr>
          <w:p>
            <w:pPr>
              <w:spacing w:after="0" w:line="125" w:lineRule="exact"/>
              <w:rPr>
                <w:sz w:val="20"/>
                <w:szCs w:val="20"/>
                <w:color w:val="auto"/>
              </w:rPr>
            </w:pPr>
            <w:r>
              <w:rPr>
                <w:rFonts w:ascii="Arial" w:cs="Arial" w:eastAsia="Arial" w:hAnsi="Arial"/>
                <w:sz w:val="12"/>
                <w:szCs w:val="12"/>
                <w:color w:val="auto"/>
              </w:rPr>
              <w:t>The Bank of New York Mellon Corporation</w:t>
            </w:r>
          </w:p>
        </w:tc>
        <w:tc>
          <w:tcPr>
            <w:tcW w:w="160" w:type="dxa"/>
            <w:vAlign w:val="bottom"/>
          </w:tcPr>
          <w:p>
            <w:pPr>
              <w:spacing w:after="0"/>
              <w:rPr>
                <w:sz w:val="10"/>
                <w:szCs w:val="10"/>
                <w:color w:val="auto"/>
              </w:rPr>
            </w:pPr>
          </w:p>
        </w:tc>
        <w:tc>
          <w:tcPr>
            <w:tcW w:w="84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60"/>
              <w:spacing w:after="0" w:line="125" w:lineRule="exact"/>
              <w:rPr>
                <w:sz w:val="20"/>
                <w:szCs w:val="20"/>
                <w:color w:val="auto"/>
              </w:rPr>
            </w:pPr>
            <w:r>
              <w:rPr>
                <w:rFonts w:ascii="Arial" w:cs="Arial" w:eastAsia="Arial" w:hAnsi="Arial"/>
                <w:sz w:val="9"/>
                <w:szCs w:val="9"/>
                <w:color w:val="auto"/>
              </w:rPr>
              <w:t>5,399,481</w:t>
            </w:r>
            <w:r>
              <w:rPr>
                <w:rFonts w:ascii="Arial" w:cs="Arial" w:eastAsia="Arial" w:hAnsi="Arial"/>
                <w:sz w:val="14"/>
                <w:szCs w:val="14"/>
                <w:color w:val="auto"/>
                <w:vertAlign w:val="superscript"/>
              </w:rPr>
              <w:t>(5)</w:t>
            </w:r>
          </w:p>
        </w:tc>
        <w:tc>
          <w:tcPr>
            <w:tcW w:w="1080" w:type="dxa"/>
            <w:vAlign w:val="bottom"/>
            <w:gridSpan w:val="2"/>
          </w:tcPr>
          <w:p>
            <w:pPr>
              <w:jc w:val="right"/>
              <w:ind w:right="40"/>
              <w:spacing w:after="0" w:line="125" w:lineRule="exact"/>
              <w:rPr>
                <w:sz w:val="20"/>
                <w:szCs w:val="20"/>
                <w:color w:val="auto"/>
              </w:rPr>
            </w:pPr>
            <w:r>
              <w:rPr>
                <w:rFonts w:ascii="Arial" w:cs="Arial" w:eastAsia="Arial" w:hAnsi="Arial"/>
                <w:sz w:val="12"/>
                <w:szCs w:val="12"/>
                <w:color w:val="auto"/>
              </w:rPr>
              <w:t>6.86%</w:t>
            </w:r>
          </w:p>
        </w:tc>
        <w:tc>
          <w:tcPr>
            <w:tcW w:w="9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tcPr>
          <w:p>
            <w:pPr>
              <w:ind w:left="120"/>
              <w:spacing w:after="0" w:line="134" w:lineRule="exact"/>
              <w:rPr>
                <w:sz w:val="20"/>
                <w:szCs w:val="20"/>
                <w:color w:val="auto"/>
              </w:rPr>
            </w:pPr>
            <w:r>
              <w:rPr>
                <w:rFonts w:ascii="Arial" w:cs="Arial" w:eastAsia="Arial" w:hAnsi="Arial"/>
                <w:sz w:val="12"/>
                <w:szCs w:val="12"/>
                <w:color w:val="auto"/>
              </w:rPr>
              <w:t>240 Greenwich Street</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3"/>
          </w:tcPr>
          <w:p>
            <w:pPr>
              <w:ind w:left="120"/>
              <w:spacing w:after="0"/>
              <w:rPr>
                <w:sz w:val="20"/>
                <w:szCs w:val="20"/>
                <w:color w:val="auto"/>
              </w:rPr>
            </w:pPr>
            <w:r>
              <w:rPr>
                <w:rFonts w:ascii="Arial" w:cs="Arial" w:eastAsia="Arial" w:hAnsi="Arial"/>
                <w:sz w:val="12"/>
                <w:szCs w:val="12"/>
                <w:color w:val="auto"/>
              </w:rPr>
              <w:t>New York, New York 10286</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The Vanguard Group</w:t>
            </w:r>
          </w:p>
        </w:tc>
        <w:tc>
          <w:tcPr>
            <w:tcW w:w="10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0"/>
                <w:szCs w:val="10"/>
                <w:color w:val="auto"/>
              </w:rPr>
              <w:t>3,608,467</w:t>
            </w:r>
            <w:r>
              <w:rPr>
                <w:rFonts w:ascii="Arial" w:cs="Arial" w:eastAsia="Arial" w:hAnsi="Arial"/>
                <w:sz w:val="15"/>
                <w:szCs w:val="15"/>
                <w:color w:val="auto"/>
                <w:vertAlign w:val="superscript"/>
              </w:rPr>
              <w:t>(6)</w:t>
            </w:r>
          </w:p>
        </w:tc>
        <w:tc>
          <w:tcPr>
            <w:tcW w:w="11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10.4%</w:t>
            </w:r>
          </w:p>
        </w:tc>
        <w:tc>
          <w:tcPr>
            <w:tcW w:w="8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0"/>
                <w:szCs w:val="10"/>
                <w:color w:val="auto"/>
              </w:rPr>
              <w:t>7,936,093</w:t>
            </w:r>
            <w:r>
              <w:rPr>
                <w:rFonts w:ascii="Arial" w:cs="Arial" w:eastAsia="Arial" w:hAnsi="Arial"/>
                <w:sz w:val="15"/>
                <w:szCs w:val="15"/>
                <w:color w:val="auto"/>
                <w:vertAlign w:val="superscript"/>
              </w:rPr>
              <w:t>(6)</w:t>
            </w:r>
          </w:p>
        </w:tc>
        <w:tc>
          <w:tcPr>
            <w:tcW w:w="108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10.1%</w:t>
            </w:r>
          </w:p>
        </w:tc>
        <w:tc>
          <w:tcPr>
            <w:tcW w:w="13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100 Vanguard Boulevard</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Malvern, Pennsylvania, 19355</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80" w:type="dxa"/>
            <w:vAlign w:val="bottom"/>
            <w:gridSpan w:val="3"/>
          </w:tcPr>
          <w:p>
            <w:pPr>
              <w:spacing w:after="0" w:line="125" w:lineRule="exact"/>
              <w:rPr>
                <w:sz w:val="20"/>
                <w:szCs w:val="20"/>
                <w:color w:val="auto"/>
              </w:rPr>
            </w:pPr>
            <w:r>
              <w:rPr>
                <w:rFonts w:ascii="Arial" w:cs="Arial" w:eastAsia="Arial" w:hAnsi="Arial"/>
                <w:sz w:val="12"/>
                <w:szCs w:val="12"/>
                <w:color w:val="auto"/>
              </w:rPr>
              <w:t>BlackRock, Inc.</w:t>
            </w:r>
          </w:p>
        </w:tc>
        <w:tc>
          <w:tcPr>
            <w:tcW w:w="160" w:type="dxa"/>
            <w:vAlign w:val="bottom"/>
          </w:tcPr>
          <w:p>
            <w:pPr>
              <w:spacing w:after="0"/>
              <w:rPr>
                <w:sz w:val="10"/>
                <w:szCs w:val="10"/>
                <w:color w:val="auto"/>
              </w:rPr>
            </w:pPr>
          </w:p>
        </w:tc>
        <w:tc>
          <w:tcPr>
            <w:tcW w:w="840" w:type="dxa"/>
            <w:vAlign w:val="bottom"/>
            <w:gridSpan w:val="2"/>
          </w:tcPr>
          <w:p>
            <w:pPr>
              <w:jc w:val="right"/>
              <w:ind w:right="60"/>
              <w:spacing w:after="0" w:line="125" w:lineRule="exact"/>
              <w:rPr>
                <w:sz w:val="20"/>
                <w:szCs w:val="20"/>
                <w:color w:val="auto"/>
              </w:rPr>
            </w:pPr>
            <w:r>
              <w:rPr>
                <w:rFonts w:ascii="Arial" w:cs="Arial" w:eastAsia="Arial" w:hAnsi="Arial"/>
                <w:sz w:val="9"/>
                <w:szCs w:val="9"/>
                <w:color w:val="auto"/>
              </w:rPr>
              <w:t>2,623,964</w:t>
            </w:r>
            <w:r>
              <w:rPr>
                <w:rFonts w:ascii="Arial" w:cs="Arial" w:eastAsia="Arial" w:hAnsi="Arial"/>
                <w:sz w:val="14"/>
                <w:szCs w:val="14"/>
                <w:color w:val="auto"/>
                <w:vertAlign w:val="superscript"/>
              </w:rPr>
              <w:t>(7)</w:t>
            </w:r>
          </w:p>
        </w:tc>
        <w:tc>
          <w:tcPr>
            <w:tcW w:w="1120" w:type="dxa"/>
            <w:vAlign w:val="bottom"/>
            <w:gridSpan w:val="2"/>
          </w:tcPr>
          <w:p>
            <w:pPr>
              <w:jc w:val="right"/>
              <w:ind w:right="80"/>
              <w:spacing w:after="0" w:line="125" w:lineRule="exact"/>
              <w:rPr>
                <w:sz w:val="20"/>
                <w:szCs w:val="20"/>
                <w:color w:val="auto"/>
              </w:rPr>
            </w:pPr>
            <w:r>
              <w:rPr>
                <w:rFonts w:ascii="Arial" w:cs="Arial" w:eastAsia="Arial" w:hAnsi="Arial"/>
                <w:sz w:val="12"/>
                <w:szCs w:val="12"/>
                <w:color w:val="auto"/>
              </w:rPr>
              <w:t>7.6%</w:t>
            </w:r>
          </w:p>
        </w:tc>
        <w:tc>
          <w:tcPr>
            <w:tcW w:w="860" w:type="dxa"/>
            <w:vAlign w:val="bottom"/>
            <w:gridSpan w:val="2"/>
          </w:tcPr>
          <w:p>
            <w:pPr>
              <w:jc w:val="right"/>
              <w:ind w:right="60"/>
              <w:spacing w:after="0" w:line="125" w:lineRule="exact"/>
              <w:rPr>
                <w:sz w:val="20"/>
                <w:szCs w:val="20"/>
                <w:color w:val="auto"/>
              </w:rPr>
            </w:pPr>
            <w:r>
              <w:rPr>
                <w:rFonts w:ascii="Arial" w:cs="Arial" w:eastAsia="Arial" w:hAnsi="Arial"/>
                <w:sz w:val="9"/>
                <w:szCs w:val="9"/>
                <w:color w:val="auto"/>
              </w:rPr>
              <w:t>5,317,738</w:t>
            </w:r>
            <w:r>
              <w:rPr>
                <w:rFonts w:ascii="Arial" w:cs="Arial" w:eastAsia="Arial" w:hAnsi="Arial"/>
                <w:sz w:val="14"/>
                <w:szCs w:val="14"/>
                <w:color w:val="auto"/>
                <w:vertAlign w:val="superscript"/>
              </w:rPr>
              <w:t>(7)</w:t>
            </w:r>
          </w:p>
        </w:tc>
        <w:tc>
          <w:tcPr>
            <w:tcW w:w="1080" w:type="dxa"/>
            <w:vAlign w:val="bottom"/>
            <w:gridSpan w:val="2"/>
          </w:tcPr>
          <w:p>
            <w:pPr>
              <w:jc w:val="right"/>
              <w:ind w:right="40"/>
              <w:spacing w:after="0" w:line="125" w:lineRule="exact"/>
              <w:rPr>
                <w:sz w:val="20"/>
                <w:szCs w:val="20"/>
                <w:color w:val="auto"/>
              </w:rPr>
            </w:pPr>
            <w:r>
              <w:rPr>
                <w:rFonts w:ascii="Arial" w:cs="Arial" w:eastAsia="Arial" w:hAnsi="Arial"/>
                <w:sz w:val="12"/>
                <w:szCs w:val="12"/>
                <w:color w:val="auto"/>
              </w:rPr>
              <w:t>7.3%</w:t>
            </w:r>
          </w:p>
        </w:tc>
        <w:tc>
          <w:tcPr>
            <w:tcW w:w="132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tcPr>
          <w:p>
            <w:pPr>
              <w:ind w:left="120"/>
              <w:spacing w:after="0" w:line="134" w:lineRule="exact"/>
              <w:rPr>
                <w:sz w:val="20"/>
                <w:szCs w:val="20"/>
                <w:color w:val="auto"/>
              </w:rPr>
            </w:pPr>
            <w:r>
              <w:rPr>
                <w:rFonts w:ascii="Arial" w:cs="Arial" w:eastAsia="Arial" w:hAnsi="Arial"/>
                <w:sz w:val="12"/>
                <w:szCs w:val="12"/>
                <w:color w:val="auto"/>
              </w:rPr>
              <w:t>55 East 52nd Street</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3"/>
          </w:tcPr>
          <w:p>
            <w:pPr>
              <w:ind w:left="120"/>
              <w:spacing w:after="0"/>
              <w:rPr>
                <w:sz w:val="20"/>
                <w:szCs w:val="20"/>
                <w:color w:val="auto"/>
              </w:rPr>
            </w:pPr>
            <w:r>
              <w:rPr>
                <w:rFonts w:ascii="Arial" w:cs="Arial" w:eastAsia="Arial" w:hAnsi="Arial"/>
                <w:sz w:val="12"/>
                <w:szCs w:val="12"/>
                <w:color w:val="auto"/>
              </w:rPr>
              <w:t>New York, New York 10055</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FMR LLC</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0"/>
                <w:szCs w:val="10"/>
                <w:color w:val="auto"/>
              </w:rPr>
              <w:t>9,940,101</w:t>
            </w:r>
            <w:r>
              <w:rPr>
                <w:rFonts w:ascii="Arial" w:cs="Arial" w:eastAsia="Arial" w:hAnsi="Arial"/>
                <w:sz w:val="15"/>
                <w:szCs w:val="15"/>
                <w:color w:val="auto"/>
                <w:vertAlign w:val="superscript"/>
              </w:rPr>
              <w:t>(8)</w:t>
            </w:r>
          </w:p>
        </w:tc>
        <w:tc>
          <w:tcPr>
            <w:tcW w:w="108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12.6%</w:t>
            </w: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245 Summer Street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Boston, Massachusetts 02210</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80" w:type="dxa"/>
            <w:vAlign w:val="bottom"/>
            <w:gridSpan w:val="3"/>
          </w:tcPr>
          <w:p>
            <w:pPr>
              <w:spacing w:after="0" w:line="125" w:lineRule="exact"/>
              <w:rPr>
                <w:sz w:val="20"/>
                <w:szCs w:val="20"/>
                <w:color w:val="auto"/>
              </w:rPr>
            </w:pPr>
            <w:r>
              <w:rPr>
                <w:rFonts w:ascii="Arial" w:cs="Arial" w:eastAsia="Arial" w:hAnsi="Arial"/>
                <w:sz w:val="12"/>
                <w:szCs w:val="12"/>
                <w:color w:val="auto"/>
              </w:rPr>
              <w:t>Rare Infrastructure Ltd</w:t>
            </w:r>
          </w:p>
        </w:tc>
        <w:tc>
          <w:tcPr>
            <w:tcW w:w="160" w:type="dxa"/>
            <w:vAlign w:val="bottom"/>
          </w:tcPr>
          <w:p>
            <w:pPr>
              <w:spacing w:after="0"/>
              <w:rPr>
                <w:sz w:val="10"/>
                <w:szCs w:val="10"/>
                <w:color w:val="auto"/>
              </w:rPr>
            </w:pPr>
          </w:p>
        </w:tc>
        <w:tc>
          <w:tcPr>
            <w:tcW w:w="84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60"/>
              <w:spacing w:after="0" w:line="125" w:lineRule="exact"/>
              <w:rPr>
                <w:sz w:val="20"/>
                <w:szCs w:val="20"/>
                <w:color w:val="auto"/>
              </w:rPr>
            </w:pPr>
            <w:r>
              <w:rPr>
                <w:rFonts w:ascii="Arial" w:cs="Arial" w:eastAsia="Arial" w:hAnsi="Arial"/>
                <w:sz w:val="9"/>
                <w:szCs w:val="9"/>
                <w:color w:val="auto"/>
              </w:rPr>
              <w:t>4,676,738</w:t>
            </w:r>
            <w:r>
              <w:rPr>
                <w:rFonts w:ascii="Arial" w:cs="Arial" w:eastAsia="Arial" w:hAnsi="Arial"/>
                <w:sz w:val="14"/>
                <w:szCs w:val="14"/>
                <w:color w:val="auto"/>
                <w:vertAlign w:val="superscript"/>
              </w:rPr>
              <w:t>(9)</w:t>
            </w:r>
          </w:p>
        </w:tc>
        <w:tc>
          <w:tcPr>
            <w:tcW w:w="1080" w:type="dxa"/>
            <w:vAlign w:val="bottom"/>
            <w:gridSpan w:val="2"/>
          </w:tcPr>
          <w:p>
            <w:pPr>
              <w:jc w:val="right"/>
              <w:ind w:right="40"/>
              <w:spacing w:after="0" w:line="125" w:lineRule="exact"/>
              <w:rPr>
                <w:sz w:val="20"/>
                <w:szCs w:val="20"/>
                <w:color w:val="auto"/>
              </w:rPr>
            </w:pPr>
            <w:r>
              <w:rPr>
                <w:rFonts w:ascii="Arial" w:cs="Arial" w:eastAsia="Arial" w:hAnsi="Arial"/>
                <w:sz w:val="12"/>
                <w:szCs w:val="12"/>
                <w:color w:val="auto"/>
              </w:rPr>
              <w:t>5.9%</w:t>
            </w:r>
          </w:p>
        </w:tc>
        <w:tc>
          <w:tcPr>
            <w:tcW w:w="9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tcPr>
          <w:p>
            <w:pPr>
              <w:ind w:left="120"/>
              <w:spacing w:after="0" w:line="134" w:lineRule="exact"/>
              <w:rPr>
                <w:sz w:val="20"/>
                <w:szCs w:val="20"/>
                <w:color w:val="auto"/>
              </w:rPr>
            </w:pPr>
            <w:r>
              <w:rPr>
                <w:rFonts w:ascii="Arial" w:cs="Arial" w:eastAsia="Arial" w:hAnsi="Arial"/>
                <w:sz w:val="12"/>
                <w:szCs w:val="12"/>
                <w:color w:val="auto"/>
              </w:rPr>
              <w:t>Level 13, 35 Clarence Street</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3"/>
          </w:tcPr>
          <w:p>
            <w:pPr>
              <w:ind w:left="120"/>
              <w:spacing w:after="0"/>
              <w:rPr>
                <w:sz w:val="20"/>
                <w:szCs w:val="20"/>
                <w:color w:val="auto"/>
              </w:rPr>
            </w:pPr>
            <w:r>
              <w:rPr>
                <w:rFonts w:ascii="Arial" w:cs="Arial" w:eastAsia="Arial" w:hAnsi="Arial"/>
                <w:sz w:val="12"/>
                <w:szCs w:val="12"/>
                <w:color w:val="auto"/>
              </w:rPr>
              <w:t>Sydney, C3 2000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Morgan Stanley</w:t>
            </w:r>
          </w:p>
        </w:tc>
        <w:tc>
          <w:tcPr>
            <w:tcW w:w="100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0"/>
                <w:szCs w:val="10"/>
                <w:color w:val="auto"/>
              </w:rPr>
              <w:t>1,828,361</w:t>
            </w:r>
            <w:r>
              <w:rPr>
                <w:rFonts w:ascii="Arial" w:cs="Arial" w:eastAsia="Arial" w:hAnsi="Arial"/>
                <w:sz w:val="15"/>
                <w:szCs w:val="15"/>
                <w:color w:val="auto"/>
                <w:vertAlign w:val="superscript"/>
              </w:rPr>
              <w:t>(10)</w:t>
            </w:r>
          </w:p>
        </w:tc>
        <w:tc>
          <w:tcPr>
            <w:tcW w:w="11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5.3%</w:t>
            </w:r>
          </w:p>
        </w:tc>
        <w:tc>
          <w:tcPr>
            <w:tcW w:w="8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1585 Broadway</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New York, New York 10036</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80" w:type="dxa"/>
            <w:vAlign w:val="bottom"/>
            <w:gridSpan w:val="3"/>
          </w:tcPr>
          <w:p>
            <w:pPr>
              <w:spacing w:after="0" w:line="125" w:lineRule="exact"/>
              <w:rPr>
                <w:sz w:val="20"/>
                <w:szCs w:val="20"/>
                <w:color w:val="auto"/>
              </w:rPr>
            </w:pPr>
            <w:r>
              <w:rPr>
                <w:rFonts w:ascii="Arial" w:cs="Arial" w:eastAsia="Arial" w:hAnsi="Arial"/>
                <w:sz w:val="12"/>
                <w:szCs w:val="12"/>
                <w:color w:val="auto"/>
              </w:rPr>
              <w:t>Neuberger Berman Group LLC</w:t>
            </w:r>
          </w:p>
        </w:tc>
        <w:tc>
          <w:tcPr>
            <w:tcW w:w="160" w:type="dxa"/>
            <w:vAlign w:val="bottom"/>
          </w:tcPr>
          <w:p>
            <w:pPr>
              <w:spacing w:after="0"/>
              <w:rPr>
                <w:sz w:val="10"/>
                <w:szCs w:val="10"/>
                <w:color w:val="auto"/>
              </w:rPr>
            </w:pPr>
          </w:p>
        </w:tc>
        <w:tc>
          <w:tcPr>
            <w:tcW w:w="840" w:type="dxa"/>
            <w:vAlign w:val="bottom"/>
            <w:gridSpan w:val="2"/>
          </w:tcPr>
          <w:p>
            <w:pPr>
              <w:jc w:val="right"/>
              <w:ind w:right="160"/>
              <w:spacing w:after="0" w:line="125"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0"/>
              <w:spacing w:after="0" w:line="125" w:lineRule="exact"/>
              <w:rPr>
                <w:sz w:val="20"/>
                <w:szCs w:val="20"/>
                <w:color w:val="auto"/>
              </w:rPr>
            </w:pPr>
            <w:r>
              <w:rPr>
                <w:rFonts w:ascii="Arial" w:cs="Arial" w:eastAsia="Arial" w:hAnsi="Arial"/>
                <w:sz w:val="9"/>
                <w:szCs w:val="9"/>
                <w:color w:val="auto"/>
              </w:rPr>
              <w:t>4,454,998</w:t>
            </w:r>
            <w:r>
              <w:rPr>
                <w:rFonts w:ascii="Arial" w:cs="Arial" w:eastAsia="Arial" w:hAnsi="Arial"/>
                <w:sz w:val="14"/>
                <w:szCs w:val="14"/>
                <w:color w:val="auto"/>
                <w:vertAlign w:val="superscript"/>
              </w:rPr>
              <w:t>(11)</w:t>
            </w:r>
          </w:p>
        </w:tc>
        <w:tc>
          <w:tcPr>
            <w:tcW w:w="1080" w:type="dxa"/>
            <w:vAlign w:val="bottom"/>
            <w:gridSpan w:val="2"/>
          </w:tcPr>
          <w:p>
            <w:pPr>
              <w:jc w:val="right"/>
              <w:ind w:right="40"/>
              <w:spacing w:after="0" w:line="125" w:lineRule="exact"/>
              <w:rPr>
                <w:sz w:val="20"/>
                <w:szCs w:val="20"/>
                <w:color w:val="auto"/>
              </w:rPr>
            </w:pPr>
            <w:r>
              <w:rPr>
                <w:rFonts w:ascii="Arial" w:cs="Arial" w:eastAsia="Arial" w:hAnsi="Arial"/>
                <w:sz w:val="12"/>
                <w:szCs w:val="12"/>
                <w:color w:val="auto"/>
              </w:rPr>
              <w:t>5.7%</w:t>
            </w:r>
          </w:p>
        </w:tc>
        <w:tc>
          <w:tcPr>
            <w:tcW w:w="9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tcPr>
          <w:p>
            <w:pPr>
              <w:ind w:left="120"/>
              <w:spacing w:after="0" w:line="134" w:lineRule="exact"/>
              <w:rPr>
                <w:sz w:val="20"/>
                <w:szCs w:val="20"/>
                <w:color w:val="auto"/>
              </w:rPr>
            </w:pPr>
            <w:r>
              <w:rPr>
                <w:rFonts w:ascii="Arial" w:cs="Arial" w:eastAsia="Arial" w:hAnsi="Arial"/>
                <w:sz w:val="12"/>
                <w:szCs w:val="12"/>
                <w:color w:val="auto"/>
              </w:rPr>
              <w:t>1290 Avenue of the Americas</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3"/>
          </w:tcPr>
          <w:p>
            <w:pPr>
              <w:ind w:left="120"/>
              <w:spacing w:after="0"/>
              <w:rPr>
                <w:sz w:val="20"/>
                <w:szCs w:val="20"/>
                <w:color w:val="auto"/>
              </w:rPr>
            </w:pPr>
            <w:r>
              <w:rPr>
                <w:rFonts w:ascii="Arial" w:cs="Arial" w:eastAsia="Arial" w:hAnsi="Arial"/>
                <w:sz w:val="12"/>
                <w:szCs w:val="12"/>
                <w:color w:val="auto"/>
              </w:rPr>
              <w:t>New York, New York 10104</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4" w:lineRule="exact"/>
              <w:rPr>
                <w:sz w:val="20"/>
                <w:szCs w:val="20"/>
                <w:color w:val="auto"/>
              </w:rPr>
            </w:pPr>
            <w:r>
              <w:rPr>
                <w:rFonts w:ascii="Arial" w:cs="Arial" w:eastAsia="Arial" w:hAnsi="Arial"/>
                <w:sz w:val="12"/>
                <w:szCs w:val="12"/>
                <w:color w:val="auto"/>
              </w:rPr>
              <w:t>Apollo Management Holdings GP, LLC.</w:t>
            </w:r>
          </w:p>
        </w:tc>
        <w:tc>
          <w:tcPr>
            <w:tcW w:w="100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0"/>
                <w:szCs w:val="10"/>
                <w:color w:val="auto"/>
              </w:rPr>
              <w:t>3,147,846</w:t>
            </w:r>
            <w:r>
              <w:rPr>
                <w:rFonts w:ascii="Arial" w:cs="Arial" w:eastAsia="Arial" w:hAnsi="Arial"/>
                <w:sz w:val="15"/>
                <w:szCs w:val="15"/>
                <w:color w:val="auto"/>
                <w:vertAlign w:val="superscript"/>
              </w:rPr>
              <w:t>(12)</w:t>
            </w:r>
          </w:p>
        </w:tc>
        <w:tc>
          <w:tcPr>
            <w:tcW w:w="11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9.1%</w:t>
            </w:r>
          </w:p>
        </w:tc>
        <w:tc>
          <w:tcPr>
            <w:tcW w:w="8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0"/>
                <w:szCs w:val="10"/>
                <w:color w:val="auto"/>
              </w:rPr>
              <w:t>4,616,935</w:t>
            </w:r>
            <w:r>
              <w:rPr>
                <w:rFonts w:ascii="Arial" w:cs="Arial" w:eastAsia="Arial" w:hAnsi="Arial"/>
                <w:sz w:val="15"/>
                <w:szCs w:val="15"/>
                <w:color w:val="auto"/>
                <w:vertAlign w:val="superscript"/>
              </w:rPr>
              <w:t>(12)</w:t>
            </w:r>
          </w:p>
        </w:tc>
        <w:tc>
          <w:tcPr>
            <w:tcW w:w="108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6.3%</w:t>
            </w:r>
          </w:p>
        </w:tc>
        <w:tc>
          <w:tcPr>
            <w:tcW w:w="132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9 W. 57th Street, 43rd Floor</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New York, New York 10019</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80" w:type="dxa"/>
            <w:vAlign w:val="bottom"/>
            <w:gridSpan w:val="3"/>
          </w:tcPr>
          <w:p>
            <w:pPr>
              <w:spacing w:after="0" w:line="125" w:lineRule="exact"/>
              <w:rPr>
                <w:sz w:val="20"/>
                <w:szCs w:val="20"/>
                <w:color w:val="auto"/>
              </w:rPr>
            </w:pPr>
            <w:r>
              <w:rPr>
                <w:rFonts w:ascii="Arial" w:cs="Arial" w:eastAsia="Arial" w:hAnsi="Arial"/>
                <w:sz w:val="12"/>
                <w:szCs w:val="12"/>
                <w:color w:val="auto"/>
              </w:rPr>
              <w:t>Renaissance Technologies Holdings Corporation</w:t>
            </w:r>
          </w:p>
        </w:tc>
        <w:tc>
          <w:tcPr>
            <w:tcW w:w="160" w:type="dxa"/>
            <w:vAlign w:val="bottom"/>
          </w:tcPr>
          <w:p>
            <w:pPr>
              <w:spacing w:after="0"/>
              <w:rPr>
                <w:sz w:val="10"/>
                <w:szCs w:val="10"/>
                <w:color w:val="auto"/>
              </w:rPr>
            </w:pPr>
          </w:p>
        </w:tc>
        <w:tc>
          <w:tcPr>
            <w:tcW w:w="840" w:type="dxa"/>
            <w:vAlign w:val="bottom"/>
            <w:gridSpan w:val="2"/>
          </w:tcPr>
          <w:p>
            <w:pPr>
              <w:jc w:val="right"/>
              <w:spacing w:after="0" w:line="125" w:lineRule="exact"/>
              <w:rPr>
                <w:sz w:val="20"/>
                <w:szCs w:val="20"/>
                <w:color w:val="auto"/>
              </w:rPr>
            </w:pPr>
            <w:r>
              <w:rPr>
                <w:rFonts w:ascii="Arial" w:cs="Arial" w:eastAsia="Arial" w:hAnsi="Arial"/>
                <w:sz w:val="9"/>
                <w:szCs w:val="9"/>
                <w:color w:val="auto"/>
              </w:rPr>
              <w:t>1,804,030</w:t>
            </w:r>
            <w:r>
              <w:rPr>
                <w:rFonts w:ascii="Arial" w:cs="Arial" w:eastAsia="Arial" w:hAnsi="Arial"/>
                <w:sz w:val="14"/>
                <w:szCs w:val="14"/>
                <w:color w:val="auto"/>
                <w:vertAlign w:val="superscript"/>
              </w:rPr>
              <w:t>(13)</w:t>
            </w:r>
          </w:p>
        </w:tc>
        <w:tc>
          <w:tcPr>
            <w:tcW w:w="1120" w:type="dxa"/>
            <w:vAlign w:val="bottom"/>
            <w:gridSpan w:val="2"/>
          </w:tcPr>
          <w:p>
            <w:pPr>
              <w:jc w:val="right"/>
              <w:ind w:right="80"/>
              <w:spacing w:after="0" w:line="125" w:lineRule="exact"/>
              <w:rPr>
                <w:sz w:val="20"/>
                <w:szCs w:val="20"/>
                <w:color w:val="auto"/>
              </w:rPr>
            </w:pPr>
            <w:r>
              <w:rPr>
                <w:rFonts w:ascii="Arial" w:cs="Arial" w:eastAsia="Arial" w:hAnsi="Arial"/>
                <w:sz w:val="12"/>
                <w:szCs w:val="12"/>
                <w:color w:val="auto"/>
              </w:rPr>
              <w:t>5.21%</w:t>
            </w:r>
          </w:p>
        </w:tc>
        <w:tc>
          <w:tcPr>
            <w:tcW w:w="86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40"/>
              <w:spacing w:after="0" w:line="125" w:lineRule="exact"/>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80"/>
              <w:spacing w:after="0" w:line="125"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80" w:type="dxa"/>
            <w:vAlign w:val="bottom"/>
            <w:gridSpan w:val="3"/>
          </w:tcPr>
          <w:p>
            <w:pPr>
              <w:ind w:left="120"/>
              <w:spacing w:after="0" w:line="134" w:lineRule="exact"/>
              <w:rPr>
                <w:sz w:val="20"/>
                <w:szCs w:val="20"/>
                <w:color w:val="auto"/>
              </w:rPr>
            </w:pPr>
            <w:r>
              <w:rPr>
                <w:rFonts w:ascii="Arial" w:cs="Arial" w:eastAsia="Arial" w:hAnsi="Arial"/>
                <w:sz w:val="12"/>
                <w:szCs w:val="12"/>
                <w:color w:val="auto"/>
              </w:rPr>
              <w:t>800 Third Avenue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gridSpan w:val="3"/>
          </w:tcPr>
          <w:p>
            <w:pPr>
              <w:ind w:left="120"/>
              <w:spacing w:after="0"/>
              <w:rPr>
                <w:sz w:val="20"/>
                <w:szCs w:val="20"/>
                <w:color w:val="auto"/>
              </w:rPr>
            </w:pPr>
            <w:r>
              <w:rPr>
                <w:rFonts w:ascii="Arial" w:cs="Arial" w:eastAsia="Arial" w:hAnsi="Arial"/>
                <w:sz w:val="12"/>
                <w:szCs w:val="12"/>
                <w:color w:val="auto"/>
              </w:rPr>
              <w:t>New York, New York 10022</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600" w:hanging="478"/>
        <w:spacing w:after="0"/>
        <w:tabs>
          <w:tab w:leader="none" w:pos="16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Less than one percent of outstanding Class A common stock, Class C common stock or combined voting power, as applicable.</w:t>
      </w:r>
    </w:p>
    <w:p>
      <w:pPr>
        <w:spacing w:after="0" w:line="117" w:lineRule="exact"/>
        <w:rPr>
          <w:sz w:val="20"/>
          <w:szCs w:val="20"/>
          <w:color w:val="auto"/>
        </w:rPr>
      </w:pPr>
    </w:p>
    <w:p>
      <w:pPr>
        <w:ind w:left="1600" w:right="200" w:hanging="478"/>
        <w:spacing w:after="0" w:line="262" w:lineRule="auto"/>
        <w:tabs>
          <w:tab w:leader="none" w:pos="16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w:t>
      </w:r>
    </w:p>
    <w:p>
      <w:pPr>
        <w:ind w:left="1600"/>
        <w:spacing w:after="0"/>
        <w:rPr>
          <w:rFonts w:ascii="Arial" w:cs="Arial" w:eastAsia="Arial" w:hAnsi="Arial"/>
          <w:sz w:val="11"/>
          <w:szCs w:val="11"/>
          <w:color w:val="auto"/>
        </w:rPr>
      </w:pPr>
      <w:r>
        <w:rPr>
          <w:rFonts w:ascii="Arial" w:cs="Arial" w:eastAsia="Arial" w:hAnsi="Arial"/>
          <w:sz w:val="12"/>
          <w:szCs w:val="12"/>
          <w:color w:val="auto"/>
        </w:rPr>
        <w:t>(b) shares that such person or entity has the right to acquire within 60 days.</w:t>
      </w:r>
    </w:p>
    <w:p>
      <w:pPr>
        <w:spacing w:after="0" w:line="106" w:lineRule="exact"/>
        <w:rPr>
          <w:rFonts w:ascii="Arial" w:cs="Arial" w:eastAsia="Arial" w:hAnsi="Arial"/>
          <w:sz w:val="11"/>
          <w:szCs w:val="11"/>
          <w:color w:val="auto"/>
        </w:rPr>
      </w:pPr>
    </w:p>
    <w:p>
      <w:pPr>
        <w:ind w:left="1600" w:hanging="478"/>
        <w:spacing w:after="0" w:line="246" w:lineRule="auto"/>
        <w:tabs>
          <w:tab w:leader="none" w:pos="16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Represents the voting power of all of the classes of our common stock voting together as a single class. Each holder of Class A or Class B common stock is entitled to one vote for each share held. Each holder of Class C or Class D common stock is entitled to 1/100th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97" w:lineRule="exact"/>
        <w:rPr>
          <w:rFonts w:ascii="Arial" w:cs="Arial" w:eastAsia="Arial" w:hAnsi="Arial"/>
          <w:sz w:val="12"/>
          <w:szCs w:val="12"/>
          <w:color w:val="auto"/>
        </w:rPr>
      </w:pPr>
    </w:p>
    <w:p>
      <w:pPr>
        <w:ind w:left="1600" w:right="60" w:hanging="478"/>
        <w:spacing w:after="0" w:line="259" w:lineRule="auto"/>
        <w:tabs>
          <w:tab w:leader="none" w:pos="16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Based upon information set forth in the Schedule 13D filed on September 10, 2018 by Global Infrastructure Investors III, LLC, Global Infrastructure GP III, L.P., GIP III Zephyr Acquisition Partners, L.P., and Clearway Energy Group LLC (collectively, the "GIP Entities"). The GIP Entities have shared voting power and shared dispositive power over 42,738,750 Class A shares and 42,738,750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 2018 in connection with the closing of the GIP Transaction; provided, however, upon any exchange of Class B units of Clearway Energy LLC for shares of our Class A common stock or Class D units of Clearway Energy LLC</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p>
      <w:pPr>
        <w:ind w:left="1600" w:right="120"/>
        <w:spacing w:after="0" w:line="246" w:lineRule="auto"/>
        <w:rPr>
          <w:sz w:val="20"/>
          <w:szCs w:val="20"/>
          <w:color w:val="auto"/>
        </w:rPr>
      </w:pPr>
      <w:r>
        <w:rPr>
          <w:rFonts w:ascii="Arial" w:cs="Arial" w:eastAsia="Arial" w:hAnsi="Arial"/>
          <w:sz w:val="12"/>
          <w:szCs w:val="12"/>
          <w:color w:val="auto"/>
        </w:rPr>
        <w:t>for shares of our Class C common stock, a corresponding number of shares of Class B common stock or Class D common stock, as applicable, are extinguished. For additional information, see "Certain Relationships and Related Person Transactions—Fourth Amended and Restated Limited Liability Company Agreement of Clearway Energy LLC" and "Certain Relationships and Related Person Transactions—Exchange Agreement."</w:t>
      </w:r>
    </w:p>
    <w:p>
      <w:pPr>
        <w:spacing w:after="0" w:line="158" w:lineRule="exact"/>
        <w:rPr>
          <w:sz w:val="20"/>
          <w:szCs w:val="20"/>
          <w:color w:val="auto"/>
        </w:rPr>
      </w:pPr>
    </w:p>
    <w:p>
      <w:pPr>
        <w:ind w:left="1600" w:right="220" w:hanging="478"/>
        <w:spacing w:after="0" w:line="260" w:lineRule="auto"/>
        <w:tabs>
          <w:tab w:leader="none" w:pos="1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GIP Entities hold 42,738,750 shares of our Class B common stock and 42,738,750 shares of our Class D common stock. Each holder of Class B common stock is entitled to one vote per share of Class B common stock. Each holder of our Class D common stock is entitled 1/100th of one vote per share of Class D common stock.</w:t>
      </w:r>
    </w:p>
    <w:p>
      <w:pPr>
        <w:spacing w:after="0" w:line="89" w:lineRule="exact"/>
        <w:rPr>
          <w:rFonts w:ascii="Arial" w:cs="Arial" w:eastAsia="Arial" w:hAnsi="Arial"/>
          <w:sz w:val="12"/>
          <w:szCs w:val="12"/>
          <w:color w:val="auto"/>
        </w:rPr>
      </w:pPr>
    </w:p>
    <w:p>
      <w:pPr>
        <w:ind w:left="1600" w:hanging="478"/>
        <w:spacing w:after="0" w:line="238" w:lineRule="auto"/>
        <w:tabs>
          <w:tab w:leader="none" w:pos="1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upon information set forth in the Schedule 13G/A filed on January 10, 2020 by The Bank of New York Mellon Corporation, BNY Mellon IHC, LLC, MBC Investments Corporation and Mellon Investments Corporation. The Bank of New York Mellon Corporation has sole voting power over 5,216,469 Class C shares, shared voting power over 3,430 Class C shares, sole dispositive power over 5,247,206 Class C shares and shared dispositive power over 152,275 Class C shares. BNY Mellon IHC, LLC has sole voting power over 4,629,981 Class C shares, sole dispositive power over 4,666,478 Class C shares and shared dispositive power over 142,965 Class C shares. MBC Investments Corporation has sole voting power over 4,629,981 Class C shares, sole dispositive power over 4,666,478 Class C shares and shared dispositive power over 142,965 Class C shares. Mellon Investments Corporation has sole voting power over 3,408,400 Class C shares, sole dispositive power over 3,444,897 Class C shares and shared dispositive power over 142,965 Class C shares.</w:t>
      </w:r>
    </w:p>
    <w:p>
      <w:pPr>
        <w:spacing w:after="0" w:line="101" w:lineRule="exact"/>
        <w:rPr>
          <w:rFonts w:ascii="Arial" w:cs="Arial" w:eastAsia="Arial" w:hAnsi="Arial"/>
          <w:sz w:val="12"/>
          <w:szCs w:val="12"/>
          <w:color w:val="auto"/>
        </w:rPr>
      </w:pPr>
    </w:p>
    <w:p>
      <w:pPr>
        <w:ind w:left="1600" w:hanging="478"/>
        <w:spacing w:after="0" w:line="263" w:lineRule="auto"/>
        <w:tabs>
          <w:tab w:leader="none" w:pos="1600" w:val="left"/>
        </w:tabs>
        <w:numPr>
          <w:ilvl w:val="0"/>
          <w:numId w:val="29"/>
        </w:numPr>
        <w:rPr>
          <w:rFonts w:ascii="Arial" w:cs="Arial" w:eastAsia="Arial" w:hAnsi="Arial"/>
          <w:sz w:val="11"/>
          <w:szCs w:val="11"/>
          <w:color w:val="auto"/>
        </w:rPr>
      </w:pPr>
      <w:r>
        <w:rPr>
          <w:rFonts w:ascii="Arial" w:cs="Arial" w:eastAsia="Arial" w:hAnsi="Arial"/>
          <w:sz w:val="11"/>
          <w:szCs w:val="11"/>
          <w:color w:val="auto"/>
        </w:rPr>
        <w:t>Based upon information set forth in the Schedules 13G/A filed on Febrauary 12, 2020 by The Vanguard Group, Inc. ("Vanguard"). With respect to the Class A shares, Vanguard has sole voting power over 33,759 Class A shares, shared voting power over 7,863 Class A Shares, sole dispositive power over 3,571,867 Class A shares, and shared dispositive power over 36,600 Class A shares. With respect to the Class C shares, Vanguard has sole voting power over 70,883 Class C shares, shared voting power over 7,213 Class C shares, sole dispositive power over 7,866,198 Class C shares and shared dispositive power over 69,895 Class C shares. Vanguard Fiduciary Trust Company ("VFTC"), a wholly-owned subsidiary of Vanguard, is the beneficial owner of 28,737 Class A shares and 62,682 Class C shares as a result of VFTC serving as investment manager of collective trust accounts. Vanguard Investments Australia, Ltd. ("VIA"), a wholly-owned subsidiary of Vanguard, is the beneficial owner of 12,885 Class A shares and 15,414 Class C shares as a result of VIA serving as investment manager of Australian investment offerings.</w:t>
      </w:r>
    </w:p>
    <w:p>
      <w:pPr>
        <w:spacing w:after="0" w:line="91" w:lineRule="exact"/>
        <w:rPr>
          <w:rFonts w:ascii="Arial" w:cs="Arial" w:eastAsia="Arial" w:hAnsi="Arial"/>
          <w:sz w:val="11"/>
          <w:szCs w:val="11"/>
          <w:color w:val="auto"/>
        </w:rPr>
      </w:pPr>
    </w:p>
    <w:p>
      <w:pPr>
        <w:ind w:left="1600" w:right="200" w:hanging="478"/>
        <w:spacing w:after="0" w:line="246" w:lineRule="auto"/>
        <w:tabs>
          <w:tab w:leader="none" w:pos="1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upon information set forth in the Schedules 13G/A filed on February 5, 2020 by BlackRock, Inc. ("BlackRock"). With respect to the Class A shares, BlackRock has sole voting power over 2,534,891 Class A shares and sole dispositive power over 2,623,964 Class A shares. With respect to the Class C shares, BlackRock has sole voting power over 5,132,484 Class C shares and sole dispositive power over 5,317,738 Class C shares.</w:t>
      </w:r>
    </w:p>
    <w:p>
      <w:pPr>
        <w:spacing w:after="0" w:line="97" w:lineRule="exact"/>
        <w:rPr>
          <w:rFonts w:ascii="Arial" w:cs="Arial" w:eastAsia="Arial" w:hAnsi="Arial"/>
          <w:sz w:val="12"/>
          <w:szCs w:val="12"/>
          <w:color w:val="auto"/>
        </w:rPr>
      </w:pPr>
    </w:p>
    <w:p>
      <w:pPr>
        <w:ind w:left="1600" w:right="20" w:hanging="478"/>
        <w:spacing w:after="0" w:line="236" w:lineRule="auto"/>
        <w:tabs>
          <w:tab w:leader="none" w:pos="1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upon information set forth in the Schedule 13G/A filed on February 7, 2020 by FMR LLC ("FMR"). FMR has sole voting power over 1,399,2990 Class C shares and sole dispositive power over 9,940,101 Class C shares. Abigail P. Johnson is a Director, the Chairman and the Chief Executive Officer of FMR. Members of the Johnson family, including Abigail P.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Neither FMR nor Abigail P. Johnson has the sole power to vote or direct the voting of the shares owned directly by the various investment companies registered under the Investment Company Act of 1940 ("Fidelity Funds") advised by Fidelity Management &amp; Research Company, a wholly owned subsidiary of FMR, which power resides with the Fidelity Funds' Boards of Trustees. Fidelity Management &amp; Research Company carries out the voting of the shares under written guidelines established by the Fidelity Funds' Boards of Trustees.</w:t>
      </w:r>
    </w:p>
    <w:p>
      <w:pPr>
        <w:spacing w:after="0" w:line="102" w:lineRule="exact"/>
        <w:rPr>
          <w:rFonts w:ascii="Arial" w:cs="Arial" w:eastAsia="Arial" w:hAnsi="Arial"/>
          <w:sz w:val="12"/>
          <w:szCs w:val="12"/>
          <w:color w:val="auto"/>
        </w:rPr>
      </w:pPr>
    </w:p>
    <w:p>
      <w:pPr>
        <w:ind w:left="1600" w:right="180" w:hanging="478"/>
        <w:spacing w:after="0" w:line="260" w:lineRule="auto"/>
        <w:tabs>
          <w:tab w:leader="none" w:pos="1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upon information set forth in the Schedule 13G filed on February 14, 2020 by Rare Infrastructure Ltd. Rare Infrastructure Limited has sole voting power over 4,676,738 Class C shares and sole dispositive power over 4,676,738 Class C shares.</w:t>
      </w:r>
    </w:p>
    <w:p>
      <w:pPr>
        <w:spacing w:after="0" w:line="89" w:lineRule="exact"/>
        <w:rPr>
          <w:rFonts w:ascii="Arial" w:cs="Arial" w:eastAsia="Arial" w:hAnsi="Arial"/>
          <w:sz w:val="12"/>
          <w:szCs w:val="12"/>
          <w:color w:val="auto"/>
        </w:rPr>
      </w:pPr>
    </w:p>
    <w:p>
      <w:pPr>
        <w:jc w:val="both"/>
        <w:ind w:left="1600" w:right="220" w:hanging="478"/>
        <w:spacing w:after="0" w:line="241" w:lineRule="auto"/>
        <w:tabs>
          <w:tab w:leader="none" w:pos="1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upon information set forth in the Schedule 13G filed on February 17, 2015 by Morgan Stanley. Morgan Stanley has sole voting power over 1,492,155 Class A shares. Morgan Stanley has shared voting power over 231,384 Class A shares and shared dispositive power over 1,596,978 Class A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101" w:lineRule="exact"/>
        <w:rPr>
          <w:rFonts w:ascii="Arial" w:cs="Arial" w:eastAsia="Arial" w:hAnsi="Arial"/>
          <w:sz w:val="12"/>
          <w:szCs w:val="12"/>
          <w:color w:val="auto"/>
        </w:rPr>
      </w:pPr>
    </w:p>
    <w:p>
      <w:pPr>
        <w:ind w:left="1600" w:right="120" w:hanging="478"/>
        <w:spacing w:after="0" w:line="238" w:lineRule="auto"/>
        <w:tabs>
          <w:tab w:leader="none" w:pos="1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upon information set forth in the Schedule 13G/A filed on February 12, 2020 by Neuberger Berman Group LLC. Neuberger Berman Group LLC has shared voting power over 4,343,079 Class C shares and shared dispositive power over 4,454,998 Class C shares. Neuberger Berman Trust Co N.A., Neuberger Berman Trust Co of Delaware N.A., NB Alternatives Advisers LLC and Neuberger Berman Investment Advisers LLC and certain affiliated persons may be deemed to beneficially own the Class C shares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p>
      <w:pPr>
        <w:jc w:val="both"/>
        <w:ind w:left="1600" w:hanging="478"/>
        <w:spacing w:after="0" w:line="246" w:lineRule="auto"/>
        <w:tabs>
          <w:tab w:leader="none" w:pos="16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upon information set forth in the Schedule 13G/A filed on February 14, 2020 by Apollo Management Holdings GP, LLC. Apollo Management Holdings GP, LLC has shared voting power over 3,147,846 Class A shares and shared dispositive power over 3,147,846 Class A shares. With respect to Class C shares, Apollo Management Holdings GP, LLC has shared voting power over 4,616,935 Class C shares and shared dispositive power over 4,616,935 Class C shares.</w:t>
      </w:r>
    </w:p>
    <w:p>
      <w:pPr>
        <w:spacing w:after="0" w:line="97" w:lineRule="exact"/>
        <w:rPr>
          <w:rFonts w:ascii="Arial" w:cs="Arial" w:eastAsia="Arial" w:hAnsi="Arial"/>
          <w:sz w:val="12"/>
          <w:szCs w:val="12"/>
          <w:color w:val="auto"/>
        </w:rPr>
      </w:pPr>
    </w:p>
    <w:p>
      <w:pPr>
        <w:ind w:left="1600" w:right="20" w:hanging="478"/>
        <w:spacing w:after="0" w:line="360" w:lineRule="auto"/>
        <w:tabs>
          <w:tab w:leader="none" w:pos="1600" w:val="left"/>
        </w:tabs>
        <w:numPr>
          <w:ilvl w:val="0"/>
          <w:numId w:val="30"/>
        </w:numPr>
        <w:rPr>
          <w:rFonts w:ascii="Arial" w:cs="Arial" w:eastAsia="Arial" w:hAnsi="Arial"/>
          <w:sz w:val="10"/>
          <w:szCs w:val="10"/>
          <w:color w:val="auto"/>
        </w:rPr>
      </w:pPr>
      <w:r>
        <w:rPr>
          <w:rFonts w:ascii="Arial" w:cs="Arial" w:eastAsia="Arial" w:hAnsi="Arial"/>
          <w:sz w:val="10"/>
          <w:szCs w:val="10"/>
          <w:color w:val="auto"/>
        </w:rPr>
        <w:t>Based upon information set forth in the Schedule 13G filed on February 12, 2020 by Renaissance Technologies LLC and Renaissance Technologies Holdings Corporation (collectively, "Renaissance"). Renaissance has sole voting power over 1,771,310 Class A shares, sole dispositive power over 1,802,558 Class A shares and shared dispositive power over 1,472 Class A shares.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CERTAIN RELATIONSHIPS AND RELATED PERSON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WITH GIP</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GIP, through its ownership of CEG, indirectly owns all of our outstanding Class B common stock and our Class D common stock, which represents, in the aggregate,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54.95% of the voting interest in our stock and receives distributions from Clearway Energy LLC through its ownership of Class B and Class D units of Clearway Energy LLC.</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Holders of our Class A common stock and Class C common stock hold, in the aggregate, the remaining 45.05% of the voting interest in our stock. Each holder of Class A or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Class B common stock is entitled to one vote for each share held. Each holder of Class C or Class D common stock is entitled to 1/100th of one vote for each share held. The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holders of our outstanding shares of Class A and Class C common stock are entitled to dividends as declared.</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diagram below depicts our organizational structure as of March 4, 2020. Clearway Energy LLC indirectly holds the equity interests in our project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142875</wp:posOffset>
            </wp:positionV>
            <wp:extent cx="3954780" cy="5064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54780" cy="506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SPONSORSHIP WITH GIP</w:t>
      </w:r>
    </w:p>
    <w:p>
      <w:pPr>
        <w:spacing w:after="0" w:line="208" w:lineRule="exact"/>
        <w:rPr>
          <w:sz w:val="20"/>
          <w:szCs w:val="20"/>
          <w:color w:val="auto"/>
        </w:rPr>
      </w:pPr>
    </w:p>
    <w:p>
      <w:pPr>
        <w:ind w:right="240" w:firstLine="316"/>
        <w:spacing w:after="0" w:line="275" w:lineRule="auto"/>
        <w:rPr>
          <w:sz w:val="20"/>
          <w:szCs w:val="20"/>
          <w:color w:val="auto"/>
        </w:rPr>
      </w:pPr>
      <w:r>
        <w:rPr>
          <w:rFonts w:ascii="Arial" w:cs="Arial" w:eastAsia="Arial" w:hAnsi="Arial"/>
          <w:sz w:val="16"/>
          <w:szCs w:val="16"/>
          <w:color w:val="auto"/>
        </w:rPr>
        <w:t>In connection with the GIP Transaction, the Company entered into a Consent and Indemnity Agreement with NRG and GIP setting forth key terms and conditions of the Company's consent to the GIP Transaction.</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Also in connection with the GIP Transaction, the Company entered into the following agreements on August 31, 2018:</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CEG Master Services Agreements</w:t>
      </w:r>
    </w:p>
    <w:p>
      <w:pPr>
        <w:spacing w:after="0" w:line="204" w:lineRule="exact"/>
        <w:rPr>
          <w:sz w:val="20"/>
          <w:szCs w:val="20"/>
          <w:color w:val="auto"/>
        </w:rPr>
      </w:pPr>
    </w:p>
    <w:p>
      <w:pPr>
        <w:ind w:right="80" w:firstLine="313"/>
        <w:spacing w:after="0" w:line="256" w:lineRule="auto"/>
        <w:rPr>
          <w:sz w:val="20"/>
          <w:szCs w:val="20"/>
          <w:color w:val="auto"/>
        </w:rPr>
      </w:pPr>
      <w:r>
        <w:rPr>
          <w:rFonts w:ascii="Arial" w:cs="Arial" w:eastAsia="Arial" w:hAnsi="Arial"/>
          <w:sz w:val="16"/>
          <w:szCs w:val="16"/>
          <w:color w:val="auto"/>
        </w:rPr>
        <w:t>The Company, along with Clearway Energy LLC and Clearway Energy Operating LLC, entered into Master Services Agreements with CEG (the "CEG Master Services Agreements"), pursuant to which CEG and certain of its affiliates or third-party service providers began providing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began providing certain services, including accounting, internal audit, tax and treasury services, to CEG, in exchange for the payment of fees in respect of such services. For the year ended December 31, 2019, the Company paid approximately $1,059,000 under the CEG Master Services Agreements. In addition, certain Thermal segment projects reimbursed CEG approximately $1,433,000 during the year ended December 31, 2019 for costs incurred by CEG on behalf of such entities.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and Governance Agreement</w:t>
      </w:r>
    </w:p>
    <w:p>
      <w:pPr>
        <w:spacing w:after="0" w:line="204" w:lineRule="exact"/>
        <w:rPr>
          <w:sz w:val="20"/>
          <w:szCs w:val="20"/>
          <w:color w:val="auto"/>
        </w:rPr>
      </w:pPr>
    </w:p>
    <w:p>
      <w:pPr>
        <w:ind w:right="80" w:firstLine="313"/>
        <w:spacing w:after="0" w:line="275" w:lineRule="auto"/>
        <w:rPr>
          <w:sz w:val="20"/>
          <w:szCs w:val="20"/>
          <w:color w:val="auto"/>
        </w:rPr>
      </w:pPr>
      <w:r>
        <w:rPr>
          <w:rFonts w:ascii="Arial" w:cs="Arial" w:eastAsia="Arial" w:hAnsi="Arial"/>
          <w:sz w:val="16"/>
          <w:szCs w:val="16"/>
          <w:color w:val="auto"/>
        </w:rPr>
        <w:t>The Company entered into a Voting and Governance Agreement with CEG, relating to certain governance matters of the Company, including the composition of the Board and employment status of the CEO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Limited Liability Company Agreement</w:t>
      </w:r>
    </w:p>
    <w:p>
      <w:pPr>
        <w:spacing w:after="0" w:line="204" w:lineRule="exact"/>
        <w:rPr>
          <w:sz w:val="20"/>
          <w:szCs w:val="20"/>
          <w:color w:val="auto"/>
        </w:rPr>
      </w:pPr>
    </w:p>
    <w:p>
      <w:pPr>
        <w:ind w:right="180" w:firstLine="313"/>
        <w:spacing w:after="0" w:line="275" w:lineRule="auto"/>
        <w:rPr>
          <w:sz w:val="20"/>
          <w:szCs w:val="20"/>
          <w:color w:val="auto"/>
        </w:rPr>
      </w:pPr>
      <w:r>
        <w:rPr>
          <w:rFonts w:ascii="Arial" w:cs="Arial" w:eastAsia="Arial" w:hAnsi="Arial"/>
          <w:sz w:val="16"/>
          <w:szCs w:val="16"/>
          <w:color w:val="auto"/>
        </w:rPr>
        <w:t>The Company entered into the Fourth Amended and Restated Limited Liability Company Agreement of Clearway Energy LLC with CEG, which sets forth the rights and obligations of the Company, as managing member, and CEG, as member, of Clearway Energy LLC, as further described below.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 OF FIRST OFFER AGREEMENTS</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CEG ROFO Agreement</w:t>
      </w:r>
    </w:p>
    <w:p>
      <w:pPr>
        <w:spacing w:after="0" w:line="204" w:lineRule="exact"/>
        <w:rPr>
          <w:sz w:val="20"/>
          <w:szCs w:val="20"/>
          <w:color w:val="auto"/>
        </w:rPr>
      </w:pPr>
    </w:p>
    <w:p>
      <w:pPr>
        <w:ind w:firstLine="316"/>
        <w:spacing w:after="0" w:line="280" w:lineRule="auto"/>
        <w:rPr>
          <w:sz w:val="20"/>
          <w:szCs w:val="20"/>
          <w:color w:val="auto"/>
        </w:rPr>
      </w:pPr>
      <w:r>
        <w:rPr>
          <w:rFonts w:ascii="Arial" w:cs="Arial" w:eastAsia="Arial" w:hAnsi="Arial"/>
          <w:sz w:val="15"/>
          <w:szCs w:val="15"/>
          <w:color w:val="auto"/>
        </w:rPr>
        <w:t>On August 31, 2018, we entered into a ROFO Agreement with CEG (the "CEG ROFO Agreement") and, solely for certain purposes thereof, GIP, pursuant to which CEG granted us and our subsidiaries a right of first offer on any proposed sale or transfer of certain assets owned by CEG. On August 1, 2019, the CEG ROFO Agreement was amended to grant us and our affiliates a right of first offer on any proposed sale, transfer or other disposition of certain assets of CEG (the "CEG ROFO Assets") until August 31, 2023, as listed in the table below. CEG is not obligated to sell the remaining CEG ROFO Assets to us and, if offered by CEG, we cannot be sure whether these assets will be offered on acceptable terms or that we will choose to consummate such acquisitions.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assets listed below represent our currently committed investments in projects with CEG, as well as the assets subject to our ROFO Agreement with CEG: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Committed Investments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2"/>
              </w:rPr>
              <w:t>Net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jc w:val="center"/>
              <w:ind w:right="180"/>
              <w:spacing w:after="0" w:line="134" w:lineRule="exact"/>
              <w:rPr>
                <w:sz w:val="20"/>
                <w:szCs w:val="20"/>
                <w:color w:val="auto"/>
              </w:rPr>
            </w:pPr>
            <w:r>
              <w:rPr>
                <w:rFonts w:ascii="Arial" w:cs="Arial" w:eastAsia="Arial" w:hAnsi="Arial"/>
                <w:sz w:val="12"/>
                <w:szCs w:val="12"/>
                <w:b w:val="1"/>
                <w:bCs w:val="1"/>
                <w:color w:val="auto"/>
                <w:w w:val="91"/>
              </w:rPr>
              <w:t>Capacity</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5380" w:type="dxa"/>
            <w:vAlign w:val="bottom"/>
            <w:gridSpan w:val="4"/>
          </w:tcPr>
          <w:p>
            <w:pPr>
              <w:spacing w:after="0"/>
              <w:rPr>
                <w:sz w:val="20"/>
                <w:szCs w:val="20"/>
                <w:color w:val="auto"/>
              </w:rPr>
            </w:pPr>
            <w:r>
              <w:rPr>
                <w:rFonts w:ascii="Arial" w:cs="Arial" w:eastAsia="Arial" w:hAnsi="Arial"/>
                <w:sz w:val="12"/>
                <w:szCs w:val="12"/>
                <w:b w:val="1"/>
                <w:bCs w:val="1"/>
                <w:color w:val="auto"/>
              </w:rPr>
              <w:t>Asset</w:t>
            </w:r>
          </w:p>
        </w:tc>
        <w:tc>
          <w:tcPr>
            <w:tcW w:w="9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Technology</w:t>
            </w:r>
          </w:p>
        </w:tc>
        <w:tc>
          <w:tcPr>
            <w:tcW w:w="6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rPr>
              <w:t>(MW)</w:t>
            </w:r>
          </w:p>
        </w:tc>
        <w:tc>
          <w:tcPr>
            <w:tcW w:w="7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8"/>
              </w:rPr>
              <w:t>State</w:t>
            </w:r>
          </w:p>
        </w:tc>
        <w:tc>
          <w:tcPr>
            <w:tcW w:w="520" w:type="dxa"/>
            <w:vAlign w:val="bottom"/>
            <w:gridSpan w:val="2"/>
          </w:tcPr>
          <w:p>
            <w:pPr>
              <w:jc w:val="right"/>
              <w:ind w:right="70"/>
              <w:spacing w:after="0"/>
              <w:rPr>
                <w:sz w:val="20"/>
                <w:szCs w:val="20"/>
                <w:color w:val="auto"/>
              </w:rPr>
            </w:pPr>
            <w:r>
              <w:rPr>
                <w:rFonts w:ascii="Arial" w:cs="Arial" w:eastAsia="Arial" w:hAnsi="Arial"/>
                <w:sz w:val="12"/>
                <w:szCs w:val="12"/>
                <w:b w:val="1"/>
                <w:bCs w:val="1"/>
                <w:color w:val="auto"/>
              </w:rPr>
              <w:t>COD</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360" w:type="dxa"/>
            <w:vAlign w:val="bottom"/>
            <w:gridSpan w:val="3"/>
            <w:shd w:val="clear" w:color="auto" w:fill="CCEEFF"/>
          </w:tcPr>
          <w:p>
            <w:pPr>
              <w:spacing w:after="0" w:line="223" w:lineRule="exact"/>
              <w:rPr>
                <w:sz w:val="20"/>
                <w:szCs w:val="20"/>
                <w:color w:val="auto"/>
              </w:rPr>
            </w:pPr>
            <w:r>
              <w:rPr>
                <w:rFonts w:ascii="Arial" w:cs="Arial" w:eastAsia="Arial" w:hAnsi="Arial"/>
                <w:sz w:val="15"/>
                <w:szCs w:val="15"/>
                <w:color w:val="auto"/>
              </w:rPr>
              <w:t>$33 MM remaining in distributed and community solar partnerships</w:t>
            </w:r>
            <w:r>
              <w:rPr>
                <w:rFonts w:ascii="Arial" w:cs="Arial" w:eastAsia="Arial" w:hAnsi="Arial"/>
                <w:sz w:val="25"/>
                <w:szCs w:val="25"/>
                <w:color w:val="auto"/>
                <w:vertAlign w:val="superscript"/>
              </w:rPr>
              <w:t>(a)</w:t>
            </w:r>
          </w:p>
        </w:tc>
        <w:tc>
          <w:tcPr>
            <w:tcW w:w="1760" w:type="dxa"/>
            <w:vAlign w:val="bottom"/>
            <w:tcBorders>
              <w:right w:val="single" w:sz="8" w:color="CCEEFF"/>
            </w:tcBorders>
            <w:gridSpan w:val="4"/>
            <w:shd w:val="clear" w:color="auto" w:fill="CCEEFF"/>
          </w:tcPr>
          <w:p>
            <w:pPr>
              <w:ind w:left="940"/>
              <w:spacing w:after="0"/>
              <w:rPr>
                <w:sz w:val="20"/>
                <w:szCs w:val="20"/>
                <w:color w:val="auto"/>
              </w:rPr>
            </w:pPr>
            <w:r>
              <w:rPr>
                <w:rFonts w:ascii="Arial" w:cs="Arial" w:eastAsia="Arial" w:hAnsi="Arial"/>
                <w:sz w:val="16"/>
                <w:szCs w:val="16"/>
                <w:color w:val="auto"/>
              </w:rPr>
              <w:t>PV</w:t>
            </w:r>
          </w:p>
        </w:tc>
        <w:tc>
          <w:tcPr>
            <w:tcW w:w="640" w:type="dxa"/>
            <w:vAlign w:val="bottom"/>
            <w:tcBorders>
              <w:right w:val="single" w:sz="8" w:color="CCEEFF"/>
            </w:tcBorders>
            <w:gridSpan w:val="3"/>
            <w:shd w:val="clear" w:color="auto" w:fill="CCEEFF"/>
          </w:tcPr>
          <w:p>
            <w:pPr>
              <w:jc w:val="center"/>
              <w:ind w:right="200"/>
              <w:spacing w:after="0"/>
              <w:rPr>
                <w:sz w:val="20"/>
                <w:szCs w:val="20"/>
                <w:color w:val="auto"/>
              </w:rPr>
            </w:pPr>
            <w:r>
              <w:rPr>
                <w:rFonts w:ascii="Arial" w:cs="Arial" w:eastAsia="Arial" w:hAnsi="Arial"/>
                <w:sz w:val="16"/>
                <w:szCs w:val="16"/>
                <w:color w:val="auto"/>
              </w:rPr>
              <w:t>N/A</w:t>
            </w:r>
          </w:p>
        </w:tc>
        <w:tc>
          <w:tcPr>
            <w:tcW w:w="70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88"/>
              </w:rPr>
              <w:t>Various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4"/>
              </w:rPr>
              <w:t>Various</w:t>
            </w:r>
          </w:p>
        </w:tc>
        <w:tc>
          <w:tcPr>
            <w:tcW w:w="0" w:type="dxa"/>
            <w:vAlign w:val="bottom"/>
          </w:tcPr>
          <w:p>
            <w:pPr>
              <w:spacing w:after="0"/>
              <w:rPr>
                <w:sz w:val="1"/>
                <w:szCs w:val="1"/>
                <w:color w:val="auto"/>
              </w:rPr>
            </w:pPr>
          </w:p>
        </w:tc>
      </w:tr>
      <w:tr>
        <w:trPr>
          <w:trHeight w:val="386"/>
        </w:trPr>
        <w:tc>
          <w:tcPr>
            <w:tcW w:w="6500" w:type="dxa"/>
            <w:vAlign w:val="bottom"/>
            <w:gridSpan w:val="5"/>
          </w:tcPr>
          <w:p>
            <w:pPr>
              <w:spacing w:after="0"/>
              <w:rPr>
                <w:sz w:val="20"/>
                <w:szCs w:val="20"/>
                <w:color w:val="auto"/>
              </w:rPr>
            </w:pPr>
            <w:r>
              <w:rPr>
                <w:rFonts w:ascii="Arial" w:cs="Arial" w:eastAsia="Arial" w:hAnsi="Arial"/>
                <w:sz w:val="16"/>
                <w:szCs w:val="16"/>
                <w:b w:val="1"/>
                <w:bCs w:val="1"/>
                <w:color w:val="auto"/>
              </w:rPr>
              <w:t>CEG ROFO</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Net</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1"/>
              </w:rPr>
              <w:t>Capacity</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5380" w:type="dxa"/>
            <w:vAlign w:val="bottom"/>
            <w:gridSpan w:val="4"/>
          </w:tcPr>
          <w:p>
            <w:pPr>
              <w:spacing w:after="0"/>
              <w:rPr>
                <w:sz w:val="20"/>
                <w:szCs w:val="20"/>
                <w:color w:val="auto"/>
              </w:rPr>
            </w:pPr>
            <w:r>
              <w:rPr>
                <w:rFonts w:ascii="Arial" w:cs="Arial" w:eastAsia="Arial" w:hAnsi="Arial"/>
                <w:sz w:val="12"/>
                <w:szCs w:val="12"/>
                <w:b w:val="1"/>
                <w:bCs w:val="1"/>
                <w:color w:val="auto"/>
              </w:rPr>
              <w:t>Asset</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86"/>
              </w:rPr>
              <w:t>Technology</w:t>
            </w:r>
          </w:p>
        </w:tc>
        <w:tc>
          <w:tcPr>
            <w:tcW w:w="140" w:type="dxa"/>
            <w:vAlign w:val="bottom"/>
          </w:tcPr>
          <w:p>
            <w:pPr>
              <w:spacing w:after="0"/>
              <w:rPr>
                <w:sz w:val="12"/>
                <w:szCs w:val="12"/>
                <w:color w:val="auto"/>
              </w:rPr>
            </w:pPr>
          </w:p>
        </w:tc>
        <w:tc>
          <w:tcPr>
            <w:tcW w:w="500" w:type="dxa"/>
            <w:vAlign w:val="bottom"/>
            <w:gridSpan w:val="2"/>
          </w:tcPr>
          <w:p>
            <w:pPr>
              <w:jc w:val="center"/>
              <w:spacing w:after="0"/>
              <w:rPr>
                <w:sz w:val="20"/>
                <w:szCs w:val="20"/>
                <w:color w:val="auto"/>
              </w:rPr>
            </w:pPr>
            <w:r>
              <w:rPr>
                <w:rFonts w:ascii="Arial" w:cs="Arial" w:eastAsia="Arial" w:hAnsi="Arial"/>
                <w:sz w:val="12"/>
                <w:szCs w:val="12"/>
                <w:b w:val="1"/>
                <w:bCs w:val="1"/>
                <w:color w:val="auto"/>
              </w:rPr>
              <w:t>(MW)</w:t>
            </w:r>
          </w:p>
        </w:tc>
        <w:tc>
          <w:tcPr>
            <w:tcW w:w="16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State</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COD</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Mililani I</w:t>
            </w:r>
          </w:p>
        </w:tc>
        <w:tc>
          <w:tcPr>
            <w:tcW w:w="94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PV</w:t>
            </w:r>
          </w:p>
        </w:tc>
        <w:tc>
          <w:tcPr>
            <w:tcW w:w="480" w:type="dxa"/>
            <w:vAlign w:val="bottom"/>
            <w:gridSpan w:val="2"/>
            <w:shd w:val="clear" w:color="auto" w:fill="CCEEFF"/>
          </w:tcPr>
          <w:p>
            <w:pPr>
              <w:jc w:val="center"/>
              <w:ind w:left="246"/>
              <w:spacing w:after="0"/>
              <w:rPr>
                <w:sz w:val="20"/>
                <w:szCs w:val="20"/>
                <w:color w:val="auto"/>
              </w:rPr>
            </w:pPr>
            <w:r>
              <w:rPr>
                <w:rFonts w:ascii="Arial" w:cs="Arial" w:eastAsia="Arial" w:hAnsi="Arial"/>
                <w:sz w:val="16"/>
                <w:szCs w:val="16"/>
                <w:color w:val="auto"/>
                <w:w w:val="89"/>
              </w:rPr>
              <w:t>39</w:t>
            </w: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9"/>
              </w:rPr>
              <w:t>HI</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Arial" w:cs="Arial" w:eastAsia="Arial" w:hAnsi="Arial"/>
                <w:sz w:val="16"/>
                <w:szCs w:val="16"/>
                <w:color w:val="auto"/>
              </w:rPr>
              <w:t>Waiawa</w:t>
            </w:r>
          </w:p>
        </w:tc>
        <w:tc>
          <w:tcPr>
            <w:tcW w:w="940" w:type="dxa"/>
            <w:vAlign w:val="bottom"/>
          </w:tcPr>
          <w:p>
            <w:pPr>
              <w:spacing w:after="0"/>
              <w:rPr>
                <w:sz w:val="16"/>
                <w:szCs w:val="16"/>
                <w:color w:val="auto"/>
              </w:rPr>
            </w:pPr>
          </w:p>
        </w:tc>
        <w:tc>
          <w:tcPr>
            <w:tcW w:w="820" w:type="dxa"/>
            <w:vAlign w:val="bottom"/>
            <w:gridSpan w:val="3"/>
          </w:tcPr>
          <w:p>
            <w:pPr>
              <w:ind w:left="160"/>
              <w:spacing w:after="0"/>
              <w:rPr>
                <w:sz w:val="20"/>
                <w:szCs w:val="20"/>
                <w:color w:val="auto"/>
              </w:rPr>
            </w:pPr>
            <w:r>
              <w:rPr>
                <w:rFonts w:ascii="Arial" w:cs="Arial" w:eastAsia="Arial" w:hAnsi="Arial"/>
                <w:sz w:val="16"/>
                <w:szCs w:val="16"/>
                <w:color w:val="auto"/>
              </w:rPr>
              <w:t>PV</w:t>
            </w:r>
          </w:p>
        </w:tc>
        <w:tc>
          <w:tcPr>
            <w:tcW w:w="480" w:type="dxa"/>
            <w:vAlign w:val="bottom"/>
            <w:gridSpan w:val="2"/>
          </w:tcPr>
          <w:p>
            <w:pPr>
              <w:jc w:val="center"/>
              <w:ind w:left="246"/>
              <w:spacing w:after="0"/>
              <w:rPr>
                <w:sz w:val="20"/>
                <w:szCs w:val="20"/>
                <w:color w:val="auto"/>
              </w:rPr>
            </w:pPr>
            <w:r>
              <w:rPr>
                <w:rFonts w:ascii="Arial" w:cs="Arial" w:eastAsia="Arial" w:hAnsi="Arial"/>
                <w:sz w:val="16"/>
                <w:szCs w:val="16"/>
                <w:color w:val="auto"/>
                <w:w w:val="89"/>
              </w:rPr>
              <w:t>36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HI</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Langford</w:t>
            </w:r>
          </w:p>
        </w:tc>
        <w:tc>
          <w:tcPr>
            <w:tcW w:w="94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Wind</w:t>
            </w:r>
          </w:p>
        </w:tc>
        <w:tc>
          <w:tcPr>
            <w:tcW w:w="640" w:type="dxa"/>
            <w:vAlign w:val="bottom"/>
            <w:tcBorders>
              <w:right w:val="single" w:sz="8" w:color="CCEEFF"/>
            </w:tcBorders>
            <w:gridSpan w:val="3"/>
            <w:shd w:val="clear" w:color="auto" w:fill="CCEEFF"/>
          </w:tcPr>
          <w:p>
            <w:pPr>
              <w:jc w:val="center"/>
              <w:ind w:left="86"/>
              <w:spacing w:after="0"/>
              <w:rPr>
                <w:sz w:val="20"/>
                <w:szCs w:val="20"/>
                <w:color w:val="auto"/>
              </w:rPr>
            </w:pPr>
            <w:r>
              <w:rPr>
                <w:rFonts w:ascii="Arial" w:cs="Arial" w:eastAsia="Arial" w:hAnsi="Arial"/>
                <w:sz w:val="16"/>
                <w:szCs w:val="16"/>
                <w:color w:val="auto"/>
                <w:w w:val="89"/>
              </w:rPr>
              <w:t>150</w:t>
            </w:r>
          </w:p>
        </w:tc>
        <w:tc>
          <w:tcPr>
            <w:tcW w:w="16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TX</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Arial" w:cs="Arial" w:eastAsia="Arial" w:hAnsi="Arial"/>
                <w:sz w:val="16"/>
                <w:szCs w:val="16"/>
                <w:color w:val="auto"/>
              </w:rPr>
              <w:t>Up to $170 MM equity investment in business renewables</w:t>
            </w:r>
          </w:p>
        </w:tc>
        <w:tc>
          <w:tcPr>
            <w:tcW w:w="940" w:type="dxa"/>
            <w:vAlign w:val="bottom"/>
          </w:tcPr>
          <w:p>
            <w:pPr>
              <w:spacing w:after="0"/>
              <w:rPr>
                <w:sz w:val="16"/>
                <w:szCs w:val="16"/>
                <w:color w:val="auto"/>
              </w:rPr>
            </w:pPr>
          </w:p>
        </w:tc>
        <w:tc>
          <w:tcPr>
            <w:tcW w:w="820" w:type="dxa"/>
            <w:vAlign w:val="bottom"/>
            <w:gridSpan w:val="3"/>
          </w:tcPr>
          <w:p>
            <w:pPr>
              <w:ind w:left="160"/>
              <w:spacing w:after="0"/>
              <w:rPr>
                <w:sz w:val="20"/>
                <w:szCs w:val="20"/>
                <w:color w:val="auto"/>
              </w:rPr>
            </w:pPr>
            <w:r>
              <w:rPr>
                <w:rFonts w:ascii="Arial" w:cs="Arial" w:eastAsia="Arial" w:hAnsi="Arial"/>
                <w:sz w:val="16"/>
                <w:szCs w:val="16"/>
                <w:color w:val="auto"/>
              </w:rPr>
              <w:t>PV</w:t>
            </w:r>
          </w:p>
        </w:tc>
        <w:tc>
          <w:tcPr>
            <w:tcW w:w="140" w:type="dxa"/>
            <w:vAlign w:val="bottom"/>
          </w:tcPr>
          <w:p>
            <w:pPr>
              <w:spacing w:after="0"/>
              <w:rPr>
                <w:sz w:val="16"/>
                <w:szCs w:val="16"/>
                <w:color w:val="auto"/>
              </w:rPr>
            </w:pPr>
          </w:p>
        </w:tc>
        <w:tc>
          <w:tcPr>
            <w:tcW w:w="500" w:type="dxa"/>
            <w:vAlign w:val="bottom"/>
            <w:gridSpan w:val="2"/>
          </w:tcPr>
          <w:p>
            <w:pPr>
              <w:jc w:val="center"/>
              <w:spacing w:after="0"/>
              <w:rPr>
                <w:sz w:val="20"/>
                <w:szCs w:val="20"/>
                <w:color w:val="auto"/>
              </w:rPr>
            </w:pPr>
            <w:r>
              <w:rPr>
                <w:rFonts w:ascii="Arial" w:cs="Arial" w:eastAsia="Arial" w:hAnsi="Arial"/>
                <w:sz w:val="16"/>
                <w:szCs w:val="16"/>
                <w:color w:val="auto"/>
                <w:w w:val="99"/>
              </w:rPr>
              <w:t>TBD</w:t>
            </w:r>
          </w:p>
        </w:tc>
        <w:tc>
          <w:tcPr>
            <w:tcW w:w="160" w:type="dxa"/>
            <w:vAlign w:val="bottom"/>
          </w:tcPr>
          <w:p>
            <w:pPr>
              <w:spacing w:after="0"/>
              <w:rPr>
                <w:sz w:val="16"/>
                <w:szCs w:val="16"/>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6"/>
                <w:szCs w:val="16"/>
                <w:color w:val="auto"/>
                <w:w w:val="88"/>
              </w:rPr>
              <w:t>Various</w:t>
            </w: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TBD</w:t>
            </w: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3"/>
            <w:shd w:val="clear" w:color="auto" w:fill="CCEEFF"/>
          </w:tcPr>
          <w:p>
            <w:pPr>
              <w:spacing w:after="0" w:line="231" w:lineRule="exact"/>
              <w:rPr>
                <w:sz w:val="20"/>
                <w:szCs w:val="20"/>
                <w:color w:val="auto"/>
              </w:rPr>
            </w:pPr>
            <w:r>
              <w:rPr>
                <w:rFonts w:ascii="Arial" w:cs="Arial" w:eastAsia="Arial" w:hAnsi="Arial"/>
                <w:sz w:val="16"/>
                <w:szCs w:val="16"/>
                <w:color w:val="auto"/>
              </w:rPr>
              <w:t>Rattlesnake</w:t>
            </w:r>
            <w:r>
              <w:rPr>
                <w:rFonts w:ascii="Arial" w:cs="Arial" w:eastAsia="Arial" w:hAnsi="Arial"/>
                <w:sz w:val="26"/>
                <w:szCs w:val="26"/>
                <w:color w:val="auto"/>
                <w:vertAlign w:val="superscript"/>
              </w:rPr>
              <w:t>(b)</w:t>
            </w:r>
          </w:p>
        </w:tc>
        <w:tc>
          <w:tcPr>
            <w:tcW w:w="9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Wind</w:t>
            </w:r>
          </w:p>
        </w:tc>
        <w:tc>
          <w:tcPr>
            <w:tcW w:w="640" w:type="dxa"/>
            <w:vAlign w:val="bottom"/>
            <w:tcBorders>
              <w:right w:val="single" w:sz="8" w:color="CCEEFF"/>
            </w:tcBorders>
            <w:gridSpan w:val="3"/>
            <w:shd w:val="clear" w:color="auto" w:fill="CCEEFF"/>
          </w:tcPr>
          <w:p>
            <w:pPr>
              <w:jc w:val="center"/>
              <w:ind w:left="86"/>
              <w:spacing w:after="0"/>
              <w:rPr>
                <w:sz w:val="20"/>
                <w:szCs w:val="20"/>
                <w:color w:val="auto"/>
              </w:rPr>
            </w:pPr>
            <w:r>
              <w:rPr>
                <w:rFonts w:ascii="Arial" w:cs="Arial" w:eastAsia="Arial" w:hAnsi="Arial"/>
                <w:sz w:val="16"/>
                <w:szCs w:val="16"/>
                <w:color w:val="auto"/>
                <w:w w:val="89"/>
              </w:rPr>
              <w:t>144</w:t>
            </w:r>
          </w:p>
        </w:tc>
        <w:tc>
          <w:tcPr>
            <w:tcW w:w="16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2"/>
              </w:rPr>
              <w:t>WA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Arial" w:cs="Arial" w:eastAsia="Arial" w:hAnsi="Arial"/>
                <w:sz w:val="16"/>
                <w:szCs w:val="16"/>
                <w:color w:val="auto"/>
              </w:rPr>
              <w:t>Black Rock</w:t>
            </w:r>
          </w:p>
        </w:tc>
        <w:tc>
          <w:tcPr>
            <w:tcW w:w="940" w:type="dxa"/>
            <w:vAlign w:val="bottom"/>
          </w:tcPr>
          <w:p>
            <w:pPr>
              <w:spacing w:after="0"/>
              <w:rPr>
                <w:sz w:val="16"/>
                <w:szCs w:val="16"/>
                <w:color w:val="auto"/>
              </w:rPr>
            </w:pPr>
          </w:p>
        </w:tc>
        <w:tc>
          <w:tcPr>
            <w:tcW w:w="820" w:type="dxa"/>
            <w:vAlign w:val="bottom"/>
            <w:gridSpan w:val="3"/>
          </w:tcPr>
          <w:p>
            <w:pPr>
              <w:ind w:left="160"/>
              <w:spacing w:after="0"/>
              <w:rPr>
                <w:sz w:val="20"/>
                <w:szCs w:val="20"/>
                <w:color w:val="auto"/>
              </w:rPr>
            </w:pPr>
            <w:r>
              <w:rPr>
                <w:rFonts w:ascii="Arial" w:cs="Arial" w:eastAsia="Arial" w:hAnsi="Arial"/>
                <w:sz w:val="16"/>
                <w:szCs w:val="16"/>
                <w:color w:val="auto"/>
              </w:rPr>
              <w:t>Wind</w:t>
            </w:r>
          </w:p>
        </w:tc>
        <w:tc>
          <w:tcPr>
            <w:tcW w:w="640" w:type="dxa"/>
            <w:vAlign w:val="bottom"/>
            <w:gridSpan w:val="3"/>
          </w:tcPr>
          <w:p>
            <w:pPr>
              <w:jc w:val="center"/>
              <w:ind w:left="66"/>
              <w:spacing w:after="0"/>
              <w:rPr>
                <w:sz w:val="20"/>
                <w:szCs w:val="20"/>
                <w:color w:val="auto"/>
              </w:rPr>
            </w:pPr>
            <w:r>
              <w:rPr>
                <w:rFonts w:ascii="Arial" w:cs="Arial" w:eastAsia="Arial" w:hAnsi="Arial"/>
                <w:sz w:val="16"/>
                <w:szCs w:val="16"/>
                <w:color w:val="auto"/>
                <w:w w:val="82"/>
              </w:rPr>
              <w:t>110</w:t>
            </w:r>
          </w:p>
        </w:tc>
        <w:tc>
          <w:tcPr>
            <w:tcW w:w="160" w:type="dxa"/>
            <w:vAlign w:val="bottom"/>
          </w:tcPr>
          <w:p>
            <w:pPr>
              <w:spacing w:after="0"/>
              <w:rPr>
                <w:sz w:val="16"/>
                <w:szCs w:val="16"/>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rPr>
              <w:t>WV</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Wildflower</w:t>
            </w:r>
          </w:p>
        </w:tc>
        <w:tc>
          <w:tcPr>
            <w:tcW w:w="94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Solar</w:t>
            </w:r>
          </w:p>
        </w:tc>
        <w:tc>
          <w:tcPr>
            <w:tcW w:w="640" w:type="dxa"/>
            <w:vAlign w:val="bottom"/>
            <w:tcBorders>
              <w:right w:val="single" w:sz="8" w:color="CCEEFF"/>
            </w:tcBorders>
            <w:gridSpan w:val="3"/>
            <w:shd w:val="clear" w:color="auto" w:fill="CCEEFF"/>
          </w:tcPr>
          <w:p>
            <w:pPr>
              <w:jc w:val="center"/>
              <w:ind w:left="86"/>
              <w:spacing w:after="0"/>
              <w:rPr>
                <w:sz w:val="20"/>
                <w:szCs w:val="20"/>
                <w:color w:val="auto"/>
              </w:rPr>
            </w:pPr>
            <w:r>
              <w:rPr>
                <w:rFonts w:ascii="Arial" w:cs="Arial" w:eastAsia="Arial" w:hAnsi="Arial"/>
                <w:sz w:val="16"/>
                <w:szCs w:val="16"/>
                <w:color w:val="auto"/>
                <w:w w:val="89"/>
              </w:rPr>
              <w:t>100</w:t>
            </w:r>
          </w:p>
        </w:tc>
        <w:tc>
          <w:tcPr>
            <w:tcW w:w="16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1"/>
              </w:rPr>
              <w:t>MS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Arial" w:cs="Arial" w:eastAsia="Arial" w:hAnsi="Arial"/>
                <w:sz w:val="16"/>
                <w:szCs w:val="16"/>
                <w:color w:val="auto"/>
              </w:rPr>
              <w:t>Pinnacle Repowering</w:t>
            </w:r>
          </w:p>
        </w:tc>
        <w:tc>
          <w:tcPr>
            <w:tcW w:w="94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Arial" w:cs="Arial" w:eastAsia="Arial" w:hAnsi="Arial"/>
                <w:sz w:val="16"/>
                <w:szCs w:val="16"/>
                <w:color w:val="auto"/>
              </w:rPr>
              <w:t>Wind</w:t>
            </w:r>
          </w:p>
        </w:tc>
        <w:tc>
          <w:tcPr>
            <w:tcW w:w="480" w:type="dxa"/>
            <w:vAlign w:val="bottom"/>
            <w:gridSpan w:val="2"/>
          </w:tcPr>
          <w:p>
            <w:pPr>
              <w:jc w:val="center"/>
              <w:ind w:left="246"/>
              <w:spacing w:after="0"/>
              <w:rPr>
                <w:sz w:val="20"/>
                <w:szCs w:val="20"/>
                <w:color w:val="auto"/>
              </w:rPr>
            </w:pPr>
            <w:r>
              <w:rPr>
                <w:rFonts w:ascii="Arial" w:cs="Arial" w:eastAsia="Arial" w:hAnsi="Arial"/>
                <w:sz w:val="16"/>
                <w:szCs w:val="16"/>
                <w:color w:val="auto"/>
                <w:w w:val="89"/>
              </w:rPr>
              <w:t>55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rPr>
              <w:t>WV</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91"/>
        </w:trPr>
        <w:tc>
          <w:tcPr>
            <w:tcW w:w="1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0" w:right="540" w:hanging="478"/>
        <w:spacing w:after="0" w:line="275" w:lineRule="auto"/>
        <w:tabs>
          <w:tab w:leader="none" w:pos="1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December 26, 2018, we and CEG amended the DGPV Holdco 3 partnership agreement to increase the capital commitment of $50 million to $70 million.</w:t>
      </w:r>
    </w:p>
    <w:p>
      <w:pPr>
        <w:spacing w:after="0" w:line="185" w:lineRule="exact"/>
        <w:rPr>
          <w:rFonts w:ascii="Arial" w:cs="Arial" w:eastAsia="Arial" w:hAnsi="Arial"/>
          <w:sz w:val="16"/>
          <w:szCs w:val="16"/>
          <w:color w:val="auto"/>
        </w:rPr>
      </w:pPr>
    </w:p>
    <w:p>
      <w:pPr>
        <w:ind w:left="1600" w:hanging="478"/>
        <w:spacing w:after="0"/>
        <w:tabs>
          <w:tab w:leader="none" w:pos="1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January 8, 2020, CEG offered us the opportunity to acquire 100% of the equity interests in Rattlesnake.</w:t>
      </w:r>
    </w:p>
    <w:p>
      <w:pPr>
        <w:spacing w:after="0" w:line="204" w:lineRule="exact"/>
        <w:rPr>
          <w:sz w:val="20"/>
          <w:szCs w:val="20"/>
          <w:color w:val="auto"/>
        </w:rPr>
      </w:pPr>
    </w:p>
    <w:p>
      <w:pPr>
        <w:ind w:firstLine="316"/>
        <w:spacing w:after="0" w:line="258" w:lineRule="auto"/>
        <w:rPr>
          <w:sz w:val="20"/>
          <w:szCs w:val="20"/>
          <w:color w:val="auto"/>
        </w:rPr>
      </w:pPr>
      <w:r>
        <w:rPr>
          <w:rFonts w:ascii="Arial" w:cs="Arial" w:eastAsia="Arial" w:hAnsi="Arial"/>
          <w:sz w:val="16"/>
          <w:szCs w:val="16"/>
          <w:color w:val="auto"/>
        </w:rPr>
        <w:t>Prior to engaging in any negotiation regarding any disposition, sale or other transfer of any of the remaining CEG ROFO Assets, CEG will deliver a written notice to us setting forth the material terms and conditions of the proposed transaction. During the 30-day period after the delivery of such notice, we will negotiate with CEG in good faith to reach an agreement on the transaction. If we do not reach an agreement within such 30-day period, CEG will be able within the next 180 calendar days to sell, transfer, dispose or recontract such CEG ROFO Asset to a third party (or to agree in writing to undertake such transaction with a third party) on terms generally no less favorable to CEG than those offered pursuant to the written notice.</w:t>
      </w:r>
    </w:p>
    <w:p>
      <w:pPr>
        <w:spacing w:after="0" w:line="177" w:lineRule="exact"/>
        <w:rPr>
          <w:sz w:val="20"/>
          <w:szCs w:val="20"/>
          <w:color w:val="auto"/>
        </w:rPr>
      </w:pPr>
    </w:p>
    <w:p>
      <w:pPr>
        <w:ind w:right="140" w:firstLine="316"/>
        <w:spacing w:after="0" w:line="278" w:lineRule="auto"/>
        <w:rPr>
          <w:sz w:val="20"/>
          <w:szCs w:val="20"/>
          <w:color w:val="auto"/>
        </w:rPr>
      </w:pPr>
      <w:r>
        <w:rPr>
          <w:rFonts w:ascii="Arial" w:cs="Arial" w:eastAsia="Arial" w:hAnsi="Arial"/>
          <w:sz w:val="15"/>
          <w:szCs w:val="15"/>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us have responsibilities within CEG's broader asset management business. Notwithstanding the significance of the services to be rendered by CEG or their designated affiliates on our behalf or of the assets which we may elect to acquire from CEG in accordance with the terms of the CEG ROFO Agreement or otherwise, CEG does not owe fiduciary duties to us or our stockholders. Any material transaction with CEG (including the proposed acquisition of any CEG ROFO Asset) will be subject to our related person transaction policy, which will require prior approval of such transaction by our Corporate Governance, Conflicts and Nominating Committee.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Carlsbad Drop Down</w:t>
      </w:r>
    </w:p>
    <w:p>
      <w:pPr>
        <w:spacing w:after="0" w:line="204" w:lineRule="exact"/>
        <w:rPr>
          <w:sz w:val="20"/>
          <w:szCs w:val="20"/>
          <w:color w:val="auto"/>
        </w:rPr>
      </w:pPr>
    </w:p>
    <w:p>
      <w:pPr>
        <w:ind w:right="40" w:firstLine="316"/>
        <w:spacing w:after="0" w:line="304" w:lineRule="auto"/>
        <w:rPr>
          <w:sz w:val="20"/>
          <w:szCs w:val="20"/>
          <w:color w:val="auto"/>
        </w:rPr>
      </w:pPr>
      <w:r>
        <w:rPr>
          <w:rFonts w:ascii="Arial" w:cs="Arial" w:eastAsia="Arial" w:hAnsi="Arial"/>
          <w:sz w:val="14"/>
          <w:szCs w:val="14"/>
          <w:color w:val="auto"/>
        </w:rPr>
        <w:t>On December 6, 2019, the Company acquired 100% of GIP's membership interests in CBAD Holdings, LLC, which indirectly owns Carlsbad Energy Center LLC, a 527 megawatt natural gas fired power project located in Carlsbad, California, or the Carlsbad Drop Down Asset. The purchase price for the Carlsbad Drop Down was $184 million in cash, plus assumption of $803 million in project level financing including non-recourse senior secured notes. The acquisition was funded with proceeds from the Clearway Energy, Inc. equity issuance on December 2, 2019 for net proceeds of $100 million, as well as borrowings from the Company's revolving credit facility. The Carlsbad acquisition is the result of the Company having elected its option to purchase Carlsbad pursuant to the ROFO agreement, as amended, by and among the Company, CEG and GIP.</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PARTNERSHIPS WITH CEG</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DGPV Holdco 1 LLC</w:t>
      </w:r>
    </w:p>
    <w:p>
      <w:pPr>
        <w:spacing w:after="0" w:line="204" w:lineRule="exact"/>
        <w:rPr>
          <w:sz w:val="20"/>
          <w:szCs w:val="20"/>
          <w:color w:val="auto"/>
        </w:rPr>
      </w:pPr>
    </w:p>
    <w:p>
      <w:pPr>
        <w:ind w:right="220" w:firstLine="316"/>
        <w:spacing w:after="0" w:line="260" w:lineRule="auto"/>
        <w:rPr>
          <w:sz w:val="20"/>
          <w:szCs w:val="20"/>
          <w:color w:val="auto"/>
        </w:rPr>
      </w:pPr>
      <w:r>
        <w:rPr>
          <w:rFonts w:ascii="Arial" w:cs="Arial" w:eastAsia="Arial" w:hAnsi="Arial"/>
          <w:sz w:val="16"/>
          <w:szCs w:val="16"/>
          <w:color w:val="auto"/>
        </w:rPr>
        <w:t>DGPV Holding LLC, our wholly-owned subsidiary, and CEG are parties to the DGPV Holdco 1 LLC partnership ("DGPV Holdco 1"), the purpose of which is to own or purchase solar power generation projects and other ancillary related assets from CEG or its subsidiaries, via intermediate funds. The Company owns approximately 52 MW of distributed solar capacity, based on cash to be distributed, with a weighted average contract life of 16 years. Under this partnership, the Company committed to fund up to $100 million of capital.</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DGPV Holdco 2 LLC</w:t>
      </w:r>
    </w:p>
    <w:p>
      <w:pPr>
        <w:spacing w:after="0" w:line="204" w:lineRule="exact"/>
        <w:rPr>
          <w:sz w:val="20"/>
          <w:szCs w:val="20"/>
          <w:color w:val="auto"/>
        </w:rPr>
      </w:pPr>
    </w:p>
    <w:p>
      <w:pPr>
        <w:ind w:right="20" w:firstLine="316"/>
        <w:spacing w:after="0" w:line="260" w:lineRule="auto"/>
        <w:rPr>
          <w:sz w:val="20"/>
          <w:szCs w:val="20"/>
          <w:color w:val="auto"/>
        </w:rPr>
      </w:pPr>
      <w:r>
        <w:rPr>
          <w:rFonts w:ascii="Arial" w:cs="Arial" w:eastAsia="Arial" w:hAnsi="Arial"/>
          <w:sz w:val="16"/>
          <w:szCs w:val="16"/>
          <w:color w:val="auto"/>
        </w:rPr>
        <w:t>DGPV Holding LLC, our wholly-owned subsidiary, and CEG are parties to the DGPV Holdco 2 LLC partnership ("DGPV Holdco 2"), the purpose of which is to own or purchase solar power generation projects as well as other ancillary related assets from CEG or its subsidiaries, via intermediate funds. The Company owns approximately 113 MW of distributed solar capacity, based on cash to be distributed, with a weighted average contract life of 19 years. Under this partnership, the Company committed to fund up to $60 million of capital.</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DGPV Holdco 3 LLC</w:t>
      </w:r>
    </w:p>
    <w:p>
      <w:pPr>
        <w:spacing w:after="0" w:line="204" w:lineRule="exact"/>
        <w:rPr>
          <w:sz w:val="20"/>
          <w:szCs w:val="20"/>
          <w:color w:val="auto"/>
        </w:rPr>
      </w:pPr>
    </w:p>
    <w:p>
      <w:pPr>
        <w:ind w:right="160" w:firstLine="316"/>
        <w:spacing w:after="0" w:line="260" w:lineRule="auto"/>
        <w:rPr>
          <w:sz w:val="20"/>
          <w:szCs w:val="20"/>
          <w:color w:val="auto"/>
        </w:rPr>
      </w:pPr>
      <w:r>
        <w:rPr>
          <w:rFonts w:ascii="Arial" w:cs="Arial" w:eastAsia="Arial" w:hAnsi="Arial"/>
          <w:sz w:val="16"/>
          <w:szCs w:val="16"/>
          <w:color w:val="auto"/>
        </w:rPr>
        <w:t>DGPV Holding LLC, our wholly-owned subsidiary, and CEG are parties to the DGPV Holdco 3 LLC partnership ("DGPV Holdco 3"), in which the Company plans to invest up to $70 million in an operating portfolio of distributed solar assets, primarily comprised of community solar projects, developed by CEG. The Company owns approximately 112 MW of distributed solar capacity, based on cash to be distributed, with a weighted average contract life of approximately 21 years as of December 31, 2019. The Company had a $14 million payable due to DGPV Holdco 3 LLC as of December 31, 2019.</w:t>
      </w:r>
    </w:p>
    <w:p>
      <w:pPr>
        <w:spacing w:after="0" w:line="174" w:lineRule="exact"/>
        <w:rPr>
          <w:sz w:val="20"/>
          <w:szCs w:val="20"/>
          <w:color w:val="auto"/>
        </w:rPr>
      </w:pPr>
    </w:p>
    <w:p>
      <w:pPr>
        <w:ind w:right="400" w:firstLine="313"/>
        <w:spacing w:after="0" w:line="275" w:lineRule="auto"/>
        <w:rPr>
          <w:sz w:val="20"/>
          <w:szCs w:val="20"/>
          <w:color w:val="auto"/>
        </w:rPr>
      </w:pPr>
      <w:r>
        <w:rPr>
          <w:rFonts w:ascii="Arial" w:cs="Arial" w:eastAsia="Arial" w:hAnsi="Arial"/>
          <w:sz w:val="16"/>
          <w:szCs w:val="16"/>
          <w:color w:val="auto"/>
        </w:rPr>
        <w:t>The Company's maximum exposure to loss is limited to its equity investment in DGPV Holdco 1, DGPV Holdco 2 and DGPV Holdco 3, which was $318 million on a combined basis as of December 31, 2019.</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RPV Holdco 1 LLC</w:t>
      </w:r>
    </w:p>
    <w:p>
      <w:pPr>
        <w:spacing w:after="0" w:line="204" w:lineRule="exact"/>
        <w:rPr>
          <w:sz w:val="20"/>
          <w:szCs w:val="20"/>
          <w:color w:val="auto"/>
        </w:rPr>
      </w:pPr>
    </w:p>
    <w:p>
      <w:pPr>
        <w:ind w:firstLine="316"/>
        <w:spacing w:after="0" w:line="260" w:lineRule="auto"/>
        <w:rPr>
          <w:sz w:val="20"/>
          <w:szCs w:val="20"/>
          <w:color w:val="auto"/>
        </w:rPr>
      </w:pPr>
      <w:r>
        <w:rPr>
          <w:rFonts w:ascii="Arial" w:cs="Arial" w:eastAsia="Arial" w:hAnsi="Arial"/>
          <w:sz w:val="16"/>
          <w:szCs w:val="16"/>
          <w:color w:val="auto"/>
        </w:rPr>
        <w:t>RPV Holding LLC, our wholly-owned subsidiary, and CEG are parties to the RPV Holdco 1 LLC partnership ("RPV Holdco") that holds operating portfolios of residential solar assets developed by a subsidiary of CEG, including: (i) an existing, unlevered portfolio of approximately 2,100 leases across nine states representing approximately 14 MW, based on cash to be distributed, with a weighted average remaining lease term of approximately 13 years that was acquired outside the partnership; and (ii) a tax equity-financed portfolios of approximately 5,300 leases representing approximately 31 MW,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based on cash to be distributed, with an average lease term for the existing and new leases of approximately 15 years. The Company had fully funded the partnership as of December 31, 2017.</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Company's maximum exposure to loss is limited to its equity investment, which was $24 million as of December 31, 2019.</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Repowering Partnership</w:t>
      </w:r>
    </w:p>
    <w:p>
      <w:pPr>
        <w:spacing w:after="0" w:line="204" w:lineRule="exact"/>
        <w:rPr>
          <w:sz w:val="20"/>
          <w:szCs w:val="20"/>
          <w:color w:val="auto"/>
        </w:rPr>
      </w:pPr>
    </w:p>
    <w:p>
      <w:pPr>
        <w:ind w:firstLine="316"/>
        <w:spacing w:after="0" w:line="260" w:lineRule="auto"/>
        <w:rPr>
          <w:sz w:val="20"/>
          <w:szCs w:val="20"/>
          <w:color w:val="auto"/>
        </w:rPr>
      </w:pPr>
      <w:r>
        <w:rPr>
          <w:rFonts w:ascii="Arial" w:cs="Arial" w:eastAsia="Arial" w:hAnsi="Arial"/>
          <w:sz w:val="16"/>
          <w:szCs w:val="16"/>
          <w:color w:val="auto"/>
        </w:rPr>
        <w:t>On August 30, 2018, Wind TE Holdco, an indirect subsidiary of the Company, formed a partnership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w:t>
      </w:r>
    </w:p>
    <w:p>
      <w:pPr>
        <w:spacing w:after="0" w:line="174" w:lineRule="exact"/>
        <w:rPr>
          <w:sz w:val="20"/>
          <w:szCs w:val="20"/>
          <w:color w:val="auto"/>
        </w:rPr>
      </w:pPr>
    </w:p>
    <w:p>
      <w:pPr>
        <w:jc w:val="both"/>
        <w:ind w:right="100" w:firstLine="316"/>
        <w:spacing w:after="0" w:line="264" w:lineRule="auto"/>
        <w:rPr>
          <w:sz w:val="20"/>
          <w:szCs w:val="20"/>
          <w:color w:val="auto"/>
        </w:rPr>
      </w:pPr>
      <w:r>
        <w:rPr>
          <w:rFonts w:ascii="Arial" w:cs="Arial" w:eastAsia="Arial" w:hAnsi="Arial"/>
          <w:sz w:val="16"/>
          <w:szCs w:val="16"/>
          <w:color w:val="auto"/>
        </w:rPr>
        <w:t>On June 14, 2019, Repowering Partnership LLC was replaced with Repowering Partnership II LLC as the owner of the Elbow Creek and Wildorado Wind projects, as well as Repowering Partnership Holdco LLC. We invested $101.6 million in net corporate capital to fund the repowering of the wind facilities during the fourth quarter of 2019 and the first quarter of 2020. These assets have reached Repowering COD.</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Kawailoa Solar Partnership</w:t>
      </w:r>
    </w:p>
    <w:p>
      <w:pPr>
        <w:spacing w:after="0" w:line="204" w:lineRule="exact"/>
        <w:rPr>
          <w:sz w:val="20"/>
          <w:szCs w:val="20"/>
          <w:color w:val="auto"/>
        </w:rPr>
      </w:pPr>
    </w:p>
    <w:p>
      <w:pPr>
        <w:ind w:right="100" w:firstLine="316"/>
        <w:spacing w:after="0" w:line="264" w:lineRule="auto"/>
        <w:rPr>
          <w:sz w:val="20"/>
          <w:szCs w:val="20"/>
          <w:color w:val="auto"/>
        </w:rPr>
      </w:pPr>
      <w:r>
        <w:rPr>
          <w:rFonts w:ascii="Arial" w:cs="Arial" w:eastAsia="Arial" w:hAnsi="Arial"/>
          <w:sz w:val="16"/>
          <w:szCs w:val="16"/>
          <w:color w:val="auto"/>
        </w:rPr>
        <w:t>On May 1, 2019, the Company entered into a partnership with Clearway Renew LLC, a subsidiary of CEG, to own, finance, operate and maintain the Kawailoa Solar Partnership, which consists of the Kawailoa Solar Project, a 49 MW utility-scale solar generation project located in Oahu, Hawaii. The Company contributed $9 million into the partnership during the year ended December 31, 2019.</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Oahu Solar Partnership</w:t>
      </w:r>
    </w:p>
    <w:p>
      <w:pPr>
        <w:spacing w:after="0" w:line="204" w:lineRule="exact"/>
        <w:rPr>
          <w:sz w:val="20"/>
          <w:szCs w:val="20"/>
          <w:color w:val="auto"/>
        </w:rPr>
      </w:pPr>
    </w:p>
    <w:p>
      <w:pPr>
        <w:ind w:right="40" w:firstLine="316"/>
        <w:spacing w:after="0" w:line="260" w:lineRule="auto"/>
        <w:rPr>
          <w:sz w:val="20"/>
          <w:szCs w:val="20"/>
          <w:color w:val="auto"/>
        </w:rPr>
      </w:pPr>
      <w:r>
        <w:rPr>
          <w:rFonts w:ascii="Arial" w:cs="Arial" w:eastAsia="Arial" w:hAnsi="Arial"/>
          <w:sz w:val="16"/>
          <w:szCs w:val="16"/>
          <w:color w:val="auto"/>
        </w:rPr>
        <w:t>On March 8, 2019, the Company entered into a partnership with Clearway Renew LLC, a subsidiary of CEG, to own, finance, operate and maintain the Oahu Solar projects, which consist of Lanikuhana and Waipio, 15 MW and 46 MW utility-scale solar generation projects, respectively, located in Oahu, Hawaii, which both reached COD in September 2019 and began to sell power to HECO pursuant to the long-term power purchase agreements. The Company contributed $20 million into the partnership during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OPERATIONS AND MAINTENANCE AGREEMENTS</w:t>
      </w:r>
    </w:p>
    <w:p>
      <w:pPr>
        <w:spacing w:after="0" w:line="208" w:lineRule="exact"/>
        <w:rPr>
          <w:sz w:val="20"/>
          <w:szCs w:val="20"/>
          <w:color w:val="auto"/>
        </w:rPr>
      </w:pPr>
    </w:p>
    <w:p>
      <w:pPr>
        <w:ind w:right="180" w:firstLine="316"/>
        <w:spacing w:after="0" w:line="264" w:lineRule="auto"/>
        <w:rPr>
          <w:sz w:val="20"/>
          <w:szCs w:val="20"/>
          <w:color w:val="auto"/>
        </w:rPr>
      </w:pPr>
      <w:r>
        <w:rPr>
          <w:rFonts w:ascii="Arial" w:cs="Arial" w:eastAsia="Arial" w:hAnsi="Arial"/>
          <w:sz w:val="16"/>
          <w:szCs w:val="16"/>
          <w:color w:val="auto"/>
        </w:rPr>
        <w:t>CEG provides operations and maintenance ("O&amp;M") and day-to-day operational support to our utility scale solar and wind facilities in accordance with O&amp;M agreements with us. Each of the counterparties to the O&amp;M agreements is an affiliate of CEG. The O&amp;M agreements for which the amount paid to CEG exceeded $120,000 during fiscal year 2019 are described in the table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Under these O&amp;M agreements, we generally pay an annual or monthly fee, which may be subject to annual adjustment, plus any reimbursable expenses.</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Approximate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w w:val="96"/>
              </w:rPr>
              <w:t>Amount</w:t>
            </w:r>
          </w:p>
        </w:tc>
        <w:tc>
          <w:tcPr>
            <w:tcW w:w="0" w:type="dxa"/>
            <w:vAlign w:val="bottom"/>
          </w:tcPr>
          <w:p>
            <w:pPr>
              <w:spacing w:after="0"/>
              <w:rPr>
                <w:sz w:val="1"/>
                <w:szCs w:val="1"/>
                <w:color w:val="auto"/>
              </w:rPr>
            </w:pPr>
          </w:p>
        </w:tc>
      </w:tr>
      <w:tr>
        <w:trPr>
          <w:trHeight w:val="146"/>
        </w:trPr>
        <w:tc>
          <w:tcPr>
            <w:tcW w:w="1640" w:type="dxa"/>
            <w:vAlign w:val="bottom"/>
            <w:gridSpan w:val="3"/>
          </w:tcPr>
          <w:p>
            <w:pPr>
              <w:spacing w:after="0"/>
              <w:rPr>
                <w:sz w:val="20"/>
                <w:szCs w:val="20"/>
                <w:color w:val="auto"/>
              </w:rPr>
            </w:pPr>
            <w:r>
              <w:rPr>
                <w:rFonts w:ascii="Arial" w:cs="Arial" w:eastAsia="Arial" w:hAnsi="Arial"/>
                <w:sz w:val="12"/>
                <w:szCs w:val="12"/>
                <w:b w:val="1"/>
                <w:bCs w:val="1"/>
                <w:color w:val="auto"/>
              </w:rPr>
              <w:t>Project</w:t>
            </w:r>
          </w:p>
        </w:tc>
        <w:tc>
          <w:tcPr>
            <w:tcW w:w="420" w:type="dxa"/>
            <w:vAlign w:val="bottom"/>
          </w:tcPr>
          <w:p>
            <w:pPr>
              <w:spacing w:after="0"/>
              <w:rPr>
                <w:sz w:val="12"/>
                <w:szCs w:val="12"/>
                <w:color w:val="auto"/>
              </w:rPr>
            </w:pPr>
          </w:p>
        </w:tc>
        <w:tc>
          <w:tcPr>
            <w:tcW w:w="5780" w:type="dxa"/>
            <w:vAlign w:val="bottom"/>
          </w:tcPr>
          <w:p>
            <w:pPr>
              <w:ind w:left="2280"/>
              <w:spacing w:after="0"/>
              <w:rPr>
                <w:sz w:val="20"/>
                <w:szCs w:val="20"/>
                <w:color w:val="auto"/>
              </w:rPr>
            </w:pPr>
            <w:r>
              <w:rPr>
                <w:rFonts w:ascii="Arial" w:cs="Arial" w:eastAsia="Arial" w:hAnsi="Arial"/>
                <w:sz w:val="12"/>
                <w:szCs w:val="12"/>
                <w:b w:val="1"/>
                <w:bCs w:val="1"/>
                <w:color w:val="auto"/>
              </w:rPr>
              <w:t>Agreement 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Paid to CEG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Utility-Scale Solar</w:t>
            </w:r>
          </w:p>
        </w:tc>
        <w:tc>
          <w:tcPr>
            <w:tcW w:w="420" w:type="dxa"/>
            <w:vAlign w:val="bottom"/>
            <w:shd w:val="clear" w:color="auto" w:fill="CCEEFF"/>
          </w:tcPr>
          <w:p>
            <w:pPr>
              <w:spacing w:after="0"/>
              <w:rPr>
                <w:sz w:val="16"/>
                <w:szCs w:val="16"/>
                <w:color w:val="auto"/>
              </w:rPr>
            </w:pPr>
          </w:p>
        </w:tc>
        <w:tc>
          <w:tcPr>
            <w:tcW w:w="5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Avenal</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January 31, 2011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467,000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Borrego</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August 1, 2012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Buckthorn Solar</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May 22, 2017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214,000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CVSR</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September 30, 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Kansas South</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June 13, 2017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625,000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Solar Blythe</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November 1, 2017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TA High Desert</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June 9, 2017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534,000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Wind</w:t>
            </w:r>
          </w:p>
        </w:tc>
        <w:tc>
          <w:tcPr>
            <w:tcW w:w="420" w:type="dxa"/>
            <w:vAlign w:val="bottom"/>
            <w:shd w:val="clear" w:color="auto" w:fill="CCEEFF"/>
          </w:tcPr>
          <w:p>
            <w:pPr>
              <w:spacing w:after="0"/>
              <w:rPr>
                <w:sz w:val="16"/>
                <w:szCs w:val="16"/>
                <w:color w:val="auto"/>
              </w:rPr>
            </w:pPr>
          </w:p>
        </w:tc>
        <w:tc>
          <w:tcPr>
            <w:tcW w:w="5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Alta Wind X</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December 12, 2016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1,412,000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Alta Wind XI</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December 12, 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Alta Wind I</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December 12, 2016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1,437,000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Alta Wind II</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December 12, 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Alta Wind III</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December 12, 2016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468,000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Alta Wind IV</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December 12, 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Alta Wind V</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December 12, 2016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452,000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Buffalo Bear</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May 1, 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Crosswinds</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May 1, 2016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343,000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Elbow Creek</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October 31, 2018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Elkhorn Ridge</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May 9, 2008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482,000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Forward</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October 20, 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Goat Wind</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February 18, 2008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1,999,000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Hardin</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May 1, 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Laredo Ridge</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December 24, 2015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946,000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Lookout</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February 11, 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Odin</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September 16, 2016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538,000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Pinnacle</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December 1, 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San Juan Mesa</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December 27, 2005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1,664,000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Sleeping Bear</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May 1, 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Spanish Fork</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September 16, 2016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399,000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South Trent</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Management O&amp;M Agreement, dated October 1, 2015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i w:val="1"/>
                <w:iCs w:val="1"/>
                <w:color w:val="auto"/>
              </w:rPr>
              <w:t>Taloga</w:t>
            </w:r>
          </w:p>
        </w:tc>
        <w:tc>
          <w:tcPr>
            <w:tcW w:w="6200" w:type="dxa"/>
            <w:vAlign w:val="bottom"/>
            <w:gridSpan w:val="2"/>
          </w:tcPr>
          <w:p>
            <w:pPr>
              <w:ind w:left="420"/>
              <w:spacing w:after="0"/>
              <w:rPr>
                <w:sz w:val="20"/>
                <w:szCs w:val="20"/>
                <w:color w:val="auto"/>
              </w:rPr>
            </w:pPr>
            <w:r>
              <w:rPr>
                <w:rFonts w:ascii="Arial" w:cs="Arial" w:eastAsia="Arial" w:hAnsi="Arial"/>
                <w:sz w:val="16"/>
                <w:szCs w:val="16"/>
                <w:color w:val="auto"/>
              </w:rPr>
              <w:t>O&amp;M Agreement, dated July 1, 2016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2,485,000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Wildorado</w:t>
            </w: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O&amp;M Agreement, dated February 11, 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MANAGEMENT AND ADMINISTRATIVE SERVICES AGREEMENTS</w:t>
      </w:r>
    </w:p>
    <w:p>
      <w:pPr>
        <w:spacing w:after="0" w:line="208" w:lineRule="exact"/>
        <w:rPr>
          <w:sz w:val="20"/>
          <w:szCs w:val="20"/>
          <w:color w:val="auto"/>
        </w:rPr>
      </w:pPr>
    </w:p>
    <w:p>
      <w:pPr>
        <w:ind w:firstLine="316"/>
        <w:spacing w:after="0" w:line="275" w:lineRule="auto"/>
        <w:rPr>
          <w:sz w:val="20"/>
          <w:szCs w:val="20"/>
          <w:color w:val="auto"/>
        </w:rPr>
      </w:pPr>
      <w:r>
        <w:rPr>
          <w:rFonts w:ascii="Arial" w:cs="Arial" w:eastAsia="Arial" w:hAnsi="Arial"/>
          <w:sz w:val="16"/>
          <w:szCs w:val="16"/>
          <w:color w:val="auto"/>
        </w:rPr>
        <w:t>CEG provides day-to-day administrative support to certain of our project-level entities in accordance with asset management and administrative services agreements (the "ASAs"). The ASAs for which the amount involved exceeded $120,000 during fiscal year 2019 are described in the table below.</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Under these agreements, we generally pay an annual or monthly fee, which may be subject to annual adjustment, plus any reimbursable expenses.</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Approximate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46"/>
        </w:trPr>
        <w:tc>
          <w:tcPr>
            <w:tcW w:w="1840" w:type="dxa"/>
            <w:vAlign w:val="bottom"/>
            <w:gridSpan w:val="3"/>
          </w:tcPr>
          <w:p>
            <w:pPr>
              <w:spacing w:after="0"/>
              <w:rPr>
                <w:sz w:val="20"/>
                <w:szCs w:val="20"/>
                <w:color w:val="auto"/>
              </w:rPr>
            </w:pPr>
            <w:r>
              <w:rPr>
                <w:rFonts w:ascii="Arial" w:cs="Arial" w:eastAsia="Arial" w:hAnsi="Arial"/>
                <w:sz w:val="12"/>
                <w:szCs w:val="12"/>
                <w:b w:val="1"/>
                <w:bCs w:val="1"/>
                <w:color w:val="auto"/>
              </w:rPr>
              <w:t>Project</w:t>
            </w:r>
          </w:p>
        </w:tc>
        <w:tc>
          <w:tcPr>
            <w:tcW w:w="220" w:type="dxa"/>
            <w:vAlign w:val="bottom"/>
          </w:tcPr>
          <w:p>
            <w:pPr>
              <w:spacing w:after="0"/>
              <w:rPr>
                <w:sz w:val="12"/>
                <w:szCs w:val="12"/>
                <w:color w:val="auto"/>
              </w:rPr>
            </w:pPr>
          </w:p>
        </w:tc>
        <w:tc>
          <w:tcPr>
            <w:tcW w:w="5800" w:type="dxa"/>
            <w:vAlign w:val="bottom"/>
          </w:tcPr>
          <w:p>
            <w:pPr>
              <w:ind w:left="2300"/>
              <w:spacing w:after="0"/>
              <w:rPr>
                <w:sz w:val="20"/>
                <w:szCs w:val="20"/>
                <w:color w:val="auto"/>
              </w:rPr>
            </w:pPr>
            <w:r>
              <w:rPr>
                <w:rFonts w:ascii="Arial" w:cs="Arial" w:eastAsia="Arial" w:hAnsi="Arial"/>
                <w:sz w:val="12"/>
                <w:szCs w:val="12"/>
                <w:b w:val="1"/>
                <w:bCs w:val="1"/>
                <w:color w:val="auto"/>
              </w:rPr>
              <w:t>Agreement 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Paid to CEG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Utility-Scale Solar</w:t>
            </w:r>
          </w:p>
        </w:tc>
        <w:tc>
          <w:tcPr>
            <w:tcW w:w="220" w:type="dxa"/>
            <w:vAlign w:val="bottom"/>
            <w:shd w:val="clear" w:color="auto" w:fill="CCEEFF"/>
          </w:tcPr>
          <w:p>
            <w:pPr>
              <w:spacing w:after="0"/>
              <w:rPr>
                <w:sz w:val="16"/>
                <w:szCs w:val="16"/>
                <w:color w:val="auto"/>
              </w:rPr>
            </w:pPr>
          </w:p>
        </w:tc>
        <w:tc>
          <w:tcPr>
            <w:tcW w:w="5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6"/>
                <w:szCs w:val="16"/>
                <w:i w:val="1"/>
                <w:iCs w:val="1"/>
                <w:color w:val="auto"/>
              </w:rPr>
              <w:t>Alpine</w:t>
            </w: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Asset Management Agreement, dated March 15, 2012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142,000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CVSR Holdco</w:t>
            </w: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Asset Management Agreement, dated April 26, 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6"/>
                <w:szCs w:val="16"/>
                <w:i w:val="1"/>
                <w:iCs w:val="1"/>
                <w:color w:val="auto"/>
              </w:rPr>
              <w:t>Utah Solar Holdings LLC</w:t>
            </w: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Master Management Agreement, dated March 27, 2017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261,000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SPP Fund III</w:t>
            </w: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Asset Management Agreement, dated October 31, 2017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6"/>
                <w:szCs w:val="16"/>
                <w:i w:val="1"/>
                <w:iCs w:val="1"/>
                <w:color w:val="auto"/>
              </w:rPr>
              <w:t>SPP P-IV Master Lessee</w:t>
            </w: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Asset Management Agreement, dated July 12, 2012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161,000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Wind</w:t>
            </w:r>
          </w:p>
        </w:tc>
        <w:tc>
          <w:tcPr>
            <w:tcW w:w="220" w:type="dxa"/>
            <w:vAlign w:val="bottom"/>
            <w:shd w:val="clear" w:color="auto" w:fill="CCEEFF"/>
          </w:tcPr>
          <w:p>
            <w:pPr>
              <w:spacing w:after="0"/>
              <w:rPr>
                <w:sz w:val="16"/>
                <w:szCs w:val="16"/>
                <w:color w:val="auto"/>
              </w:rPr>
            </w:pPr>
          </w:p>
        </w:tc>
        <w:tc>
          <w:tcPr>
            <w:tcW w:w="5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6"/>
                <w:szCs w:val="16"/>
                <w:i w:val="1"/>
                <w:iCs w:val="1"/>
                <w:color w:val="auto"/>
              </w:rPr>
              <w:t>Buffalo Bear</w:t>
            </w: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Amended and Restated Services Agreement, dated September 15, 2011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164,000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Elbow Creek</w:t>
            </w: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Project Administration Agreement, dated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6"/>
                <w:szCs w:val="16"/>
                <w:i w:val="1"/>
                <w:iCs w:val="1"/>
                <w:color w:val="auto"/>
              </w:rPr>
              <w:t>Forward</w:t>
            </w: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Services Agreement, dated January 1, 2012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257,000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Laredo Ridge</w:t>
            </w: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Support Services Agreement, dated May 27, 2010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6"/>
                <w:szCs w:val="16"/>
                <w:i w:val="1"/>
                <w:iCs w:val="1"/>
                <w:color w:val="auto"/>
              </w:rPr>
              <w:t>Lookout</w:t>
            </w: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Services Agreement, dated January 1, 2012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257,000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Wind TE Holdco LLC</w:t>
            </w: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Services Agreement, dated November 3, 2014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6"/>
                <w:szCs w:val="16"/>
                <w:i w:val="1"/>
                <w:iCs w:val="1"/>
                <w:color w:val="auto"/>
              </w:rPr>
              <w:t>Pinnacle</w:t>
            </w: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Amended and Restated Services Agreement, dated September 15, 2011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177,000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Sleeping Bear</w:t>
            </w: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Services Agreement, dated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6"/>
                <w:szCs w:val="16"/>
                <w:i w:val="1"/>
                <w:iCs w:val="1"/>
                <w:color w:val="auto"/>
              </w:rPr>
              <w:t>South Trent</w:t>
            </w: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Project Administration Agreement, dated October 1, 2015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247,000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Spanish Fork</w:t>
            </w: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Services Agreement, dated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6"/>
                <w:szCs w:val="16"/>
                <w:i w:val="1"/>
                <w:iCs w:val="1"/>
                <w:color w:val="auto"/>
              </w:rPr>
              <w:t>Taloga</w:t>
            </w:r>
          </w:p>
        </w:tc>
        <w:tc>
          <w:tcPr>
            <w:tcW w:w="6020" w:type="dxa"/>
            <w:vAlign w:val="bottom"/>
            <w:gridSpan w:val="2"/>
          </w:tcPr>
          <w:p>
            <w:pPr>
              <w:ind w:left="220"/>
              <w:spacing w:after="0"/>
              <w:rPr>
                <w:sz w:val="20"/>
                <w:szCs w:val="20"/>
                <w:color w:val="auto"/>
              </w:rPr>
            </w:pPr>
            <w:r>
              <w:rPr>
                <w:rFonts w:ascii="Arial" w:cs="Arial" w:eastAsia="Arial" w:hAnsi="Arial"/>
                <w:sz w:val="16"/>
                <w:szCs w:val="16"/>
                <w:color w:val="auto"/>
              </w:rPr>
              <w:t>Services Agreement, dated November 20, 2012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164,000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Viento Funding II, Inc</w:t>
            </w:r>
            <w:r>
              <w:rPr>
                <w:rFonts w:ascii="Arial" w:cs="Arial" w:eastAsia="Arial" w:hAnsi="Arial"/>
                <w:sz w:val="16"/>
                <w:szCs w:val="16"/>
                <w:color w:val="auto"/>
              </w:rPr>
              <w:t>.</w:t>
            </w: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Management and Administration Agreement, dated July 1, 2013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REIMBURSEMENTS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2019, we paid approximately $7,839,000 for insurance premium reimbursements to CEG.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AMENDED AND RESTATED LIMITED LIABILITY COMPANY AGREEMENT OF CLEARWAY ENERGY LLC</w:t>
      </w:r>
    </w:p>
    <w:p>
      <w:pPr>
        <w:spacing w:after="0" w:line="208" w:lineRule="exact"/>
        <w:rPr>
          <w:sz w:val="20"/>
          <w:szCs w:val="20"/>
          <w:color w:val="auto"/>
        </w:rPr>
      </w:pPr>
    </w:p>
    <w:p>
      <w:pPr>
        <w:ind w:right="260" w:firstLine="313"/>
        <w:spacing w:after="0" w:line="264" w:lineRule="auto"/>
        <w:rPr>
          <w:sz w:val="20"/>
          <w:szCs w:val="20"/>
          <w:color w:val="auto"/>
        </w:rPr>
      </w:pPr>
      <w:r>
        <w:rPr>
          <w:rFonts w:ascii="Arial" w:cs="Arial" w:eastAsia="Arial" w:hAnsi="Arial"/>
          <w:sz w:val="16"/>
          <w:szCs w:val="16"/>
          <w:color w:val="auto"/>
        </w:rPr>
        <w:t>The following is a description of the material terms of Clearway Energy LLC's Fourth Amended and Restated Limited Liability Company Agreement (the "LLC Agreement"). For the year ended December 31, 2019, Clearway Energy LLC made approximately $86,344,000 in distributions to us and $68,382,000 to CEG (the holder of Class B and Class D units).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Governance</w:t>
      </w:r>
    </w:p>
    <w:p>
      <w:pPr>
        <w:spacing w:after="0" w:line="204" w:lineRule="exact"/>
        <w:rPr>
          <w:sz w:val="20"/>
          <w:szCs w:val="20"/>
          <w:color w:val="auto"/>
        </w:rPr>
      </w:pPr>
    </w:p>
    <w:p>
      <w:pPr>
        <w:ind w:firstLine="313"/>
        <w:spacing w:after="0" w:line="275" w:lineRule="auto"/>
        <w:rPr>
          <w:sz w:val="20"/>
          <w:szCs w:val="20"/>
          <w:color w:val="auto"/>
        </w:rPr>
      </w:pPr>
      <w:r>
        <w:rPr>
          <w:rFonts w:ascii="Arial" w:cs="Arial" w:eastAsia="Arial" w:hAnsi="Arial"/>
          <w:sz w:val="16"/>
          <w:szCs w:val="16"/>
          <w:color w:val="auto"/>
        </w:rPr>
        <w:t>We serve as the sole managing member of Clearway Energy LLC. As such, we and effectively our Board, control the business and affairs of Clearway Energy LLC and are responsible for the management of its business.</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Voting and Economic Rights of Members</w:t>
      </w:r>
    </w:p>
    <w:p>
      <w:pPr>
        <w:spacing w:after="0" w:line="204" w:lineRule="exact"/>
        <w:rPr>
          <w:sz w:val="20"/>
          <w:szCs w:val="20"/>
          <w:color w:val="auto"/>
        </w:rPr>
      </w:pPr>
    </w:p>
    <w:p>
      <w:pPr>
        <w:ind w:right="40" w:firstLine="316"/>
        <w:spacing w:after="0" w:line="280" w:lineRule="auto"/>
        <w:rPr>
          <w:sz w:val="20"/>
          <w:szCs w:val="20"/>
          <w:color w:val="auto"/>
        </w:rPr>
      </w:pPr>
      <w:r>
        <w:rPr>
          <w:rFonts w:ascii="Arial" w:cs="Arial" w:eastAsia="Arial" w:hAnsi="Arial"/>
          <w:sz w:val="15"/>
          <w:szCs w:val="15"/>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stock splits, dividends and reclassifications in accordance with the terms of the Exchange Agreement (as described below).</w:t>
      </w:r>
    </w:p>
    <w:p>
      <w:pPr>
        <w:spacing w:after="0" w:line="204" w:lineRule="exact"/>
        <w:rPr>
          <w:sz w:val="20"/>
          <w:szCs w:val="20"/>
          <w:color w:val="auto"/>
        </w:rPr>
      </w:pPr>
    </w:p>
    <w:p>
      <w:pPr>
        <w:ind w:right="100" w:firstLine="316"/>
        <w:spacing w:after="0" w:line="264" w:lineRule="auto"/>
        <w:rPr>
          <w:sz w:val="20"/>
          <w:szCs w:val="20"/>
          <w:color w:val="auto"/>
        </w:rPr>
      </w:pPr>
      <w:r>
        <w:rPr>
          <w:rFonts w:ascii="Arial" w:cs="Arial" w:eastAsia="Arial" w:hAnsi="Arial"/>
          <w:sz w:val="16"/>
          <w:szCs w:val="16"/>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Coordination with Clearway Energy LLC</w:t>
      </w:r>
    </w:p>
    <w:p>
      <w:pPr>
        <w:spacing w:after="0" w:line="204" w:lineRule="exact"/>
        <w:rPr>
          <w:sz w:val="20"/>
          <w:szCs w:val="20"/>
          <w:color w:val="auto"/>
        </w:rPr>
      </w:pPr>
    </w:p>
    <w:p>
      <w:pPr>
        <w:ind w:right="120" w:firstLine="307"/>
        <w:spacing w:after="0" w:line="275" w:lineRule="auto"/>
        <w:rPr>
          <w:sz w:val="20"/>
          <w:szCs w:val="20"/>
          <w:color w:val="auto"/>
        </w:rPr>
      </w:pPr>
      <w:r>
        <w:rPr>
          <w:rFonts w:ascii="Arial" w:cs="Arial" w:eastAsia="Arial" w:hAnsi="Arial"/>
          <w:sz w:val="16"/>
          <w:szCs w:val="16"/>
          <w:color w:val="auto"/>
        </w:rPr>
        <w:t>Any time we issue a share of Class A common stock or a share of our Class C common stock for cash, the net proceeds therefrom will promptly be transferred to Clearway Energy LLC, and Clearway Energy LLC will either:</w:t>
      </w:r>
    </w:p>
    <w:p>
      <w:pPr>
        <w:spacing w:after="0" w:line="173" w:lineRule="exact"/>
        <w:rPr>
          <w:sz w:val="20"/>
          <w:szCs w:val="20"/>
          <w:color w:val="auto"/>
        </w:rPr>
      </w:pPr>
    </w:p>
    <w:p>
      <w:pPr>
        <w:ind w:left="960" w:right="40" w:hanging="477"/>
        <w:spacing w:after="0" w:line="275"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185" w:lineRule="exact"/>
        <w:rPr>
          <w:rFonts w:ascii="Arial" w:cs="Arial" w:eastAsia="Arial" w:hAnsi="Arial"/>
          <w:sz w:val="16"/>
          <w:szCs w:val="16"/>
          <w:color w:val="auto"/>
        </w:rPr>
      </w:pPr>
    </w:p>
    <w:p>
      <w:pPr>
        <w:ind w:left="960" w:hanging="477"/>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use the net proceeds to purchase a Class B unit of Clearway Energy LLC from CEG in the case of the issuance of a share of Class A common stock, which</w:t>
      </w:r>
    </w:p>
    <w:p>
      <w:pPr>
        <w:spacing w:after="0" w:line="39" w:lineRule="exact"/>
        <w:rPr>
          <w:rFonts w:ascii="Arial" w:cs="Arial" w:eastAsia="Arial" w:hAnsi="Arial"/>
          <w:sz w:val="14"/>
          <w:szCs w:val="14"/>
          <w:color w:val="auto"/>
        </w:rPr>
      </w:pPr>
    </w:p>
    <w:p>
      <w:pPr>
        <w:ind w:left="960" w:right="20"/>
        <w:spacing w:after="0" w:line="260" w:lineRule="auto"/>
        <w:rPr>
          <w:rFonts w:ascii="Arial" w:cs="Arial" w:eastAsia="Arial" w:hAnsi="Arial"/>
          <w:sz w:val="14"/>
          <w:szCs w:val="14"/>
          <w:color w:val="auto"/>
        </w:rPr>
      </w:pPr>
      <w:r>
        <w:rPr>
          <w:rFonts w:ascii="Arial" w:cs="Arial" w:eastAsia="Arial" w:hAnsi="Arial"/>
          <w:sz w:val="16"/>
          <w:szCs w:val="16"/>
          <w:color w:val="auto"/>
        </w:rPr>
        <w:t>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w:t>
      </w:r>
    </w:p>
    <w:p>
      <w:pPr>
        <w:spacing w:after="0" w:line="173" w:lineRule="exact"/>
        <w:rPr>
          <w:sz w:val="20"/>
          <w:szCs w:val="20"/>
          <w:color w:val="auto"/>
        </w:rPr>
      </w:pPr>
    </w:p>
    <w:p>
      <w:pPr>
        <w:jc w:val="both"/>
        <w:ind w:right="480" w:firstLine="316"/>
        <w:spacing w:after="0" w:line="264" w:lineRule="auto"/>
        <w:rPr>
          <w:sz w:val="20"/>
          <w:szCs w:val="20"/>
          <w:color w:val="auto"/>
        </w:rPr>
      </w:pPr>
      <w:r>
        <w:rPr>
          <w:rFonts w:ascii="Arial" w:cs="Arial" w:eastAsia="Arial" w:hAnsi="Arial"/>
          <w:sz w:val="16"/>
          <w:szCs w:val="16"/>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AGREEMENT</w:t>
      </w:r>
    </w:p>
    <w:p>
      <w:pPr>
        <w:spacing w:after="0" w:line="208" w:lineRule="exact"/>
        <w:rPr>
          <w:sz w:val="20"/>
          <w:szCs w:val="20"/>
          <w:color w:val="auto"/>
        </w:rPr>
      </w:pPr>
    </w:p>
    <w:p>
      <w:pPr>
        <w:ind w:right="80" w:firstLine="313"/>
        <w:spacing w:after="0" w:line="258" w:lineRule="auto"/>
        <w:rPr>
          <w:sz w:val="20"/>
          <w:szCs w:val="20"/>
          <w:color w:val="auto"/>
        </w:rPr>
      </w:pPr>
      <w:r>
        <w:rPr>
          <w:rFonts w:ascii="Arial" w:cs="Arial" w:eastAsia="Arial" w:hAnsi="Arial"/>
          <w:sz w:val="16"/>
          <w:szCs w:val="16"/>
          <w:color w:val="auto"/>
        </w:rPr>
        <w:t>We entered into an Amended and Restated Exchange Agreement with NRG (the "Exchange Agreement"), which was assigned to CEG upon the GIP Transaction. Under the Exchange Agreement, CEG (and certain permitted assignees and permitted transferees who acquire Class B units or Class D units of Clearway Energy LLC) may from time to time cause Clearway Energy LLC to exchange their Class B units for shares of our Class A common stock on a one-for-one basis, subject to adjustments for stock splits, stock dividends and reclassifications, or exchange their Class D units for shares of our Class C common stock on a one-for-one basis, subject to equitable adjustments for stock splits, stock dividends and reclassifications.</w:t>
      </w:r>
    </w:p>
    <w:p>
      <w:pPr>
        <w:spacing w:after="0" w:line="177" w:lineRule="exact"/>
        <w:rPr>
          <w:sz w:val="20"/>
          <w:szCs w:val="20"/>
          <w:color w:val="auto"/>
        </w:rPr>
      </w:pPr>
    </w:p>
    <w:p>
      <w:pPr>
        <w:ind w:firstLine="313"/>
        <w:spacing w:after="0" w:line="304" w:lineRule="auto"/>
        <w:rPr>
          <w:sz w:val="20"/>
          <w:szCs w:val="20"/>
          <w:color w:val="auto"/>
        </w:rPr>
      </w:pPr>
      <w:r>
        <w:rPr>
          <w:rFonts w:ascii="Arial" w:cs="Arial" w:eastAsia="Arial" w:hAnsi="Arial"/>
          <w:sz w:val="14"/>
          <w:szCs w:val="14"/>
          <w:color w:val="auto"/>
        </w:rPr>
        <w:t>When CEG or its permitted transferee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CEG or its permitted transferee exchanges a Class D unit of Clearway Energy LLC for a share of our Class C common stock, we will automatically redeem and cancel a corresponding share of our Class D common stock and the Class D unit will automatically convert into a Class C unit when issued to us. As a result, when a holder exchanges its Class B units for shares of our Class A common stock, or its Class D units for shares of our Class C common stock, our interest in Clearway Energy LLC will be correspondingly increased.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 AGREEMENT</w:t>
      </w:r>
    </w:p>
    <w:p>
      <w:pPr>
        <w:spacing w:after="0" w:line="208" w:lineRule="exact"/>
        <w:rPr>
          <w:sz w:val="20"/>
          <w:szCs w:val="20"/>
          <w:color w:val="auto"/>
        </w:rPr>
      </w:pPr>
    </w:p>
    <w:p>
      <w:pPr>
        <w:ind w:right="220" w:firstLine="313"/>
        <w:spacing w:after="0" w:line="309" w:lineRule="auto"/>
        <w:rPr>
          <w:sz w:val="20"/>
          <w:szCs w:val="20"/>
          <w:color w:val="auto"/>
        </w:rPr>
      </w:pPr>
      <w:r>
        <w:rPr>
          <w:rFonts w:ascii="Arial" w:cs="Arial" w:eastAsia="Arial" w:hAnsi="Arial"/>
          <w:sz w:val="14"/>
          <w:szCs w:val="14"/>
          <w:color w:val="auto"/>
        </w:rPr>
        <w:t>We entered into an Amended and Restated Registration Rights Agreement with NRG (the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PROCEDURES FOR REVIEW, APPROVAL AND RATIFICATION OF RELATED PERSON TRANSACTIONS; CONFLICTS OF INTEREST</w:t>
      </w:r>
    </w:p>
    <w:p>
      <w:pPr>
        <w:spacing w:after="0" w:line="208" w:lineRule="exact"/>
        <w:rPr>
          <w:sz w:val="20"/>
          <w:szCs w:val="20"/>
          <w:color w:val="auto"/>
        </w:rPr>
      </w:pPr>
    </w:p>
    <w:p>
      <w:pPr>
        <w:jc w:val="both"/>
        <w:ind w:right="200" w:firstLine="316"/>
        <w:spacing w:after="0" w:line="289" w:lineRule="auto"/>
        <w:rPr>
          <w:sz w:val="20"/>
          <w:szCs w:val="20"/>
          <w:color w:val="auto"/>
        </w:rPr>
      </w:pPr>
      <w:r>
        <w:rPr>
          <w:rFonts w:ascii="Arial" w:cs="Arial" w:eastAsia="Arial" w:hAnsi="Arial"/>
          <w:sz w:val="15"/>
          <w:szCs w:val="15"/>
          <w:color w:val="auto"/>
        </w:rPr>
        <w:t>Our Board has adopted a written Related Person Transaction Policy (the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Company—Corporate Governance, Conflicts and Nominating Committee."</w:t>
      </w:r>
    </w:p>
    <w:p>
      <w:pPr>
        <w:spacing w:after="0" w:line="154" w:lineRule="exact"/>
        <w:rPr>
          <w:sz w:val="20"/>
          <w:szCs w:val="20"/>
          <w:color w:val="auto"/>
        </w:rPr>
      </w:pPr>
    </w:p>
    <w:p>
      <w:pPr>
        <w:ind w:right="20" w:firstLine="313"/>
        <w:spacing w:after="0" w:line="275" w:lineRule="auto"/>
        <w:rPr>
          <w:sz w:val="20"/>
          <w:szCs w:val="20"/>
          <w:color w:val="auto"/>
        </w:rPr>
      </w:pPr>
      <w:r>
        <w:rPr>
          <w:rFonts w:ascii="Arial" w:cs="Arial" w:eastAsia="Arial" w:hAnsi="Arial"/>
          <w:sz w:val="16"/>
          <w:szCs w:val="16"/>
          <w:color w:val="auto"/>
        </w:rPr>
        <w:t>The Related Person Policy operates in conjunction with our Code of Conduct and is applicable to all "Related Person Transactions", which are all transactions, arrangements or relationships in which:</w:t>
      </w:r>
    </w:p>
    <w:p>
      <w:pPr>
        <w:spacing w:after="0" w:line="173" w:lineRule="exact"/>
        <w:rPr>
          <w:sz w:val="20"/>
          <w:szCs w:val="20"/>
          <w:color w:val="auto"/>
        </w:rPr>
      </w:pPr>
    </w:p>
    <w:p>
      <w:pPr>
        <w:ind w:left="960" w:hanging="477"/>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aggregate amount involved will or may be expected to exceed $50,000 in any calendar year;</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is a participant; and</w:t>
      </w:r>
    </w:p>
    <w:p>
      <w:pPr>
        <w:spacing w:after="0" w:line="216" w:lineRule="exact"/>
        <w:rPr>
          <w:rFonts w:ascii="Arial" w:cs="Arial" w:eastAsia="Arial" w:hAnsi="Arial"/>
          <w:sz w:val="16"/>
          <w:szCs w:val="16"/>
          <w:color w:val="auto"/>
        </w:rPr>
      </w:pPr>
    </w:p>
    <w:p>
      <w:pPr>
        <w:ind w:left="300" w:right="4300" w:firstLine="183"/>
        <w:spacing w:after="0" w:line="506" w:lineRule="auto"/>
        <w:tabs>
          <w:tab w:leader="none" w:pos="9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Related Person (as that term is defined below) has or will have a direct or indirect interest. A "Related Person" is:</w:t>
      </w:r>
    </w:p>
    <w:p>
      <w:pPr>
        <w:spacing w:after="0" w:line="13" w:lineRule="exact"/>
        <w:rPr>
          <w:rFonts w:ascii="Arial" w:cs="Arial" w:eastAsia="Arial" w:hAnsi="Arial"/>
          <w:sz w:val="16"/>
          <w:szCs w:val="16"/>
          <w:color w:val="auto"/>
        </w:rPr>
      </w:pPr>
    </w:p>
    <w:p>
      <w:pPr>
        <w:ind w:left="960" w:hanging="477"/>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person who is, or at any time during the applicable period was, a director of the Company or a nominee for director or an executive officer;</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person who is known to the Company to be the beneficial owner of more than 5% of any class of the Company's voting stock;</w:t>
      </w:r>
    </w:p>
    <w:p>
      <w:pPr>
        <w:spacing w:after="0" w:line="216" w:lineRule="exact"/>
        <w:rPr>
          <w:rFonts w:ascii="Arial" w:cs="Arial" w:eastAsia="Arial" w:hAnsi="Arial"/>
          <w:sz w:val="16"/>
          <w:szCs w:val="16"/>
          <w:color w:val="auto"/>
        </w:rPr>
      </w:pPr>
    </w:p>
    <w:p>
      <w:pPr>
        <w:ind w:left="960" w:hanging="477"/>
        <w:spacing w:after="0" w:line="283" w:lineRule="auto"/>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169" w:lineRule="exact"/>
        <w:rPr>
          <w:rFonts w:ascii="Arial" w:cs="Arial" w:eastAsia="Arial" w:hAnsi="Arial"/>
          <w:sz w:val="15"/>
          <w:szCs w:val="15"/>
          <w:color w:val="auto"/>
        </w:rPr>
      </w:pPr>
    </w:p>
    <w:p>
      <w:pPr>
        <w:ind w:left="960" w:right="180" w:hanging="477"/>
        <w:spacing w:after="0" w:line="275"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firm, corporation or other entity in which any of the foregoing persons is a partner or principal or in a similar position or in which such person has a 10% or greater beneficial ownership interest.</w:t>
      </w:r>
    </w:p>
    <w:p>
      <w:pPr>
        <w:spacing w:after="0" w:line="161" w:lineRule="exact"/>
        <w:rPr>
          <w:sz w:val="20"/>
          <w:szCs w:val="20"/>
          <w:color w:val="auto"/>
        </w:rPr>
      </w:pPr>
    </w:p>
    <w:p>
      <w:pPr>
        <w:ind w:right="80" w:firstLine="316"/>
        <w:spacing w:after="0" w:line="257" w:lineRule="auto"/>
        <w:rPr>
          <w:sz w:val="20"/>
          <w:szCs w:val="20"/>
          <w:color w:val="auto"/>
        </w:rPr>
      </w:pPr>
      <w:r>
        <w:rPr>
          <w:rFonts w:ascii="Arial" w:cs="Arial" w:eastAsia="Arial" w:hAnsi="Arial"/>
          <w:sz w:val="16"/>
          <w:szCs w:val="16"/>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ongoing, related transactions; and (g) whether entering into the transaction would be consistent with the Related Person Transaction Policy.</w:t>
      </w:r>
    </w:p>
    <w:p>
      <w:pPr>
        <w:spacing w:after="0" w:line="204" w:lineRule="exact"/>
        <w:rPr>
          <w:sz w:val="20"/>
          <w:szCs w:val="20"/>
          <w:color w:val="auto"/>
        </w:rPr>
      </w:pPr>
    </w:p>
    <w:p>
      <w:pPr>
        <w:ind w:right="100" w:firstLine="316"/>
        <w:spacing w:after="0" w:line="275" w:lineRule="auto"/>
        <w:rPr>
          <w:sz w:val="20"/>
          <w:szCs w:val="20"/>
          <w:color w:val="auto"/>
        </w:rPr>
      </w:pPr>
      <w:r>
        <w:rPr>
          <w:rFonts w:ascii="Arial" w:cs="Arial" w:eastAsia="Arial" w:hAnsi="Arial"/>
          <w:sz w:val="16"/>
          <w:szCs w:val="16"/>
          <w:color w:val="auto"/>
        </w:rPr>
        <w:t>If the aggregate amount involved is expected to be less than $500,000, the transaction may be approved or ratified by the Chair of the Corporate Governance, Conflicts and Nominating Committee.</w:t>
      </w:r>
    </w:p>
    <w:p>
      <w:pPr>
        <w:spacing w:after="0" w:line="161" w:lineRule="exact"/>
        <w:rPr>
          <w:sz w:val="20"/>
          <w:szCs w:val="20"/>
          <w:color w:val="auto"/>
        </w:rPr>
      </w:pPr>
    </w:p>
    <w:p>
      <w:pPr>
        <w:ind w:firstLine="307"/>
        <w:spacing w:after="0" w:line="309" w:lineRule="auto"/>
        <w:rPr>
          <w:sz w:val="20"/>
          <w:szCs w:val="20"/>
          <w:color w:val="auto"/>
        </w:rPr>
      </w:pPr>
      <w:r>
        <w:rPr>
          <w:rFonts w:ascii="Arial" w:cs="Arial" w:eastAsia="Arial" w:hAnsi="Arial"/>
          <w:sz w:val="14"/>
          <w:szCs w:val="14"/>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42" w:lineRule="exact"/>
        <w:rPr>
          <w:sz w:val="20"/>
          <w:szCs w:val="20"/>
          <w:color w:val="auto"/>
        </w:rPr>
      </w:pPr>
    </w:p>
    <w:p>
      <w:pPr>
        <w:ind w:right="40" w:firstLine="313"/>
        <w:spacing w:after="0" w:line="275" w:lineRule="auto"/>
        <w:rPr>
          <w:sz w:val="20"/>
          <w:szCs w:val="20"/>
          <w:color w:val="auto"/>
        </w:rPr>
      </w:pPr>
      <w:r>
        <w:rPr>
          <w:rFonts w:ascii="Arial" w:cs="Arial" w:eastAsia="Arial" w:hAnsi="Arial"/>
          <w:sz w:val="16"/>
          <w:szCs w:val="16"/>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161" w:lineRule="exact"/>
        <w:rPr>
          <w:sz w:val="20"/>
          <w:szCs w:val="20"/>
          <w:color w:val="auto"/>
        </w:rPr>
      </w:pPr>
    </w:p>
    <w:p>
      <w:pPr>
        <w:ind w:right="120" w:firstLine="313"/>
        <w:spacing w:after="0" w:line="348" w:lineRule="auto"/>
        <w:rPr>
          <w:sz w:val="20"/>
          <w:szCs w:val="20"/>
          <w:color w:val="auto"/>
        </w:rPr>
      </w:pPr>
      <w:r>
        <w:rPr>
          <w:rFonts w:ascii="Arial" w:cs="Arial" w:eastAsia="Arial" w:hAnsi="Arial"/>
          <w:sz w:val="14"/>
          <w:szCs w:val="14"/>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EXECUTIVE COMPENSATION</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120" w:type="dxa"/>
            <w:vAlign w:val="bottom"/>
          </w:tcPr>
          <w:p>
            <w:pPr>
              <w:spacing w:after="0"/>
              <w:rPr>
                <w:sz w:val="12"/>
                <w:szCs w:val="12"/>
                <w:color w:val="auto"/>
              </w:rPr>
            </w:pPr>
          </w:p>
        </w:tc>
        <w:tc>
          <w:tcPr>
            <w:tcW w:w="1820" w:type="dxa"/>
            <w:vAlign w:val="bottom"/>
            <w:gridSpan w:val="6"/>
            <w:vMerge w:val="restart"/>
          </w:tcPr>
          <w:p>
            <w:pPr>
              <w:spacing w:after="0"/>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EXECUTIVE SUMMARY</w:t>
              </w:r>
            </w:hyperlink>
          </w:p>
        </w:tc>
        <w:tc>
          <w:tcPr>
            <w:tcW w:w="6640" w:type="dxa"/>
            <w:vAlign w:val="bottom"/>
            <w:gridSpan w:val="17"/>
            <w:vMerge w:val="restart"/>
          </w:tcPr>
          <w:p>
            <w:pPr>
              <w:spacing w:after="0"/>
              <w:rPr>
                <w:sz w:val="12"/>
                <w:szCs w:val="12"/>
                <w:color w:val="auto"/>
              </w:rPr>
            </w:pPr>
          </w:p>
        </w:tc>
        <w:tc>
          <w:tcPr>
            <w:tcW w:w="1680" w:type="dxa"/>
            <w:vAlign w:val="bottom"/>
            <w:gridSpan w:val="3"/>
          </w:tcPr>
          <w:p>
            <w:pPr>
              <w:ind w:lef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1820" w:type="dxa"/>
            <w:vAlign w:val="bottom"/>
            <w:gridSpan w:val="6"/>
            <w:vMerge w:val="continue"/>
          </w:tcPr>
          <w:p>
            <w:pPr>
              <w:spacing w:after="0"/>
              <w:rPr>
                <w:sz w:val="13"/>
                <w:szCs w:val="13"/>
                <w:color w:val="auto"/>
              </w:rPr>
            </w:pPr>
          </w:p>
        </w:tc>
        <w:tc>
          <w:tcPr>
            <w:tcW w:w="6640" w:type="dxa"/>
            <w:vAlign w:val="bottom"/>
            <w:gridSpan w:val="17"/>
            <w:vMerge w:val="continue"/>
          </w:tcPr>
          <w:p>
            <w:pPr>
              <w:spacing w:after="0"/>
              <w:rPr>
                <w:sz w:val="13"/>
                <w:szCs w:val="13"/>
                <w:color w:val="auto"/>
              </w:rPr>
            </w:pPr>
          </w:p>
        </w:tc>
        <w:tc>
          <w:tcPr>
            <w:tcW w:w="400" w:type="dxa"/>
            <w:vAlign w:val="bottom"/>
            <w:tcBorders>
              <w:top w:val="single" w:sz="8" w:color="auto"/>
            </w:tcBorders>
            <w:gridSpan w:val="2"/>
          </w:tcPr>
          <w:p>
            <w:pPr>
              <w:jc w:val="right"/>
              <w:spacing w:after="0" w:line="150" w:lineRule="exact"/>
              <w:rPr>
                <w:rFonts w:ascii="Arial" w:cs="Arial" w:eastAsia="Arial" w:hAnsi="Arial"/>
                <w:sz w:val="16"/>
                <w:szCs w:val="16"/>
                <w:color w:val="0000EE"/>
              </w:rPr>
            </w:pPr>
            <w:hyperlink w:anchor="page49">
              <w:r>
                <w:rPr>
                  <w:rFonts w:ascii="Arial" w:cs="Arial" w:eastAsia="Arial" w:hAnsi="Arial"/>
                  <w:sz w:val="16"/>
                  <w:szCs w:val="16"/>
                  <w:color w:val="0000EE"/>
                </w:rPr>
                <w:t>44</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14"/>
          </w:tcPr>
          <w:p>
            <w:pPr>
              <w:spacing w:after="0" w:line="175" w:lineRule="exact"/>
              <w:rPr>
                <w:rFonts w:ascii="Arial" w:cs="Arial" w:eastAsia="Arial" w:hAnsi="Arial"/>
                <w:sz w:val="16"/>
                <w:szCs w:val="16"/>
                <w:color w:val="0000EE"/>
                <w:w w:val="94"/>
              </w:rPr>
            </w:pPr>
            <w:hyperlink w:anchor="page49">
              <w:r>
                <w:rPr>
                  <w:rFonts w:ascii="Arial" w:cs="Arial" w:eastAsia="Arial" w:hAnsi="Arial"/>
                  <w:sz w:val="16"/>
                  <w:szCs w:val="16"/>
                  <w:color w:val="0000EE"/>
                  <w:w w:val="94"/>
                </w:rPr>
                <w:t>EXECUTIVE COMPENSATION PROGRAM</w:t>
              </w:r>
            </w:hyperlink>
          </w:p>
        </w:tc>
        <w:tc>
          <w:tcPr>
            <w:tcW w:w="5320" w:type="dxa"/>
            <w:vAlign w:val="bottom"/>
            <w:gridSpan w:val="8"/>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49">
              <w:r>
                <w:rPr>
                  <w:rFonts w:ascii="Arial" w:cs="Arial" w:eastAsia="Arial" w:hAnsi="Arial"/>
                  <w:sz w:val="16"/>
                  <w:szCs w:val="16"/>
                  <w:color w:val="0000EE"/>
                </w:rPr>
                <w:t>44</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00" w:type="dxa"/>
            <w:vAlign w:val="bottom"/>
            <w:gridSpan w:val="21"/>
          </w:tcPr>
          <w:p>
            <w:pPr>
              <w:spacing w:after="0" w:line="175" w:lineRule="exact"/>
              <w:rPr>
                <w:rFonts w:ascii="Arial" w:cs="Arial" w:eastAsia="Arial" w:hAnsi="Arial"/>
                <w:sz w:val="16"/>
                <w:szCs w:val="16"/>
                <w:color w:val="0000EE"/>
                <w:w w:val="94"/>
              </w:rPr>
            </w:pPr>
            <w:hyperlink w:anchor="page50">
              <w:r>
                <w:rPr>
                  <w:rFonts w:ascii="Arial" w:cs="Arial" w:eastAsia="Arial" w:hAnsi="Arial"/>
                  <w:sz w:val="16"/>
                  <w:szCs w:val="16"/>
                  <w:color w:val="0000EE"/>
                  <w:w w:val="94"/>
                </w:rPr>
                <w:t>KEY GOVERNANCE FEATURES OF OUR EXECUTIVE COMPENSATION PROGRAM</w:t>
              </w:r>
            </w:hyperlink>
          </w:p>
        </w:tc>
        <w:tc>
          <w:tcPr>
            <w:tcW w:w="2400" w:type="dxa"/>
            <w:vAlign w:val="bottom"/>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0">
              <w:r>
                <w:rPr>
                  <w:rFonts w:ascii="Arial" w:cs="Arial" w:eastAsia="Arial" w:hAnsi="Arial"/>
                  <w:sz w:val="16"/>
                  <w:szCs w:val="16"/>
                  <w:color w:val="0000EE"/>
                </w:rPr>
                <w:t>45</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00" w:type="dxa"/>
            <w:vAlign w:val="bottom"/>
            <w:gridSpan w:val="21"/>
          </w:tcPr>
          <w:p>
            <w:pPr>
              <w:spacing w:after="0" w:line="175" w:lineRule="exact"/>
              <w:rPr>
                <w:rFonts w:ascii="Arial" w:cs="Arial" w:eastAsia="Arial" w:hAnsi="Arial"/>
                <w:sz w:val="16"/>
                <w:szCs w:val="16"/>
                <w:color w:val="0000EE"/>
              </w:rPr>
            </w:pPr>
            <w:hyperlink w:anchor="page50">
              <w:r>
                <w:rPr>
                  <w:rFonts w:ascii="Arial" w:cs="Arial" w:eastAsia="Arial" w:hAnsi="Arial"/>
                  <w:sz w:val="16"/>
                  <w:szCs w:val="16"/>
                  <w:color w:val="0000EE"/>
                </w:rPr>
                <w:t>BUSINESS STRATEGY AND COMPANY PERFORMANCE</w:t>
              </w:r>
            </w:hyperlink>
          </w:p>
        </w:tc>
        <w:tc>
          <w:tcPr>
            <w:tcW w:w="2400" w:type="dxa"/>
            <w:vAlign w:val="bottom"/>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0">
              <w:r>
                <w:rPr>
                  <w:rFonts w:ascii="Arial" w:cs="Arial" w:eastAsia="Arial" w:hAnsi="Arial"/>
                  <w:sz w:val="16"/>
                  <w:szCs w:val="16"/>
                  <w:color w:val="0000EE"/>
                </w:rPr>
                <w:t>45</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3160" w:type="dxa"/>
            <w:vAlign w:val="bottom"/>
            <w:gridSpan w:val="16"/>
          </w:tcPr>
          <w:p>
            <w:pPr>
              <w:spacing w:after="0" w:line="175" w:lineRule="exact"/>
              <w:rPr>
                <w:rFonts w:ascii="Arial" w:cs="Arial" w:eastAsia="Arial" w:hAnsi="Arial"/>
                <w:sz w:val="16"/>
                <w:szCs w:val="16"/>
                <w:b w:val="1"/>
                <w:bCs w:val="1"/>
                <w:color w:val="0000EE"/>
              </w:rPr>
            </w:pPr>
            <w:hyperlink w:anchor="page51">
              <w:r>
                <w:rPr>
                  <w:rFonts w:ascii="Arial" w:cs="Arial" w:eastAsia="Arial" w:hAnsi="Arial"/>
                  <w:sz w:val="16"/>
                  <w:szCs w:val="16"/>
                  <w:b w:val="1"/>
                  <w:bCs w:val="1"/>
                  <w:color w:val="0000EE"/>
                </w:rPr>
                <w:t>EXECUTIVE COMPENSATION PROGRAM</w:t>
              </w:r>
            </w:hyperlink>
          </w:p>
        </w:tc>
        <w:tc>
          <w:tcPr>
            <w:tcW w:w="5300" w:type="dxa"/>
            <w:vAlign w:val="bottom"/>
            <w:gridSpan w:val="7"/>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1">
              <w:r>
                <w:rPr>
                  <w:rFonts w:ascii="Arial" w:cs="Arial" w:eastAsia="Arial" w:hAnsi="Arial"/>
                  <w:sz w:val="16"/>
                  <w:szCs w:val="16"/>
                  <w:color w:val="0000EE"/>
                </w:rPr>
                <w:t>46</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0" w:type="dxa"/>
            <w:vAlign w:val="bottom"/>
            <w:gridSpan w:val="15"/>
          </w:tcPr>
          <w:p>
            <w:pPr>
              <w:spacing w:after="0" w:line="175" w:lineRule="exact"/>
              <w:rPr>
                <w:rFonts w:ascii="Arial" w:cs="Arial" w:eastAsia="Arial" w:hAnsi="Arial"/>
                <w:sz w:val="16"/>
                <w:szCs w:val="16"/>
                <w:color w:val="0000EE"/>
              </w:rPr>
            </w:pPr>
            <w:hyperlink w:anchor="page51">
              <w:r>
                <w:rPr>
                  <w:rFonts w:ascii="Arial" w:cs="Arial" w:eastAsia="Arial" w:hAnsi="Arial"/>
                  <w:sz w:val="16"/>
                  <w:szCs w:val="16"/>
                  <w:color w:val="0000EE"/>
                </w:rPr>
                <w:t>2019 NAMED EXECUTIVE OFFICERS</w:t>
              </w:r>
            </w:hyperlink>
          </w:p>
        </w:tc>
        <w:tc>
          <w:tcPr>
            <w:tcW w:w="5300" w:type="dxa"/>
            <w:vAlign w:val="bottom"/>
            <w:gridSpan w:val="7"/>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1">
              <w:r>
                <w:rPr>
                  <w:rFonts w:ascii="Arial" w:cs="Arial" w:eastAsia="Arial" w:hAnsi="Arial"/>
                  <w:sz w:val="16"/>
                  <w:szCs w:val="16"/>
                  <w:color w:val="0000EE"/>
                </w:rPr>
                <w:t>46</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gridSpan w:val="18"/>
          </w:tcPr>
          <w:p>
            <w:pPr>
              <w:spacing w:after="0" w:line="175" w:lineRule="exact"/>
              <w:rPr>
                <w:rFonts w:ascii="Arial" w:cs="Arial" w:eastAsia="Arial" w:hAnsi="Arial"/>
                <w:sz w:val="16"/>
                <w:szCs w:val="16"/>
                <w:color w:val="0000EE"/>
                <w:w w:val="94"/>
              </w:rPr>
            </w:pPr>
            <w:hyperlink w:anchor="page51">
              <w:r>
                <w:rPr>
                  <w:rFonts w:ascii="Arial" w:cs="Arial" w:eastAsia="Arial" w:hAnsi="Arial"/>
                  <w:sz w:val="16"/>
                  <w:szCs w:val="16"/>
                  <w:color w:val="0000EE"/>
                  <w:w w:val="94"/>
                </w:rPr>
                <w:t>GOALS AND OBJECTIVES OF THE PROGRAM</w:t>
              </w:r>
            </w:hyperlink>
          </w:p>
        </w:tc>
        <w:tc>
          <w:tcPr>
            <w:tcW w:w="5000" w:type="dxa"/>
            <w:vAlign w:val="bottom"/>
            <w:gridSpan w:val="4"/>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1">
              <w:r>
                <w:rPr>
                  <w:rFonts w:ascii="Arial" w:cs="Arial" w:eastAsia="Arial" w:hAnsi="Arial"/>
                  <w:sz w:val="16"/>
                  <w:szCs w:val="16"/>
                  <w:color w:val="0000EE"/>
                </w:rPr>
                <w:t>46</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8460" w:type="dxa"/>
            <w:vAlign w:val="bottom"/>
            <w:gridSpan w:val="23"/>
          </w:tcPr>
          <w:p>
            <w:pPr>
              <w:spacing w:after="0" w:line="175" w:lineRule="exact"/>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THE COMPENSATION PROCESS</w:t>
              </w:r>
            </w:hyperlink>
          </w:p>
        </w:tc>
        <w:tc>
          <w:tcPr>
            <w:tcW w:w="400" w:type="dxa"/>
            <w:vAlign w:val="bottom"/>
            <w:gridSpan w:val="2"/>
          </w:tcPr>
          <w:p>
            <w:pPr>
              <w:jc w:val="right"/>
              <w:spacing w:after="0" w:line="175" w:lineRule="exact"/>
              <w:rPr>
                <w:rFonts w:ascii="Arial" w:cs="Arial" w:eastAsia="Arial" w:hAnsi="Arial"/>
                <w:sz w:val="16"/>
                <w:szCs w:val="16"/>
                <w:color w:val="0000EE"/>
              </w:rPr>
            </w:pPr>
            <w:hyperlink w:anchor="page52">
              <w:r>
                <w:rPr>
                  <w:rFonts w:ascii="Arial" w:cs="Arial" w:eastAsia="Arial" w:hAnsi="Arial"/>
                  <w:sz w:val="16"/>
                  <w:szCs w:val="16"/>
                  <w:color w:val="0000EE"/>
                </w:rPr>
                <w:t>47</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9"/>
          </w:tcPr>
          <w:p>
            <w:pPr>
              <w:spacing w:after="0" w:line="175" w:lineRule="exact"/>
              <w:rPr>
                <w:rFonts w:ascii="Arial" w:cs="Arial" w:eastAsia="Arial" w:hAnsi="Arial"/>
                <w:sz w:val="16"/>
                <w:szCs w:val="16"/>
                <w:color w:val="0000EE"/>
                <w:w w:val="93"/>
              </w:rPr>
            </w:pPr>
            <w:hyperlink w:anchor="page52">
              <w:r>
                <w:rPr>
                  <w:rFonts w:ascii="Arial" w:cs="Arial" w:eastAsia="Arial" w:hAnsi="Arial"/>
                  <w:sz w:val="16"/>
                  <w:szCs w:val="16"/>
                  <w:color w:val="0000EE"/>
                  <w:w w:val="93"/>
                </w:rPr>
                <w:t>COMPENSATION CONSULTANT</w:t>
              </w:r>
            </w:hyperlink>
          </w:p>
        </w:tc>
        <w:tc>
          <w:tcPr>
            <w:tcW w:w="6000" w:type="dxa"/>
            <w:vAlign w:val="bottom"/>
            <w:gridSpan w:val="13"/>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2">
              <w:r>
                <w:rPr>
                  <w:rFonts w:ascii="Arial" w:cs="Arial" w:eastAsia="Arial" w:hAnsi="Arial"/>
                  <w:sz w:val="16"/>
                  <w:szCs w:val="16"/>
                  <w:color w:val="0000EE"/>
                </w:rPr>
                <w:t>47</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gridSpan w:val="16"/>
          </w:tcPr>
          <w:p>
            <w:pPr>
              <w:spacing w:after="0" w:line="175" w:lineRule="exact"/>
              <w:rPr>
                <w:rFonts w:ascii="Arial" w:cs="Arial" w:eastAsia="Arial" w:hAnsi="Arial"/>
                <w:sz w:val="16"/>
                <w:szCs w:val="16"/>
                <w:color w:val="0000EE"/>
                <w:w w:val="92"/>
              </w:rPr>
            </w:pPr>
            <w:hyperlink w:anchor="page52">
              <w:r>
                <w:rPr>
                  <w:rFonts w:ascii="Arial" w:cs="Arial" w:eastAsia="Arial" w:hAnsi="Arial"/>
                  <w:sz w:val="16"/>
                  <w:szCs w:val="16"/>
                  <w:color w:val="0000EE"/>
                  <w:w w:val="92"/>
                </w:rPr>
                <w:t>COMPENSATION PEER GROUP ANALYSIS</w:t>
              </w:r>
            </w:hyperlink>
          </w:p>
        </w:tc>
        <w:tc>
          <w:tcPr>
            <w:tcW w:w="5280" w:type="dxa"/>
            <w:vAlign w:val="bottom"/>
            <w:gridSpan w:val="6"/>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2">
              <w:r>
                <w:rPr>
                  <w:rFonts w:ascii="Arial" w:cs="Arial" w:eastAsia="Arial" w:hAnsi="Arial"/>
                  <w:sz w:val="16"/>
                  <w:szCs w:val="16"/>
                  <w:color w:val="0000EE"/>
                </w:rPr>
                <w:t>47</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2480" w:type="dxa"/>
            <w:vAlign w:val="bottom"/>
            <w:gridSpan w:val="11"/>
          </w:tcPr>
          <w:p>
            <w:pPr>
              <w:spacing w:after="0" w:line="175" w:lineRule="exact"/>
              <w:rPr>
                <w:rFonts w:ascii="Arial" w:cs="Arial" w:eastAsia="Arial" w:hAnsi="Arial"/>
                <w:sz w:val="16"/>
                <w:szCs w:val="16"/>
                <w:b w:val="1"/>
                <w:bCs w:val="1"/>
                <w:color w:val="0000EE"/>
                <w:w w:val="98"/>
              </w:rPr>
            </w:pPr>
            <w:hyperlink w:anchor="page53">
              <w:r>
                <w:rPr>
                  <w:rFonts w:ascii="Arial" w:cs="Arial" w:eastAsia="Arial" w:hAnsi="Arial"/>
                  <w:sz w:val="16"/>
                  <w:szCs w:val="16"/>
                  <w:b w:val="1"/>
                  <w:bCs w:val="1"/>
                  <w:color w:val="0000EE"/>
                  <w:w w:val="98"/>
                </w:rPr>
                <w:t>ELEMENTS OF COMPENSATION</w:t>
              </w:r>
            </w:hyperlink>
          </w:p>
        </w:tc>
        <w:tc>
          <w:tcPr>
            <w:tcW w:w="5980" w:type="dxa"/>
            <w:vAlign w:val="bottom"/>
            <w:gridSpan w:val="12"/>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3">
              <w:r>
                <w:rPr>
                  <w:rFonts w:ascii="Arial" w:cs="Arial" w:eastAsia="Arial" w:hAnsi="Arial"/>
                  <w:sz w:val="16"/>
                  <w:szCs w:val="16"/>
                  <w:color w:val="0000EE"/>
                </w:rPr>
                <w:t>48</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tcPr>
          <w:p>
            <w:pPr>
              <w:spacing w:after="0" w:line="175" w:lineRule="exact"/>
              <w:rPr>
                <w:rFonts w:ascii="Arial" w:cs="Arial" w:eastAsia="Arial" w:hAnsi="Arial"/>
                <w:sz w:val="16"/>
                <w:szCs w:val="16"/>
                <w:color w:val="0000EE"/>
                <w:w w:val="96"/>
              </w:rPr>
            </w:pPr>
            <w:hyperlink w:anchor="page53">
              <w:r>
                <w:rPr>
                  <w:rFonts w:ascii="Arial" w:cs="Arial" w:eastAsia="Arial" w:hAnsi="Arial"/>
                  <w:sz w:val="16"/>
                  <w:szCs w:val="16"/>
                  <w:color w:val="0000EE"/>
                  <w:w w:val="96"/>
                </w:rPr>
                <w:t>BASE SALARY</w:t>
              </w:r>
            </w:hyperlink>
          </w:p>
        </w:tc>
        <w:tc>
          <w:tcPr>
            <w:tcW w:w="1220" w:type="dxa"/>
            <w:vAlign w:val="bottom"/>
            <w:gridSpan w:val="7"/>
          </w:tcPr>
          <w:p>
            <w:pPr>
              <w:spacing w:after="0"/>
              <w:rPr>
                <w:sz w:val="15"/>
                <w:szCs w:val="15"/>
                <w:color w:val="auto"/>
              </w:rPr>
            </w:pPr>
          </w:p>
        </w:tc>
        <w:tc>
          <w:tcPr>
            <w:tcW w:w="5980" w:type="dxa"/>
            <w:vAlign w:val="bottom"/>
            <w:gridSpan w:val="12"/>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3">
              <w:r>
                <w:rPr>
                  <w:rFonts w:ascii="Arial" w:cs="Arial" w:eastAsia="Arial" w:hAnsi="Arial"/>
                  <w:sz w:val="16"/>
                  <w:szCs w:val="16"/>
                  <w:color w:val="0000EE"/>
                </w:rPr>
                <w:t>48</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13"/>
          </w:tcPr>
          <w:p>
            <w:pPr>
              <w:spacing w:after="0" w:line="175" w:lineRule="exact"/>
              <w:rPr>
                <w:rFonts w:ascii="Arial" w:cs="Arial" w:eastAsia="Arial" w:hAnsi="Arial"/>
                <w:sz w:val="16"/>
                <w:szCs w:val="16"/>
                <w:color w:val="0000EE"/>
                <w:w w:val="96"/>
              </w:rPr>
            </w:pPr>
            <w:hyperlink w:anchor="page54">
              <w:r>
                <w:rPr>
                  <w:rFonts w:ascii="Arial" w:cs="Arial" w:eastAsia="Arial" w:hAnsi="Arial"/>
                  <w:sz w:val="16"/>
                  <w:szCs w:val="16"/>
                  <w:color w:val="0000EE"/>
                  <w:w w:val="96"/>
                </w:rPr>
                <w:t>ANNUAL INCENTIVE COMPENSATION</w:t>
              </w:r>
            </w:hyperlink>
          </w:p>
        </w:tc>
        <w:tc>
          <w:tcPr>
            <w:tcW w:w="5480" w:type="dxa"/>
            <w:vAlign w:val="bottom"/>
            <w:gridSpan w:val="9"/>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4">
              <w:r>
                <w:rPr>
                  <w:rFonts w:ascii="Arial" w:cs="Arial" w:eastAsia="Arial" w:hAnsi="Arial"/>
                  <w:sz w:val="16"/>
                  <w:szCs w:val="16"/>
                  <w:color w:val="0000EE"/>
                </w:rPr>
                <w:t>49</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gridSpan w:val="16"/>
          </w:tcPr>
          <w:p>
            <w:pPr>
              <w:spacing w:after="0" w:line="175" w:lineRule="exact"/>
              <w:rPr>
                <w:rFonts w:ascii="Arial" w:cs="Arial" w:eastAsia="Arial" w:hAnsi="Arial"/>
                <w:sz w:val="16"/>
                <w:szCs w:val="16"/>
                <w:color w:val="0000EE"/>
                <w:w w:val="93"/>
              </w:rPr>
            </w:pPr>
            <w:hyperlink w:anchor="page57">
              <w:r>
                <w:rPr>
                  <w:rFonts w:ascii="Arial" w:cs="Arial" w:eastAsia="Arial" w:hAnsi="Arial"/>
                  <w:sz w:val="16"/>
                  <w:szCs w:val="16"/>
                  <w:color w:val="0000EE"/>
                  <w:w w:val="93"/>
                </w:rPr>
                <w:t>LONG-TERM INCENTIVE COMPENSATION</w:t>
              </w:r>
            </w:hyperlink>
          </w:p>
        </w:tc>
        <w:tc>
          <w:tcPr>
            <w:tcW w:w="5280" w:type="dxa"/>
            <w:vAlign w:val="bottom"/>
            <w:gridSpan w:val="6"/>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7">
              <w:r>
                <w:rPr>
                  <w:rFonts w:ascii="Arial" w:cs="Arial" w:eastAsia="Arial" w:hAnsi="Arial"/>
                  <w:sz w:val="16"/>
                  <w:szCs w:val="16"/>
                  <w:color w:val="0000EE"/>
                </w:rPr>
                <w:t>52</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gridSpan w:val="16"/>
          </w:tcPr>
          <w:p>
            <w:pPr>
              <w:spacing w:after="0" w:line="175" w:lineRule="exact"/>
              <w:rPr>
                <w:rFonts w:ascii="Arial" w:cs="Arial" w:eastAsia="Arial" w:hAnsi="Arial"/>
                <w:sz w:val="16"/>
                <w:szCs w:val="16"/>
                <w:color w:val="0000EE"/>
              </w:rPr>
            </w:pPr>
            <w:hyperlink w:anchor="page58">
              <w:r>
                <w:rPr>
                  <w:rFonts w:ascii="Arial" w:cs="Arial" w:eastAsia="Arial" w:hAnsi="Arial"/>
                  <w:sz w:val="16"/>
                  <w:szCs w:val="16"/>
                  <w:color w:val="0000EE"/>
                </w:rPr>
                <w:t>CLAWBACKS</w:t>
              </w:r>
            </w:hyperlink>
          </w:p>
        </w:tc>
        <w:tc>
          <w:tcPr>
            <w:tcW w:w="5280" w:type="dxa"/>
            <w:vAlign w:val="bottom"/>
            <w:gridSpan w:val="6"/>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8">
              <w:r>
                <w:rPr>
                  <w:rFonts w:ascii="Arial" w:cs="Arial" w:eastAsia="Arial" w:hAnsi="Arial"/>
                  <w:sz w:val="16"/>
                  <w:szCs w:val="16"/>
                  <w:color w:val="0000EE"/>
                </w:rPr>
                <w:t>53</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spacing w:after="0" w:line="175" w:lineRule="exact"/>
              <w:rPr>
                <w:rFonts w:ascii="Arial" w:cs="Arial" w:eastAsia="Arial" w:hAnsi="Arial"/>
                <w:sz w:val="16"/>
                <w:szCs w:val="16"/>
                <w:color w:val="0000EE"/>
              </w:rPr>
            </w:pPr>
            <w:hyperlink w:anchor="page59">
              <w:r>
                <w:rPr>
                  <w:rFonts w:ascii="Arial" w:cs="Arial" w:eastAsia="Arial" w:hAnsi="Arial"/>
                  <w:sz w:val="16"/>
                  <w:szCs w:val="16"/>
                  <w:color w:val="0000EE"/>
                </w:rPr>
                <w:t>BENEFITS</w:t>
              </w:r>
            </w:hyperlink>
          </w:p>
        </w:tc>
        <w:tc>
          <w:tcPr>
            <w:tcW w:w="7320" w:type="dxa"/>
            <w:vAlign w:val="bottom"/>
            <w:gridSpan w:val="20"/>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9">
              <w:r>
                <w:rPr>
                  <w:rFonts w:ascii="Arial" w:cs="Arial" w:eastAsia="Arial" w:hAnsi="Arial"/>
                  <w:sz w:val="16"/>
                  <w:szCs w:val="16"/>
                  <w:color w:val="0000EE"/>
                </w:rPr>
                <w:t>54</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720" w:type="dxa"/>
            <w:vAlign w:val="bottom"/>
            <w:gridSpan w:val="20"/>
          </w:tcPr>
          <w:p>
            <w:pPr>
              <w:spacing w:after="0" w:line="175" w:lineRule="exact"/>
              <w:rPr>
                <w:rFonts w:ascii="Arial" w:cs="Arial" w:eastAsia="Arial" w:hAnsi="Arial"/>
                <w:sz w:val="16"/>
                <w:szCs w:val="16"/>
                <w:color w:val="0000EE"/>
                <w:w w:val="95"/>
              </w:rPr>
            </w:pPr>
            <w:hyperlink w:anchor="page59">
              <w:r>
                <w:rPr>
                  <w:rFonts w:ascii="Arial" w:cs="Arial" w:eastAsia="Arial" w:hAnsi="Arial"/>
                  <w:sz w:val="16"/>
                  <w:szCs w:val="16"/>
                  <w:color w:val="0000EE"/>
                  <w:w w:val="95"/>
                </w:rPr>
                <w:t>POTENTIAL SEVERANCE AND CHANGE-IN-CONTROL BENEFITS</w:t>
              </w:r>
            </w:hyperlink>
          </w:p>
        </w:tc>
        <w:tc>
          <w:tcPr>
            <w:tcW w:w="3580" w:type="dxa"/>
            <w:vAlign w:val="bottom"/>
            <w:gridSpan w:val="2"/>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9">
              <w:r>
                <w:rPr>
                  <w:rFonts w:ascii="Arial" w:cs="Arial" w:eastAsia="Arial" w:hAnsi="Arial"/>
                  <w:sz w:val="16"/>
                  <w:szCs w:val="16"/>
                  <w:color w:val="0000EE"/>
                </w:rPr>
                <w:t>54</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8460" w:type="dxa"/>
            <w:vAlign w:val="bottom"/>
            <w:gridSpan w:val="23"/>
          </w:tcPr>
          <w:p>
            <w:pPr>
              <w:spacing w:after="0" w:line="175" w:lineRule="exact"/>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OTHER MATTERS</w:t>
              </w:r>
            </w:hyperlink>
          </w:p>
        </w:tc>
        <w:tc>
          <w:tcPr>
            <w:tcW w:w="400" w:type="dxa"/>
            <w:vAlign w:val="bottom"/>
            <w:gridSpan w:val="2"/>
          </w:tcPr>
          <w:p>
            <w:pPr>
              <w:jc w:val="right"/>
              <w:spacing w:after="0" w:line="175" w:lineRule="exact"/>
              <w:rPr>
                <w:rFonts w:ascii="Arial" w:cs="Arial" w:eastAsia="Arial" w:hAnsi="Arial"/>
                <w:sz w:val="16"/>
                <w:szCs w:val="16"/>
                <w:color w:val="0000EE"/>
              </w:rPr>
            </w:pPr>
            <w:hyperlink w:anchor="page59">
              <w:r>
                <w:rPr>
                  <w:rFonts w:ascii="Arial" w:cs="Arial" w:eastAsia="Arial" w:hAnsi="Arial"/>
                  <w:sz w:val="16"/>
                  <w:szCs w:val="16"/>
                  <w:color w:val="0000EE"/>
                </w:rPr>
                <w:t>54</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11"/>
          </w:tcPr>
          <w:p>
            <w:pPr>
              <w:spacing w:after="0" w:line="175" w:lineRule="exact"/>
              <w:rPr>
                <w:rFonts w:ascii="Arial" w:cs="Arial" w:eastAsia="Arial" w:hAnsi="Arial"/>
                <w:sz w:val="16"/>
                <w:szCs w:val="16"/>
                <w:color w:val="0000EE"/>
                <w:w w:val="93"/>
              </w:rPr>
            </w:pPr>
            <w:hyperlink w:anchor="page59">
              <w:r>
                <w:rPr>
                  <w:rFonts w:ascii="Arial" w:cs="Arial" w:eastAsia="Arial" w:hAnsi="Arial"/>
                  <w:sz w:val="16"/>
                  <w:szCs w:val="16"/>
                  <w:color w:val="0000EE"/>
                  <w:w w:val="93"/>
                </w:rPr>
                <w:t>STOCK OWNERSHIP GUIDELINES</w:t>
              </w:r>
            </w:hyperlink>
          </w:p>
        </w:tc>
        <w:tc>
          <w:tcPr>
            <w:tcW w:w="5840" w:type="dxa"/>
            <w:vAlign w:val="bottom"/>
            <w:gridSpan w:val="11"/>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59">
              <w:r>
                <w:rPr>
                  <w:rFonts w:ascii="Arial" w:cs="Arial" w:eastAsia="Arial" w:hAnsi="Arial"/>
                  <w:sz w:val="16"/>
                  <w:szCs w:val="16"/>
                  <w:color w:val="0000EE"/>
                </w:rPr>
                <w:t>54</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17"/>
          </w:tcPr>
          <w:p>
            <w:pPr>
              <w:spacing w:after="0" w:line="175" w:lineRule="exact"/>
              <w:rPr>
                <w:rFonts w:ascii="Arial" w:cs="Arial" w:eastAsia="Arial" w:hAnsi="Arial"/>
                <w:sz w:val="16"/>
                <w:szCs w:val="16"/>
                <w:color w:val="0000EE"/>
                <w:w w:val="95"/>
              </w:rPr>
            </w:pPr>
            <w:hyperlink w:anchor="page60">
              <w:r>
                <w:rPr>
                  <w:rFonts w:ascii="Arial" w:cs="Arial" w:eastAsia="Arial" w:hAnsi="Arial"/>
                  <w:sz w:val="16"/>
                  <w:szCs w:val="16"/>
                  <w:color w:val="0000EE"/>
                  <w:w w:val="95"/>
                </w:rPr>
                <w:t>TAX AND ACCOUNTING CONSIDERATIONS</w:t>
              </w:r>
            </w:hyperlink>
          </w:p>
        </w:tc>
        <w:tc>
          <w:tcPr>
            <w:tcW w:w="5120" w:type="dxa"/>
            <w:vAlign w:val="bottom"/>
            <w:gridSpan w:val="5"/>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60">
              <w:r>
                <w:rPr>
                  <w:rFonts w:ascii="Arial" w:cs="Arial" w:eastAsia="Arial" w:hAnsi="Arial"/>
                  <w:sz w:val="16"/>
                  <w:szCs w:val="16"/>
                  <w:color w:val="0000EE"/>
                </w:rPr>
                <w:t>55</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9"/>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960" w:type="dxa"/>
            <w:vAlign w:val="bottom"/>
            <w:gridSpan w:val="7"/>
          </w:tcPr>
          <w:p>
            <w:pPr>
              <w:spacing w:after="0" w:line="175" w:lineRule="exact"/>
              <w:rPr>
                <w:rFonts w:ascii="Arial" w:cs="Arial" w:eastAsia="Arial" w:hAnsi="Arial"/>
                <w:sz w:val="16"/>
                <w:szCs w:val="16"/>
                <w:b w:val="1"/>
                <w:bCs w:val="1"/>
                <w:color w:val="0000EE"/>
                <w:w w:val="97"/>
              </w:rPr>
            </w:pPr>
            <w:hyperlink w:anchor="page61">
              <w:r>
                <w:rPr>
                  <w:rFonts w:ascii="Arial" w:cs="Arial" w:eastAsia="Arial" w:hAnsi="Arial"/>
                  <w:sz w:val="16"/>
                  <w:szCs w:val="16"/>
                  <w:b w:val="1"/>
                  <w:bCs w:val="1"/>
                  <w:color w:val="0000EE"/>
                  <w:w w:val="97"/>
                </w:rPr>
                <w:t>COMPENSATION TABLES</w:t>
              </w:r>
            </w:hyperlink>
          </w:p>
        </w:tc>
        <w:tc>
          <w:tcPr>
            <w:tcW w:w="6500" w:type="dxa"/>
            <w:vAlign w:val="bottom"/>
            <w:gridSpan w:val="16"/>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61">
              <w:r>
                <w:rPr>
                  <w:rFonts w:ascii="Arial" w:cs="Arial" w:eastAsia="Arial" w:hAnsi="Arial"/>
                  <w:sz w:val="16"/>
                  <w:szCs w:val="16"/>
                  <w:color w:val="0000EE"/>
                </w:rPr>
                <w:t>56</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2340" w:type="dxa"/>
            <w:vAlign w:val="bottom"/>
            <w:gridSpan w:val="8"/>
          </w:tcPr>
          <w:p>
            <w:pPr>
              <w:spacing w:after="0" w:line="175" w:lineRule="exact"/>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EMPLOYMENT AGREEMENTS</w:t>
              </w:r>
            </w:hyperlink>
          </w:p>
        </w:tc>
        <w:tc>
          <w:tcPr>
            <w:tcW w:w="6120" w:type="dxa"/>
            <w:vAlign w:val="bottom"/>
            <w:gridSpan w:val="15"/>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64">
              <w:r>
                <w:rPr>
                  <w:rFonts w:ascii="Arial" w:cs="Arial" w:eastAsia="Arial" w:hAnsi="Arial"/>
                  <w:sz w:val="16"/>
                  <w:szCs w:val="16"/>
                  <w:color w:val="0000EE"/>
                </w:rPr>
                <w:t>59</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3180" w:type="dxa"/>
            <w:vAlign w:val="bottom"/>
            <w:gridSpan w:val="17"/>
          </w:tcPr>
          <w:p>
            <w:pPr>
              <w:spacing w:after="0" w:line="175" w:lineRule="exact"/>
              <w:rPr>
                <w:rFonts w:ascii="Arial" w:cs="Arial" w:eastAsia="Arial" w:hAnsi="Arial"/>
                <w:sz w:val="16"/>
                <w:szCs w:val="16"/>
                <w:b w:val="1"/>
                <w:bCs w:val="1"/>
                <w:color w:val="0000EE"/>
                <w:w w:val="98"/>
              </w:rPr>
            </w:pPr>
            <w:hyperlink w:anchor="page65">
              <w:r>
                <w:rPr>
                  <w:rFonts w:ascii="Arial" w:cs="Arial" w:eastAsia="Arial" w:hAnsi="Arial"/>
                  <w:sz w:val="16"/>
                  <w:szCs w:val="16"/>
                  <w:b w:val="1"/>
                  <w:bCs w:val="1"/>
                  <w:color w:val="0000EE"/>
                  <w:w w:val="98"/>
                </w:rPr>
                <w:t>SEVERANCE AND CHANGE-IN-CONTROL</w:t>
              </w:r>
            </w:hyperlink>
          </w:p>
        </w:tc>
        <w:tc>
          <w:tcPr>
            <w:tcW w:w="5280" w:type="dxa"/>
            <w:vAlign w:val="bottom"/>
            <w:gridSpan w:val="6"/>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65">
              <w:r>
                <w:rPr>
                  <w:rFonts w:ascii="Arial" w:cs="Arial" w:eastAsia="Arial" w:hAnsi="Arial"/>
                  <w:sz w:val="16"/>
                  <w:szCs w:val="16"/>
                  <w:color w:val="0000EE"/>
                </w:rPr>
                <w:t>60</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1920" w:type="dxa"/>
            <w:vAlign w:val="bottom"/>
            <w:gridSpan w:val="13"/>
            <w:shd w:val="clear" w:color="auto" w:fill="0000EE"/>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260" w:type="dxa"/>
            <w:vAlign w:val="bottom"/>
            <w:gridSpan w:val="4"/>
          </w:tcPr>
          <w:p>
            <w:pPr>
              <w:spacing w:after="0" w:line="175" w:lineRule="exact"/>
              <w:rPr>
                <w:rFonts w:ascii="Arial" w:cs="Arial" w:eastAsia="Arial" w:hAnsi="Arial"/>
                <w:sz w:val="16"/>
                <w:szCs w:val="16"/>
                <w:b w:val="1"/>
                <w:bCs w:val="1"/>
                <w:color w:val="0000EE"/>
                <w:w w:val="96"/>
              </w:rPr>
            </w:pPr>
            <w:hyperlink w:anchor="page68">
              <w:r>
                <w:rPr>
                  <w:rFonts w:ascii="Arial" w:cs="Arial" w:eastAsia="Arial" w:hAnsi="Arial"/>
                  <w:sz w:val="16"/>
                  <w:szCs w:val="16"/>
                  <w:b w:val="1"/>
                  <w:bCs w:val="1"/>
                  <w:color w:val="0000EE"/>
                  <w:w w:val="96"/>
                </w:rPr>
                <w:t>CEO PAY RATIO</w:t>
              </w:r>
            </w:hyperlink>
          </w:p>
        </w:tc>
        <w:tc>
          <w:tcPr>
            <w:tcW w:w="1920" w:type="dxa"/>
            <w:vAlign w:val="bottom"/>
            <w:gridSpan w:val="13"/>
          </w:tcPr>
          <w:p>
            <w:pPr>
              <w:spacing w:after="0"/>
              <w:rPr>
                <w:sz w:val="15"/>
                <w:szCs w:val="15"/>
                <w:color w:val="auto"/>
              </w:rPr>
            </w:pPr>
          </w:p>
        </w:tc>
        <w:tc>
          <w:tcPr>
            <w:tcW w:w="5280" w:type="dxa"/>
            <w:vAlign w:val="bottom"/>
            <w:gridSpan w:val="6"/>
          </w:tcPr>
          <w:p>
            <w:pPr>
              <w:spacing w:after="0"/>
              <w:rPr>
                <w:sz w:val="15"/>
                <w:szCs w:val="15"/>
                <w:color w:val="auto"/>
              </w:rPr>
            </w:pPr>
          </w:p>
        </w:tc>
        <w:tc>
          <w:tcPr>
            <w:tcW w:w="400" w:type="dxa"/>
            <w:vAlign w:val="bottom"/>
            <w:gridSpan w:val="2"/>
          </w:tcPr>
          <w:p>
            <w:pPr>
              <w:jc w:val="right"/>
              <w:spacing w:after="0" w:line="175" w:lineRule="exact"/>
              <w:rPr>
                <w:rFonts w:ascii="Arial" w:cs="Arial" w:eastAsia="Arial" w:hAnsi="Arial"/>
                <w:sz w:val="16"/>
                <w:szCs w:val="16"/>
                <w:color w:val="0000EE"/>
              </w:rPr>
            </w:pPr>
            <w:hyperlink w:anchor="page68">
              <w:r>
                <w:rPr>
                  <w:rFonts w:ascii="Arial" w:cs="Arial" w:eastAsia="Arial" w:hAnsi="Arial"/>
                  <w:sz w:val="16"/>
                  <w:szCs w:val="16"/>
                  <w:color w:val="0000EE"/>
                </w:rPr>
                <w:t>63</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1120" w:type="dxa"/>
            <w:vAlign w:val="bottom"/>
          </w:tcPr>
          <w:p>
            <w:pPr>
              <w:spacing w:after="0"/>
              <w:rPr>
                <w:sz w:val="24"/>
                <w:szCs w:val="24"/>
                <w:color w:val="auto"/>
              </w:rPr>
            </w:pPr>
          </w:p>
        </w:tc>
        <w:tc>
          <w:tcPr>
            <w:tcW w:w="1260" w:type="dxa"/>
            <w:vAlign w:val="bottom"/>
            <w:tcBorders>
              <w:top w:val="single" w:sz="8" w:color="0000EE"/>
            </w:tcBorders>
            <w:gridSpan w:val="4"/>
          </w:tcPr>
          <w:p>
            <w:pPr>
              <w:spacing w:after="0"/>
              <w:rPr>
                <w:sz w:val="24"/>
                <w:szCs w:val="24"/>
                <w:color w:val="auto"/>
              </w:rPr>
            </w:pPr>
          </w:p>
        </w:tc>
        <w:tc>
          <w:tcPr>
            <w:tcW w:w="3620" w:type="dxa"/>
            <w:vAlign w:val="bottom"/>
            <w:gridSpan w:val="17"/>
          </w:tcPr>
          <w:p>
            <w:pPr>
              <w:jc w:val="right"/>
              <w:ind w:right="300"/>
              <w:spacing w:after="0"/>
              <w:rPr>
                <w:sz w:val="20"/>
                <w:szCs w:val="20"/>
                <w:color w:val="auto"/>
              </w:rPr>
            </w:pPr>
            <w:r>
              <w:rPr>
                <w:rFonts w:ascii="Arial" w:cs="Arial" w:eastAsia="Arial" w:hAnsi="Arial"/>
                <w:sz w:val="16"/>
                <w:szCs w:val="16"/>
                <w:color w:val="auto"/>
              </w:rPr>
              <w:t>43</w:t>
            </w:r>
          </w:p>
        </w:tc>
        <w:tc>
          <w:tcPr>
            <w:tcW w:w="1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24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SUMMARY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PROGRAM</w:t>
      </w:r>
    </w:p>
    <w:p>
      <w:pPr>
        <w:spacing w:after="0" w:line="208" w:lineRule="exact"/>
        <w:rPr>
          <w:sz w:val="20"/>
          <w:szCs w:val="20"/>
          <w:color w:val="auto"/>
        </w:rPr>
      </w:pPr>
    </w:p>
    <w:p>
      <w:pPr>
        <w:ind w:firstLine="316"/>
        <w:spacing w:after="0" w:line="260" w:lineRule="auto"/>
        <w:rPr>
          <w:sz w:val="20"/>
          <w:szCs w:val="20"/>
          <w:color w:val="auto"/>
        </w:rPr>
      </w:pPr>
      <w:r>
        <w:rPr>
          <w:rFonts w:ascii="Arial" w:cs="Arial" w:eastAsia="Arial" w:hAnsi="Arial"/>
          <w:sz w:val="16"/>
          <w:szCs w:val="16"/>
          <w:color w:val="auto"/>
        </w:rPr>
        <w:t>Clearway is a publicly-traded energy infrastructure investor and owner of modern, sustainable and long-term contracted assets across North America. As a result of the GIP Transaction which closed on August 31, 2018, GIP, through its portfolio company, CEG, holds all of our Class B common stock and Class D common stock and thus has the majority voting interest in the Company. This CD&amp;A describes the philosophy, elements, implementation and results of our 2019 executive compensation program as it applies to the executive team.</w:t>
      </w:r>
    </w:p>
    <w:p>
      <w:pPr>
        <w:spacing w:after="0" w:line="174" w:lineRule="exact"/>
        <w:rPr>
          <w:sz w:val="20"/>
          <w:szCs w:val="20"/>
          <w:color w:val="auto"/>
        </w:rPr>
      </w:pPr>
    </w:p>
    <w:p>
      <w:pPr>
        <w:ind w:firstLine="316"/>
        <w:spacing w:after="0" w:line="301" w:lineRule="auto"/>
        <w:rPr>
          <w:sz w:val="20"/>
          <w:szCs w:val="20"/>
          <w:color w:val="auto"/>
        </w:rPr>
      </w:pPr>
      <w:r>
        <w:rPr>
          <w:rFonts w:ascii="Arial" w:cs="Arial" w:eastAsia="Arial" w:hAnsi="Arial"/>
          <w:sz w:val="14"/>
          <w:szCs w:val="14"/>
          <w:color w:val="auto"/>
        </w:rPr>
        <w:t>Beginning with our first two employees, Messrs. Sotos and Plotkin in 2016, the Compensation Committee's objectives have been to design a simple yet competitive program, which is aligned with the interests of our stockholders. Since that time, refinements have been made to the combination of long-term and short-term compensation features to further align pay with the Company's annual performance and 3-year total shareholder return ("TSR"), respectively. Our annual incentive program ("AIP") is based on objective criteria that support the achievement of our short-term objectives, which we believe create long-term shareholder value. Our long-term incentives are comprised of 67% Relative Performance Stock Units ("RPSUs"), which vest based on relative TSR measured over 3 years and 33% Restricted Stock Units (RSUs), which vest based on continued service over 3 years. The program incorporates many best practices in compensation design, while being tailored to our business needs and compensation objectives.</w:t>
      </w:r>
    </w:p>
    <w:p>
      <w:pPr>
        <w:spacing w:after="0" w:line="148" w:lineRule="exact"/>
        <w:rPr>
          <w:sz w:val="20"/>
          <w:szCs w:val="20"/>
          <w:color w:val="auto"/>
        </w:rPr>
      </w:pPr>
    </w:p>
    <w:p>
      <w:pPr>
        <w:ind w:right="40" w:firstLine="316"/>
        <w:spacing w:after="0" w:line="264" w:lineRule="auto"/>
        <w:rPr>
          <w:sz w:val="20"/>
          <w:szCs w:val="20"/>
          <w:color w:val="auto"/>
        </w:rPr>
      </w:pPr>
      <w:r>
        <w:rPr>
          <w:rFonts w:ascii="Arial" w:cs="Arial" w:eastAsia="Arial" w:hAnsi="Arial"/>
          <w:sz w:val="16"/>
          <w:szCs w:val="16"/>
          <w:color w:val="auto"/>
        </w:rPr>
        <w:t>In 2019, the Compensation Committee reviewed and did not modify its compensation philosophy behind the compensation program. Thus, NEO compensation continued to be delivered through a mix of (i) base salary, (ii) an annual incentive bonus opportunity under the AIP and (iii) long-term incentive compensation under our LTIP in the form of RPSUs, and RSUs.</w:t>
      </w:r>
    </w:p>
    <w:p>
      <w:pPr>
        <w:spacing w:after="0" w:line="170" w:lineRule="exact"/>
        <w:rPr>
          <w:sz w:val="20"/>
          <w:szCs w:val="20"/>
          <w:color w:val="auto"/>
        </w:rPr>
      </w:pPr>
    </w:p>
    <w:p>
      <w:pPr>
        <w:ind w:right="100" w:firstLine="307"/>
        <w:spacing w:after="0" w:line="275" w:lineRule="auto"/>
        <w:rPr>
          <w:sz w:val="20"/>
          <w:szCs w:val="20"/>
          <w:color w:val="auto"/>
        </w:rPr>
      </w:pPr>
      <w:r>
        <w:rPr>
          <w:rFonts w:ascii="Arial" w:cs="Arial" w:eastAsia="Arial" w:hAnsi="Arial"/>
          <w:sz w:val="16"/>
          <w:szCs w:val="16"/>
          <w:color w:val="auto"/>
        </w:rPr>
        <w:t>At our 2019 Annual Meeting of Stockholders, we received 99% support for our say on pay proposal. We believe these results demonstrate our stockholders support our pay practices and that our compensation plans are aligned with their interests.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GOVERNANCE FEATURES OF OUR EXECUTIVE COMPENSATION PROGRAM</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compensation program and practices incorporate several key governance features as highlighted in the table below.</w:t>
      </w:r>
    </w:p>
    <w:p>
      <w:pPr>
        <w:spacing w:after="0" w:line="212" w:lineRule="exact"/>
        <w:rPr>
          <w:sz w:val="20"/>
          <w:szCs w:val="20"/>
          <w:color w:val="auto"/>
        </w:rPr>
      </w:pPr>
    </w:p>
    <w:p>
      <w:pPr>
        <w:jc w:val="right"/>
        <w:ind w:right="2620"/>
        <w:spacing w:after="0"/>
        <w:tabs>
          <w:tab w:leader="none" w:pos="1000" w:val="left"/>
        </w:tabs>
        <w:rPr>
          <w:sz w:val="20"/>
          <w:szCs w:val="20"/>
          <w:color w:val="auto"/>
        </w:rPr>
      </w:pPr>
      <w:r>
        <w:rPr>
          <w:rFonts w:ascii="Arial" w:cs="Arial" w:eastAsia="Arial" w:hAnsi="Arial"/>
          <w:sz w:val="12"/>
          <w:szCs w:val="12"/>
          <w:b w:val="1"/>
          <w:bCs w:val="1"/>
          <w:color w:val="auto"/>
        </w:rPr>
        <w:t>What We Do:</w:t>
      </w:r>
      <w:r>
        <w:rPr>
          <w:sz w:val="20"/>
          <w:szCs w:val="20"/>
          <w:color w:val="auto"/>
        </w:rPr>
        <w:tab/>
      </w:r>
      <w:r>
        <w:rPr>
          <w:rFonts w:ascii="Arial" w:cs="Arial" w:eastAsia="Arial" w:hAnsi="Arial"/>
          <w:sz w:val="11"/>
          <w:szCs w:val="11"/>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5080</wp:posOffset>
            </wp:positionV>
            <wp:extent cx="57124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2460" cy="762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p>
      <w:pPr>
        <w:spacing w:after="0" w:line="20" w:lineRule="exact"/>
        <w:rPr>
          <w:sz w:val="20"/>
          <w:szCs w:val="20"/>
          <w:color w:val="auto"/>
        </w:rPr>
      </w:pPr>
    </w:p>
    <w:p>
      <w:pPr>
        <w:ind w:left="1280" w:right="160" w:hanging="154"/>
        <w:spacing w:after="0" w:line="263" w:lineRule="auto"/>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Pay for performance by delivering a substantial majority of our CEO's compensation through equity</w:t>
      </w:r>
    </w:p>
    <w:p>
      <w:pPr>
        <w:spacing w:after="0" w:line="170" w:lineRule="exact"/>
        <w:rPr>
          <w:rFonts w:ascii="Arial" w:cs="Arial" w:eastAsia="Arial" w:hAnsi="Arial"/>
          <w:sz w:val="16"/>
          <w:szCs w:val="16"/>
          <w:color w:val="auto"/>
        </w:rPr>
      </w:pPr>
    </w:p>
    <w:p>
      <w:pPr>
        <w:ind w:left="1280" w:hanging="154"/>
        <w:spacing w:after="0" w:line="348" w:lineRule="auto"/>
        <w:tabs>
          <w:tab w:leader="none" w:pos="12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Beginning in 2017, the large majority of our equity compensation for Senior Vice Presidents and above is performance-based</w:t>
      </w:r>
    </w:p>
    <w:p>
      <w:pPr>
        <w:spacing w:after="0" w:line="115" w:lineRule="exact"/>
        <w:rPr>
          <w:rFonts w:ascii="Arial" w:cs="Arial" w:eastAsia="Arial" w:hAnsi="Arial"/>
          <w:sz w:val="14"/>
          <w:szCs w:val="14"/>
          <w:color w:val="auto"/>
        </w:rPr>
      </w:pPr>
    </w:p>
    <w:p>
      <w:pPr>
        <w:ind w:left="1280" w:hanging="154"/>
        <w:spacing w:after="0"/>
        <w:tabs>
          <w:tab w:leader="none" w:pos="1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Target our peer group median for total direct compensation</w:t>
      </w:r>
    </w:p>
    <w:p>
      <w:pPr>
        <w:spacing w:after="0" w:line="200" w:lineRule="exact"/>
        <w:rPr>
          <w:rFonts w:ascii="Arial" w:cs="Arial" w:eastAsia="Arial" w:hAnsi="Arial"/>
          <w:sz w:val="15"/>
          <w:szCs w:val="15"/>
          <w:color w:val="auto"/>
        </w:rPr>
      </w:pPr>
    </w:p>
    <w:p>
      <w:pPr>
        <w:spacing w:after="0" w:line="210" w:lineRule="exact"/>
        <w:rPr>
          <w:rFonts w:ascii="Arial" w:cs="Arial" w:eastAsia="Arial" w:hAnsi="Arial"/>
          <w:sz w:val="15"/>
          <w:szCs w:val="15"/>
          <w:color w:val="auto"/>
        </w:rPr>
      </w:pPr>
    </w:p>
    <w:p>
      <w:pPr>
        <w:ind w:left="1280" w:right="260" w:hanging="154"/>
        <w:spacing w:after="0" w:line="275" w:lineRule="auto"/>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Require a double trigger for the acceleration of equity vesting upon a change-in-control</w:t>
      </w:r>
    </w:p>
    <w:p>
      <w:pPr>
        <w:spacing w:after="0" w:line="161" w:lineRule="exact"/>
        <w:rPr>
          <w:rFonts w:ascii="Arial" w:cs="Arial" w:eastAsia="Arial" w:hAnsi="Arial"/>
          <w:sz w:val="16"/>
          <w:szCs w:val="16"/>
          <w:color w:val="auto"/>
        </w:rPr>
      </w:pPr>
    </w:p>
    <w:p>
      <w:pPr>
        <w:ind w:left="1280" w:right="340" w:hanging="154"/>
        <w:spacing w:after="0" w:line="275" w:lineRule="auto"/>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Prevent undue risk taking in our compensation practices and engage in robust risk monitoring</w:t>
      </w:r>
    </w:p>
    <w:p>
      <w:pPr>
        <w:spacing w:after="0" w:line="161" w:lineRule="exact"/>
        <w:rPr>
          <w:rFonts w:ascii="Arial" w:cs="Arial" w:eastAsia="Arial" w:hAnsi="Arial"/>
          <w:sz w:val="16"/>
          <w:szCs w:val="16"/>
          <w:color w:val="auto"/>
        </w:rPr>
      </w:pPr>
    </w:p>
    <w:p>
      <w:pPr>
        <w:ind w:left="1280" w:hanging="154"/>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 clawback policies in our compensation plans</w:t>
      </w:r>
    </w:p>
    <w:p>
      <w:pPr>
        <w:spacing w:after="0" w:line="398" w:lineRule="exact"/>
        <w:rPr>
          <w:rFonts w:ascii="Arial" w:cs="Arial" w:eastAsia="Arial" w:hAnsi="Arial"/>
          <w:sz w:val="16"/>
          <w:szCs w:val="16"/>
          <w:color w:val="auto"/>
        </w:rPr>
      </w:pPr>
    </w:p>
    <w:p>
      <w:pPr>
        <w:ind w:left="1280" w:hanging="154"/>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Maintain robust stock ownership guidelines for our NEOs</w:t>
      </w:r>
    </w:p>
    <w:p>
      <w:pPr>
        <w:spacing w:after="0" w:line="204" w:lineRule="exact"/>
        <w:rPr>
          <w:rFonts w:ascii="Arial" w:cs="Arial" w:eastAsia="Arial" w:hAnsi="Arial"/>
          <w:sz w:val="16"/>
          <w:szCs w:val="16"/>
          <w:color w:val="auto"/>
        </w:rPr>
      </w:pPr>
    </w:p>
    <w:p>
      <w:pPr>
        <w:ind w:left="1280" w:hanging="154"/>
        <w:spacing w:after="0"/>
        <w:tabs>
          <w:tab w:leader="none" w:pos="12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Provide market-level retirement benefits and limited perquisites</w:t>
      </w:r>
    </w:p>
    <w:p>
      <w:pPr>
        <w:spacing w:after="0" w:line="227" w:lineRule="exact"/>
        <w:rPr>
          <w:rFonts w:ascii="Arial" w:cs="Arial" w:eastAsia="Arial" w:hAnsi="Arial"/>
          <w:sz w:val="14"/>
          <w:szCs w:val="14"/>
          <w:color w:val="auto"/>
        </w:rPr>
      </w:pPr>
    </w:p>
    <w:p>
      <w:pPr>
        <w:jc w:val="both"/>
        <w:ind w:left="1280" w:right="400" w:hanging="154"/>
        <w:spacing w:after="0" w:line="264" w:lineRule="auto"/>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Engage an independent compensation consultant to provide advice to the Compensation Committee with respect to our compensation program</w:t>
      </w:r>
    </w:p>
    <w:p>
      <w:pPr>
        <w:spacing w:after="0" w:line="169" w:lineRule="exact"/>
        <w:rPr>
          <w:rFonts w:ascii="Arial" w:cs="Arial" w:eastAsia="Arial" w:hAnsi="Arial"/>
          <w:sz w:val="16"/>
          <w:szCs w:val="16"/>
          <w:color w:val="auto"/>
        </w:rPr>
      </w:pPr>
    </w:p>
    <w:p>
      <w:pPr>
        <w:ind w:left="1280" w:hanging="154"/>
        <w:spacing w:after="0"/>
        <w:tabs>
          <w:tab w:leader="none" w:pos="1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Conduct an annual say on pay vote</w:t>
      </w:r>
    </w:p>
    <w:p>
      <w:pPr>
        <w:spacing w:after="0" w:line="20" w:lineRule="exact"/>
        <w:rPr>
          <w:sz w:val="20"/>
          <w:szCs w:val="20"/>
          <w:color w:val="auto"/>
        </w:rPr>
      </w:pPr>
      <w:r>
        <w:rPr>
          <w:sz w:val="20"/>
          <w:szCs w:val="20"/>
          <w:color w:val="auto"/>
        </w:rPr>
        <w:br w:type="column"/>
      </w:r>
    </w:p>
    <w:p>
      <w:pPr>
        <w:ind w:left="168" w:right="1160" w:hanging="168"/>
        <w:spacing w:after="0" w:line="263" w:lineRule="auto"/>
        <w:tabs>
          <w:tab w:leader="none" w:pos="1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excise tax gross-ups on change-in-control payments and no tax gross-ups on perquisites or benefits</w:t>
      </w:r>
    </w:p>
    <w:p>
      <w:pPr>
        <w:spacing w:after="0" w:line="170" w:lineRule="exact"/>
        <w:rPr>
          <w:rFonts w:ascii="Arial" w:cs="Arial" w:eastAsia="Arial" w:hAnsi="Arial"/>
          <w:sz w:val="16"/>
          <w:szCs w:val="16"/>
          <w:color w:val="auto"/>
        </w:rPr>
      </w:pPr>
    </w:p>
    <w:p>
      <w:pPr>
        <w:ind w:left="168" w:right="1320" w:hanging="168"/>
        <w:spacing w:after="0" w:line="275" w:lineRule="auto"/>
        <w:tabs>
          <w:tab w:leader="none" w:pos="1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pledging or hedging of the Company's stock by NEOs or directors</w:t>
      </w:r>
    </w:p>
    <w:p>
      <w:pPr>
        <w:spacing w:after="0" w:line="161" w:lineRule="exact"/>
        <w:rPr>
          <w:rFonts w:ascii="Arial" w:cs="Arial" w:eastAsia="Arial" w:hAnsi="Arial"/>
          <w:sz w:val="16"/>
          <w:szCs w:val="16"/>
          <w:color w:val="auto"/>
        </w:rPr>
      </w:pPr>
    </w:p>
    <w:p>
      <w:pPr>
        <w:ind w:left="168" w:right="1400" w:hanging="168"/>
        <w:spacing w:after="0" w:line="275" w:lineRule="auto"/>
        <w:tabs>
          <w:tab w:leader="none" w:pos="1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employment agreements for executive officers with the exception of our CEO</w:t>
      </w:r>
    </w:p>
    <w:p>
      <w:pPr>
        <w:spacing w:after="0" w:line="161" w:lineRule="exact"/>
        <w:rPr>
          <w:rFonts w:ascii="Arial" w:cs="Arial" w:eastAsia="Arial" w:hAnsi="Arial"/>
          <w:sz w:val="16"/>
          <w:szCs w:val="16"/>
          <w:color w:val="auto"/>
        </w:rPr>
      </w:pPr>
    </w:p>
    <w:p>
      <w:pPr>
        <w:ind w:left="168" w:hanging="168"/>
        <w:spacing w:after="0"/>
        <w:tabs>
          <w:tab w:leader="none" w:pos="1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guaranteed bonus payments for our NEOs</w:t>
      </w:r>
    </w:p>
    <w:p>
      <w:pPr>
        <w:spacing w:after="0" w:line="398" w:lineRule="exact"/>
        <w:rPr>
          <w:rFonts w:ascii="Arial" w:cs="Arial" w:eastAsia="Arial" w:hAnsi="Arial"/>
          <w:sz w:val="16"/>
          <w:szCs w:val="16"/>
          <w:color w:val="auto"/>
        </w:rPr>
      </w:pPr>
    </w:p>
    <w:p>
      <w:pPr>
        <w:ind w:left="168" w:hanging="168"/>
        <w:spacing w:after="0"/>
        <w:tabs>
          <w:tab w:leader="none" w:pos="1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supplemental executive retirement plans</w:t>
      </w:r>
    </w:p>
    <w:p>
      <w:pPr>
        <w:spacing w:after="0" w:line="398" w:lineRule="exact"/>
        <w:rPr>
          <w:rFonts w:ascii="Arial" w:cs="Arial" w:eastAsia="Arial" w:hAnsi="Arial"/>
          <w:sz w:val="16"/>
          <w:szCs w:val="16"/>
          <w:color w:val="auto"/>
        </w:rPr>
      </w:pPr>
    </w:p>
    <w:p>
      <w:pPr>
        <w:jc w:val="both"/>
        <w:ind w:left="168" w:right="1200" w:hanging="168"/>
        <w:spacing w:after="0" w:line="348" w:lineRule="auto"/>
        <w:tabs>
          <w:tab w:leader="none" w:pos="168"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re-pricing of underwater stock options and no stock option grants with an exercise price below 100% of fair market value</w:t>
      </w:r>
    </w:p>
    <w:p>
      <w:pPr>
        <w:spacing w:after="0" w:line="2053" w:lineRule="exact"/>
        <w:rPr>
          <w:sz w:val="20"/>
          <w:szCs w:val="20"/>
          <w:color w:val="auto"/>
        </w:rPr>
      </w:pPr>
    </w:p>
    <w:p>
      <w:pPr>
        <w:sectPr>
          <w:pgSz w:w="11900" w:h="16838" w:orient="portrait"/>
          <w:cols w:equalWidth="0" w:num="2">
            <w:col w:w="5440" w:space="372"/>
            <w:col w:w="5288"/>
          </w:cols>
          <w:pgMar w:left="320" w:top="131"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BUSINESS STRATEGY AND COMPANY PERFORMANCE</w:t>
      </w:r>
    </w:p>
    <w:p>
      <w:pPr>
        <w:spacing w:after="0" w:line="208" w:lineRule="exact"/>
        <w:rPr>
          <w:sz w:val="20"/>
          <w:szCs w:val="20"/>
          <w:color w:val="auto"/>
        </w:rPr>
      </w:pPr>
    </w:p>
    <w:p>
      <w:pPr>
        <w:jc w:val="both"/>
        <w:ind w:firstLine="313"/>
        <w:spacing w:after="0" w:line="309" w:lineRule="auto"/>
        <w:rPr>
          <w:sz w:val="20"/>
          <w:szCs w:val="20"/>
          <w:color w:val="auto"/>
        </w:rPr>
      </w:pPr>
      <w:r>
        <w:rPr>
          <w:rFonts w:ascii="Arial" w:cs="Arial" w:eastAsia="Arial" w:hAnsi="Arial"/>
          <w:sz w:val="14"/>
          <w:szCs w:val="14"/>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execution of the Company's business strategy produced the following results in 2019:</w:t>
      </w:r>
    </w:p>
    <w:p>
      <w:pPr>
        <w:spacing w:after="0" w:line="217" w:lineRule="exact"/>
        <w:rPr>
          <w:sz w:val="20"/>
          <w:szCs w:val="20"/>
          <w:color w:val="auto"/>
        </w:rPr>
      </w:pPr>
    </w:p>
    <w:p>
      <w:pPr>
        <w:ind w:left="960" w:hanging="477"/>
        <w:spacing w:after="0" w:line="275"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Raised approximately $900 million in new corporate-level formation for growth investments and corporate liability management, which included corporate debt and equity financings, as well as project-level debt optimization</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960" w:right="120" w:hanging="477"/>
        <w:spacing w:after="0" w:line="275"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Invested approximately $330 million in new growth investments, including the acquisition of the 527 MW Carlsbad Energy Center from the Company's sponsor GIP and the Repowering Partnership 1.0</w:t>
      </w:r>
    </w:p>
    <w:p>
      <w:pPr>
        <w:spacing w:after="0" w:line="185" w:lineRule="exact"/>
        <w:rPr>
          <w:rFonts w:ascii="Arial" w:cs="Arial" w:eastAsia="Arial" w:hAnsi="Arial"/>
          <w:sz w:val="16"/>
          <w:szCs w:val="16"/>
          <w:color w:val="auto"/>
        </w:rPr>
      </w:pPr>
    </w:p>
    <w:p>
      <w:pPr>
        <w:ind w:left="960" w:hanging="477"/>
        <w:spacing w:after="0"/>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Finalized stand-alone operations including the transition of services away from NRG as the Company's sponsor</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Successful management of the potential impacts from the PG&amp;E bankruptcy</w:t>
      </w:r>
    </w:p>
    <w:p>
      <w:pPr>
        <w:spacing w:after="0" w:line="216" w:lineRule="exact"/>
        <w:rPr>
          <w:rFonts w:ascii="Arial" w:cs="Arial" w:eastAsia="Arial" w:hAnsi="Arial"/>
          <w:sz w:val="16"/>
          <w:szCs w:val="16"/>
          <w:color w:val="auto"/>
        </w:rPr>
      </w:pPr>
    </w:p>
    <w:p>
      <w:pPr>
        <w:ind w:left="960" w:hanging="477"/>
        <w:spacing w:after="0" w:line="275"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Achieved strong execution from Thermal business, which acquired the district energy assets of Duquesne University in Pittsburgh, PA and successfully completed the Mylan project and secured a contract with Cayo Largo in Puerto Rico</w:t>
      </w:r>
    </w:p>
    <w:p>
      <w:pPr>
        <w:spacing w:after="0" w:line="161" w:lineRule="exact"/>
        <w:rPr>
          <w:sz w:val="20"/>
          <w:szCs w:val="20"/>
          <w:color w:val="auto"/>
        </w:rPr>
      </w:pPr>
    </w:p>
    <w:p>
      <w:pPr>
        <w:ind w:right="820" w:firstLine="316"/>
        <w:spacing w:after="0" w:line="275" w:lineRule="auto"/>
        <w:rPr>
          <w:sz w:val="20"/>
          <w:szCs w:val="20"/>
          <w:color w:val="auto"/>
        </w:rPr>
      </w:pPr>
      <w:r>
        <w:rPr>
          <w:rFonts w:ascii="Arial" w:cs="Arial" w:eastAsia="Arial" w:hAnsi="Arial"/>
          <w:sz w:val="16"/>
          <w:szCs w:val="16"/>
          <w:color w:val="auto"/>
        </w:rPr>
        <w:t>Such results were taken into account by the Compensation Committee in making determinations with respect to the compensation for our NEOs under the 2019 compensation program.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COMPENSATION PROGRAM</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 NAMED EXECUTIVE OFFICERS</w:t>
      </w:r>
    </w:p>
    <w:p>
      <w:pPr>
        <w:spacing w:after="0" w:line="208" w:lineRule="exact"/>
        <w:rPr>
          <w:sz w:val="20"/>
          <w:szCs w:val="20"/>
          <w:color w:val="auto"/>
        </w:rPr>
      </w:pPr>
    </w:p>
    <w:p>
      <w:pPr>
        <w:ind w:right="460" w:firstLine="313"/>
        <w:spacing w:after="0" w:line="275" w:lineRule="auto"/>
        <w:rPr>
          <w:sz w:val="20"/>
          <w:szCs w:val="20"/>
          <w:color w:val="auto"/>
        </w:rPr>
      </w:pPr>
      <w:r>
        <w:rPr>
          <w:rFonts w:ascii="Arial" w:cs="Arial" w:eastAsia="Arial" w:hAnsi="Arial"/>
          <w:sz w:val="16"/>
          <w:szCs w:val="16"/>
          <w:color w:val="auto"/>
        </w:rPr>
        <w:t>This CD&amp;A describes the material components of our compensation program for our NEOs in 2019. For the year ending December 31, 2019, our NEOs included the following individuals:</w:t>
      </w:r>
    </w:p>
    <w:p>
      <w:pPr>
        <w:spacing w:after="0" w:line="157"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280" w:type="dxa"/>
            <w:vAlign w:val="bottom"/>
          </w:tcPr>
          <w:p>
            <w:pPr>
              <w:spacing w:after="0"/>
              <w:rPr>
                <w:sz w:val="20"/>
                <w:szCs w:val="20"/>
                <w:color w:val="auto"/>
              </w:rPr>
            </w:pPr>
            <w:r>
              <w:rPr>
                <w:rFonts w:ascii="Arial" w:cs="Arial" w:eastAsia="Arial" w:hAnsi="Arial"/>
                <w:sz w:val="12"/>
                <w:szCs w:val="12"/>
                <w:b w:val="1"/>
                <w:bCs w:val="1"/>
                <w:color w:val="auto"/>
                <w:w w:val="99"/>
              </w:rPr>
              <w:t>NEO</w:t>
            </w: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140" w:type="dxa"/>
            <w:vAlign w:val="bottom"/>
            <w:tcBorders>
              <w:bottom w:val="single" w:sz="8" w:color="auto"/>
            </w:tcBorders>
          </w:tcPr>
          <w:p>
            <w:pPr>
              <w:ind w:left="3320"/>
              <w:spacing w:after="0"/>
              <w:rPr>
                <w:sz w:val="20"/>
                <w:szCs w:val="20"/>
                <w:color w:val="auto"/>
              </w:rPr>
            </w:pPr>
            <w:r>
              <w:rPr>
                <w:rFonts w:ascii="Arial" w:cs="Arial" w:eastAsia="Arial" w:hAnsi="Arial"/>
                <w:sz w:val="12"/>
                <w:szCs w:val="12"/>
                <w:b w:val="1"/>
                <w:bCs w:val="1"/>
                <w:color w:val="auto"/>
              </w:rPr>
              <w:t>2019 Title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420" w:type="dxa"/>
            <w:vAlign w:val="bottom"/>
            <w:gridSpan w:val="2"/>
            <w:vMerge w:val="restart"/>
            <w:shd w:val="clear" w:color="auto" w:fill="CCEEFF"/>
          </w:tcPr>
          <w:p>
            <w:pPr>
              <w:ind w:left="280"/>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line="20" w:lineRule="exact"/>
              <w:rPr>
                <w:sz w:val="1"/>
                <w:szCs w:val="1"/>
                <w:color w:val="auto"/>
              </w:rPr>
            </w:pPr>
          </w:p>
        </w:tc>
      </w:tr>
      <w:tr>
        <w:trPr>
          <w:trHeight w:val="166"/>
        </w:trPr>
        <w:tc>
          <w:tcPr>
            <w:tcW w:w="1580" w:type="dxa"/>
            <w:vAlign w:val="bottom"/>
            <w:gridSpan w:val="2"/>
            <w:shd w:val="clear" w:color="auto" w:fill="CCEEFF"/>
          </w:tcPr>
          <w:p>
            <w:pPr>
              <w:spacing w:after="0" w:line="167" w:lineRule="exact"/>
              <w:rPr>
                <w:sz w:val="20"/>
                <w:szCs w:val="20"/>
                <w:color w:val="auto"/>
              </w:rPr>
            </w:pPr>
            <w:r>
              <w:rPr>
                <w:rFonts w:ascii="Arial" w:cs="Arial" w:eastAsia="Arial" w:hAnsi="Arial"/>
                <w:sz w:val="16"/>
                <w:szCs w:val="16"/>
                <w:color w:val="auto"/>
              </w:rPr>
              <w:t>Christopher S. Sotos</w:t>
            </w:r>
          </w:p>
        </w:tc>
        <w:tc>
          <w:tcPr>
            <w:tcW w:w="74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580" w:type="dxa"/>
            <w:vAlign w:val="bottom"/>
            <w:gridSpan w:val="2"/>
          </w:tcPr>
          <w:p>
            <w:pPr>
              <w:spacing w:after="0"/>
              <w:rPr>
                <w:sz w:val="20"/>
                <w:szCs w:val="20"/>
                <w:color w:val="auto"/>
              </w:rPr>
            </w:pPr>
            <w:r>
              <w:rPr>
                <w:rFonts w:ascii="Arial" w:cs="Arial" w:eastAsia="Arial" w:hAnsi="Arial"/>
                <w:sz w:val="16"/>
                <w:szCs w:val="16"/>
                <w:color w:val="auto"/>
              </w:rPr>
              <w:t>Chad Plotkin</w:t>
            </w:r>
          </w:p>
        </w:tc>
        <w:tc>
          <w:tcPr>
            <w:tcW w:w="7420" w:type="dxa"/>
            <w:vAlign w:val="bottom"/>
            <w:gridSpan w:val="2"/>
          </w:tcPr>
          <w:p>
            <w:pPr>
              <w:ind w:left="280"/>
              <w:spacing w:after="0"/>
              <w:rPr>
                <w:sz w:val="20"/>
                <w:szCs w:val="20"/>
                <w:color w:val="auto"/>
              </w:rPr>
            </w:pPr>
            <w:r>
              <w:rPr>
                <w:rFonts w:ascii="Arial" w:cs="Arial" w:eastAsia="Arial" w:hAnsi="Arial"/>
                <w:sz w:val="16"/>
                <w:szCs w:val="16"/>
                <w:color w:val="auto"/>
              </w:rPr>
              <w:t>Senior Vice President and Chief Financial Officer</w:t>
            </w:r>
          </w:p>
        </w:tc>
        <w:tc>
          <w:tcPr>
            <w:tcW w:w="0" w:type="dxa"/>
            <w:vAlign w:val="bottom"/>
          </w:tcPr>
          <w:p>
            <w:pPr>
              <w:spacing w:after="0"/>
              <w:rPr>
                <w:sz w:val="1"/>
                <w:szCs w:val="1"/>
                <w:color w:val="auto"/>
              </w:rPr>
            </w:pPr>
          </w:p>
        </w:tc>
      </w:tr>
      <w:tr>
        <w:trPr>
          <w:trHeight w:val="414"/>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Kevin P. Malcarney</w:t>
            </w:r>
          </w:p>
        </w:tc>
        <w:tc>
          <w:tcPr>
            <w:tcW w:w="7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Senior Vice President, General Counsel and Corporate Secretary</w:t>
            </w:r>
          </w:p>
        </w:tc>
        <w:tc>
          <w:tcPr>
            <w:tcW w:w="0" w:type="dxa"/>
            <w:vAlign w:val="bottom"/>
          </w:tcPr>
          <w:p>
            <w:pPr>
              <w:spacing w:after="0"/>
              <w:rPr>
                <w:sz w:val="1"/>
                <w:szCs w:val="1"/>
                <w:color w:val="auto"/>
              </w:rPr>
            </w:pPr>
          </w:p>
        </w:tc>
      </w:tr>
      <w:tr>
        <w:trPr>
          <w:trHeight w:val="410"/>
        </w:trPr>
        <w:tc>
          <w:tcPr>
            <w:tcW w:w="1580" w:type="dxa"/>
            <w:vAlign w:val="bottom"/>
            <w:gridSpan w:val="2"/>
          </w:tcPr>
          <w:p>
            <w:pPr>
              <w:spacing w:after="0"/>
              <w:rPr>
                <w:sz w:val="20"/>
                <w:szCs w:val="20"/>
                <w:color w:val="auto"/>
              </w:rPr>
            </w:pPr>
            <w:r>
              <w:rPr>
                <w:rFonts w:ascii="Arial" w:cs="Arial" w:eastAsia="Arial" w:hAnsi="Arial"/>
                <w:sz w:val="16"/>
                <w:szCs w:val="16"/>
                <w:color w:val="auto"/>
              </w:rPr>
              <w:t>Mary-Lee Stillwell</w:t>
            </w:r>
          </w:p>
        </w:tc>
        <w:tc>
          <w:tcPr>
            <w:tcW w:w="7420" w:type="dxa"/>
            <w:vAlign w:val="bottom"/>
            <w:gridSpan w:val="2"/>
          </w:tcPr>
          <w:p>
            <w:pPr>
              <w:ind w:left="280"/>
              <w:spacing w:after="0"/>
              <w:rPr>
                <w:sz w:val="20"/>
                <w:szCs w:val="20"/>
                <w:color w:val="auto"/>
              </w:rPr>
            </w:pPr>
            <w:r>
              <w:rPr>
                <w:rFonts w:ascii="Arial" w:cs="Arial" w:eastAsia="Arial" w:hAnsi="Arial"/>
                <w:sz w:val="16"/>
                <w:szCs w:val="16"/>
                <w:color w:val="auto"/>
              </w:rPr>
              <w:t>Vice President and Chief Accounting Officer</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GOALS AND OBJECTIVES OF THE PROGRAM</w:t>
      </w:r>
    </w:p>
    <w:p>
      <w:pPr>
        <w:spacing w:after="0" w:line="208" w:lineRule="exact"/>
        <w:rPr>
          <w:sz w:val="20"/>
          <w:szCs w:val="20"/>
          <w:color w:val="auto"/>
        </w:rPr>
      </w:pPr>
    </w:p>
    <w:p>
      <w:pPr>
        <w:ind w:right="60" w:firstLine="313"/>
        <w:spacing w:after="0" w:line="289" w:lineRule="auto"/>
        <w:rPr>
          <w:sz w:val="20"/>
          <w:szCs w:val="20"/>
          <w:color w:val="auto"/>
        </w:rPr>
      </w:pPr>
      <w:r>
        <w:rPr>
          <w:rFonts w:ascii="Arial" w:cs="Arial" w:eastAsia="Arial" w:hAnsi="Arial"/>
          <w:sz w:val="15"/>
          <w:szCs w:val="15"/>
          <w:color w:val="auto"/>
        </w:rPr>
        <w:t>The Compensation Committee is responsible for the development and implementation of the Company's executive compensation program.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w:t>
      </w:r>
    </w:p>
    <w:p>
      <w:pPr>
        <w:spacing w:after="0" w:line="178" w:lineRule="exact"/>
        <w:rPr>
          <w:sz w:val="20"/>
          <w:szCs w:val="20"/>
          <w:color w:val="auto"/>
        </w:rPr>
      </w:pPr>
    </w:p>
    <w:p>
      <w:pPr>
        <w:ind w:left="960" w:right="200" w:hanging="477"/>
        <w:spacing w:after="0" w:line="275" w:lineRule="auto"/>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closely aligns our executive compensation with stockholder value creation, avoiding plans that encourage executives to take excessive risk, while driving long-term value to stockholders;</w:t>
      </w:r>
    </w:p>
    <w:p>
      <w:pPr>
        <w:spacing w:after="0" w:line="173" w:lineRule="exact"/>
        <w:rPr>
          <w:rFonts w:ascii="Arial" w:cs="Arial" w:eastAsia="Arial" w:hAnsi="Arial"/>
          <w:sz w:val="16"/>
          <w:szCs w:val="16"/>
          <w:color w:val="auto"/>
        </w:rPr>
      </w:pPr>
    </w:p>
    <w:p>
      <w:pPr>
        <w:ind w:left="960" w:right="100" w:hanging="477"/>
        <w:spacing w:after="0" w:line="275" w:lineRule="auto"/>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supports the Company's long-term business strategy, while rewarding our executive team for their individual accomplishments with tailored individual executive compensation metrics and incentives; and</w:t>
      </w:r>
    </w:p>
    <w:p>
      <w:pPr>
        <w:spacing w:after="0" w:line="173" w:lineRule="exact"/>
        <w:rPr>
          <w:rFonts w:ascii="Arial" w:cs="Arial" w:eastAsia="Arial" w:hAnsi="Arial"/>
          <w:sz w:val="16"/>
          <w:szCs w:val="16"/>
          <w:color w:val="auto"/>
        </w:rPr>
      </w:pPr>
    </w:p>
    <w:p>
      <w:pPr>
        <w:ind w:left="960" w:hanging="477"/>
        <w:spacing w:after="0"/>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provides a competitive compensation opportunity while adhering to market standards for compensation.</w:t>
      </w:r>
    </w:p>
    <w:p>
      <w:pPr>
        <w:spacing w:after="0" w:line="204" w:lineRule="exact"/>
        <w:rPr>
          <w:sz w:val="20"/>
          <w:szCs w:val="20"/>
          <w:color w:val="auto"/>
        </w:rPr>
      </w:pPr>
    </w:p>
    <w:p>
      <w:pPr>
        <w:ind w:right="200" w:firstLine="313"/>
        <w:spacing w:after="0" w:line="275" w:lineRule="auto"/>
        <w:rPr>
          <w:sz w:val="20"/>
          <w:szCs w:val="20"/>
          <w:color w:val="auto"/>
        </w:rPr>
      </w:pPr>
      <w:r>
        <w:rPr>
          <w:rFonts w:ascii="Arial" w:cs="Arial" w:eastAsia="Arial" w:hAnsi="Arial"/>
          <w:sz w:val="16"/>
          <w:szCs w:val="16"/>
          <w:color w:val="auto"/>
        </w:rPr>
        <w:t>The Compensation Committee's objectives are achieved through the use of both short-term and long-term incentives. The Company currently targets pay at the median of our Compensation Peer Group (defined below), as described under "Elements of Compensation."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COMPENSATION PROCESS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CONSULTANT</w:t>
      </w:r>
    </w:p>
    <w:p>
      <w:pPr>
        <w:spacing w:after="0" w:line="208" w:lineRule="exact"/>
        <w:rPr>
          <w:sz w:val="20"/>
          <w:szCs w:val="20"/>
          <w:color w:val="auto"/>
        </w:rPr>
      </w:pPr>
    </w:p>
    <w:p>
      <w:pPr>
        <w:ind w:firstLine="316"/>
        <w:spacing w:after="0" w:line="293" w:lineRule="auto"/>
        <w:rPr>
          <w:sz w:val="20"/>
          <w:szCs w:val="20"/>
          <w:color w:val="auto"/>
        </w:rPr>
      </w:pPr>
      <w:r>
        <w:rPr>
          <w:rFonts w:ascii="Arial" w:cs="Arial" w:eastAsia="Arial" w:hAnsi="Arial"/>
          <w:sz w:val="14"/>
          <w:szCs w:val="14"/>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As noted above, Pay Governance served as the Compensation Committee's independent compensation consultant for the first eight months of fiscal year 2019. Deloitte became the Compensation Committee's independent compensation consultant for the remainder of fiscal year 2019 and continues to serve in that capacity. Pay Governance worked with the Compensation Committee to formulate the design of the executive and director compensation programs for 2019. Each of Pay Governance and Deloitte provided reports to the Compensation Committee (during the respective periods they served as compensation consultant) containing research, market data, survey information and information regarding trends and developments in executive and director compensation. Each of Pay Governance and Deloitte reported directly to the Compensation Committee (during the respective periods they served as compensation consultant). The Company paid Deloitte $105,992 for the work it performed for the Compensation Committee in 2019. CEG engaged Deloitte and its affiliate, Deloitte &amp; Touche LLP, to provide additional services in 2019, for which CEG paid $2,964,644. These additional services primarily related to financial reporting services, including assistance with the preparation of CEG's financial statements for the second and third quarters of 2019, and assisting with the transition of enterprise resource planning and financial applications from NRG. Given that these services were provided to CEG, the decision to engage Deloitte and its affiliate for such services was not made, or recommended, by our management, or approved by the Compensation Committee or the Board. Neither Pay Governance nor any of its affiliates provided services for any of our affiliates in 2019. In accordance with SEC rules and requirements, the Company has affirmatively determined that no conflicts of interest exist between the Company and Pay Governance or Deloitte (or any individuals working on the Company's account on behalf of Pay Governance or Deloitte).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PEER GROUP ANALYSIS</w:t>
      </w:r>
    </w:p>
    <w:p>
      <w:pPr>
        <w:spacing w:after="0" w:line="208" w:lineRule="exact"/>
        <w:rPr>
          <w:sz w:val="20"/>
          <w:szCs w:val="20"/>
          <w:color w:val="auto"/>
        </w:rPr>
      </w:pPr>
    </w:p>
    <w:p>
      <w:pPr>
        <w:ind w:right="120" w:firstLine="313"/>
        <w:spacing w:after="0" w:line="258" w:lineRule="auto"/>
        <w:rPr>
          <w:sz w:val="20"/>
          <w:szCs w:val="20"/>
          <w:color w:val="auto"/>
        </w:rPr>
      </w:pPr>
      <w:r>
        <w:rPr>
          <w:rFonts w:ascii="Arial" w:cs="Arial" w:eastAsia="Arial" w:hAnsi="Arial"/>
          <w:sz w:val="16"/>
          <w:szCs w:val="16"/>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year-to-year but given the dynamic nature of our industry and the companies that constitute it, the Compensation Committee annually examines the peer group for appropriateness in terms of size, complexity and industry. As a result of such annual review, the Compensation Committee identified a new peer group for compensation benchmarking purposes in 2019 (the "Compensation Peer Group").</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these purposes, the Compensation Peer Group, comprised of similarly sized publicly-owned energy and utility companies, is identified below.</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820" w:type="dxa"/>
            <w:vAlign w:val="bottom"/>
            <w:tcBorders>
              <w:bottom w:val="single" w:sz="8" w:color="auto"/>
            </w:tcBorders>
            <w:gridSpan w:val="2"/>
          </w:tcPr>
          <w:p>
            <w:pPr>
              <w:ind w:left="1140"/>
              <w:spacing w:after="0"/>
              <w:rPr>
                <w:sz w:val="20"/>
                <w:szCs w:val="20"/>
                <w:color w:val="auto"/>
              </w:rPr>
            </w:pPr>
            <w:r>
              <w:rPr>
                <w:rFonts w:ascii="Arial" w:cs="Arial" w:eastAsia="Arial" w:hAnsi="Arial"/>
                <w:sz w:val="12"/>
                <w:szCs w:val="12"/>
                <w:b w:val="1"/>
                <w:bCs w:val="1"/>
                <w:color w:val="auto"/>
              </w:rPr>
              <w:t>Company</w:t>
            </w:r>
          </w:p>
        </w:tc>
        <w:tc>
          <w:tcPr>
            <w:tcW w:w="180" w:type="dxa"/>
            <w:vAlign w:val="bottom"/>
          </w:tcPr>
          <w:p>
            <w:pPr>
              <w:spacing w:after="0"/>
              <w:rPr>
                <w:sz w:val="12"/>
                <w:szCs w:val="12"/>
                <w:color w:val="auto"/>
              </w:rPr>
            </w:pPr>
          </w:p>
        </w:tc>
        <w:tc>
          <w:tcPr>
            <w:tcW w:w="1440" w:type="dxa"/>
            <w:vAlign w:val="bottom"/>
            <w:tcBorders>
              <w:bottom w:val="single" w:sz="8" w:color="auto"/>
            </w:tcBorders>
          </w:tcPr>
          <w:p>
            <w:pPr>
              <w:ind w:left="560"/>
              <w:spacing w:after="0"/>
              <w:rPr>
                <w:sz w:val="20"/>
                <w:szCs w:val="20"/>
                <w:color w:val="auto"/>
              </w:rPr>
            </w:pPr>
            <w:r>
              <w:rPr>
                <w:rFonts w:ascii="Arial" w:cs="Arial" w:eastAsia="Arial" w:hAnsi="Arial"/>
                <w:sz w:val="12"/>
                <w:szCs w:val="12"/>
                <w:b w:val="1"/>
                <w:bCs w:val="1"/>
                <w:color w:val="auto"/>
              </w:rPr>
              <w:t>Ticker</w:t>
            </w:r>
          </w:p>
        </w:tc>
        <w:tc>
          <w:tcPr>
            <w:tcW w:w="180" w:type="dxa"/>
            <w:vAlign w:val="bottom"/>
          </w:tcPr>
          <w:p>
            <w:pPr>
              <w:spacing w:after="0"/>
              <w:rPr>
                <w:sz w:val="12"/>
                <w:szCs w:val="12"/>
                <w:color w:val="auto"/>
              </w:rPr>
            </w:pPr>
          </w:p>
        </w:tc>
        <w:tc>
          <w:tcPr>
            <w:tcW w:w="284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Company</w:t>
            </w:r>
          </w:p>
        </w:tc>
        <w:tc>
          <w:tcPr>
            <w:tcW w:w="180" w:type="dxa"/>
            <w:vAlign w:val="bottom"/>
          </w:tcPr>
          <w:p>
            <w:pPr>
              <w:spacing w:after="0"/>
              <w:rPr>
                <w:sz w:val="12"/>
                <w:szCs w:val="12"/>
                <w:color w:val="auto"/>
              </w:rPr>
            </w:pPr>
          </w:p>
        </w:tc>
        <w:tc>
          <w:tcPr>
            <w:tcW w:w="1460" w:type="dxa"/>
            <w:vAlign w:val="bottom"/>
            <w:tcBorders>
              <w:bottom w:val="single" w:sz="8" w:color="auto"/>
            </w:tcBorders>
          </w:tcPr>
          <w:p>
            <w:pPr>
              <w:ind w:left="560"/>
              <w:spacing w:after="0"/>
              <w:rPr>
                <w:sz w:val="20"/>
                <w:szCs w:val="20"/>
                <w:color w:val="auto"/>
              </w:rPr>
            </w:pPr>
            <w:r>
              <w:rPr>
                <w:rFonts w:ascii="Arial" w:cs="Arial" w:eastAsia="Arial" w:hAnsi="Arial"/>
                <w:sz w:val="12"/>
                <w:szCs w:val="12"/>
                <w:b w:val="1"/>
                <w:bCs w:val="1"/>
                <w:color w:val="auto"/>
              </w:rPr>
              <w:t>Ticker</w:t>
            </w:r>
          </w:p>
        </w:tc>
      </w:tr>
      <w:tr>
        <w:trPr>
          <w:trHeight w:val="186"/>
        </w:trPr>
        <w:tc>
          <w:tcPr>
            <w:tcW w:w="20" w:type="dxa"/>
            <w:vAlign w:val="bottom"/>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Black Hills Corporation</w:t>
            </w: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NYSE: BKH</w:t>
            </w: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NorthWestern Corporation.</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NYSE: NWE</w:t>
            </w:r>
          </w:p>
        </w:tc>
      </w:tr>
      <w:tr>
        <w:trPr>
          <w:trHeight w:val="425"/>
        </w:trPr>
        <w:tc>
          <w:tcPr>
            <w:tcW w:w="2840" w:type="dxa"/>
            <w:vAlign w:val="bottom"/>
            <w:gridSpan w:val="3"/>
          </w:tcPr>
          <w:p>
            <w:pPr>
              <w:spacing w:after="0"/>
              <w:rPr>
                <w:sz w:val="20"/>
                <w:szCs w:val="20"/>
                <w:color w:val="auto"/>
              </w:rPr>
            </w:pPr>
            <w:r>
              <w:rPr>
                <w:rFonts w:ascii="Arial" w:cs="Arial" w:eastAsia="Arial" w:hAnsi="Arial"/>
                <w:sz w:val="16"/>
                <w:szCs w:val="16"/>
                <w:color w:val="auto"/>
              </w:rPr>
              <w:t>Boardwalk Pipeline Partners, LP</w:t>
            </w:r>
            <w:r>
              <w:rPr>
                <w:rFonts w:ascii="Arial" w:cs="Arial" w:eastAsia="Arial" w:hAnsi="Arial"/>
                <w:sz w:val="26"/>
                <w:szCs w:val="26"/>
                <w:b w:val="1"/>
                <w:bCs w:val="1"/>
                <w:color w:val="auto"/>
                <w:vertAlign w:val="superscript"/>
              </w:rPr>
              <w:t>(1)</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20" w:type="dxa"/>
            <w:vAlign w:val="bottom"/>
            <w:gridSpan w:val="2"/>
          </w:tcPr>
          <w:p>
            <w:pPr>
              <w:ind w:left="180"/>
              <w:spacing w:after="0"/>
              <w:rPr>
                <w:sz w:val="20"/>
                <w:szCs w:val="20"/>
                <w:color w:val="auto"/>
              </w:rPr>
            </w:pPr>
            <w:r>
              <w:rPr>
                <w:rFonts w:ascii="Arial" w:cs="Arial" w:eastAsia="Arial" w:hAnsi="Arial"/>
                <w:sz w:val="16"/>
                <w:szCs w:val="16"/>
                <w:color w:val="auto"/>
              </w:rPr>
              <w:t>Ormat Technologies, Inc.</w:t>
            </w:r>
          </w:p>
        </w:tc>
        <w:tc>
          <w:tcPr>
            <w:tcW w:w="1640" w:type="dxa"/>
            <w:vAlign w:val="bottom"/>
            <w:gridSpan w:val="2"/>
          </w:tcPr>
          <w:p>
            <w:pPr>
              <w:ind w:left="180"/>
              <w:spacing w:after="0"/>
              <w:rPr>
                <w:sz w:val="20"/>
                <w:szCs w:val="20"/>
                <w:color w:val="auto"/>
              </w:rPr>
            </w:pPr>
            <w:r>
              <w:rPr>
                <w:rFonts w:ascii="Arial" w:cs="Arial" w:eastAsia="Arial" w:hAnsi="Arial"/>
                <w:sz w:val="16"/>
                <w:szCs w:val="16"/>
                <w:color w:val="auto"/>
              </w:rPr>
              <w:t>NYSE: ORA</w:t>
            </w:r>
          </w:p>
        </w:tc>
      </w:tr>
      <w:tr>
        <w:trPr>
          <w:trHeight w:val="388"/>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 Paso Electric Company</w:t>
            </w: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NYSE: EE</w:t>
            </w: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Pattern Energy Group Inc.</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NASDAQ: PEGI</w:t>
            </w:r>
          </w:p>
        </w:tc>
      </w:tr>
      <w:tr>
        <w:trPr>
          <w:trHeight w:val="387"/>
        </w:trPr>
        <w:tc>
          <w:tcPr>
            <w:tcW w:w="2840" w:type="dxa"/>
            <w:vAlign w:val="bottom"/>
            <w:gridSpan w:val="3"/>
          </w:tcPr>
          <w:p>
            <w:pPr>
              <w:spacing w:after="0"/>
              <w:rPr>
                <w:sz w:val="20"/>
                <w:szCs w:val="20"/>
                <w:color w:val="auto"/>
              </w:rPr>
            </w:pPr>
            <w:r>
              <w:rPr>
                <w:rFonts w:ascii="Arial" w:cs="Arial" w:eastAsia="Arial" w:hAnsi="Arial"/>
                <w:sz w:val="16"/>
                <w:szCs w:val="16"/>
                <w:color w:val="auto"/>
              </w:rPr>
              <w:t>Genesis Energy, L.P.</w:t>
            </w:r>
          </w:p>
        </w:tc>
        <w:tc>
          <w:tcPr>
            <w:tcW w:w="1620" w:type="dxa"/>
            <w:vAlign w:val="bottom"/>
            <w:gridSpan w:val="2"/>
          </w:tcPr>
          <w:p>
            <w:pPr>
              <w:ind w:left="180"/>
              <w:spacing w:after="0"/>
              <w:rPr>
                <w:sz w:val="20"/>
                <w:szCs w:val="20"/>
                <w:color w:val="auto"/>
              </w:rPr>
            </w:pPr>
            <w:r>
              <w:rPr>
                <w:rFonts w:ascii="Arial" w:cs="Arial" w:eastAsia="Arial" w:hAnsi="Arial"/>
                <w:sz w:val="16"/>
                <w:szCs w:val="16"/>
                <w:color w:val="auto"/>
              </w:rPr>
              <w:t>NYSE: GEL</w:t>
            </w:r>
          </w:p>
        </w:tc>
        <w:tc>
          <w:tcPr>
            <w:tcW w:w="3020" w:type="dxa"/>
            <w:vAlign w:val="bottom"/>
            <w:gridSpan w:val="2"/>
          </w:tcPr>
          <w:p>
            <w:pPr>
              <w:ind w:left="180"/>
              <w:spacing w:after="0"/>
              <w:rPr>
                <w:sz w:val="20"/>
                <w:szCs w:val="20"/>
                <w:color w:val="auto"/>
              </w:rPr>
            </w:pPr>
            <w:r>
              <w:rPr>
                <w:rFonts w:ascii="Arial" w:cs="Arial" w:eastAsia="Arial" w:hAnsi="Arial"/>
                <w:sz w:val="16"/>
                <w:szCs w:val="16"/>
                <w:color w:val="auto"/>
              </w:rPr>
              <w:t>South Jersey Industries, Inc.</w:t>
            </w:r>
          </w:p>
        </w:tc>
        <w:tc>
          <w:tcPr>
            <w:tcW w:w="1640" w:type="dxa"/>
            <w:vAlign w:val="bottom"/>
            <w:gridSpan w:val="2"/>
          </w:tcPr>
          <w:p>
            <w:pPr>
              <w:ind w:left="180"/>
              <w:spacing w:after="0"/>
              <w:rPr>
                <w:sz w:val="20"/>
                <w:szCs w:val="20"/>
                <w:color w:val="auto"/>
              </w:rPr>
            </w:pPr>
            <w:r>
              <w:rPr>
                <w:rFonts w:ascii="Arial" w:cs="Arial" w:eastAsia="Arial" w:hAnsi="Arial"/>
                <w:sz w:val="16"/>
                <w:szCs w:val="16"/>
                <w:color w:val="auto"/>
              </w:rPr>
              <w:t>NYSE: SJI</w:t>
            </w:r>
          </w:p>
        </w:tc>
      </w:tr>
      <w:tr>
        <w:trPr>
          <w:trHeight w:val="390"/>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Innergex Renewable Energy Inc.</w:t>
            </w: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TSX: INE</w:t>
            </w: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TransAltaCorporation.</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NYSE:TAC</w:t>
            </w:r>
          </w:p>
        </w:tc>
      </w:tr>
      <w:tr>
        <w:trPr>
          <w:trHeight w:val="386"/>
        </w:trPr>
        <w:tc>
          <w:tcPr>
            <w:tcW w:w="2840" w:type="dxa"/>
            <w:vAlign w:val="bottom"/>
            <w:gridSpan w:val="3"/>
          </w:tcPr>
          <w:p>
            <w:pPr>
              <w:spacing w:after="0"/>
              <w:rPr>
                <w:sz w:val="20"/>
                <w:szCs w:val="20"/>
                <w:color w:val="auto"/>
              </w:rPr>
            </w:pPr>
            <w:r>
              <w:rPr>
                <w:rFonts w:ascii="Arial" w:cs="Arial" w:eastAsia="Arial" w:hAnsi="Arial"/>
                <w:sz w:val="16"/>
                <w:szCs w:val="16"/>
                <w:color w:val="auto"/>
              </w:rPr>
              <w:t>Northland Power Inc.</w:t>
            </w:r>
          </w:p>
        </w:tc>
        <w:tc>
          <w:tcPr>
            <w:tcW w:w="1620" w:type="dxa"/>
            <w:vAlign w:val="bottom"/>
            <w:gridSpan w:val="2"/>
          </w:tcPr>
          <w:p>
            <w:pPr>
              <w:ind w:left="180"/>
              <w:spacing w:after="0"/>
              <w:rPr>
                <w:sz w:val="20"/>
                <w:szCs w:val="20"/>
                <w:color w:val="auto"/>
              </w:rPr>
            </w:pPr>
            <w:r>
              <w:rPr>
                <w:rFonts w:ascii="Arial" w:cs="Arial" w:eastAsia="Arial" w:hAnsi="Arial"/>
                <w:sz w:val="16"/>
                <w:szCs w:val="16"/>
                <w:color w:val="auto"/>
              </w:rPr>
              <w:t>TSX: NPI</w:t>
            </w: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r>
    </w:tbl>
    <w:p>
      <w:pPr>
        <w:spacing w:after="0" w:line="197" w:lineRule="exact"/>
        <w:rPr>
          <w:sz w:val="20"/>
          <w:szCs w:val="20"/>
          <w:color w:val="auto"/>
        </w:rPr>
      </w:pPr>
    </w:p>
    <w:p>
      <w:pPr>
        <w:ind w:left="1600" w:hanging="478"/>
        <w:spacing w:after="0" w:line="319" w:lineRule="auto"/>
        <w:tabs>
          <w:tab w:leader="none" w:pos="16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Boardwalk Pipeline Partners, LP became privately-held in July 2018 and was delisted, but was included by Pay Governance (when it was serving as compensation consultant) as part of its 2019 compensation benchmarking analysis, and for that reason, Boardwalk Pipeline Partners, LP is included in the Compensation Peer Group for 2019 but will not be part of the Compensation Peer Group for 2020 or going forward.</w:t>
      </w:r>
    </w:p>
    <w:p>
      <w:pPr>
        <w:spacing w:after="0" w:line="135" w:lineRule="exact"/>
        <w:rPr>
          <w:sz w:val="20"/>
          <w:szCs w:val="20"/>
          <w:color w:val="auto"/>
        </w:rPr>
      </w:pPr>
    </w:p>
    <w:p>
      <w:pPr>
        <w:ind w:right="440" w:firstLine="316"/>
        <w:spacing w:after="0" w:line="309" w:lineRule="auto"/>
        <w:rPr>
          <w:sz w:val="20"/>
          <w:szCs w:val="20"/>
          <w:color w:val="auto"/>
        </w:rPr>
      </w:pPr>
      <w:r>
        <w:rPr>
          <w:rFonts w:ascii="Arial" w:cs="Arial" w:eastAsia="Arial" w:hAnsi="Arial"/>
          <w:sz w:val="14"/>
          <w:szCs w:val="14"/>
          <w:color w:val="auto"/>
        </w:rPr>
        <w:t>For the purposes of determining appropriate NEO pay levels for 2019, the Compensation Committee reviewed NEO compensation from peers, where available and appropriate (e.g., based on an NEO's position and duties). To supplement this analysis, the Compensation Committee also participated in meetings with its compensation consultant regarding the compensation consultant's review of relevant third-party survey data and considered the recommendations of the CEO on NEO and employee compensation matters not involving the CEO. The Compensation Committee may accept or adjust such CEO recommendations at its discretion.</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ELEMENTS OF COMPENSATION</w:t>
      </w:r>
    </w:p>
    <w:p>
      <w:pPr>
        <w:spacing w:after="0" w:line="208" w:lineRule="exact"/>
        <w:rPr>
          <w:sz w:val="20"/>
          <w:szCs w:val="20"/>
          <w:color w:val="auto"/>
        </w:rPr>
      </w:pPr>
    </w:p>
    <w:p>
      <w:pPr>
        <w:ind w:right="120" w:firstLine="316"/>
        <w:spacing w:after="0" w:line="280" w:lineRule="auto"/>
        <w:rPr>
          <w:sz w:val="20"/>
          <w:szCs w:val="20"/>
          <w:color w:val="auto"/>
        </w:rPr>
      </w:pPr>
      <w:r>
        <w:rPr>
          <w:rFonts w:ascii="Arial" w:cs="Arial" w:eastAsia="Arial" w:hAnsi="Arial"/>
          <w:sz w:val="15"/>
          <w:szCs w:val="15"/>
          <w:color w:val="auto"/>
        </w:rPr>
        <w:t>Our compensation program for our NEOs consists of fixed compensation (base salary), performance-based compensation (AIP bonus and RPSUs) and time-based compensation (RSUs). We use the 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performance-based compensation metrics. While a portion of our compensation is fixed, a significant percentage is at-risk and payable and/or realizable only if certain performance objectives are met.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208" w:lineRule="exact"/>
        <w:rPr>
          <w:sz w:val="20"/>
          <w:szCs w:val="20"/>
          <w:color w:val="auto"/>
        </w:rPr>
      </w:pPr>
    </w:p>
    <w:p>
      <w:pPr>
        <w:ind w:right="20" w:firstLine="316"/>
        <w:spacing w:after="0" w:line="319" w:lineRule="auto"/>
        <w:rPr>
          <w:sz w:val="20"/>
          <w:szCs w:val="20"/>
          <w:color w:val="auto"/>
        </w:rPr>
      </w:pPr>
      <w:r>
        <w:rPr>
          <w:rFonts w:ascii="Arial" w:cs="Arial" w:eastAsia="Arial" w:hAnsi="Arial"/>
          <w:sz w:val="14"/>
          <w:szCs w:val="14"/>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their current base salary level compared to the market median. Messrs. Sotos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and Plotkin received base salary increases in 2019 based on their performance and peer group benchmarking. The base salary for each NEO for fiscal year 2019 is set forth below:</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w w:val="95"/>
              </w:rPr>
              <w:t>2019 Annualized</w:t>
            </w:r>
          </w:p>
        </w:tc>
        <w:tc>
          <w:tcPr>
            <w:tcW w:w="16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Percentage Increase</w:t>
            </w:r>
          </w:p>
        </w:tc>
        <w:tc>
          <w:tcPr>
            <w:tcW w:w="0" w:type="dxa"/>
            <w:vAlign w:val="bottom"/>
          </w:tcPr>
          <w:p>
            <w:pPr>
              <w:spacing w:after="0"/>
              <w:rPr>
                <w:sz w:val="1"/>
                <w:szCs w:val="1"/>
                <w:color w:val="auto"/>
              </w:rPr>
            </w:pPr>
          </w:p>
        </w:tc>
      </w:tr>
      <w:tr>
        <w:trPr>
          <w:trHeight w:val="173"/>
        </w:trPr>
        <w:tc>
          <w:tcPr>
            <w:tcW w:w="6540" w:type="dxa"/>
            <w:vAlign w:val="bottom"/>
            <w:gridSpan w:val="5"/>
          </w:tcPr>
          <w:p>
            <w:pPr>
              <w:spacing w:after="0"/>
              <w:rPr>
                <w:sz w:val="20"/>
                <w:szCs w:val="20"/>
                <w:color w:val="auto"/>
              </w:rPr>
            </w:pPr>
            <w:r>
              <w:rPr>
                <w:rFonts w:ascii="Arial" w:cs="Arial" w:eastAsia="Arial" w:hAnsi="Arial"/>
                <w:sz w:val="12"/>
                <w:szCs w:val="12"/>
                <w:b w:val="1"/>
                <w:bCs w:val="1"/>
                <w:color w:val="auto"/>
              </w:rPr>
              <w:t>Named Executive Officer</w:t>
            </w:r>
          </w:p>
        </w:tc>
        <w:tc>
          <w:tcPr>
            <w:tcW w:w="960" w:type="dxa"/>
            <w:vAlign w:val="bottom"/>
          </w:tcPr>
          <w:p>
            <w:pPr>
              <w:jc w:val="right"/>
              <w:spacing w:after="0" w:line="173" w:lineRule="exact"/>
              <w:rPr>
                <w:sz w:val="20"/>
                <w:szCs w:val="20"/>
                <w:color w:val="auto"/>
              </w:rPr>
            </w:pPr>
            <w:r>
              <w:rPr>
                <w:rFonts w:ascii="Arial" w:cs="Arial" w:eastAsia="Arial" w:hAnsi="Arial"/>
                <w:sz w:val="12"/>
                <w:szCs w:val="12"/>
                <w:b w:val="1"/>
                <w:bCs w:val="1"/>
                <w:color w:val="auto"/>
                <w:w w:val="89"/>
              </w:rPr>
              <w:t xml:space="preserve">Base Salary </w:t>
            </w:r>
            <w:r>
              <w:rPr>
                <w:rFonts w:ascii="Arial" w:cs="Arial" w:eastAsia="Arial" w:hAnsi="Arial"/>
                <w:sz w:val="12"/>
                <w:szCs w:val="12"/>
                <w:b w:val="1"/>
                <w:bCs w:val="1"/>
                <w:u w:val="single" w:color="auto"/>
                <w:color w:val="auto"/>
                <w:w w:val="89"/>
              </w:rPr>
              <w:t>($</w:t>
            </w:r>
            <w:r>
              <w:rPr>
                <w:rFonts w:ascii="Arial" w:cs="Arial" w:eastAsia="Arial" w:hAnsi="Arial"/>
                <w:sz w:val="12"/>
                <w:szCs w:val="12"/>
                <w:b w:val="1"/>
                <w:bCs w:val="1"/>
                <w:color w:val="auto"/>
                <w:w w:val="89"/>
              </w:rPr>
              <w:t>)</w:t>
            </w:r>
            <w:r>
              <w:rPr>
                <w:rFonts w:ascii="Arial" w:cs="Arial" w:eastAsia="Arial" w:hAnsi="Arial"/>
                <w:sz w:val="20"/>
                <w:szCs w:val="20"/>
                <w:b w:val="1"/>
                <w:bCs w:val="1"/>
                <w:color w:val="auto"/>
                <w:w w:val="89"/>
                <w:vertAlign w:val="superscript"/>
              </w:rPr>
              <w:t>(1)</w:t>
            </w:r>
          </w:p>
        </w:tc>
        <w:tc>
          <w:tcPr>
            <w:tcW w:w="160" w:type="dxa"/>
            <w:vAlign w:val="bottom"/>
          </w:tcPr>
          <w:p>
            <w:pPr>
              <w:spacing w:after="0"/>
              <w:rPr>
                <w:sz w:val="15"/>
                <w:szCs w:val="15"/>
                <w:color w:val="auto"/>
              </w:rPr>
            </w:pPr>
          </w:p>
        </w:tc>
        <w:tc>
          <w:tcPr>
            <w:tcW w:w="1340" w:type="dxa"/>
            <w:vAlign w:val="bottom"/>
            <w:gridSpan w:val="2"/>
          </w:tcPr>
          <w:p>
            <w:pPr>
              <w:jc w:val="right"/>
              <w:ind w:right="300"/>
              <w:spacing w:after="0" w:line="173" w:lineRule="exact"/>
              <w:rPr>
                <w:sz w:val="20"/>
                <w:szCs w:val="20"/>
                <w:color w:val="auto"/>
              </w:rPr>
            </w:pPr>
            <w:r>
              <w:rPr>
                <w:rFonts w:ascii="Arial" w:cs="Arial" w:eastAsia="Arial" w:hAnsi="Arial"/>
                <w:sz w:val="12"/>
                <w:szCs w:val="12"/>
                <w:b w:val="1"/>
                <w:bCs w:val="1"/>
                <w:color w:val="auto"/>
              </w:rPr>
              <w:t>Over 2018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65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Christopher S. Sotos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611,000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20" w:type="dxa"/>
            <w:vAlign w:val="bottom"/>
            <w:gridSpan w:val="4"/>
          </w:tcPr>
          <w:p>
            <w:pPr>
              <w:spacing w:after="0"/>
              <w:rPr>
                <w:sz w:val="20"/>
                <w:szCs w:val="20"/>
                <w:color w:val="auto"/>
              </w:rPr>
            </w:pPr>
            <w:r>
              <w:rPr>
                <w:rFonts w:ascii="Arial" w:cs="Arial" w:eastAsia="Arial" w:hAnsi="Arial"/>
                <w:sz w:val="16"/>
                <w:szCs w:val="16"/>
                <w:b w:val="1"/>
                <w:bCs w:val="1"/>
                <w:color w:val="auto"/>
              </w:rPr>
              <w:t>Chad Plotkin</w:t>
            </w:r>
          </w:p>
        </w:tc>
        <w:tc>
          <w:tcPr>
            <w:tcW w:w="960" w:type="dxa"/>
            <w:vAlign w:val="bottom"/>
          </w:tcPr>
          <w:p>
            <w:pPr>
              <w:jc w:val="right"/>
              <w:spacing w:after="0"/>
              <w:rPr>
                <w:sz w:val="20"/>
                <w:szCs w:val="20"/>
                <w:color w:val="auto"/>
              </w:rPr>
            </w:pPr>
            <w:r>
              <w:rPr>
                <w:rFonts w:ascii="Arial" w:cs="Arial" w:eastAsia="Arial" w:hAnsi="Arial"/>
                <w:sz w:val="16"/>
                <w:szCs w:val="16"/>
                <w:color w:val="auto"/>
              </w:rPr>
              <w:t>380,000</w:t>
            </w:r>
          </w:p>
        </w:tc>
        <w:tc>
          <w:tcPr>
            <w:tcW w:w="150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Kevin P. Malcarney</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20" w:type="dxa"/>
            <w:vAlign w:val="bottom"/>
            <w:gridSpan w:val="4"/>
          </w:tcPr>
          <w:p>
            <w:pPr>
              <w:spacing w:after="0"/>
              <w:rPr>
                <w:sz w:val="20"/>
                <w:szCs w:val="20"/>
                <w:color w:val="auto"/>
              </w:rPr>
            </w:pPr>
            <w:r>
              <w:rPr>
                <w:rFonts w:ascii="Arial" w:cs="Arial" w:eastAsia="Arial" w:hAnsi="Arial"/>
                <w:sz w:val="16"/>
                <w:szCs w:val="16"/>
                <w:b w:val="1"/>
                <w:bCs w:val="1"/>
                <w:color w:val="auto"/>
              </w:rPr>
              <w:t>Mary-Lee Stillwell</w:t>
            </w:r>
          </w:p>
        </w:tc>
        <w:tc>
          <w:tcPr>
            <w:tcW w:w="960" w:type="dxa"/>
            <w:vAlign w:val="bottom"/>
          </w:tcPr>
          <w:p>
            <w:pPr>
              <w:jc w:val="right"/>
              <w:spacing w:after="0"/>
              <w:rPr>
                <w:sz w:val="20"/>
                <w:szCs w:val="20"/>
                <w:color w:val="auto"/>
              </w:rPr>
            </w:pPr>
            <w:r>
              <w:rPr>
                <w:rFonts w:ascii="Arial" w:cs="Arial" w:eastAsia="Arial" w:hAnsi="Arial"/>
                <w:sz w:val="16"/>
                <w:szCs w:val="16"/>
                <w:color w:val="auto"/>
              </w:rPr>
              <w:t>295,000</w:t>
            </w:r>
          </w:p>
        </w:tc>
        <w:tc>
          <w:tcPr>
            <w:tcW w:w="1500" w:type="dxa"/>
            <w:vAlign w:val="bottom"/>
            <w:gridSpan w:val="3"/>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7"/>
        </w:trPr>
        <w:tc>
          <w:tcPr>
            <w:tcW w:w="340" w:type="dxa"/>
            <w:vAlign w:val="bottom"/>
            <w:tcBorders>
              <w:bottom w:val="single" w:sz="8" w:color="auto"/>
            </w:tcBorders>
            <w:gridSpan w:val="2"/>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0"/>
        </w:trPr>
        <w:tc>
          <w:tcPr>
            <w:tcW w:w="340" w:type="dxa"/>
            <w:vAlign w:val="bottom"/>
            <w:gridSpan w:val="2"/>
          </w:tcPr>
          <w:p>
            <w:pPr>
              <w:spacing w:after="0"/>
              <w:rPr>
                <w:sz w:val="20"/>
                <w:szCs w:val="20"/>
                <w:color w:val="auto"/>
              </w:rPr>
            </w:pPr>
            <w:r>
              <w:rPr>
                <w:rFonts w:ascii="Arial" w:cs="Arial" w:eastAsia="Arial" w:hAnsi="Arial"/>
                <w:sz w:val="16"/>
                <w:szCs w:val="16"/>
                <w:color w:val="auto"/>
              </w:rPr>
              <w:t>(1)</w:t>
            </w:r>
          </w:p>
        </w:tc>
        <w:tc>
          <w:tcPr>
            <w:tcW w:w="6200" w:type="dxa"/>
            <w:vAlign w:val="bottom"/>
            <w:gridSpan w:val="3"/>
          </w:tcPr>
          <w:p>
            <w:pPr>
              <w:ind w:left="140"/>
              <w:spacing w:after="0"/>
              <w:rPr>
                <w:sz w:val="20"/>
                <w:szCs w:val="20"/>
                <w:color w:val="auto"/>
              </w:rPr>
            </w:pPr>
            <w:r>
              <w:rPr>
                <w:rFonts w:ascii="Arial" w:cs="Arial" w:eastAsia="Arial" w:hAnsi="Arial"/>
                <w:sz w:val="16"/>
                <w:szCs w:val="16"/>
                <w:color w:val="auto"/>
                <w:w w:val="98"/>
              </w:rPr>
              <w:t>Actual 2019 base salary earnings are presented in the Summary Compensation Table.</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40" w:type="dxa"/>
            <w:vAlign w:val="bottom"/>
            <w:gridSpan w:val="2"/>
          </w:tcPr>
          <w:p>
            <w:pPr>
              <w:spacing w:after="0"/>
              <w:rPr>
                <w:sz w:val="20"/>
                <w:szCs w:val="20"/>
                <w:color w:val="auto"/>
              </w:rPr>
            </w:pPr>
            <w:r>
              <w:rPr>
                <w:rFonts w:ascii="Arial" w:cs="Arial" w:eastAsia="Arial" w:hAnsi="Arial"/>
                <w:sz w:val="16"/>
                <w:szCs w:val="16"/>
                <w:color w:val="auto"/>
              </w:rPr>
              <w:t>(2)</w:t>
            </w:r>
          </w:p>
        </w:tc>
        <w:tc>
          <w:tcPr>
            <w:tcW w:w="6200" w:type="dxa"/>
            <w:vAlign w:val="bottom"/>
            <w:gridSpan w:val="3"/>
          </w:tcPr>
          <w:p>
            <w:pPr>
              <w:ind w:left="140"/>
              <w:spacing w:after="0"/>
              <w:rPr>
                <w:sz w:val="20"/>
                <w:szCs w:val="20"/>
                <w:color w:val="auto"/>
              </w:rPr>
            </w:pPr>
            <w:r>
              <w:rPr>
                <w:rFonts w:ascii="Arial" w:cs="Arial" w:eastAsia="Arial" w:hAnsi="Arial"/>
                <w:sz w:val="16"/>
                <w:szCs w:val="16"/>
                <w:color w:val="auto"/>
              </w:rPr>
              <w:t>As compared to the December 31, 2018 annualized base salary.</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COMPENSATION</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Overview</w:t>
      </w:r>
    </w:p>
    <w:p>
      <w:pPr>
        <w:spacing w:after="0" w:line="204" w:lineRule="exact"/>
        <w:rPr>
          <w:sz w:val="20"/>
          <w:szCs w:val="20"/>
          <w:color w:val="auto"/>
        </w:rPr>
      </w:pPr>
    </w:p>
    <w:p>
      <w:pPr>
        <w:ind w:right="80" w:firstLine="307"/>
        <w:spacing w:after="0" w:line="301" w:lineRule="auto"/>
        <w:rPr>
          <w:sz w:val="20"/>
          <w:szCs w:val="20"/>
          <w:color w:val="auto"/>
        </w:rPr>
      </w:pPr>
      <w:r>
        <w:rPr>
          <w:rFonts w:ascii="Arial" w:cs="Arial" w:eastAsia="Arial" w:hAnsi="Arial"/>
          <w:sz w:val="14"/>
          <w:szCs w:val="14"/>
          <w:color w:val="auto"/>
        </w:rPr>
        <w:t>Annual incentive compensation awards (AIP bonuses) are made under our AIP. AIP bonuses represent short-term compensation designed to compensate NEOs for meeting annual Company goals and for their individual performance. The Compensation Committee establishes these annual Company goals after reviewing the Company's business strategy and other matters. As further discussed below, the annual goals for 2019 relate to the following four areas: (a) CAFD, (b) key financial milestones, (c) key transition milestones and (d) achievement of the Thermal plan. In addition,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48" w:lineRule="exact"/>
        <w:rPr>
          <w:sz w:val="20"/>
          <w:szCs w:val="20"/>
          <w:color w:val="auto"/>
        </w:rPr>
      </w:pPr>
    </w:p>
    <w:p>
      <w:pPr>
        <w:ind w:right="160" w:firstLine="307"/>
        <w:spacing w:after="0" w:line="264" w:lineRule="auto"/>
        <w:rPr>
          <w:sz w:val="20"/>
          <w:szCs w:val="20"/>
          <w:color w:val="auto"/>
        </w:rPr>
      </w:pPr>
      <w:r>
        <w:rPr>
          <w:rFonts w:ascii="Arial" w:cs="Arial" w:eastAsia="Arial" w:hAnsi="Arial"/>
          <w:sz w:val="16"/>
          <w:szCs w:val="16"/>
          <w:color w:val="auto"/>
        </w:rPr>
        <w:t>AIP bonus opportunities are expressed in terms of threshold, target and maximum bonus opportunities. Different percentages of each NEO's annual base salary relate to these threshold, target and maximum AIP bonus opportunities. However, in the event threshold performance for 2019 was not achieved with respect to the CAFD performance metric (the "AIP Gate"), no AIP bonuses would have been payable for 2019.</w:t>
      </w:r>
    </w:p>
    <w:p>
      <w:pPr>
        <w:spacing w:after="0" w:line="170" w:lineRule="exact"/>
        <w:rPr>
          <w:sz w:val="20"/>
          <w:szCs w:val="20"/>
          <w:color w:val="auto"/>
        </w:rPr>
      </w:pPr>
    </w:p>
    <w:p>
      <w:pPr>
        <w:ind w:firstLine="316"/>
        <w:spacing w:after="0" w:line="264" w:lineRule="auto"/>
        <w:rPr>
          <w:sz w:val="20"/>
          <w:szCs w:val="20"/>
          <w:color w:val="auto"/>
        </w:rPr>
      </w:pPr>
      <w:r>
        <w:rPr>
          <w:rFonts w:ascii="Arial" w:cs="Arial" w:eastAsia="Arial" w:hAnsi="Arial"/>
          <w:sz w:val="16"/>
          <w:szCs w:val="16"/>
          <w:color w:val="auto"/>
        </w:rPr>
        <w:t>Effective January 1, 2019, the AIP was amended to include designated officers as participants, granting NEOs (other than Mr. Sotos whose severance is governed by his employment agreement) eligibility for a prorated target bonus payment for the year of a qualifying severance termination, based on the portion of the performance period that the NEO was employed.</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2019 AIP Bonus Performance Criteria</w:t>
      </w:r>
    </w:p>
    <w:p>
      <w:pPr>
        <w:spacing w:after="0" w:line="204" w:lineRule="exact"/>
        <w:rPr>
          <w:sz w:val="20"/>
          <w:szCs w:val="20"/>
          <w:color w:val="auto"/>
        </w:rPr>
      </w:pPr>
    </w:p>
    <w:p>
      <w:pPr>
        <w:ind w:right="20" w:firstLine="313"/>
        <w:spacing w:after="0" w:line="275" w:lineRule="auto"/>
        <w:rPr>
          <w:sz w:val="20"/>
          <w:szCs w:val="20"/>
          <w:color w:val="auto"/>
        </w:rPr>
      </w:pPr>
      <w:r>
        <w:rPr>
          <w:rFonts w:ascii="Arial" w:cs="Arial" w:eastAsia="Arial" w:hAnsi="Arial"/>
          <w:sz w:val="16"/>
          <w:szCs w:val="16"/>
          <w:color w:val="auto"/>
        </w:rPr>
        <w:t>The AIP bonus performance criteria applicable to all NEOs are based upon the four Company goals described above and individual performance. The table below sets forth the 2019 AIP</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performance criteria and weightings applicable to all NEOs, assuming the achievement of each goal at target.</w:t>
      </w:r>
    </w:p>
    <w:p>
      <w:pPr>
        <w:spacing w:after="0" w:line="201" w:lineRule="exact"/>
        <w:rPr>
          <w:sz w:val="20"/>
          <w:szCs w:val="20"/>
          <w:color w:val="auto"/>
        </w:rPr>
      </w:pPr>
    </w:p>
    <w:tbl>
      <w:tblPr>
        <w:tblLayout w:type="fixed"/>
        <w:tblInd w:w="1680" w:type="dxa"/>
        <w:tblCellMar>
          <w:top w:w="0" w:type="dxa"/>
          <w:left w:w="0" w:type="dxa"/>
          <w:bottom w:w="0" w:type="dxa"/>
          <w:right w:w="0" w:type="dxa"/>
        </w:tblCellMar>
      </w:tblPr>
      <w:tr>
        <w:trPr>
          <w:trHeight w:val="146"/>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82"/>
              </w:rPr>
              <w:t>Goal</w:t>
            </w:r>
          </w:p>
        </w:tc>
        <w:tc>
          <w:tcPr>
            <w:tcW w:w="6820" w:type="dxa"/>
            <w:vAlign w:val="bottom"/>
            <w:gridSpan w:val="2"/>
          </w:tcPr>
          <w:p>
            <w:pPr>
              <w:spacing w:after="0"/>
              <w:rPr>
                <w:sz w:val="12"/>
                <w:szCs w:val="12"/>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Weight</w:t>
            </w:r>
          </w:p>
        </w:tc>
        <w:tc>
          <w:tcPr>
            <w:tcW w:w="160" w:type="dxa"/>
            <w:vAlign w:val="bottom"/>
          </w:tcPr>
          <w:p>
            <w:pPr>
              <w:spacing w:after="0"/>
              <w:rPr>
                <w:sz w:val="12"/>
                <w:szCs w:val="12"/>
                <w:color w:val="auto"/>
              </w:rPr>
            </w:pPr>
          </w:p>
        </w:tc>
      </w:tr>
      <w:tr>
        <w:trPr>
          <w:trHeight w:val="223"/>
        </w:trPr>
        <w:tc>
          <w:tcPr>
            <w:tcW w:w="708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5"/>
                <w:szCs w:val="15"/>
                <w:color w:val="auto"/>
              </w:rPr>
              <w:t>CAFD</w:t>
            </w:r>
            <w:r>
              <w:rPr>
                <w:rFonts w:ascii="Arial" w:cs="Arial" w:eastAsia="Arial" w:hAnsi="Arial"/>
                <w:sz w:val="25"/>
                <w:szCs w:val="25"/>
                <w:color w:val="auto"/>
                <w:vertAlign w:val="superscript"/>
              </w:rPr>
              <w:t>(1)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32.5%</w:t>
            </w:r>
          </w:p>
        </w:tc>
      </w:tr>
      <w:tr>
        <w:trPr>
          <w:trHeight w:val="194"/>
        </w:trPr>
        <w:tc>
          <w:tcPr>
            <w:tcW w:w="7080" w:type="dxa"/>
            <w:vAlign w:val="bottom"/>
            <w:gridSpan w:val="3"/>
          </w:tcPr>
          <w:p>
            <w:pPr>
              <w:ind w:left="20"/>
              <w:spacing w:after="0"/>
              <w:rPr>
                <w:sz w:val="20"/>
                <w:szCs w:val="20"/>
                <w:color w:val="auto"/>
              </w:rPr>
            </w:pPr>
            <w:r>
              <w:rPr>
                <w:rFonts w:ascii="Arial" w:cs="Arial" w:eastAsia="Arial" w:hAnsi="Arial"/>
                <w:sz w:val="16"/>
                <w:szCs w:val="16"/>
                <w:color w:val="auto"/>
              </w:rPr>
              <w:t>Key Financial Milestones</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32.5%</w:t>
            </w:r>
          </w:p>
        </w:tc>
      </w:tr>
      <w:tr>
        <w:trPr>
          <w:trHeight w:val="194"/>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Key Transition Milestones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194"/>
        </w:trPr>
        <w:tc>
          <w:tcPr>
            <w:tcW w:w="7080" w:type="dxa"/>
            <w:vAlign w:val="bottom"/>
            <w:gridSpan w:val="3"/>
          </w:tcPr>
          <w:p>
            <w:pPr>
              <w:ind w:left="20"/>
              <w:spacing w:after="0"/>
              <w:rPr>
                <w:sz w:val="20"/>
                <w:szCs w:val="20"/>
                <w:color w:val="auto"/>
              </w:rPr>
            </w:pPr>
            <w:r>
              <w:rPr>
                <w:rFonts w:ascii="Arial" w:cs="Arial" w:eastAsia="Arial" w:hAnsi="Arial"/>
                <w:sz w:val="16"/>
                <w:szCs w:val="16"/>
                <w:color w:val="auto"/>
              </w:rPr>
              <w:t>Achievement of the Thermal Plan</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194"/>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Overall Funding</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i w:val="1"/>
                <w:iCs w:val="1"/>
                <w:color w:val="auto"/>
              </w:rPr>
              <w:t>100%</w:t>
            </w:r>
          </w:p>
        </w:tc>
      </w:tr>
      <w:tr>
        <w:trPr>
          <w:trHeight w:val="201"/>
        </w:trPr>
        <w:tc>
          <w:tcPr>
            <w:tcW w:w="708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Individual Performance</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b w:val="1"/>
                <w:bCs w:val="1"/>
                <w:i w:val="1"/>
                <w:iCs w:val="1"/>
                <w:color w:val="auto"/>
              </w:rPr>
              <w:t>+/– 20%</w:t>
            </w:r>
          </w:p>
        </w:tc>
      </w:tr>
      <w:tr>
        <w:trPr>
          <w:trHeight w:val="91"/>
        </w:trPr>
        <w:tc>
          <w:tcPr>
            <w:tcW w:w="26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5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7" w:lineRule="exact"/>
        <w:rPr>
          <w:sz w:val="20"/>
          <w:szCs w:val="20"/>
          <w:color w:val="auto"/>
        </w:rPr>
      </w:pPr>
    </w:p>
    <w:p>
      <w:pPr>
        <w:ind w:left="2180" w:right="300" w:hanging="495"/>
        <w:spacing w:after="0" w:line="258" w:lineRule="auto"/>
        <w:tabs>
          <w:tab w:leader="none" w:pos="21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CAFD is adjusted earnings before interest, taxes, depreciation and amortization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w:t>
      </w:r>
    </w:p>
    <w:p>
      <w:pPr>
        <w:spacing w:after="0" w:line="200" w:lineRule="exact"/>
        <w:rPr>
          <w:rFonts w:ascii="Arial" w:cs="Arial" w:eastAsia="Arial" w:hAnsi="Arial"/>
          <w:sz w:val="16"/>
          <w:szCs w:val="16"/>
          <w:color w:val="auto"/>
        </w:rPr>
      </w:pPr>
    </w:p>
    <w:p>
      <w:pPr>
        <w:ind w:left="960" w:right="400" w:hanging="477"/>
        <w:spacing w:after="0" w:line="275" w:lineRule="auto"/>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CAFD. </w:t>
      </w:r>
      <w:r>
        <w:rPr>
          <w:rFonts w:ascii="Arial" w:cs="Arial" w:eastAsia="Arial" w:hAnsi="Arial"/>
          <w:sz w:val="16"/>
          <w:szCs w:val="16"/>
          <w:color w:val="auto"/>
        </w:rPr>
        <w:t>As noted above, the threshold CAFD performance metric represents the AIP Gate for 2019. The Compensation Committee set the 2019 AIP Gate at</w:t>
      </w:r>
      <w:r>
        <w:rPr>
          <w:rFonts w:ascii="Arial" w:cs="Arial" w:eastAsia="Arial" w:hAnsi="Arial"/>
          <w:sz w:val="16"/>
          <w:szCs w:val="16"/>
          <w:i w:val="1"/>
          <w:iCs w:val="1"/>
          <w:color w:val="auto"/>
        </w:rPr>
        <w:t xml:space="preserve"> </w:t>
      </w:r>
      <w:r>
        <w:rPr>
          <w:rFonts w:ascii="Arial" w:cs="Arial" w:eastAsia="Arial" w:hAnsi="Arial"/>
          <w:sz w:val="16"/>
          <w:szCs w:val="16"/>
          <w:color w:val="auto"/>
        </w:rPr>
        <w:t>$231 million. The Compensation Committee has removed the AIP Gate as a feature under the AIP for 2020.</w:t>
      </w:r>
    </w:p>
    <w:p>
      <w:pPr>
        <w:spacing w:after="0" w:line="161" w:lineRule="exact"/>
        <w:rPr>
          <w:sz w:val="20"/>
          <w:szCs w:val="20"/>
          <w:color w:val="auto"/>
        </w:rPr>
      </w:pPr>
    </w:p>
    <w:p>
      <w:pPr>
        <w:jc w:val="both"/>
        <w:ind w:left="480"/>
        <w:spacing w:after="0" w:line="264" w:lineRule="auto"/>
        <w:rPr>
          <w:sz w:val="20"/>
          <w:szCs w:val="20"/>
          <w:color w:val="auto"/>
        </w:rPr>
      </w:pPr>
      <w:r>
        <w:rPr>
          <w:rFonts w:ascii="Arial" w:cs="Arial" w:eastAsia="Arial" w:hAnsi="Arial"/>
          <w:sz w:val="16"/>
          <w:szCs w:val="16"/>
          <w:color w:val="auto"/>
        </w:rPr>
        <w:t>Beyond serving as a "gate" to any payout of AIP bonuses to NEOs, CAFD is also a distinct portion of our annual incentive framework. For 2019, the CAFD goals and the achieved level are set forth in the chart below. The Company achieved CAFD of approximately $254 million, surpassing the CAFD threshold (i.e., the AIP Gate) but less than the CAFD target.</w:t>
      </w:r>
    </w:p>
    <w:p>
      <w:pPr>
        <w:spacing w:after="0" w:line="161" w:lineRule="exact"/>
        <w:rPr>
          <w:sz w:val="20"/>
          <w:szCs w:val="20"/>
          <w:color w:val="auto"/>
        </w:rPr>
      </w:pPr>
    </w:p>
    <w:tbl>
      <w:tblPr>
        <w:tblLayout w:type="fixed"/>
        <w:tblInd w:w="216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CAFD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ind w:left="220"/>
              <w:spacing w:after="0"/>
              <w:rPr>
                <w:sz w:val="20"/>
                <w:szCs w:val="20"/>
                <w:color w:val="auto"/>
              </w:rPr>
            </w:pPr>
            <w:r>
              <w:rPr>
                <w:rFonts w:ascii="Arial" w:cs="Arial" w:eastAsia="Arial" w:hAnsi="Arial"/>
                <w:sz w:val="12"/>
                <w:szCs w:val="12"/>
                <w:b w:val="1"/>
                <w:bCs w:val="1"/>
                <w:color w:val="auto"/>
              </w:rPr>
              <w:t>CAFD</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73"/>
              <w:spacing w:after="0"/>
              <w:rPr>
                <w:sz w:val="20"/>
                <w:szCs w:val="20"/>
                <w:color w:val="auto"/>
              </w:rPr>
            </w:pPr>
            <w:r>
              <w:rPr>
                <w:rFonts w:ascii="Arial" w:cs="Arial" w:eastAsia="Arial" w:hAnsi="Arial"/>
                <w:sz w:val="12"/>
                <w:szCs w:val="12"/>
                <w:b w:val="1"/>
                <w:bCs w:val="1"/>
                <w:color w:val="auto"/>
              </w:rPr>
              <w:t>CAFD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ind w:left="220"/>
              <w:spacing w:after="0"/>
              <w:rPr>
                <w:sz w:val="20"/>
                <w:szCs w:val="20"/>
                <w:color w:val="auto"/>
              </w:rPr>
            </w:pPr>
            <w:r>
              <w:rPr>
                <w:rFonts w:ascii="Arial" w:cs="Arial" w:eastAsia="Arial" w:hAnsi="Arial"/>
                <w:sz w:val="12"/>
                <w:szCs w:val="12"/>
                <w:b w:val="1"/>
                <w:bCs w:val="1"/>
                <w:color w:val="auto"/>
              </w:rPr>
              <w:t>CAFD</w:t>
            </w:r>
          </w:p>
        </w:tc>
        <w:tc>
          <w:tcPr>
            <w:tcW w:w="0" w:type="dxa"/>
            <w:vAlign w:val="bottom"/>
          </w:tcPr>
          <w:p>
            <w:pPr>
              <w:spacing w:after="0"/>
              <w:rPr>
                <w:sz w:val="1"/>
                <w:szCs w:val="1"/>
                <w:color w:val="auto"/>
              </w:rPr>
            </w:pPr>
          </w:p>
        </w:tc>
      </w:tr>
      <w:tr>
        <w:trPr>
          <w:trHeight w:val="146"/>
        </w:trPr>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Threshold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ind w:left="220"/>
              <w:spacing w:after="0"/>
              <w:rPr>
                <w:sz w:val="20"/>
                <w:szCs w:val="20"/>
                <w:color w:val="auto"/>
              </w:rPr>
            </w:pPr>
            <w:r>
              <w:rPr>
                <w:rFonts w:ascii="Arial" w:cs="Arial" w:eastAsia="Arial" w:hAnsi="Arial"/>
                <w:sz w:val="12"/>
                <w:szCs w:val="12"/>
                <w:b w:val="1"/>
                <w:bCs w:val="1"/>
                <w:color w:val="auto"/>
              </w:rPr>
              <w:t>Target</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73"/>
              <w:spacing w:after="0"/>
              <w:rPr>
                <w:sz w:val="20"/>
                <w:szCs w:val="20"/>
                <w:color w:val="auto"/>
              </w:rPr>
            </w:pPr>
            <w:r>
              <w:rPr>
                <w:rFonts w:ascii="Arial" w:cs="Arial" w:eastAsia="Arial" w:hAnsi="Arial"/>
                <w:sz w:val="12"/>
                <w:szCs w:val="12"/>
                <w:b w:val="1"/>
                <w:bCs w:val="1"/>
                <w:color w:val="auto"/>
                <w:w w:val="97"/>
              </w:rPr>
              <w:t>Maximum</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ind w:left="220"/>
              <w:spacing w:after="0"/>
              <w:rPr>
                <w:sz w:val="20"/>
                <w:szCs w:val="20"/>
                <w:color w:val="auto"/>
              </w:rPr>
            </w:pPr>
            <w:r>
              <w:rPr>
                <w:rFonts w:ascii="Arial" w:cs="Arial" w:eastAsia="Arial" w:hAnsi="Arial"/>
                <w:sz w:val="12"/>
                <w:szCs w:val="12"/>
                <w:b w:val="1"/>
                <w:bCs w:val="1"/>
                <w:color w:val="auto"/>
              </w:rPr>
              <w:t>Actual</w:t>
            </w:r>
          </w:p>
        </w:tc>
        <w:tc>
          <w:tcPr>
            <w:tcW w:w="0" w:type="dxa"/>
            <w:vAlign w:val="bottom"/>
          </w:tcPr>
          <w:p>
            <w:pPr>
              <w:spacing w:after="0"/>
              <w:rPr>
                <w:sz w:val="1"/>
                <w:szCs w:val="1"/>
                <w:color w:val="auto"/>
              </w:rPr>
            </w:pPr>
          </w:p>
        </w:tc>
      </w:tr>
      <w:tr>
        <w:trPr>
          <w:trHeight w:val="20"/>
        </w:trPr>
        <w:tc>
          <w:tcPr>
            <w:tcW w:w="140" w:type="dxa"/>
            <w:vAlign w:val="bottom"/>
            <w:vMerge w:val="continue"/>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40" w:type="dxa"/>
            <w:vAlign w:val="bottom"/>
            <w:vMerge w:val="continue"/>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6"/>
                <w:szCs w:val="16"/>
                <w:color w:val="auto"/>
              </w:rPr>
              <w:t>231 million</w:t>
            </w:r>
          </w:p>
        </w:tc>
        <w:tc>
          <w:tcPr>
            <w:tcW w:w="420" w:type="dxa"/>
            <w:vAlign w:val="bottom"/>
            <w:vMerge w:val="continue"/>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320"/>
              <w:spacing w:after="0"/>
              <w:rPr>
                <w:sz w:val="20"/>
                <w:szCs w:val="20"/>
                <w:color w:val="auto"/>
              </w:rPr>
            </w:pPr>
            <w:r>
              <w:rPr>
                <w:rFonts w:ascii="Arial" w:cs="Arial" w:eastAsia="Arial" w:hAnsi="Arial"/>
                <w:sz w:val="16"/>
                <w:szCs w:val="16"/>
                <w:color w:val="auto"/>
                <w:w w:val="94"/>
              </w:rPr>
              <w:t>270 million</w:t>
            </w:r>
          </w:p>
        </w:tc>
        <w:tc>
          <w:tcPr>
            <w:tcW w:w="580" w:type="dxa"/>
            <w:vAlign w:val="bottom"/>
            <w:vMerge w:val="continue"/>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Pr>
          <w:p>
            <w:pPr>
              <w:ind w:left="360"/>
              <w:spacing w:after="0"/>
              <w:rPr>
                <w:sz w:val="20"/>
                <w:szCs w:val="20"/>
                <w:color w:val="auto"/>
              </w:rPr>
            </w:pPr>
            <w:r>
              <w:rPr>
                <w:rFonts w:ascii="Arial" w:cs="Arial" w:eastAsia="Arial" w:hAnsi="Arial"/>
                <w:sz w:val="16"/>
                <w:szCs w:val="16"/>
                <w:color w:val="auto"/>
                <w:w w:val="94"/>
              </w:rPr>
              <w:t>309 million</w:t>
            </w:r>
          </w:p>
        </w:tc>
        <w:tc>
          <w:tcPr>
            <w:tcW w:w="580" w:type="dxa"/>
            <w:vAlign w:val="bottom"/>
            <w:vMerge w:val="continue"/>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340"/>
              <w:spacing w:after="0"/>
              <w:rPr>
                <w:sz w:val="20"/>
                <w:szCs w:val="20"/>
                <w:color w:val="auto"/>
              </w:rPr>
            </w:pPr>
            <w:r>
              <w:rPr>
                <w:rFonts w:ascii="Arial" w:cs="Arial" w:eastAsia="Arial" w:hAnsi="Arial"/>
                <w:sz w:val="16"/>
                <w:szCs w:val="16"/>
                <w:color w:val="auto"/>
                <w:w w:val="91"/>
              </w:rPr>
              <w:t>254 million</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960" w:right="60" w:hanging="477"/>
        <w:spacing w:after="0" w:line="276" w:lineRule="auto"/>
        <w:tabs>
          <w:tab w:leader="none" w:pos="96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Key Financial Milestones. </w:t>
      </w:r>
      <w:r>
        <w:rPr>
          <w:rFonts w:ascii="Arial" w:cs="Arial" w:eastAsia="Arial" w:hAnsi="Arial"/>
          <w:sz w:val="15"/>
          <w:szCs w:val="15"/>
          <w:color w:val="auto"/>
        </w:rPr>
        <w:t>Achievement of "key financial milestones" performance metrics are established as a defined annual incentive category.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establishes threshold, target and maximum levels of performance for this category based on the number of milestones achieved. For 2019, a total of eleven milestones were established relating to the Company's credit rating, adherence to budget, CAFD per share goals, management of certain PG&amp;E related projects, and OSHA recordable incident rate. Additional CAFD and OSHA milestones also were applied as separate milestones with respect to the Company's Thermal business. For 2019, threshold performance required the achievement of three out of the eleven milestones, target performance required the achievement of six out of the eleven milestones, and maximum performance required the achievement of all eleven milestones. Ultimately, target performance was attained with the achievement of six out of the eleven milestones in 2019.</w:t>
      </w:r>
    </w:p>
    <w:p>
      <w:pPr>
        <w:spacing w:after="0" w:line="177" w:lineRule="exact"/>
        <w:rPr>
          <w:rFonts w:ascii="Arial" w:cs="Arial" w:eastAsia="Arial" w:hAnsi="Arial"/>
          <w:sz w:val="15"/>
          <w:szCs w:val="15"/>
          <w:color w:val="auto"/>
        </w:rPr>
      </w:pPr>
    </w:p>
    <w:p>
      <w:pPr>
        <w:ind w:left="960" w:right="80" w:hanging="477"/>
        <w:spacing w:after="0" w:line="257"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Key Transition Milestones. </w:t>
      </w:r>
      <w:r>
        <w:rPr>
          <w:rFonts w:ascii="Arial" w:cs="Arial" w:eastAsia="Arial" w:hAnsi="Arial"/>
          <w:sz w:val="16"/>
          <w:szCs w:val="16"/>
          <w:color w:val="auto"/>
        </w:rPr>
        <w:t>Achievement of "key transition milestones" performance metrics were specifically established as a defined annual incentive category</w:t>
      </w:r>
      <w:r>
        <w:rPr>
          <w:rFonts w:ascii="Arial" w:cs="Arial" w:eastAsia="Arial" w:hAnsi="Arial"/>
          <w:sz w:val="16"/>
          <w:szCs w:val="16"/>
          <w:i w:val="1"/>
          <w:iCs w:val="1"/>
          <w:color w:val="auto"/>
        </w:rPr>
        <w:t xml:space="preserve"> </w:t>
      </w:r>
      <w:r>
        <w:rPr>
          <w:rFonts w:ascii="Arial" w:cs="Arial" w:eastAsia="Arial" w:hAnsi="Arial"/>
          <w:sz w:val="16"/>
          <w:szCs w:val="16"/>
          <w:color w:val="auto"/>
        </w:rPr>
        <w:t>for 2019. The Compensation Committee establishes threshold, target and maximum levels of performance for this category based on the number of milestones achieved. For 2019, a total of five milestones were established relating to the Company's cost savings initiatives, reduced use of NRG technology and services, implementation of certain asset management agreements and satisfactory completion of the auditor RFP (request for proposal). For 2019, threshold performance required the achievement of two out of the five milestones, target performance required the achievement of three out of the five milestones, and maximum performance required the achievement of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five milestones. Ultimately, maximum performance was attained with the achievement of five out of the five milestones in 2019.</w:t>
      </w:r>
    </w:p>
    <w:p>
      <w:pPr>
        <w:spacing w:after="0" w:line="217" w:lineRule="exact"/>
        <w:rPr>
          <w:sz w:val="20"/>
          <w:szCs w:val="20"/>
          <w:color w:val="auto"/>
        </w:rPr>
      </w:pPr>
    </w:p>
    <w:p>
      <w:pPr>
        <w:ind w:left="960" w:right="80" w:hanging="477"/>
        <w:spacing w:after="0" w:line="296" w:lineRule="auto"/>
        <w:tabs>
          <w:tab w:leader="none" w:pos="96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Achievement of the Thermal Plan. </w:t>
      </w:r>
      <w:r>
        <w:rPr>
          <w:rFonts w:ascii="Arial" w:cs="Arial" w:eastAsia="Arial" w:hAnsi="Arial"/>
          <w:sz w:val="14"/>
          <w:szCs w:val="14"/>
          <w:color w:val="auto"/>
        </w:rPr>
        <w:t>Achievement of "Thermal Plan" performance metrics was added as an annual incentive category for 2019 based on the view</w:t>
      </w:r>
      <w:r>
        <w:rPr>
          <w:rFonts w:ascii="Arial" w:cs="Arial" w:eastAsia="Arial" w:hAnsi="Arial"/>
          <w:sz w:val="14"/>
          <w:szCs w:val="14"/>
          <w:i w:val="1"/>
          <w:iCs w:val="1"/>
          <w:color w:val="auto"/>
        </w:rPr>
        <w:t xml:space="preserve"> </w:t>
      </w:r>
      <w:r>
        <w:rPr>
          <w:rFonts w:ascii="Arial" w:cs="Arial" w:eastAsia="Arial" w:hAnsi="Arial"/>
          <w:sz w:val="14"/>
          <w:szCs w:val="14"/>
          <w:color w:val="auto"/>
        </w:rPr>
        <w:t>that all elements of the Company's business should be reflected in the AIP bonus opportunity. The Compensation Committee establishes threshold, target and maximum levels for this category for each of the "Thermal Plan" performance metrics. For 2019, the Thermal Plan performance metrics relate to the Thermal business's CAFD, capital expenditures, cost controls and system efficiencies. In addition, a separate metric was established for 2019 identifying a total of eleven key Thermal business goals. Similar to the key financial and transitional milestones described above, threshold, target and maximum levels of performance were established for this separate metric based on the number of goals achieved. These goals related to safety, cost control, customer retention and satisfaction, employee engagement, environmental risk management, good citizenship and growth, in each case, with respect to the Thermal business (threshold, target and maximum performance required the achievement of three, seven and ten goals, respectively, out of a total of eleven). Ultimately, above-target performance was attained (expressed as 153% of target) with respect to the thermal plan in 2019 (including achievement of six out of the eleven key Thermal business goals).</w:t>
      </w:r>
    </w:p>
    <w:p>
      <w:pPr>
        <w:spacing w:after="0" w:line="179" w:lineRule="exact"/>
        <w:rPr>
          <w:rFonts w:ascii="Arial" w:cs="Arial" w:eastAsia="Arial" w:hAnsi="Arial"/>
          <w:sz w:val="14"/>
          <w:szCs w:val="14"/>
          <w:color w:val="auto"/>
        </w:rPr>
      </w:pPr>
    </w:p>
    <w:p>
      <w:pPr>
        <w:ind w:left="960" w:right="40" w:hanging="477"/>
        <w:spacing w:after="0" w:line="299" w:lineRule="auto"/>
        <w:tabs>
          <w:tab w:leader="none" w:pos="96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Individual Performance. </w:t>
      </w:r>
      <w:r>
        <w:rPr>
          <w:rFonts w:ascii="Arial" w:cs="Arial" w:eastAsia="Arial" w:hAnsi="Arial"/>
          <w:sz w:val="14"/>
          <w:szCs w:val="14"/>
          <w:color w:val="auto"/>
        </w:rPr>
        <w:t>As indicated above, individual performance may (negatively or positively) affect the AIP Bonus for an NEO by up to 20%, although no</w:t>
      </w:r>
      <w:r>
        <w:rPr>
          <w:rFonts w:ascii="Arial" w:cs="Arial" w:eastAsia="Arial" w:hAnsi="Arial"/>
          <w:sz w:val="14"/>
          <w:szCs w:val="14"/>
          <w:i w:val="1"/>
          <w:iCs w:val="1"/>
          <w:color w:val="auto"/>
        </w:rPr>
        <w:t xml:space="preserve"> </w:t>
      </w:r>
      <w:r>
        <w:rPr>
          <w:rFonts w:ascii="Arial" w:cs="Arial" w:eastAsia="Arial" w:hAnsi="Arial"/>
          <w:sz w:val="14"/>
          <w:szCs w:val="14"/>
          <w:color w:val="auto"/>
        </w:rPr>
        <w:t>AIP Bonus payments can exceed 200% of the target award. Such individual performance is determined on a discretionary basis based on the Compensation Committee's assessment of the NEO's contributions in supporting adherence to budget, support towards the achievement of key milestones, and other contributions towards the successful execution of the Company's business strategy. In 2019, the Compensation Committee considered the individual performance of the CEO and recommended to the full Board that his AIP Bonus be increased by 20% to account for his individual performance. In a similar manner, the CEO recommended to the Compensation Committee that the AIP Bonus be increased for the other NEOs from 15% to 20%. The full board approved the above recommendation of the Compensation Committee and the Compensation Committee approved the above recommendation of the CEO.</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2019 Annual Incentive Bonus Opportunity</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threshold, target and maximum AIP bonus opportunities for NEOs for 2019, expressed as a percentage of base salary, were:</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1"/>
              </w:rPr>
              <w:t>Gate Not</w:t>
            </w:r>
          </w:p>
        </w:tc>
        <w:tc>
          <w:tcPr>
            <w:tcW w:w="140" w:type="dxa"/>
            <w:vAlign w:val="bottom"/>
          </w:tcPr>
          <w:p>
            <w:pPr>
              <w:spacing w:after="0"/>
              <w:rPr>
                <w:sz w:val="12"/>
                <w:szCs w:val="12"/>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w w:val="93"/>
              </w:rPr>
              <w:t>Threshold</w:t>
            </w:r>
          </w:p>
        </w:tc>
        <w:tc>
          <w:tcPr>
            <w:tcW w:w="140" w:type="dxa"/>
            <w:vAlign w:val="bottom"/>
          </w:tcPr>
          <w:p>
            <w:pPr>
              <w:spacing w:after="0"/>
              <w:rPr>
                <w:sz w:val="12"/>
                <w:szCs w:val="12"/>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w w:val="92"/>
              </w:rPr>
              <w:t>Target</w:t>
            </w:r>
          </w:p>
        </w:tc>
        <w:tc>
          <w:tcPr>
            <w:tcW w:w="140" w:type="dxa"/>
            <w:vAlign w:val="bottom"/>
          </w:tcPr>
          <w:p>
            <w:pPr>
              <w:spacing w:after="0"/>
              <w:rPr>
                <w:sz w:val="12"/>
                <w:szCs w:val="12"/>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w w:val="97"/>
              </w:rPr>
              <w:t>Maximum</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Target</w:t>
            </w:r>
          </w:p>
        </w:tc>
      </w:tr>
      <w:tr>
        <w:trPr>
          <w:trHeight w:val="158"/>
        </w:trPr>
        <w:tc>
          <w:tcPr>
            <w:tcW w:w="5420" w:type="dxa"/>
            <w:vAlign w:val="bottom"/>
            <w:gridSpan w:val="4"/>
          </w:tcPr>
          <w:p>
            <w:pPr>
              <w:spacing w:after="0"/>
              <w:rPr>
                <w:sz w:val="20"/>
                <w:szCs w:val="20"/>
                <w:color w:val="auto"/>
              </w:rPr>
            </w:pPr>
            <w:r>
              <w:rPr>
                <w:rFonts w:ascii="Arial" w:cs="Arial" w:eastAsia="Arial" w:hAnsi="Arial"/>
                <w:sz w:val="12"/>
                <w:szCs w:val="12"/>
                <w:b w:val="1"/>
                <w:bCs w:val="1"/>
                <w:color w:val="auto"/>
              </w:rPr>
              <w:t>Named Executive Officer</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Met (%)</w:t>
            </w:r>
          </w:p>
        </w:tc>
        <w:tc>
          <w:tcPr>
            <w:tcW w:w="740" w:type="dxa"/>
            <w:vAlign w:val="bottom"/>
            <w:gridSpan w:val="2"/>
          </w:tcPr>
          <w:p>
            <w:pPr>
              <w:jc w:val="center"/>
              <w:ind w:left="67"/>
              <w:spacing w:after="0" w:line="157"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(1)</w:t>
            </w:r>
          </w:p>
        </w:tc>
        <w:tc>
          <w:tcPr>
            <w:tcW w:w="520" w:type="dxa"/>
            <w:vAlign w:val="bottom"/>
            <w:gridSpan w:val="2"/>
          </w:tcPr>
          <w:p>
            <w:pPr>
              <w:jc w:val="center"/>
              <w:ind w:left="47"/>
              <w:spacing w:after="0" w:line="157"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(1)</w:t>
            </w:r>
          </w:p>
        </w:tc>
        <w:tc>
          <w:tcPr>
            <w:tcW w:w="740" w:type="dxa"/>
            <w:vAlign w:val="bottom"/>
            <w:gridSpan w:val="2"/>
          </w:tcPr>
          <w:p>
            <w:pPr>
              <w:jc w:val="center"/>
              <w:ind w:left="66"/>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Amount ($)</w:t>
            </w:r>
          </w:p>
        </w:tc>
      </w:tr>
      <w:tr>
        <w:trPr>
          <w:trHeight w:val="186"/>
        </w:trPr>
        <w:tc>
          <w:tcPr>
            <w:tcW w:w="20" w:type="dxa"/>
            <w:vAlign w:val="bottom"/>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6"/>
              </w:rPr>
              <w:t>Christopher S. Sotos</w:t>
            </w:r>
          </w:p>
        </w:tc>
        <w:tc>
          <w:tcPr>
            <w:tcW w:w="4100" w:type="dxa"/>
            <w:vAlign w:val="bottom"/>
            <w:gridSpan w:val="2"/>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1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1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2"/>
              </w:rPr>
              <w:t>100</w:t>
            </w:r>
          </w:p>
        </w:tc>
        <w:tc>
          <w:tcPr>
            <w:tcW w:w="1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611,000</w:t>
            </w:r>
          </w:p>
        </w:tc>
        <w:tc>
          <w:tcPr>
            <w:tcW w:w="14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400" w:type="dxa"/>
            <w:vAlign w:val="bottom"/>
            <w:gridSpan w:val="3"/>
          </w:tcPr>
          <w:p>
            <w:pPr>
              <w:spacing w:after="0"/>
              <w:rPr>
                <w:sz w:val="20"/>
                <w:szCs w:val="20"/>
                <w:color w:val="auto"/>
              </w:rPr>
            </w:pPr>
            <w:r>
              <w:rPr>
                <w:rFonts w:ascii="Arial" w:cs="Arial" w:eastAsia="Arial" w:hAnsi="Arial"/>
                <w:sz w:val="16"/>
                <w:szCs w:val="16"/>
                <w:color w:val="auto"/>
              </w:rPr>
              <w:t>Chad Plotkin</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gridSpan w:val="2"/>
          </w:tcPr>
          <w:p>
            <w:pPr>
              <w:jc w:val="center"/>
              <w:ind w:left="67"/>
              <w:spacing w:after="0"/>
              <w:rPr>
                <w:sz w:val="20"/>
                <w:szCs w:val="20"/>
                <w:color w:val="auto"/>
              </w:rPr>
            </w:pPr>
            <w:r>
              <w:rPr>
                <w:rFonts w:ascii="Arial" w:cs="Arial" w:eastAsia="Arial" w:hAnsi="Arial"/>
                <w:sz w:val="16"/>
                <w:szCs w:val="16"/>
                <w:color w:val="auto"/>
                <w:w w:val="89"/>
              </w:rPr>
              <w:t>30</w:t>
            </w:r>
          </w:p>
        </w:tc>
        <w:tc>
          <w:tcPr>
            <w:tcW w:w="520" w:type="dxa"/>
            <w:vAlign w:val="bottom"/>
            <w:gridSpan w:val="2"/>
          </w:tcPr>
          <w:p>
            <w:pPr>
              <w:jc w:val="center"/>
              <w:ind w:left="67"/>
              <w:spacing w:after="0"/>
              <w:rPr>
                <w:sz w:val="20"/>
                <w:szCs w:val="20"/>
                <w:color w:val="auto"/>
              </w:rPr>
            </w:pPr>
            <w:r>
              <w:rPr>
                <w:rFonts w:ascii="Arial" w:cs="Arial" w:eastAsia="Arial" w:hAnsi="Arial"/>
                <w:sz w:val="16"/>
                <w:szCs w:val="16"/>
                <w:color w:val="auto"/>
                <w:w w:val="78"/>
              </w:rPr>
              <w:t>60</w:t>
            </w:r>
          </w:p>
        </w:tc>
        <w:tc>
          <w:tcPr>
            <w:tcW w:w="740" w:type="dxa"/>
            <w:vAlign w:val="bottom"/>
            <w:gridSpan w:val="2"/>
          </w:tcPr>
          <w:p>
            <w:pPr>
              <w:jc w:val="center"/>
              <w:ind w:left="66"/>
              <w:spacing w:after="0"/>
              <w:rPr>
                <w:sz w:val="20"/>
                <w:szCs w:val="20"/>
                <w:color w:val="auto"/>
              </w:rPr>
            </w:pPr>
            <w:r>
              <w:rPr>
                <w:rFonts w:ascii="Arial" w:cs="Arial" w:eastAsia="Arial" w:hAnsi="Arial"/>
                <w:sz w:val="16"/>
                <w:szCs w:val="16"/>
                <w:color w:val="auto"/>
                <w:w w:val="89"/>
              </w:rPr>
              <w:t>120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228,000</w:t>
            </w:r>
          </w:p>
        </w:tc>
        <w:tc>
          <w:tcPr>
            <w:tcW w:w="1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Kevin Malcarney</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gridSpan w:val="2"/>
            <w:shd w:val="clear" w:color="auto" w:fill="CCEEFF"/>
          </w:tcPr>
          <w:p>
            <w:pPr>
              <w:jc w:val="center"/>
              <w:ind w:left="67"/>
              <w:spacing w:after="0"/>
              <w:rPr>
                <w:sz w:val="20"/>
                <w:szCs w:val="20"/>
                <w:color w:val="auto"/>
              </w:rPr>
            </w:pPr>
            <w:r>
              <w:rPr>
                <w:rFonts w:ascii="Arial" w:cs="Arial" w:eastAsia="Arial" w:hAnsi="Arial"/>
                <w:sz w:val="16"/>
                <w:szCs w:val="16"/>
                <w:color w:val="auto"/>
                <w:w w:val="89"/>
              </w:rPr>
              <w:t>20</w:t>
            </w:r>
          </w:p>
        </w:tc>
        <w:tc>
          <w:tcPr>
            <w:tcW w:w="520" w:type="dxa"/>
            <w:vAlign w:val="bottom"/>
            <w:gridSpan w:val="2"/>
            <w:shd w:val="clear" w:color="auto" w:fill="CCEEFF"/>
          </w:tcPr>
          <w:p>
            <w:pPr>
              <w:jc w:val="center"/>
              <w:ind w:left="67"/>
              <w:spacing w:after="0"/>
              <w:rPr>
                <w:sz w:val="20"/>
                <w:szCs w:val="20"/>
                <w:color w:val="auto"/>
              </w:rPr>
            </w:pPr>
            <w:r>
              <w:rPr>
                <w:rFonts w:ascii="Arial" w:cs="Arial" w:eastAsia="Arial" w:hAnsi="Arial"/>
                <w:sz w:val="16"/>
                <w:szCs w:val="16"/>
                <w:color w:val="auto"/>
                <w:w w:val="78"/>
              </w:rPr>
              <w:t>40</w:t>
            </w:r>
          </w:p>
        </w:tc>
        <w:tc>
          <w:tcPr>
            <w:tcW w:w="740" w:type="dxa"/>
            <w:vAlign w:val="bottom"/>
            <w:gridSpan w:val="2"/>
            <w:shd w:val="clear" w:color="auto" w:fill="CCEEFF"/>
          </w:tcPr>
          <w:p>
            <w:pPr>
              <w:jc w:val="center"/>
              <w:ind w:left="66"/>
              <w:spacing w:after="0"/>
              <w:rPr>
                <w:sz w:val="20"/>
                <w:szCs w:val="20"/>
                <w:color w:val="auto"/>
              </w:rPr>
            </w:pPr>
            <w:r>
              <w:rPr>
                <w:rFonts w:ascii="Arial" w:cs="Arial" w:eastAsia="Arial" w:hAnsi="Arial"/>
                <w:sz w:val="16"/>
                <w:szCs w:val="16"/>
                <w:color w:val="auto"/>
                <w:w w:val="89"/>
              </w:rPr>
              <w:t>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4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400" w:type="dxa"/>
            <w:vAlign w:val="bottom"/>
            <w:gridSpan w:val="3"/>
          </w:tcPr>
          <w:p>
            <w:pPr>
              <w:spacing w:after="0"/>
              <w:rPr>
                <w:sz w:val="20"/>
                <w:szCs w:val="20"/>
                <w:color w:val="auto"/>
              </w:rPr>
            </w:pPr>
            <w:r>
              <w:rPr>
                <w:rFonts w:ascii="Arial" w:cs="Arial" w:eastAsia="Arial" w:hAnsi="Arial"/>
                <w:sz w:val="16"/>
                <w:szCs w:val="16"/>
                <w:color w:val="auto"/>
              </w:rPr>
              <w:t>Mary-Lee Stillwell</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740" w:type="dxa"/>
            <w:vAlign w:val="bottom"/>
            <w:gridSpan w:val="2"/>
          </w:tcPr>
          <w:p>
            <w:pPr>
              <w:jc w:val="center"/>
              <w:ind w:left="67"/>
              <w:spacing w:after="0"/>
              <w:rPr>
                <w:sz w:val="20"/>
                <w:szCs w:val="20"/>
                <w:color w:val="auto"/>
              </w:rPr>
            </w:pPr>
            <w:r>
              <w:rPr>
                <w:rFonts w:ascii="Arial" w:cs="Arial" w:eastAsia="Arial" w:hAnsi="Arial"/>
                <w:sz w:val="16"/>
                <w:szCs w:val="16"/>
                <w:color w:val="auto"/>
                <w:w w:val="89"/>
              </w:rPr>
              <w:t>20</w:t>
            </w:r>
          </w:p>
        </w:tc>
        <w:tc>
          <w:tcPr>
            <w:tcW w:w="520" w:type="dxa"/>
            <w:vAlign w:val="bottom"/>
            <w:gridSpan w:val="2"/>
          </w:tcPr>
          <w:p>
            <w:pPr>
              <w:jc w:val="center"/>
              <w:ind w:left="67"/>
              <w:spacing w:after="0"/>
              <w:rPr>
                <w:sz w:val="20"/>
                <w:szCs w:val="20"/>
                <w:color w:val="auto"/>
              </w:rPr>
            </w:pPr>
            <w:r>
              <w:rPr>
                <w:rFonts w:ascii="Arial" w:cs="Arial" w:eastAsia="Arial" w:hAnsi="Arial"/>
                <w:sz w:val="16"/>
                <w:szCs w:val="16"/>
                <w:color w:val="auto"/>
                <w:w w:val="78"/>
              </w:rPr>
              <w:t>40</w:t>
            </w:r>
          </w:p>
        </w:tc>
        <w:tc>
          <w:tcPr>
            <w:tcW w:w="740" w:type="dxa"/>
            <w:vAlign w:val="bottom"/>
            <w:gridSpan w:val="2"/>
          </w:tcPr>
          <w:p>
            <w:pPr>
              <w:jc w:val="center"/>
              <w:ind w:left="66"/>
              <w:spacing w:after="0"/>
              <w:rPr>
                <w:sz w:val="20"/>
                <w:szCs w:val="20"/>
                <w:color w:val="auto"/>
              </w:rPr>
            </w:pPr>
            <w:r>
              <w:rPr>
                <w:rFonts w:ascii="Arial" w:cs="Arial" w:eastAsia="Arial" w:hAnsi="Arial"/>
                <w:sz w:val="16"/>
                <w:szCs w:val="16"/>
                <w:color w:val="auto"/>
                <w:w w:val="89"/>
              </w:rPr>
              <w:t>80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118,000</w:t>
            </w:r>
          </w:p>
        </w:tc>
        <w:tc>
          <w:tcPr>
            <w:tcW w:w="140" w:type="dxa"/>
            <w:vAlign w:val="bottom"/>
          </w:tcPr>
          <w:p>
            <w:pPr>
              <w:spacing w:after="0"/>
              <w:rPr>
                <w:sz w:val="17"/>
                <w:szCs w:val="17"/>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7" w:lineRule="exact"/>
        <w:rPr>
          <w:sz w:val="20"/>
          <w:szCs w:val="20"/>
          <w:color w:val="auto"/>
        </w:rPr>
      </w:pPr>
    </w:p>
    <w:p>
      <w:pPr>
        <w:ind w:left="1600" w:hanging="478"/>
        <w:spacing w:after="0" w:line="275" w:lineRule="auto"/>
        <w:tabs>
          <w:tab w:leader="none" w:pos="1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assumes that the CAFD performance metric and all other quantitative and qualitative goals, including the key milestones, are achieved at threshold or target levels, respectively.</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2019 Annual Incentive Bonuses</w:t>
      </w:r>
    </w:p>
    <w:p>
      <w:pPr>
        <w:spacing w:after="0" w:line="204" w:lineRule="exact"/>
        <w:rPr>
          <w:sz w:val="20"/>
          <w:szCs w:val="20"/>
          <w:color w:val="auto"/>
        </w:rPr>
      </w:pPr>
    </w:p>
    <w:p>
      <w:pPr>
        <w:jc w:val="both"/>
        <w:ind w:right="720" w:firstLine="307"/>
        <w:spacing w:after="0" w:line="264" w:lineRule="auto"/>
        <w:rPr>
          <w:sz w:val="20"/>
          <w:szCs w:val="20"/>
          <w:color w:val="auto"/>
        </w:rPr>
      </w:pPr>
      <w:r>
        <w:rPr>
          <w:rFonts w:ascii="Arial" w:cs="Arial" w:eastAsia="Arial" w:hAnsi="Arial"/>
          <w:sz w:val="16"/>
          <w:szCs w:val="16"/>
          <w:color w:val="auto"/>
        </w:rPr>
        <w:t>As noted above, with respect to AIP bonuses for 2019, the AIP Gate was $231 million, the CAFD target was $270 million, the key financial milestone target was achievement of six out of eleven key financial milestones, the key transition milestone target was achievement of three out of five key transition milestones and target achievement of the "Thermal Plan" metrics was based on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various sub-categories, including the achievement of seven out of eleven key Thermal business goals.</w:t>
      </w:r>
    </w:p>
    <w:p>
      <w:pPr>
        <w:spacing w:after="0" w:line="204" w:lineRule="exact"/>
        <w:rPr>
          <w:sz w:val="20"/>
          <w:szCs w:val="20"/>
          <w:color w:val="auto"/>
        </w:rPr>
      </w:pPr>
    </w:p>
    <w:p>
      <w:pPr>
        <w:ind w:firstLine="316"/>
        <w:spacing w:after="0" w:line="257" w:lineRule="auto"/>
        <w:rPr>
          <w:sz w:val="20"/>
          <w:szCs w:val="20"/>
          <w:color w:val="auto"/>
        </w:rPr>
      </w:pPr>
      <w:r>
        <w:rPr>
          <w:rFonts w:ascii="Arial" w:cs="Arial" w:eastAsia="Arial" w:hAnsi="Arial"/>
          <w:sz w:val="16"/>
          <w:szCs w:val="16"/>
          <w:color w:val="auto"/>
        </w:rPr>
        <w:t>For 2019, the AIP Gate was surpassed, CAFD was between threshold and target at approximately $254 million, six out of eleven key financial milestones were achieved, and five out of five key transition milestones were achieved. In addition, overall achievement for the thermal plan for 2019 was above target at 153%. Due to the achievement specified above, 2019 AIP bonuses were paid at levels above target. If performance falls between threshold and target or target and maximum, the bonus opportunity will be determined on an interpolated basis. As a result, the CAFD metric, the key financial milestone, the key transition milestone, and thermal plan metrics were respectively weighted at 79%, 100%, 200% and 153% of target. Individual performance, which is determined on a discretionary basis, resulted in positive adjustments to the AIP Bonuses for the NEOs from 15% to 20%.</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annual incentive bonuses paid to NEOs for 2019 were:</w:t>
      </w:r>
    </w:p>
    <w:p>
      <w:pPr>
        <w:spacing w:after="0" w:line="196"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Percentage of</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Percent of</w:t>
            </w:r>
          </w:p>
        </w:tc>
        <w:tc>
          <w:tcPr>
            <w:tcW w:w="9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Annual</w:t>
            </w:r>
          </w:p>
        </w:tc>
      </w:tr>
      <w:tr>
        <w:trPr>
          <w:trHeight w:val="134"/>
        </w:trPr>
        <w:tc>
          <w:tcPr>
            <w:tcW w:w="13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0"/>
              </w:rPr>
              <w:t>Annual Base</w:t>
            </w:r>
          </w:p>
        </w:tc>
        <w:tc>
          <w:tcPr>
            <w:tcW w:w="10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2"/>
              </w:rPr>
              <w:t>Target</w:t>
            </w:r>
          </w:p>
        </w:tc>
        <w:tc>
          <w:tcPr>
            <w:tcW w:w="94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2"/>
              </w:rPr>
              <w:t>Incentive</w:t>
            </w:r>
          </w:p>
        </w:tc>
      </w:tr>
      <w:tr>
        <w:trPr>
          <w:trHeight w:val="146"/>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0"/>
              </w:rPr>
              <w:t>Named Executive Officer</w:t>
            </w:r>
          </w:p>
        </w:tc>
        <w:tc>
          <w:tcPr>
            <w:tcW w:w="362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Salary (%)</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Achieved (%)</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Payment ($)</w:t>
            </w:r>
          </w:p>
        </w:tc>
        <w:tc>
          <w:tcPr>
            <w:tcW w:w="160" w:type="dxa"/>
            <w:vAlign w:val="bottom"/>
          </w:tcPr>
          <w:p>
            <w:pPr>
              <w:spacing w:after="0"/>
              <w:rPr>
                <w:sz w:val="12"/>
                <w:szCs w:val="12"/>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Christopher S. Sotos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906,235</w:t>
            </w:r>
          </w:p>
        </w:tc>
      </w:tr>
      <w:tr>
        <w:trPr>
          <w:trHeight w:val="194"/>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Chad Plotkin</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89</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338,170</w:t>
            </w:r>
          </w:p>
        </w:tc>
      </w:tr>
      <w:tr>
        <w:trPr>
          <w:trHeight w:val="194"/>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Kevin P. Malcarney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170,568</w:t>
            </w:r>
          </w:p>
        </w:tc>
      </w:tr>
      <w:tr>
        <w:trPr>
          <w:trHeight w:val="201"/>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Mary-Lee Stillwell</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59</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175,018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COMPENSATION</w:t>
      </w:r>
    </w:p>
    <w:p>
      <w:pPr>
        <w:spacing w:after="0" w:line="208" w:lineRule="exact"/>
        <w:rPr>
          <w:sz w:val="20"/>
          <w:szCs w:val="20"/>
          <w:color w:val="auto"/>
        </w:rPr>
      </w:pPr>
    </w:p>
    <w:p>
      <w:pPr>
        <w:ind w:right="20" w:firstLine="313"/>
        <w:spacing w:after="0" w:line="297" w:lineRule="auto"/>
        <w:rPr>
          <w:sz w:val="20"/>
          <w:szCs w:val="20"/>
          <w:color w:val="auto"/>
        </w:rPr>
      </w:pPr>
      <w:r>
        <w:rPr>
          <w:rFonts w:ascii="Arial" w:cs="Arial" w:eastAsia="Arial" w:hAnsi="Arial"/>
          <w:sz w:val="14"/>
          <w:szCs w:val="14"/>
          <w:color w:val="auto"/>
        </w:rPr>
        <w:t>We believe that equity awards directly align our NEOs' interests with those of our stockholders. In 2019, the Compensation Committee granted our NEOs a combination of performance-based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large majority of these long-term incentive awards (67%) were performance-based (i.e., granted as RPSUs). The remaining 33% of our long-term incentive awards were time-based (i.e., granted as RSUs which vest over 3 years). We believe that our AIP appropriately focuses our NEOs on shorter-term (one-year) financial metrics while our LTIP emphasizes long-term stockholder value creation (i.e. three-year TSR outperformance). For 2019, Mr. Sotos' target LTIP award was 250% of his base salary, Mr. Plotkin's target LTIP award was 125% of his base salary, Mr. Malcarney's target LTIP award was 100% of his base salary, and Ms. Stillwell's target LTIP award was 75% of her base salary. The above mix of long-term incentive compensation applied to all NEOs, except Ms. Stillwell, for 2019, who received 100% RSUs under the terms of her offer letter.</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Relative Performance Stock Units</w:t>
      </w:r>
    </w:p>
    <w:p>
      <w:pPr>
        <w:spacing w:after="0" w:line="204" w:lineRule="exact"/>
        <w:rPr>
          <w:sz w:val="20"/>
          <w:szCs w:val="20"/>
          <w:color w:val="auto"/>
        </w:rPr>
      </w:pPr>
    </w:p>
    <w:p>
      <w:pPr>
        <w:ind w:firstLine="316"/>
        <w:spacing w:after="0" w:line="260" w:lineRule="auto"/>
        <w:rPr>
          <w:sz w:val="20"/>
          <w:szCs w:val="20"/>
          <w:color w:val="auto"/>
        </w:rPr>
      </w:pPr>
      <w:r>
        <w:rPr>
          <w:rFonts w:ascii="Arial" w:cs="Arial" w:eastAsia="Arial" w:hAnsi="Arial"/>
          <w:sz w:val="16"/>
          <w:szCs w:val="16"/>
          <w:color w:val="auto"/>
        </w:rPr>
        <w:t>Each RPSU represents the potential to receive one share of Class C common stock based on the Company's TSR performance ranked against the TSR performance of a comparator group of similar companies (the "Performance Peer Group") after the completion of a three-year performance period.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74" w:lineRule="exact"/>
        <w:rPr>
          <w:sz w:val="20"/>
          <w:szCs w:val="20"/>
          <w:color w:val="auto"/>
        </w:rPr>
      </w:pPr>
    </w:p>
    <w:p>
      <w:pPr>
        <w:jc w:val="both"/>
        <w:ind w:right="60" w:firstLine="313"/>
        <w:spacing w:after="0" w:line="319" w:lineRule="auto"/>
        <w:rPr>
          <w:sz w:val="20"/>
          <w:szCs w:val="20"/>
          <w:color w:val="auto"/>
        </w:rPr>
      </w:pPr>
      <w:r>
        <w:rPr>
          <w:rFonts w:ascii="Arial" w:cs="Arial" w:eastAsia="Arial" w:hAnsi="Arial"/>
          <w:sz w:val="14"/>
          <w:szCs w:val="14"/>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target-level payout (100% of shares granted) requires the Company to perform at the 50th percentile. To induce management to achieve greater than target-level performance in a down market, in the event that the Company's TSR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performance declines by more than 20% over the performance period, the target-level payout (100% of shares granted) will require an even greater achievement of a</w:t>
      </w:r>
    </w:p>
    <w:p>
      <w:pPr>
        <w:spacing w:after="0" w:line="28"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69" w:lineRule="exact"/>
        <w:rPr>
          <w:sz w:val="20"/>
          <w:szCs w:val="20"/>
          <w:color w:val="auto"/>
        </w:rPr>
      </w:pPr>
    </w:p>
    <w:p>
      <w:pPr>
        <w:ind w:firstLine="316"/>
        <w:spacing w:after="0" w:line="278" w:lineRule="auto"/>
        <w:rPr>
          <w:sz w:val="20"/>
          <w:szCs w:val="20"/>
          <w:color w:val="auto"/>
        </w:rPr>
      </w:pPr>
      <w:r>
        <w:rPr>
          <w:rFonts w:ascii="Arial" w:cs="Arial" w:eastAsia="Arial" w:hAnsi="Arial"/>
          <w:sz w:val="15"/>
          <w:szCs w:val="15"/>
          <w:color w:val="auto"/>
        </w:rPr>
        <w:t>In the event relative performance is below the 25th percentile, the award is forfeited. In the event relative performance is between the 25th percentile and the 50th percentile (or the 60th percentile if our TSR performance declines by more than 20% over the performance period), payouts will be based on an interpolated calculation. In the event relative performance reaches the 50th percentile (or the 60th percentile as described above), 100% of the award will be paid. In the event relative performance is between the 50th percentile (or the 60th percentile as described above) and the 75th percentile, payouts will be based on an interpolated calculation. In the event that relative performance is at or above the 75th percentile, a maximum payout of 150% of the target will be paid with respect to RPSU awards granted in 2019. Beginning with respect to RPSUs granted in 2018 and continuing for grants of 2019 RPSUs, the maximum payout was (and remains) changed from 200% to 150%.</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illustrates the design of our RPSUs in 2019.</w:t>
      </w:r>
    </w:p>
    <w:p>
      <w:pPr>
        <w:spacing w:after="0" w:line="193" w:lineRule="exact"/>
        <w:rPr>
          <w:sz w:val="20"/>
          <w:szCs w:val="20"/>
          <w:color w:val="auto"/>
        </w:rPr>
      </w:pPr>
    </w:p>
    <w:tbl>
      <w:tblPr>
        <w:tblLayout w:type="fixed"/>
        <w:tblInd w:w="1130" w:type="dxa"/>
        <w:tblCellMar>
          <w:top w:w="0" w:type="dxa"/>
          <w:left w:w="0" w:type="dxa"/>
          <w:bottom w:w="0" w:type="dxa"/>
          <w:right w:w="0" w:type="dxa"/>
        </w:tblCellMar>
      </w:tblPr>
      <w:tr>
        <w:trPr>
          <w:trHeight w:val="206"/>
        </w:trPr>
        <w:tc>
          <w:tcPr>
            <w:tcW w:w="3060" w:type="dxa"/>
            <w:vAlign w:val="bottom"/>
            <w:tcBorders>
              <w:top w:val="single" w:sz="8" w:color="auto"/>
              <w:left w:val="single" w:sz="8" w:color="auto"/>
              <w:bottom w:val="single" w:sz="8" w:color="auto"/>
              <w:right w:val="single" w:sz="8" w:color="auto"/>
            </w:tcBorders>
            <w:shd w:val="clear" w:color="auto" w:fill="C8DAF0"/>
          </w:tcPr>
          <w:p>
            <w:pPr>
              <w:ind w:left="840"/>
              <w:spacing w:after="0"/>
              <w:rPr>
                <w:sz w:val="20"/>
                <w:szCs w:val="20"/>
                <w:color w:val="auto"/>
              </w:rPr>
            </w:pPr>
            <w:r>
              <w:rPr>
                <w:rFonts w:ascii="Arial" w:cs="Arial" w:eastAsia="Arial" w:hAnsi="Arial"/>
                <w:sz w:val="16"/>
                <w:szCs w:val="16"/>
                <w:b w:val="1"/>
                <w:bCs w:val="1"/>
                <w:color w:val="auto"/>
              </w:rPr>
              <w:t>Performance Targets</w:t>
            </w:r>
          </w:p>
        </w:tc>
        <w:tc>
          <w:tcPr>
            <w:tcW w:w="4280" w:type="dxa"/>
            <w:vAlign w:val="bottom"/>
            <w:tcBorders>
              <w:top w:val="single" w:sz="8" w:color="auto"/>
              <w:bottom w:val="single" w:sz="8" w:color="auto"/>
              <w:right w:val="single" w:sz="8" w:color="auto"/>
            </w:tcBorders>
            <w:gridSpan w:val="3"/>
            <w:shd w:val="clear" w:color="auto" w:fill="C8DAF0"/>
          </w:tcPr>
          <w:p>
            <w:pPr>
              <w:jc w:val="center"/>
              <w:ind w:right="41"/>
              <w:spacing w:after="0"/>
              <w:rPr>
                <w:sz w:val="20"/>
                <w:szCs w:val="20"/>
                <w:color w:val="auto"/>
              </w:rPr>
            </w:pPr>
            <w:r>
              <w:rPr>
                <w:rFonts w:ascii="Arial" w:cs="Arial" w:eastAsia="Arial" w:hAnsi="Arial"/>
                <w:sz w:val="16"/>
                <w:szCs w:val="16"/>
                <w:b w:val="1"/>
                <w:bCs w:val="1"/>
                <w:color w:val="auto"/>
                <w:w w:val="89"/>
              </w:rPr>
              <w:t>Performance Requirement</w:t>
            </w:r>
          </w:p>
        </w:tc>
        <w:tc>
          <w:tcPr>
            <w:tcW w:w="1780" w:type="dxa"/>
            <w:vAlign w:val="bottom"/>
            <w:tcBorders>
              <w:top w:val="single" w:sz="8" w:color="auto"/>
              <w:bottom w:val="single" w:sz="8" w:color="auto"/>
              <w:right w:val="single" w:sz="8" w:color="auto"/>
            </w:tcBorders>
            <w:shd w:val="clear" w:color="auto" w:fill="C8DAF0"/>
          </w:tcPr>
          <w:p>
            <w:pPr>
              <w:ind w:left="140"/>
              <w:spacing w:after="0"/>
              <w:rPr>
                <w:sz w:val="20"/>
                <w:szCs w:val="20"/>
                <w:color w:val="auto"/>
              </w:rPr>
            </w:pPr>
            <w:r>
              <w:rPr>
                <w:rFonts w:ascii="Arial" w:cs="Arial" w:eastAsia="Arial" w:hAnsi="Arial"/>
                <w:sz w:val="16"/>
                <w:szCs w:val="16"/>
                <w:b w:val="1"/>
                <w:bCs w:val="1"/>
                <w:color w:val="auto"/>
              </w:rPr>
              <w:t>Payout Opportunity</w:t>
            </w:r>
          </w:p>
        </w:tc>
      </w:tr>
      <w:tr>
        <w:trPr>
          <w:trHeight w:val="186"/>
        </w:trPr>
        <w:tc>
          <w:tcPr>
            <w:tcW w:w="306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6"/>
                <w:szCs w:val="16"/>
                <w:b w:val="1"/>
                <w:bCs w:val="1"/>
                <w:i w:val="1"/>
                <w:iCs w:val="1"/>
                <w:color w:val="auto"/>
              </w:rPr>
              <w:t>Maximum</w:t>
            </w:r>
          </w:p>
        </w:tc>
        <w:tc>
          <w:tcPr>
            <w:tcW w:w="4280" w:type="dxa"/>
            <w:vAlign w:val="bottom"/>
            <w:tcBorders>
              <w:bottom w:val="single" w:sz="8" w:color="auto"/>
              <w:right w:val="single" w:sz="8" w:color="auto"/>
            </w:tcBorders>
            <w:gridSpan w:val="3"/>
          </w:tcPr>
          <w:p>
            <w:pPr>
              <w:jc w:val="center"/>
              <w:ind w:right="61"/>
              <w:spacing w:after="0"/>
              <w:rPr>
                <w:sz w:val="20"/>
                <w:szCs w:val="20"/>
                <w:color w:val="auto"/>
              </w:rPr>
            </w:pPr>
            <w:r>
              <w:rPr>
                <w:rFonts w:ascii="Arial" w:cs="Arial" w:eastAsia="Arial" w:hAnsi="Arial"/>
                <w:sz w:val="16"/>
                <w:szCs w:val="16"/>
                <w:color w:val="auto"/>
                <w:w w:val="89"/>
              </w:rPr>
              <w:t>75th percentile or above</w:t>
            </w:r>
          </w:p>
        </w:tc>
        <w:tc>
          <w:tcPr>
            <w:tcW w:w="1780" w:type="dxa"/>
            <w:vAlign w:val="bottom"/>
            <w:tcBorders>
              <w:bottom w:val="single" w:sz="8" w:color="auto"/>
              <w:right w:val="single" w:sz="8" w:color="auto"/>
            </w:tcBorders>
          </w:tcPr>
          <w:p>
            <w:pPr>
              <w:jc w:val="center"/>
              <w:ind w:right="61"/>
              <w:spacing w:after="0"/>
              <w:rPr>
                <w:sz w:val="20"/>
                <w:szCs w:val="20"/>
                <w:color w:val="auto"/>
              </w:rPr>
            </w:pPr>
            <w:r>
              <w:rPr>
                <w:rFonts w:ascii="Arial" w:cs="Arial" w:eastAsia="Arial" w:hAnsi="Arial"/>
                <w:sz w:val="16"/>
                <w:szCs w:val="16"/>
                <w:color w:val="auto"/>
                <w:w w:val="87"/>
              </w:rPr>
              <w:t>150%</w:t>
            </w:r>
          </w:p>
        </w:tc>
      </w:tr>
      <w:tr>
        <w:trPr>
          <w:trHeight w:val="177"/>
        </w:trPr>
        <w:tc>
          <w:tcPr>
            <w:tcW w:w="3060" w:type="dxa"/>
            <w:vAlign w:val="bottom"/>
            <w:tcBorders>
              <w:left w:val="single" w:sz="8" w:color="auto"/>
              <w:right w:val="single" w:sz="8" w:color="auto"/>
            </w:tcBorders>
          </w:tcPr>
          <w:p>
            <w:pPr>
              <w:ind w:left="320"/>
              <w:spacing w:after="0" w:line="178" w:lineRule="exact"/>
              <w:rPr>
                <w:sz w:val="20"/>
                <w:szCs w:val="20"/>
                <w:color w:val="auto"/>
              </w:rPr>
            </w:pPr>
            <w:r>
              <w:rPr>
                <w:rFonts w:ascii="Arial" w:cs="Arial" w:eastAsia="Arial" w:hAnsi="Arial"/>
                <w:sz w:val="16"/>
                <w:szCs w:val="16"/>
                <w:b w:val="1"/>
                <w:bCs w:val="1"/>
                <w:i w:val="1"/>
                <w:iCs w:val="1"/>
                <w:color w:val="auto"/>
              </w:rPr>
              <w:t>Target</w:t>
            </w:r>
          </w:p>
        </w:tc>
        <w:tc>
          <w:tcPr>
            <w:tcW w:w="1360" w:type="dxa"/>
            <w:vAlign w:val="bottom"/>
          </w:tcPr>
          <w:p>
            <w:pPr>
              <w:jc w:val="center"/>
              <w:ind w:left="81"/>
              <w:spacing w:after="0" w:line="178" w:lineRule="exact"/>
              <w:rPr>
                <w:sz w:val="20"/>
                <w:szCs w:val="20"/>
                <w:color w:val="auto"/>
              </w:rPr>
            </w:pPr>
            <w:r>
              <w:rPr>
                <w:rFonts w:ascii="Arial" w:cs="Arial" w:eastAsia="Arial" w:hAnsi="Arial"/>
                <w:sz w:val="16"/>
                <w:szCs w:val="16"/>
                <w:b w:val="1"/>
                <w:bCs w:val="1"/>
                <w:color w:val="auto"/>
                <w:w w:val="90"/>
              </w:rPr>
              <w:t>Standard Target:</w:t>
            </w:r>
          </w:p>
        </w:tc>
        <w:tc>
          <w:tcPr>
            <w:tcW w:w="3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jc w:val="center"/>
              <w:ind w:right="61"/>
              <w:spacing w:after="0" w:line="178" w:lineRule="exact"/>
              <w:rPr>
                <w:sz w:val="20"/>
                <w:szCs w:val="20"/>
                <w:color w:val="auto"/>
              </w:rPr>
            </w:pPr>
            <w:r>
              <w:rPr>
                <w:rFonts w:ascii="Arial" w:cs="Arial" w:eastAsia="Arial" w:hAnsi="Arial"/>
                <w:sz w:val="16"/>
                <w:szCs w:val="16"/>
                <w:b w:val="1"/>
                <w:bCs w:val="1"/>
                <w:color w:val="auto"/>
                <w:w w:val="93"/>
              </w:rPr>
              <w:t>Modified Target:</w:t>
            </w:r>
          </w:p>
        </w:tc>
        <w:tc>
          <w:tcPr>
            <w:tcW w:w="1780" w:type="dxa"/>
            <w:vAlign w:val="bottom"/>
            <w:tcBorders>
              <w:right w:val="single" w:sz="8" w:color="auto"/>
            </w:tcBorders>
          </w:tcPr>
          <w:p>
            <w:pPr>
              <w:jc w:val="center"/>
              <w:ind w:right="61"/>
              <w:spacing w:after="0" w:line="178" w:lineRule="exact"/>
              <w:rPr>
                <w:sz w:val="20"/>
                <w:szCs w:val="20"/>
                <w:color w:val="auto"/>
              </w:rPr>
            </w:pPr>
            <w:r>
              <w:rPr>
                <w:rFonts w:ascii="Arial" w:cs="Arial" w:eastAsia="Arial" w:hAnsi="Arial"/>
                <w:sz w:val="16"/>
                <w:szCs w:val="16"/>
                <w:color w:val="auto"/>
                <w:w w:val="87"/>
              </w:rPr>
              <w:t>100%</w:t>
            </w:r>
          </w:p>
        </w:tc>
      </w:tr>
      <w:tr>
        <w:trPr>
          <w:trHeight w:val="194"/>
        </w:trPr>
        <w:tc>
          <w:tcPr>
            <w:tcW w:w="3060" w:type="dxa"/>
            <w:vAlign w:val="bottom"/>
            <w:tcBorders>
              <w:left w:val="single" w:sz="8" w:color="auto"/>
              <w:right w:val="single" w:sz="8" w:color="auto"/>
            </w:tcBorders>
          </w:tcPr>
          <w:p>
            <w:pPr>
              <w:spacing w:after="0"/>
              <w:rPr>
                <w:sz w:val="16"/>
                <w:szCs w:val="16"/>
                <w:color w:val="auto"/>
              </w:rPr>
            </w:pPr>
          </w:p>
        </w:tc>
        <w:tc>
          <w:tcPr>
            <w:tcW w:w="1360" w:type="dxa"/>
            <w:vAlign w:val="bottom"/>
          </w:tcPr>
          <w:p>
            <w:pPr>
              <w:jc w:val="center"/>
              <w:ind w:left="81"/>
              <w:spacing w:after="0"/>
              <w:rPr>
                <w:sz w:val="20"/>
                <w:szCs w:val="20"/>
                <w:color w:val="auto"/>
              </w:rPr>
            </w:pPr>
            <w:r>
              <w:rPr>
                <w:rFonts w:ascii="Arial" w:cs="Arial" w:eastAsia="Arial" w:hAnsi="Arial"/>
                <w:sz w:val="16"/>
                <w:szCs w:val="16"/>
                <w:color w:val="auto"/>
                <w:w w:val="91"/>
              </w:rPr>
              <w:t>50th percentile</w:t>
            </w:r>
          </w:p>
        </w:tc>
        <w:tc>
          <w:tcPr>
            <w:tcW w:w="30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jc w:val="center"/>
              <w:ind w:right="81"/>
              <w:spacing w:after="0"/>
              <w:rPr>
                <w:sz w:val="20"/>
                <w:szCs w:val="20"/>
                <w:color w:val="auto"/>
              </w:rPr>
            </w:pPr>
            <w:r>
              <w:rPr>
                <w:rFonts w:ascii="Arial" w:cs="Arial" w:eastAsia="Arial" w:hAnsi="Arial"/>
                <w:sz w:val="16"/>
                <w:szCs w:val="16"/>
                <w:color w:val="auto"/>
                <w:w w:val="89"/>
              </w:rPr>
              <w:t>60th percentile</w:t>
            </w:r>
          </w:p>
        </w:tc>
        <w:tc>
          <w:tcPr>
            <w:tcW w:w="1780" w:type="dxa"/>
            <w:vAlign w:val="bottom"/>
            <w:tcBorders>
              <w:right w:val="single" w:sz="8" w:color="auto"/>
            </w:tcBorders>
          </w:tcPr>
          <w:p>
            <w:pPr>
              <w:spacing w:after="0"/>
              <w:rPr>
                <w:sz w:val="16"/>
                <w:szCs w:val="16"/>
                <w:color w:val="auto"/>
              </w:rPr>
            </w:pPr>
          </w:p>
        </w:tc>
      </w:tr>
      <w:tr>
        <w:trPr>
          <w:trHeight w:val="202"/>
        </w:trPr>
        <w:tc>
          <w:tcPr>
            <w:tcW w:w="3060" w:type="dxa"/>
            <w:vAlign w:val="bottom"/>
            <w:tcBorders>
              <w:left w:val="single" w:sz="8" w:color="auto"/>
              <w:bottom w:val="single" w:sz="8" w:color="auto"/>
              <w:right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right w:val="single" w:sz="8" w:color="auto"/>
            </w:tcBorders>
          </w:tcPr>
          <w:p>
            <w:pPr>
              <w:jc w:val="center"/>
              <w:ind w:right="61"/>
              <w:spacing w:after="0"/>
              <w:rPr>
                <w:sz w:val="20"/>
                <w:szCs w:val="20"/>
                <w:color w:val="auto"/>
              </w:rPr>
            </w:pPr>
            <w:r>
              <w:rPr>
                <w:rFonts w:ascii="Arial" w:cs="Arial" w:eastAsia="Arial" w:hAnsi="Arial"/>
                <w:sz w:val="16"/>
                <w:szCs w:val="16"/>
                <w:color w:val="auto"/>
                <w:w w:val="88"/>
              </w:rPr>
              <w:t>(less than –20% absolute TSR)</w:t>
            </w:r>
          </w:p>
        </w:tc>
        <w:tc>
          <w:tcPr>
            <w:tcW w:w="1780" w:type="dxa"/>
            <w:vAlign w:val="bottom"/>
            <w:tcBorders>
              <w:bottom w:val="single" w:sz="8" w:color="auto"/>
              <w:right w:val="single" w:sz="8" w:color="auto"/>
            </w:tcBorders>
          </w:tcPr>
          <w:p>
            <w:pPr>
              <w:spacing w:after="0"/>
              <w:rPr>
                <w:sz w:val="17"/>
                <w:szCs w:val="17"/>
                <w:color w:val="auto"/>
              </w:rPr>
            </w:pPr>
          </w:p>
        </w:tc>
      </w:tr>
      <w:tr>
        <w:trPr>
          <w:trHeight w:val="188"/>
        </w:trPr>
        <w:tc>
          <w:tcPr>
            <w:tcW w:w="306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6"/>
                <w:szCs w:val="16"/>
                <w:b w:val="1"/>
                <w:bCs w:val="1"/>
                <w:i w:val="1"/>
                <w:iCs w:val="1"/>
                <w:color w:val="auto"/>
              </w:rPr>
              <w:t>Threshold</w:t>
            </w:r>
          </w:p>
        </w:tc>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jc w:val="center"/>
              <w:ind w:right="1661"/>
              <w:spacing w:after="0"/>
              <w:rPr>
                <w:sz w:val="20"/>
                <w:szCs w:val="20"/>
                <w:color w:val="auto"/>
              </w:rPr>
            </w:pPr>
            <w:r>
              <w:rPr>
                <w:rFonts w:ascii="Arial" w:cs="Arial" w:eastAsia="Arial" w:hAnsi="Arial"/>
                <w:sz w:val="16"/>
                <w:szCs w:val="16"/>
                <w:color w:val="auto"/>
                <w:w w:val="83"/>
              </w:rPr>
              <w:t>25th percentile</w:t>
            </w:r>
          </w:p>
        </w:tc>
        <w:tc>
          <w:tcPr>
            <w:tcW w:w="1780" w:type="dxa"/>
            <w:vAlign w:val="bottom"/>
            <w:tcBorders>
              <w:bottom w:val="single" w:sz="8" w:color="auto"/>
              <w:right w:val="single" w:sz="8" w:color="auto"/>
            </w:tcBorders>
          </w:tcPr>
          <w:p>
            <w:pPr>
              <w:jc w:val="center"/>
              <w:ind w:right="61"/>
              <w:spacing w:after="0"/>
              <w:rPr>
                <w:sz w:val="20"/>
                <w:szCs w:val="20"/>
                <w:color w:val="auto"/>
              </w:rPr>
            </w:pPr>
            <w:r>
              <w:rPr>
                <w:rFonts w:ascii="Arial" w:cs="Arial" w:eastAsia="Arial" w:hAnsi="Arial"/>
                <w:sz w:val="16"/>
                <w:szCs w:val="16"/>
                <w:color w:val="auto"/>
                <w:w w:val="87"/>
              </w:rPr>
              <w:t>25%</w:t>
            </w:r>
          </w:p>
        </w:tc>
      </w:tr>
      <w:tr>
        <w:trPr>
          <w:trHeight w:val="186"/>
        </w:trPr>
        <w:tc>
          <w:tcPr>
            <w:tcW w:w="306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6"/>
                <w:szCs w:val="16"/>
                <w:b w:val="1"/>
                <w:bCs w:val="1"/>
                <w:i w:val="1"/>
                <w:iCs w:val="1"/>
                <w:color w:val="auto"/>
              </w:rPr>
              <w:t>Below Threshold</w:t>
            </w:r>
          </w:p>
        </w:tc>
        <w:tc>
          <w:tcPr>
            <w:tcW w:w="1360" w:type="dxa"/>
            <w:vAlign w:val="bottom"/>
            <w:tcBorders>
              <w:bottom w:val="single" w:sz="8" w:color="auto"/>
            </w:tcBorders>
          </w:tcPr>
          <w:p>
            <w:pPr>
              <w:spacing w:after="0"/>
              <w:rPr>
                <w:sz w:val="16"/>
                <w:szCs w:val="16"/>
                <w:color w:val="auto"/>
              </w:rPr>
            </w:pPr>
          </w:p>
        </w:tc>
        <w:tc>
          <w:tcPr>
            <w:tcW w:w="2920" w:type="dxa"/>
            <w:vAlign w:val="bottom"/>
            <w:tcBorders>
              <w:bottom w:val="single" w:sz="8" w:color="auto"/>
              <w:right w:val="single" w:sz="8" w:color="auto"/>
            </w:tcBorders>
            <w:gridSpan w:val="2"/>
          </w:tcPr>
          <w:p>
            <w:pPr>
              <w:jc w:val="center"/>
              <w:ind w:right="1421"/>
              <w:spacing w:after="0"/>
              <w:rPr>
                <w:sz w:val="20"/>
                <w:szCs w:val="20"/>
                <w:color w:val="auto"/>
              </w:rPr>
            </w:pPr>
            <w:r>
              <w:rPr>
                <w:rFonts w:ascii="Arial" w:cs="Arial" w:eastAsia="Arial" w:hAnsi="Arial"/>
                <w:sz w:val="16"/>
                <w:szCs w:val="16"/>
                <w:color w:val="auto"/>
                <w:w w:val="90"/>
              </w:rPr>
              <w:t>Below 25th percentile</w:t>
            </w:r>
          </w:p>
        </w:tc>
        <w:tc>
          <w:tcPr>
            <w:tcW w:w="1780" w:type="dxa"/>
            <w:vAlign w:val="bottom"/>
            <w:tcBorders>
              <w:bottom w:val="single" w:sz="8" w:color="auto"/>
              <w:right w:val="single" w:sz="8" w:color="auto"/>
            </w:tcBorders>
          </w:tcPr>
          <w:p>
            <w:pPr>
              <w:jc w:val="center"/>
              <w:ind w:right="61"/>
              <w:spacing w:after="0"/>
              <w:rPr>
                <w:sz w:val="20"/>
                <w:szCs w:val="20"/>
                <w:color w:val="auto"/>
              </w:rPr>
            </w:pPr>
            <w:r>
              <w:rPr>
                <w:rFonts w:ascii="Arial" w:cs="Arial" w:eastAsia="Arial" w:hAnsi="Arial"/>
                <w:sz w:val="16"/>
                <w:szCs w:val="16"/>
                <w:color w:val="auto"/>
                <w:w w:val="86"/>
              </w:rPr>
              <w:t>0%</w:t>
            </w:r>
          </w:p>
        </w:tc>
      </w:tr>
    </w:tbl>
    <w:p>
      <w:pPr>
        <w:spacing w:after="0" w:line="185"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204" w:lineRule="exact"/>
        <w:rPr>
          <w:sz w:val="20"/>
          <w:szCs w:val="20"/>
          <w:color w:val="auto"/>
        </w:rPr>
      </w:pPr>
    </w:p>
    <w:p>
      <w:pPr>
        <w:ind w:right="280" w:firstLine="316"/>
        <w:spacing w:after="0" w:line="275" w:lineRule="auto"/>
        <w:rPr>
          <w:sz w:val="20"/>
          <w:szCs w:val="20"/>
          <w:color w:val="auto"/>
        </w:rPr>
      </w:pPr>
      <w:r>
        <w:rPr>
          <w:rFonts w:ascii="Arial" w:cs="Arial" w:eastAsia="Arial" w:hAnsi="Arial"/>
          <w:sz w:val="16"/>
          <w:szCs w:val="16"/>
          <w:color w:val="auto"/>
        </w:rPr>
        <w:t>Each RSU represents the right to receive one share of our Class C common stock after the completion of the vesting period. The RSUs granted to the NEOs in 2019 vest ratably, meaning that one-third of the award vests each year on the anniversary of the grant date, over a three-year period.</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Dividend Equivalent Rights</w:t>
      </w:r>
    </w:p>
    <w:p>
      <w:pPr>
        <w:spacing w:after="0" w:line="204" w:lineRule="exact"/>
        <w:rPr>
          <w:sz w:val="20"/>
          <w:szCs w:val="20"/>
          <w:color w:val="auto"/>
        </w:rPr>
      </w:pPr>
    </w:p>
    <w:p>
      <w:pPr>
        <w:ind w:right="140" w:firstLine="316"/>
        <w:spacing w:after="0" w:line="264" w:lineRule="auto"/>
        <w:rPr>
          <w:sz w:val="20"/>
          <w:szCs w:val="20"/>
          <w:color w:val="auto"/>
        </w:rPr>
      </w:pPr>
      <w:r>
        <w:rPr>
          <w:rFonts w:ascii="Arial" w:cs="Arial" w:eastAsia="Arial" w:hAnsi="Arial"/>
          <w:sz w:val="16"/>
          <w:szCs w:val="16"/>
          <w:color w:val="auto"/>
        </w:rPr>
        <w:t>In connection with awards of both RPSUs and RSUs, each NEO also receives DERs, which accrue with respect to the award to which they relate. DERs accrue only to the extent that the shares of Class C common stock underlying each award become vested and deliverable to the NEO. Accrued DERs are paid at the same time such shares are delivered to the NEO. Accordingly, DERs are forfeited if the underlying shares are forfeited.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CLAWBACKS</w:t>
      </w:r>
    </w:p>
    <w:p>
      <w:pPr>
        <w:spacing w:after="0" w:line="208" w:lineRule="exact"/>
        <w:rPr>
          <w:sz w:val="20"/>
          <w:szCs w:val="20"/>
          <w:color w:val="auto"/>
        </w:rPr>
      </w:pPr>
    </w:p>
    <w:p>
      <w:pPr>
        <w:ind w:right="80" w:firstLine="313"/>
        <w:spacing w:after="0" w:line="280" w:lineRule="auto"/>
        <w:rPr>
          <w:sz w:val="20"/>
          <w:szCs w:val="20"/>
          <w:color w:val="auto"/>
        </w:rPr>
      </w:pPr>
      <w:r>
        <w:rPr>
          <w:rFonts w:ascii="Arial" w:cs="Arial" w:eastAsia="Arial" w:hAnsi="Arial"/>
          <w:sz w:val="15"/>
          <w:szCs w:val="15"/>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BENEFITS</w:t>
      </w:r>
    </w:p>
    <w:p>
      <w:pPr>
        <w:spacing w:after="0" w:line="208" w:lineRule="exact"/>
        <w:rPr>
          <w:sz w:val="20"/>
          <w:szCs w:val="20"/>
          <w:color w:val="auto"/>
        </w:rPr>
      </w:pPr>
    </w:p>
    <w:p>
      <w:pPr>
        <w:jc w:val="both"/>
        <w:ind w:right="160" w:firstLine="307"/>
        <w:spacing w:after="0" w:line="289" w:lineRule="auto"/>
        <w:rPr>
          <w:sz w:val="20"/>
          <w:szCs w:val="20"/>
          <w:color w:val="auto"/>
        </w:rPr>
      </w:pPr>
      <w:r>
        <w:rPr>
          <w:rFonts w:ascii="Arial" w:cs="Arial" w:eastAsia="Arial" w:hAnsi="Arial"/>
          <w:sz w:val="15"/>
          <w:szCs w:val="15"/>
          <w:color w:val="auto"/>
        </w:rPr>
        <w:t>All of our NEOs participate in the same retirement, life insurance, health and welfare plans.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SEVERANCE AND CHANGE-IN-CONTROL BENEFITS</w:t>
      </w:r>
    </w:p>
    <w:p>
      <w:pPr>
        <w:spacing w:after="0" w:line="208" w:lineRule="exact"/>
        <w:rPr>
          <w:sz w:val="20"/>
          <w:szCs w:val="20"/>
          <w:color w:val="auto"/>
        </w:rPr>
      </w:pPr>
    </w:p>
    <w:p>
      <w:pPr>
        <w:ind w:right="60" w:firstLine="316"/>
        <w:spacing w:after="0" w:line="258" w:lineRule="auto"/>
        <w:rPr>
          <w:sz w:val="20"/>
          <w:szCs w:val="20"/>
          <w:color w:val="auto"/>
        </w:rPr>
      </w:pPr>
      <w:r>
        <w:rPr>
          <w:rFonts w:ascii="Arial" w:cs="Arial" w:eastAsia="Arial" w:hAnsi="Arial"/>
          <w:sz w:val="16"/>
          <w:szCs w:val="16"/>
          <w:color w:val="auto"/>
        </w:rPr>
        <w:t>Each NEO's RPSU and RSU award agreements under the LTIP provide for special treatment in the event of such NEO's termination of employment under certain circumstances, including in connection with a change-in-control. Additionally, Mr. Sotos, pursuant to his employment agreement, and the remaining NEOs, pursuant to the Company's Executive Change-in-Control and General Severance Plan for Tier IA and Tier IIA Executives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177" w:lineRule="exact"/>
        <w:rPr>
          <w:sz w:val="20"/>
          <w:szCs w:val="20"/>
          <w:color w:val="auto"/>
        </w:rPr>
      </w:pPr>
    </w:p>
    <w:p>
      <w:pPr>
        <w:ind w:right="100" w:firstLine="316"/>
        <w:spacing w:after="0" w:line="283" w:lineRule="auto"/>
        <w:rPr>
          <w:sz w:val="20"/>
          <w:szCs w:val="20"/>
          <w:color w:val="auto"/>
        </w:rPr>
      </w:pPr>
      <w:r>
        <w:rPr>
          <w:rFonts w:ascii="Arial" w:cs="Arial" w:eastAsia="Arial" w:hAnsi="Arial"/>
          <w:sz w:val="15"/>
          <w:szCs w:val="15"/>
          <w:color w:val="auto"/>
        </w:rPr>
        <w:t>Change-in-control arrangements are considered a market practice among many publicly-held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w:t>
      </w:r>
    </w:p>
    <w:p>
      <w:pPr>
        <w:spacing w:after="0" w:line="158" w:lineRule="exact"/>
        <w:rPr>
          <w:sz w:val="20"/>
          <w:szCs w:val="20"/>
          <w:color w:val="auto"/>
        </w:rPr>
      </w:pPr>
    </w:p>
    <w:p>
      <w:pPr>
        <w:ind w:right="640" w:firstLine="316"/>
        <w:spacing w:after="0" w:line="275" w:lineRule="auto"/>
        <w:rPr>
          <w:sz w:val="20"/>
          <w:szCs w:val="20"/>
          <w:color w:val="auto"/>
        </w:rPr>
      </w:pPr>
      <w:r>
        <w:rPr>
          <w:rFonts w:ascii="Arial" w:cs="Arial" w:eastAsia="Arial" w:hAnsi="Arial"/>
          <w:sz w:val="16"/>
          <w:szCs w:val="16"/>
          <w:color w:val="auto"/>
        </w:rPr>
        <w:t>For a more detailed discussion, including the quantification of potential payments, please see the section entitled "Severance and Change-in-Control" following the executive compensation tables below.</w:t>
      </w: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OTHER MATTERS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GUIDELINES</w:t>
      </w:r>
    </w:p>
    <w:p>
      <w:pPr>
        <w:spacing w:after="0" w:line="208" w:lineRule="exact"/>
        <w:rPr>
          <w:sz w:val="20"/>
          <w:szCs w:val="20"/>
          <w:color w:val="auto"/>
        </w:rPr>
      </w:pPr>
    </w:p>
    <w:p>
      <w:pPr>
        <w:ind w:right="40" w:firstLine="313"/>
        <w:spacing w:after="0" w:line="297" w:lineRule="auto"/>
        <w:rPr>
          <w:sz w:val="20"/>
          <w:szCs w:val="20"/>
          <w:color w:val="auto"/>
        </w:rPr>
      </w:pPr>
      <w:r>
        <w:rPr>
          <w:rFonts w:ascii="Arial" w:cs="Arial" w:eastAsia="Arial" w:hAnsi="Arial"/>
          <w:sz w:val="14"/>
          <w:szCs w:val="14"/>
          <w:color w:val="auto"/>
        </w:rPr>
        <w:t>The Compensation Committee and the Board require the CEO to hold Company stock with a value equal to 4.0 times his base salary until his separation from the Company. Senior Vice Presidents are required to hold Company stock with a value equal to 2.0 times their base salary until their separation from the Company. The Chief Accounting Officer is required to hold Company stock with a value of 1.5 times her base salary until her separation from the Company. Personal holdings and vested awards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4, 2020 is shown below. Mr. Sotos and Mr. Plotkin became subject to the stock ownership guidelines upon becoming NEOs in 2016. In addition, Mr. Malcarney and Ms. Stillwell became subject to the stock ownership guidelines upon becoming NEOs in 2018. All of our NEOs met or exceeded their stock ownership guidelines as of March 4,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Target Ownership</w:t>
            </w:r>
          </w:p>
        </w:tc>
        <w:tc>
          <w:tcPr>
            <w:tcW w:w="2940" w:type="dxa"/>
            <w:vAlign w:val="bottom"/>
            <w:gridSpan w:val="3"/>
          </w:tcPr>
          <w:p>
            <w:pPr>
              <w:ind w:left="80"/>
              <w:spacing w:after="0"/>
              <w:rPr>
                <w:sz w:val="20"/>
                <w:szCs w:val="20"/>
                <w:color w:val="auto"/>
              </w:rPr>
            </w:pPr>
            <w:r>
              <w:rPr>
                <w:rFonts w:ascii="Arial" w:cs="Arial" w:eastAsia="Arial" w:hAnsi="Arial"/>
                <w:sz w:val="12"/>
                <w:szCs w:val="12"/>
                <w:b w:val="1"/>
                <w:bCs w:val="1"/>
                <w:color w:val="auto"/>
              </w:rPr>
              <w:t>Actual Ownership</w:t>
            </w:r>
          </w:p>
        </w:tc>
      </w:tr>
      <w:tr>
        <w:trPr>
          <w:trHeight w:val="146"/>
        </w:trPr>
        <w:tc>
          <w:tcPr>
            <w:tcW w:w="1680" w:type="dxa"/>
            <w:vAlign w:val="bottom"/>
          </w:tcPr>
          <w:p>
            <w:pPr>
              <w:spacing w:after="0"/>
              <w:rPr>
                <w:sz w:val="12"/>
                <w:szCs w:val="12"/>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0"/>
              </w:rPr>
              <w:t>Named Executive Officer</w:t>
            </w:r>
          </w:p>
        </w:tc>
        <w:tc>
          <w:tcPr>
            <w:tcW w:w="1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Multiple</w:t>
            </w:r>
          </w:p>
        </w:tc>
        <w:tc>
          <w:tcPr>
            <w:tcW w:w="160" w:type="dxa"/>
            <w:vAlign w:val="bottom"/>
          </w:tcPr>
          <w:p>
            <w:pPr>
              <w:spacing w:after="0"/>
              <w:rPr>
                <w:sz w:val="12"/>
                <w:szCs w:val="12"/>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Multiple</w:t>
            </w:r>
          </w:p>
        </w:tc>
        <w:tc>
          <w:tcPr>
            <w:tcW w:w="1860" w:type="dxa"/>
            <w:vAlign w:val="bottom"/>
            <w:gridSpan w:val="2"/>
          </w:tcPr>
          <w:p>
            <w:pPr>
              <w:spacing w:after="0"/>
              <w:rPr>
                <w:sz w:val="12"/>
                <w:szCs w:val="12"/>
                <w:color w:val="auto"/>
              </w:rPr>
            </w:pPr>
          </w:p>
        </w:tc>
      </w:tr>
      <w:tr>
        <w:trPr>
          <w:trHeight w:val="186"/>
        </w:trPr>
        <w:tc>
          <w:tcPr>
            <w:tcW w:w="1680" w:type="dxa"/>
            <w:vAlign w:val="bottom"/>
          </w:tcPr>
          <w:p>
            <w:pPr>
              <w:spacing w:after="0"/>
              <w:rPr>
                <w:sz w:val="16"/>
                <w:szCs w:val="16"/>
                <w:color w:val="auto"/>
              </w:rPr>
            </w:pP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Christopher S. Sotos</w:t>
            </w:r>
          </w:p>
        </w:tc>
        <w:tc>
          <w:tcPr>
            <w:tcW w:w="28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4.0x</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8.6x</w:t>
            </w:r>
          </w:p>
        </w:tc>
        <w:tc>
          <w:tcPr>
            <w:tcW w:w="1700" w:type="dxa"/>
            <w:vAlign w:val="bottom"/>
          </w:tcPr>
          <w:p>
            <w:pPr>
              <w:spacing w:after="0"/>
              <w:rPr>
                <w:sz w:val="16"/>
                <w:szCs w:val="16"/>
                <w:color w:val="auto"/>
              </w:rPr>
            </w:pPr>
          </w:p>
        </w:tc>
      </w:tr>
      <w:tr>
        <w:trPr>
          <w:trHeight w:val="194"/>
        </w:trPr>
        <w:tc>
          <w:tcPr>
            <w:tcW w:w="1680" w:type="dxa"/>
            <w:vAlign w:val="bottom"/>
          </w:tcPr>
          <w:p>
            <w:pPr>
              <w:spacing w:after="0"/>
              <w:rPr>
                <w:sz w:val="16"/>
                <w:szCs w:val="16"/>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Chad Plotkin</w:t>
            </w:r>
          </w:p>
        </w:tc>
        <w:tc>
          <w:tcPr>
            <w:tcW w:w="2800" w:type="dxa"/>
            <w:vAlign w:val="bottom"/>
          </w:tcPr>
          <w:p>
            <w:pPr>
              <w:spacing w:after="0"/>
              <w:rPr>
                <w:sz w:val="16"/>
                <w:szCs w:val="16"/>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2.0x</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3.4x</w:t>
            </w:r>
          </w:p>
        </w:tc>
        <w:tc>
          <w:tcPr>
            <w:tcW w:w="1700" w:type="dxa"/>
            <w:vAlign w:val="bottom"/>
          </w:tcPr>
          <w:p>
            <w:pPr>
              <w:spacing w:after="0"/>
              <w:rPr>
                <w:sz w:val="16"/>
                <w:szCs w:val="16"/>
                <w:color w:val="auto"/>
              </w:rPr>
            </w:pPr>
          </w:p>
        </w:tc>
      </w:tr>
      <w:tr>
        <w:trPr>
          <w:trHeight w:val="194"/>
        </w:trPr>
        <w:tc>
          <w:tcPr>
            <w:tcW w:w="1680" w:type="dxa"/>
            <w:vAlign w:val="bottom"/>
          </w:tcPr>
          <w:p>
            <w:pPr>
              <w:spacing w:after="0"/>
              <w:rPr>
                <w:sz w:val="16"/>
                <w:szCs w:val="16"/>
                <w:color w:val="auto"/>
              </w:rPr>
            </w:pP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Kevin P. Malcarney</w:t>
            </w:r>
          </w:p>
        </w:tc>
        <w:tc>
          <w:tcPr>
            <w:tcW w:w="28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2.0x</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3.2x</w:t>
            </w:r>
          </w:p>
        </w:tc>
        <w:tc>
          <w:tcPr>
            <w:tcW w:w="1700" w:type="dxa"/>
            <w:vAlign w:val="bottom"/>
          </w:tcPr>
          <w:p>
            <w:pPr>
              <w:spacing w:after="0"/>
              <w:rPr>
                <w:sz w:val="16"/>
                <w:szCs w:val="16"/>
                <w:color w:val="auto"/>
              </w:rPr>
            </w:pPr>
          </w:p>
        </w:tc>
      </w:tr>
      <w:tr>
        <w:trPr>
          <w:trHeight w:val="201"/>
        </w:trPr>
        <w:tc>
          <w:tcPr>
            <w:tcW w:w="1680" w:type="dxa"/>
            <w:vAlign w:val="bottom"/>
          </w:tcPr>
          <w:p>
            <w:pPr>
              <w:spacing w:after="0"/>
              <w:rPr>
                <w:sz w:val="17"/>
                <w:szCs w:val="17"/>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Mary-Lee Stillwell</w:t>
            </w:r>
          </w:p>
        </w:tc>
        <w:tc>
          <w:tcPr>
            <w:tcW w:w="2800" w:type="dxa"/>
            <w:vAlign w:val="bottom"/>
          </w:tcPr>
          <w:p>
            <w:pPr>
              <w:spacing w:after="0"/>
              <w:rPr>
                <w:sz w:val="17"/>
                <w:szCs w:val="17"/>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1.5x</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2.2x</w:t>
            </w:r>
          </w:p>
        </w:tc>
        <w:tc>
          <w:tcPr>
            <w:tcW w:w="1700" w:type="dxa"/>
            <w:vAlign w:val="bottom"/>
          </w:tcPr>
          <w:p>
            <w:pPr>
              <w:spacing w:after="0"/>
              <w:rPr>
                <w:sz w:val="17"/>
                <w:szCs w:val="17"/>
                <w:color w:val="auto"/>
              </w:rPr>
            </w:pPr>
          </w:p>
        </w:tc>
      </w:tr>
      <w:tr>
        <w:trPr>
          <w:trHeight w:val="38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jc w:val="right"/>
              <w:ind w:right="1301"/>
              <w:spacing w:after="0"/>
              <w:rPr>
                <w:sz w:val="20"/>
                <w:szCs w:val="20"/>
                <w:color w:val="auto"/>
              </w:rPr>
            </w:pPr>
            <w:r>
              <w:rPr>
                <w:rFonts w:ascii="Arial" w:cs="Arial" w:eastAsia="Arial" w:hAnsi="Arial"/>
                <w:sz w:val="16"/>
                <w:szCs w:val="16"/>
                <w:color w:val="auto"/>
              </w:rPr>
              <w:t>54</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5"/>
        </w:trPr>
        <w:tc>
          <w:tcPr>
            <w:tcW w:w="1680" w:type="dxa"/>
            <w:vAlign w:val="bottom"/>
            <w:tcBorders>
              <w:bottom w:val="single" w:sz="8" w:color="808080"/>
            </w:tcBorders>
          </w:tcPr>
          <w:p>
            <w:pPr>
              <w:spacing w:after="0"/>
              <w:rPr>
                <w:sz w:val="17"/>
                <w:szCs w:val="17"/>
                <w:color w:val="auto"/>
              </w:rPr>
            </w:pPr>
          </w:p>
        </w:tc>
        <w:tc>
          <w:tcPr>
            <w:tcW w:w="132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280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AND ACCOUNTING CONSIDERATIONS</w:t>
      </w:r>
    </w:p>
    <w:p>
      <w:pPr>
        <w:spacing w:after="0" w:line="208" w:lineRule="exact"/>
        <w:rPr>
          <w:sz w:val="20"/>
          <w:szCs w:val="20"/>
          <w:color w:val="auto"/>
        </w:rPr>
      </w:pPr>
    </w:p>
    <w:p>
      <w:pPr>
        <w:ind w:right="20" w:firstLine="316"/>
        <w:spacing w:after="0" w:line="275" w:lineRule="auto"/>
        <w:rPr>
          <w:sz w:val="20"/>
          <w:szCs w:val="20"/>
          <w:color w:val="auto"/>
        </w:rPr>
      </w:pPr>
      <w:r>
        <w:rPr>
          <w:rFonts w:ascii="Arial" w:cs="Arial" w:eastAsia="Arial" w:hAnsi="Arial"/>
          <w:sz w:val="15"/>
          <w:szCs w:val="15"/>
          <w:color w:val="auto"/>
        </w:rPr>
        <w:t>Section 162(m) of the Internal Revenue Code (the "Code") precludes us,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new exemptions for performance-based compensation that is "grandfathered" for purposes of amended Section 162(m). The Compensation Committee believes tax deductibility of compensation is an important consideration and continues to consider the implications of legislative changes to Section 162(m) and the possible effect of exemptions for grandfathered compensation.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67" w:lineRule="exact"/>
        <w:rPr>
          <w:sz w:val="20"/>
          <w:szCs w:val="20"/>
          <w:color w:val="auto"/>
        </w:rPr>
      </w:pPr>
    </w:p>
    <w:p>
      <w:pPr>
        <w:ind w:firstLine="313"/>
        <w:spacing w:after="0" w:line="260" w:lineRule="auto"/>
        <w:rPr>
          <w:sz w:val="20"/>
          <w:szCs w:val="20"/>
          <w:color w:val="auto"/>
        </w:rPr>
      </w:pPr>
      <w:r>
        <w:rPr>
          <w:rFonts w:ascii="Arial" w:cs="Arial" w:eastAsia="Arial" w:hAnsi="Arial"/>
          <w:sz w:val="16"/>
          <w:szCs w:val="16"/>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ind w:left="3"/>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42"/>
        <w:spacing w:after="0"/>
        <w:rPr>
          <w:sz w:val="20"/>
          <w:szCs w:val="20"/>
          <w:color w:val="auto"/>
        </w:rPr>
      </w:pPr>
      <w:r>
        <w:rPr>
          <w:rFonts w:ascii="Arial" w:cs="Arial" w:eastAsia="Arial" w:hAnsi="Arial"/>
          <w:sz w:val="16"/>
          <w:szCs w:val="16"/>
          <w:b w:val="1"/>
          <w:bCs w:val="1"/>
          <w:color w:val="auto"/>
        </w:rPr>
        <w:t>COMPENSATION TABLES</w:t>
      </w:r>
    </w:p>
    <w:p>
      <w:pPr>
        <w:spacing w:after="0" w:line="204" w:lineRule="exact"/>
        <w:rPr>
          <w:sz w:val="20"/>
          <w:szCs w:val="20"/>
          <w:color w:val="auto"/>
        </w:rPr>
      </w:pPr>
    </w:p>
    <w:p>
      <w:pPr>
        <w:ind w:left="4583"/>
        <w:spacing w:after="0"/>
        <w:rPr>
          <w:sz w:val="20"/>
          <w:szCs w:val="20"/>
          <w:color w:val="auto"/>
        </w:rPr>
      </w:pPr>
      <w:r>
        <w:rPr>
          <w:rFonts w:ascii="Arial" w:cs="Arial" w:eastAsia="Arial" w:hAnsi="Arial"/>
          <w:sz w:val="16"/>
          <w:szCs w:val="16"/>
          <w:b w:val="1"/>
          <w:bCs w:val="1"/>
          <w:color w:val="auto"/>
        </w:rPr>
        <w:t>Summary Compensation Table</w:t>
      </w:r>
    </w:p>
    <w:p>
      <w:pPr>
        <w:spacing w:after="0" w:line="21" w:lineRule="exact"/>
        <w:rPr>
          <w:sz w:val="20"/>
          <w:szCs w:val="20"/>
          <w:color w:val="auto"/>
        </w:rPr>
      </w:pPr>
    </w:p>
    <w:p>
      <w:pPr>
        <w:ind w:left="4343"/>
        <w:spacing w:after="0"/>
        <w:rPr>
          <w:sz w:val="20"/>
          <w:szCs w:val="20"/>
          <w:color w:val="auto"/>
        </w:rPr>
      </w:pPr>
      <w:r>
        <w:rPr>
          <w:rFonts w:ascii="Arial" w:cs="Arial" w:eastAsia="Arial" w:hAnsi="Arial"/>
          <w:sz w:val="16"/>
          <w:szCs w:val="16"/>
          <w:b w:val="1"/>
          <w:bCs w:val="1"/>
          <w:color w:val="auto"/>
        </w:rPr>
        <w:t>Fiscal Year Ended December 31, 2019</w:t>
      </w:r>
    </w:p>
    <w:p>
      <w:pPr>
        <w:spacing w:after="0" w:line="190" w:lineRule="exact"/>
        <w:rPr>
          <w:sz w:val="20"/>
          <w:szCs w:val="20"/>
          <w:color w:val="auto"/>
        </w:rPr>
      </w:pPr>
    </w:p>
    <w:tbl>
      <w:tblPr>
        <w:tblLayout w:type="fixed"/>
        <w:tblInd w:w="1123"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9"/>
              </w:rPr>
              <w:t>Change in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5"/>
              </w:rPr>
              <w:t>Pension</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1"/>
              </w:rPr>
              <w:t>Value and</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Non-Equity</w:t>
            </w:r>
          </w:p>
        </w:tc>
        <w:tc>
          <w:tcPr>
            <w:tcW w:w="14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Nonqualified</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Deferred</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1"/>
                <w:szCs w:val="11"/>
                <w:color w:val="auto"/>
              </w:rPr>
            </w:pPr>
          </w:p>
        </w:tc>
        <w:tc>
          <w:tcPr>
            <w:tcW w:w="5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Option</w:t>
            </w:r>
          </w:p>
        </w:tc>
        <w:tc>
          <w:tcPr>
            <w:tcW w:w="14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1"/>
              </w:rPr>
              <w:t>Incentive Plan</w:t>
            </w:r>
          </w:p>
        </w:tc>
        <w:tc>
          <w:tcPr>
            <w:tcW w:w="14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1"/>
              </w:rPr>
              <w:t>Compensation</w:t>
            </w:r>
          </w:p>
        </w:tc>
        <w:tc>
          <w:tcPr>
            <w:tcW w:w="16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All 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39"/>
              <w:spacing w:after="0" w:line="134" w:lineRule="exact"/>
              <w:rPr>
                <w:sz w:val="20"/>
                <w:szCs w:val="20"/>
                <w:color w:val="auto"/>
              </w:rPr>
            </w:pPr>
            <w:r>
              <w:rPr>
                <w:rFonts w:ascii="Arial" w:cs="Arial" w:eastAsia="Arial" w:hAnsi="Arial"/>
                <w:sz w:val="12"/>
                <w:szCs w:val="12"/>
                <w:b w:val="1"/>
                <w:bCs w:val="1"/>
                <w:color w:val="auto"/>
              </w:rPr>
              <w:t>Salary</w:t>
            </w:r>
          </w:p>
        </w:tc>
        <w:tc>
          <w:tcPr>
            <w:tcW w:w="140" w:type="dxa"/>
            <w:vAlign w:val="bottom"/>
          </w:tcPr>
          <w:p>
            <w:pPr>
              <w:spacing w:after="0"/>
              <w:rPr>
                <w:sz w:val="11"/>
                <w:szCs w:val="11"/>
                <w:color w:val="auto"/>
              </w:rPr>
            </w:pPr>
          </w:p>
        </w:tc>
        <w:tc>
          <w:tcPr>
            <w:tcW w:w="4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5"/>
              </w:rPr>
              <w:t>Bonus</w:t>
            </w: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Awards</w:t>
            </w:r>
          </w:p>
        </w:tc>
        <w:tc>
          <w:tcPr>
            <w:tcW w:w="140" w:type="dxa"/>
            <w:vAlign w:val="bottom"/>
          </w:tcPr>
          <w:p>
            <w:pPr>
              <w:spacing w:after="0"/>
              <w:rPr>
                <w:sz w:val="11"/>
                <w:szCs w:val="11"/>
                <w:color w:val="auto"/>
              </w:rPr>
            </w:pPr>
          </w:p>
        </w:tc>
        <w:tc>
          <w:tcPr>
            <w:tcW w:w="5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Awards</w:t>
            </w:r>
          </w:p>
        </w:tc>
        <w:tc>
          <w:tcPr>
            <w:tcW w:w="14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Earnings</w:t>
            </w:r>
          </w:p>
        </w:tc>
        <w:tc>
          <w:tcPr>
            <w:tcW w:w="16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Compensation</w:t>
            </w:r>
          </w:p>
        </w:tc>
        <w:tc>
          <w:tcPr>
            <w:tcW w:w="140" w:type="dxa"/>
            <w:vAlign w:val="bottom"/>
          </w:tcPr>
          <w:p>
            <w:pPr>
              <w:spacing w:after="0"/>
              <w:rPr>
                <w:sz w:val="11"/>
                <w:szCs w:val="11"/>
                <w:color w:val="auto"/>
              </w:rPr>
            </w:pPr>
          </w:p>
        </w:tc>
        <w:tc>
          <w:tcPr>
            <w:tcW w:w="780" w:type="dxa"/>
            <w:vAlign w:val="bottom"/>
            <w:gridSpan w:val="2"/>
          </w:tcPr>
          <w:p>
            <w:pPr>
              <w:jc w:val="right"/>
              <w:ind w:right="340"/>
              <w:spacing w:after="0" w:line="134"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8"/>
        </w:trPr>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Year</w:t>
            </w:r>
          </w:p>
        </w:tc>
        <w:tc>
          <w:tcPr>
            <w:tcW w:w="680" w:type="dxa"/>
            <w:vAlign w:val="bottom"/>
            <w:gridSpan w:val="2"/>
          </w:tcPr>
          <w:p>
            <w:pPr>
              <w:jc w:val="right"/>
              <w:ind w:right="79"/>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(1)</w:t>
            </w:r>
          </w:p>
        </w:tc>
        <w:tc>
          <w:tcPr>
            <w:tcW w:w="600" w:type="dxa"/>
            <w:vAlign w:val="bottom"/>
            <w:gridSpan w:val="2"/>
          </w:tcPr>
          <w:p>
            <w:pPr>
              <w:jc w:val="right"/>
              <w:ind w:right="99"/>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center"/>
              <w:ind w:left="81"/>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(2)</w:t>
            </w:r>
          </w:p>
        </w:tc>
        <w:tc>
          <w:tcPr>
            <w:tcW w:w="660" w:type="dxa"/>
            <w:vAlign w:val="bottom"/>
            <w:gridSpan w:val="2"/>
          </w:tcPr>
          <w:p>
            <w:pPr>
              <w:jc w:val="center"/>
              <w:ind w:left="59"/>
              <w:spacing w:after="0"/>
              <w:rPr>
                <w:sz w:val="20"/>
                <w:szCs w:val="20"/>
                <w:color w:val="auto"/>
              </w:rPr>
            </w:pPr>
            <w:r>
              <w:rPr>
                <w:rFonts w:ascii="Arial" w:cs="Arial" w:eastAsia="Arial" w:hAnsi="Arial"/>
                <w:sz w:val="12"/>
                <w:szCs w:val="12"/>
                <w:b w:val="1"/>
                <w:bCs w:val="1"/>
                <w:color w:val="auto"/>
                <w:w w:val="95"/>
              </w:rPr>
              <w:t>($)</w:t>
            </w:r>
          </w:p>
        </w:tc>
        <w:tc>
          <w:tcPr>
            <w:tcW w:w="1040" w:type="dxa"/>
            <w:vAlign w:val="bottom"/>
            <w:gridSpan w:val="2"/>
          </w:tcPr>
          <w:p>
            <w:pPr>
              <w:jc w:val="center"/>
              <w:ind w:left="81"/>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(3)</w:t>
            </w:r>
          </w:p>
        </w:tc>
        <w:tc>
          <w:tcPr>
            <w:tcW w:w="1020" w:type="dxa"/>
            <w:vAlign w:val="bottom"/>
            <w:gridSpan w:val="2"/>
          </w:tcPr>
          <w:p>
            <w:pPr>
              <w:jc w:val="center"/>
              <w:ind w:left="99"/>
              <w:spacing w:after="0"/>
              <w:rPr>
                <w:sz w:val="20"/>
                <w:szCs w:val="20"/>
                <w:color w:val="auto"/>
              </w:rPr>
            </w:pPr>
            <w:r>
              <w:rPr>
                <w:rFonts w:ascii="Arial" w:cs="Arial" w:eastAsia="Arial" w:hAnsi="Arial"/>
                <w:sz w:val="12"/>
                <w:szCs w:val="12"/>
                <w:b w:val="1"/>
                <w:bCs w:val="1"/>
                <w:color w:val="auto"/>
                <w:w w:val="95"/>
              </w:rPr>
              <w:t>($)</w:t>
            </w:r>
          </w:p>
        </w:tc>
        <w:tc>
          <w:tcPr>
            <w:tcW w:w="1040" w:type="dxa"/>
            <w:vAlign w:val="bottom"/>
            <w:gridSpan w:val="2"/>
          </w:tcPr>
          <w:p>
            <w:pPr>
              <w:jc w:val="center"/>
              <w:ind w:left="81"/>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(4)</w:t>
            </w:r>
          </w:p>
        </w:tc>
        <w:tc>
          <w:tcPr>
            <w:tcW w:w="760" w:type="dxa"/>
            <w:vAlign w:val="bottom"/>
            <w:gridSpan w:val="2"/>
          </w:tcPr>
          <w:p>
            <w:pPr>
              <w:jc w:val="right"/>
              <w:ind w:right="17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6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Christopher S. Sotos</w:t>
            </w:r>
          </w:p>
        </w:tc>
        <w:tc>
          <w:tcPr>
            <w:tcW w:w="400" w:type="dxa"/>
            <w:vAlign w:val="bottom"/>
            <w:gridSpan w:val="2"/>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2019</w:t>
            </w:r>
          </w:p>
        </w:tc>
        <w:tc>
          <w:tcPr>
            <w:tcW w:w="16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606,304</w:t>
            </w:r>
          </w:p>
        </w:tc>
        <w:tc>
          <w:tcPr>
            <w:tcW w:w="14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26" w:lineRule="exact"/>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1,527,522</w:t>
            </w:r>
          </w:p>
        </w:tc>
        <w:tc>
          <w:tcPr>
            <w:tcW w:w="1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80"/>
              <w:spacing w:after="0" w:line="126" w:lineRule="exact"/>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906,235</w:t>
            </w:r>
          </w:p>
        </w:tc>
        <w:tc>
          <w:tcPr>
            <w:tcW w:w="140" w:type="dxa"/>
            <w:vAlign w:val="bottom"/>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ind w:left="760"/>
              <w:spacing w:after="0" w:line="126"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14,882</w:t>
            </w:r>
          </w:p>
        </w:tc>
        <w:tc>
          <w:tcPr>
            <w:tcW w:w="1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3,054,942</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President and Chief</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2018</w:t>
            </w:r>
          </w:p>
        </w:tc>
        <w:tc>
          <w:tcPr>
            <w:tcW w:w="6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500,000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line="134" w:lineRule="exact"/>
              <w:rPr>
                <w:sz w:val="20"/>
                <w:szCs w:val="20"/>
                <w:color w:val="auto"/>
              </w:rPr>
            </w:pPr>
            <w:r>
              <w:rPr>
                <w:rFonts w:ascii="Arial" w:cs="Arial" w:eastAsia="Arial" w:hAnsi="Arial"/>
                <w:sz w:val="12"/>
                <w:szCs w:val="12"/>
                <w:color w:val="auto"/>
                <w:w w:val="99"/>
              </w:rPr>
              <w:t>—</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1,250,021</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w w:val="99"/>
              </w:rPr>
              <w:t>—</w:t>
            </w:r>
          </w:p>
        </w:tc>
        <w:tc>
          <w:tcPr>
            <w:tcW w:w="10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626,809</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ind w:left="760"/>
              <w:spacing w:after="0" w:line="134" w:lineRule="exact"/>
              <w:rPr>
                <w:sz w:val="20"/>
                <w:szCs w:val="20"/>
                <w:color w:val="auto"/>
              </w:rPr>
            </w:pPr>
            <w:r>
              <w:rPr>
                <w:rFonts w:ascii="Arial" w:cs="Arial" w:eastAsia="Arial" w:hAnsi="Arial"/>
                <w:sz w:val="12"/>
                <w:szCs w:val="12"/>
                <w:color w:val="auto"/>
                <w:w w:val="82"/>
              </w:rPr>
              <w:t>—</w:t>
            </w:r>
          </w:p>
        </w:tc>
        <w:tc>
          <w:tcPr>
            <w:tcW w:w="10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21,350</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2,398,180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Executive Officer</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2017</w:t>
            </w:r>
          </w:p>
        </w:tc>
        <w:tc>
          <w:tcPr>
            <w:tcW w:w="6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500,000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line="134" w:lineRule="exact"/>
              <w:rPr>
                <w:sz w:val="20"/>
                <w:szCs w:val="20"/>
                <w:color w:val="auto"/>
              </w:rPr>
            </w:pPr>
            <w:r>
              <w:rPr>
                <w:rFonts w:ascii="Arial" w:cs="Arial" w:eastAsia="Arial" w:hAnsi="Arial"/>
                <w:sz w:val="12"/>
                <w:szCs w:val="12"/>
                <w:color w:val="auto"/>
                <w:w w:val="99"/>
              </w:rPr>
              <w:t>—</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1,250,008</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w w:val="99"/>
              </w:rPr>
              <w:t>—</w:t>
            </w:r>
          </w:p>
        </w:tc>
        <w:tc>
          <w:tcPr>
            <w:tcW w:w="10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685,000</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ind w:left="760"/>
              <w:spacing w:after="0" w:line="134" w:lineRule="exact"/>
              <w:rPr>
                <w:sz w:val="20"/>
                <w:szCs w:val="20"/>
                <w:color w:val="auto"/>
              </w:rPr>
            </w:pPr>
            <w:r>
              <w:rPr>
                <w:rFonts w:ascii="Arial" w:cs="Arial" w:eastAsia="Arial" w:hAnsi="Arial"/>
                <w:sz w:val="12"/>
                <w:szCs w:val="12"/>
                <w:color w:val="auto"/>
                <w:w w:val="82"/>
              </w:rPr>
              <w:t>—</w:t>
            </w:r>
          </w:p>
        </w:tc>
        <w:tc>
          <w:tcPr>
            <w:tcW w:w="10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22,750</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2,457,758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86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Chad Plotkin</w:t>
            </w:r>
          </w:p>
        </w:tc>
        <w:tc>
          <w:tcPr>
            <w:tcW w:w="160" w:type="dxa"/>
            <w:vAlign w:val="bottom"/>
          </w:tcPr>
          <w:p>
            <w:pPr>
              <w:spacing w:after="0"/>
              <w:rPr>
                <w:sz w:val="10"/>
                <w:szCs w:val="10"/>
                <w:color w:val="auto"/>
              </w:rPr>
            </w:pPr>
          </w:p>
        </w:tc>
        <w:tc>
          <w:tcPr>
            <w:tcW w:w="360" w:type="dxa"/>
            <w:vAlign w:val="bottom"/>
          </w:tcPr>
          <w:p>
            <w:pPr>
              <w:jc w:val="right"/>
              <w:spacing w:after="0" w:line="125" w:lineRule="exact"/>
              <w:rPr>
                <w:sz w:val="20"/>
                <w:szCs w:val="20"/>
                <w:color w:val="auto"/>
              </w:rPr>
            </w:pPr>
            <w:r>
              <w:rPr>
                <w:rFonts w:ascii="Arial" w:cs="Arial" w:eastAsia="Arial" w:hAnsi="Arial"/>
                <w:sz w:val="12"/>
                <w:szCs w:val="12"/>
                <w:color w:val="auto"/>
              </w:rPr>
              <w:t>2019</w:t>
            </w:r>
          </w:p>
        </w:tc>
        <w:tc>
          <w:tcPr>
            <w:tcW w:w="68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378,731</w:t>
            </w:r>
          </w:p>
        </w:tc>
        <w:tc>
          <w:tcPr>
            <w:tcW w:w="140" w:type="dxa"/>
            <w:vAlign w:val="bottom"/>
          </w:tcPr>
          <w:p>
            <w:pPr>
              <w:spacing w:after="0"/>
              <w:rPr>
                <w:sz w:val="10"/>
                <w:szCs w:val="10"/>
                <w:color w:val="auto"/>
              </w:rPr>
            </w:pPr>
          </w:p>
        </w:tc>
        <w:tc>
          <w:tcPr>
            <w:tcW w:w="460" w:type="dxa"/>
            <w:vAlign w:val="bottom"/>
          </w:tcPr>
          <w:p>
            <w:pPr>
              <w:ind w:left="320"/>
              <w:spacing w:after="0" w:line="125" w:lineRule="exact"/>
              <w:rPr>
                <w:sz w:val="20"/>
                <w:szCs w:val="20"/>
                <w:color w:val="auto"/>
              </w:rPr>
            </w:pPr>
            <w:r>
              <w:rPr>
                <w:rFonts w:ascii="Arial" w:cs="Arial" w:eastAsia="Arial" w:hAnsi="Arial"/>
                <w:sz w:val="12"/>
                <w:szCs w:val="12"/>
                <w:color w:val="auto"/>
                <w:w w:val="99"/>
              </w:rPr>
              <w:t>—</w:t>
            </w:r>
          </w:p>
        </w:tc>
        <w:tc>
          <w:tcPr>
            <w:tcW w:w="76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475,020</w:t>
            </w:r>
          </w:p>
        </w:tc>
        <w:tc>
          <w:tcPr>
            <w:tcW w:w="140" w:type="dxa"/>
            <w:vAlign w:val="bottom"/>
          </w:tcPr>
          <w:p>
            <w:pPr>
              <w:spacing w:after="0"/>
              <w:rPr>
                <w:sz w:val="10"/>
                <w:szCs w:val="10"/>
                <w:color w:val="auto"/>
              </w:rPr>
            </w:pPr>
          </w:p>
        </w:tc>
        <w:tc>
          <w:tcPr>
            <w:tcW w:w="520" w:type="dxa"/>
            <w:vAlign w:val="bottom"/>
          </w:tcPr>
          <w:p>
            <w:pPr>
              <w:ind w:left="380"/>
              <w:spacing w:after="0" w:line="125" w:lineRule="exact"/>
              <w:rPr>
                <w:sz w:val="20"/>
                <w:szCs w:val="20"/>
                <w:color w:val="auto"/>
              </w:rPr>
            </w:pPr>
            <w:r>
              <w:rPr>
                <w:rFonts w:ascii="Arial" w:cs="Arial" w:eastAsia="Arial" w:hAnsi="Arial"/>
                <w:sz w:val="12"/>
                <w:szCs w:val="12"/>
                <w:color w:val="auto"/>
                <w:w w:val="99"/>
              </w:rPr>
              <w:t>—</w:t>
            </w:r>
          </w:p>
        </w:tc>
        <w:tc>
          <w:tcPr>
            <w:tcW w:w="104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338,170</w:t>
            </w:r>
          </w:p>
        </w:tc>
        <w:tc>
          <w:tcPr>
            <w:tcW w:w="140" w:type="dxa"/>
            <w:vAlign w:val="bottom"/>
          </w:tcPr>
          <w:p>
            <w:pPr>
              <w:spacing w:after="0"/>
              <w:rPr>
                <w:sz w:val="10"/>
                <w:szCs w:val="10"/>
                <w:color w:val="auto"/>
              </w:rPr>
            </w:pPr>
          </w:p>
        </w:tc>
        <w:tc>
          <w:tcPr>
            <w:tcW w:w="880" w:type="dxa"/>
            <w:vAlign w:val="bottom"/>
          </w:tcPr>
          <w:p>
            <w:pPr>
              <w:ind w:left="760"/>
              <w:spacing w:after="0" w:line="125" w:lineRule="exact"/>
              <w:rPr>
                <w:sz w:val="20"/>
                <w:szCs w:val="20"/>
                <w:color w:val="auto"/>
              </w:rPr>
            </w:pPr>
            <w:r>
              <w:rPr>
                <w:rFonts w:ascii="Arial" w:cs="Arial" w:eastAsia="Arial" w:hAnsi="Arial"/>
                <w:sz w:val="12"/>
                <w:szCs w:val="12"/>
                <w:color w:val="auto"/>
                <w:w w:val="82"/>
              </w:rPr>
              <w:t>—</w:t>
            </w:r>
          </w:p>
        </w:tc>
        <w:tc>
          <w:tcPr>
            <w:tcW w:w="104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15,200</w:t>
            </w:r>
          </w:p>
        </w:tc>
        <w:tc>
          <w:tcPr>
            <w:tcW w:w="76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1,207,120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gridSpan w:val="3"/>
          </w:tcPr>
          <w:p>
            <w:pPr>
              <w:ind w:left="120"/>
              <w:spacing w:after="0" w:line="134" w:lineRule="exact"/>
              <w:rPr>
                <w:sz w:val="20"/>
                <w:szCs w:val="20"/>
                <w:color w:val="auto"/>
              </w:rPr>
            </w:pPr>
            <w:r>
              <w:rPr>
                <w:rFonts w:ascii="Arial" w:cs="Arial" w:eastAsia="Arial" w:hAnsi="Arial"/>
                <w:sz w:val="12"/>
                <w:szCs w:val="12"/>
                <w:color w:val="auto"/>
              </w:rPr>
              <w:t>Senior Vice President</w:t>
            </w:r>
          </w:p>
        </w:tc>
        <w:tc>
          <w:tcPr>
            <w:tcW w:w="5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2018</w:t>
            </w:r>
          </w:p>
        </w:tc>
        <w:tc>
          <w:tcPr>
            <w:tcW w:w="6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350,000</w:t>
            </w:r>
          </w:p>
        </w:tc>
        <w:tc>
          <w:tcPr>
            <w:tcW w:w="140" w:type="dxa"/>
            <w:vAlign w:val="bottom"/>
          </w:tcPr>
          <w:p>
            <w:pPr>
              <w:spacing w:after="0"/>
              <w:rPr>
                <w:sz w:val="11"/>
                <w:szCs w:val="11"/>
                <w:color w:val="auto"/>
              </w:rPr>
            </w:pPr>
          </w:p>
        </w:tc>
        <w:tc>
          <w:tcPr>
            <w:tcW w:w="460" w:type="dxa"/>
            <w:vAlign w:val="bottom"/>
          </w:tcPr>
          <w:p>
            <w:pPr>
              <w:ind w:left="320"/>
              <w:spacing w:after="0" w:line="134" w:lineRule="exact"/>
              <w:rPr>
                <w:sz w:val="20"/>
                <w:szCs w:val="20"/>
                <w:color w:val="auto"/>
              </w:rPr>
            </w:pPr>
            <w:r>
              <w:rPr>
                <w:rFonts w:ascii="Arial" w:cs="Arial" w:eastAsia="Arial" w:hAnsi="Arial"/>
                <w:sz w:val="12"/>
                <w:szCs w:val="12"/>
                <w:color w:val="auto"/>
                <w:w w:val="99"/>
              </w:rPr>
              <w:t>—</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350,019</w:t>
            </w:r>
          </w:p>
        </w:tc>
        <w:tc>
          <w:tcPr>
            <w:tcW w:w="140" w:type="dxa"/>
            <w:vAlign w:val="bottom"/>
          </w:tcPr>
          <w:p>
            <w:pPr>
              <w:spacing w:after="0"/>
              <w:rPr>
                <w:sz w:val="11"/>
                <w:szCs w:val="11"/>
                <w:color w:val="auto"/>
              </w:rPr>
            </w:pPr>
          </w:p>
        </w:tc>
        <w:tc>
          <w:tcPr>
            <w:tcW w:w="520" w:type="dxa"/>
            <w:vAlign w:val="bottom"/>
          </w:tcPr>
          <w:p>
            <w:pPr>
              <w:ind w:left="380"/>
              <w:spacing w:after="0" w:line="134" w:lineRule="exact"/>
              <w:rPr>
                <w:sz w:val="20"/>
                <w:szCs w:val="20"/>
                <w:color w:val="auto"/>
              </w:rPr>
            </w:pPr>
            <w:r>
              <w:rPr>
                <w:rFonts w:ascii="Arial" w:cs="Arial" w:eastAsia="Arial" w:hAnsi="Arial"/>
                <w:sz w:val="12"/>
                <w:szCs w:val="12"/>
                <w:color w:val="auto"/>
                <w:w w:val="99"/>
              </w:rPr>
              <w:t>—</w:t>
            </w:r>
          </w:p>
        </w:tc>
        <w:tc>
          <w:tcPr>
            <w:tcW w:w="10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219,383</w:t>
            </w:r>
          </w:p>
        </w:tc>
        <w:tc>
          <w:tcPr>
            <w:tcW w:w="140" w:type="dxa"/>
            <w:vAlign w:val="bottom"/>
          </w:tcPr>
          <w:p>
            <w:pPr>
              <w:spacing w:after="0"/>
              <w:rPr>
                <w:sz w:val="11"/>
                <w:szCs w:val="11"/>
                <w:color w:val="auto"/>
              </w:rPr>
            </w:pPr>
          </w:p>
        </w:tc>
        <w:tc>
          <w:tcPr>
            <w:tcW w:w="880" w:type="dxa"/>
            <w:vAlign w:val="bottom"/>
          </w:tcPr>
          <w:p>
            <w:pPr>
              <w:ind w:left="760"/>
              <w:spacing w:after="0" w:line="134" w:lineRule="exact"/>
              <w:rPr>
                <w:sz w:val="20"/>
                <w:szCs w:val="20"/>
                <w:color w:val="auto"/>
              </w:rPr>
            </w:pPr>
            <w:r>
              <w:rPr>
                <w:rFonts w:ascii="Arial" w:cs="Arial" w:eastAsia="Arial" w:hAnsi="Arial"/>
                <w:sz w:val="12"/>
                <w:szCs w:val="12"/>
                <w:color w:val="auto"/>
                <w:w w:val="82"/>
              </w:rPr>
              <w:t>—</w:t>
            </w:r>
          </w:p>
        </w:tc>
        <w:tc>
          <w:tcPr>
            <w:tcW w:w="10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22,602</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942,004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gridSpan w:val="3"/>
          </w:tcPr>
          <w:p>
            <w:pPr>
              <w:ind w:left="120"/>
              <w:spacing w:after="0" w:line="134" w:lineRule="exact"/>
              <w:rPr>
                <w:sz w:val="20"/>
                <w:szCs w:val="20"/>
                <w:color w:val="auto"/>
              </w:rPr>
            </w:pPr>
            <w:r>
              <w:rPr>
                <w:rFonts w:ascii="Arial" w:cs="Arial" w:eastAsia="Arial" w:hAnsi="Arial"/>
                <w:sz w:val="12"/>
                <w:szCs w:val="12"/>
                <w:color w:val="auto"/>
              </w:rPr>
              <w:t>and Chief Financial</w:t>
            </w:r>
          </w:p>
        </w:tc>
        <w:tc>
          <w:tcPr>
            <w:tcW w:w="5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2017</w:t>
            </w:r>
          </w:p>
        </w:tc>
        <w:tc>
          <w:tcPr>
            <w:tcW w:w="6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350,000</w:t>
            </w:r>
          </w:p>
        </w:tc>
        <w:tc>
          <w:tcPr>
            <w:tcW w:w="140" w:type="dxa"/>
            <w:vAlign w:val="bottom"/>
          </w:tcPr>
          <w:p>
            <w:pPr>
              <w:spacing w:after="0"/>
              <w:rPr>
                <w:sz w:val="11"/>
                <w:szCs w:val="11"/>
                <w:color w:val="auto"/>
              </w:rPr>
            </w:pPr>
          </w:p>
        </w:tc>
        <w:tc>
          <w:tcPr>
            <w:tcW w:w="460" w:type="dxa"/>
            <w:vAlign w:val="bottom"/>
          </w:tcPr>
          <w:p>
            <w:pPr>
              <w:ind w:left="320"/>
              <w:spacing w:after="0" w:line="134" w:lineRule="exact"/>
              <w:rPr>
                <w:sz w:val="20"/>
                <w:szCs w:val="20"/>
                <w:color w:val="auto"/>
              </w:rPr>
            </w:pPr>
            <w:r>
              <w:rPr>
                <w:rFonts w:ascii="Arial" w:cs="Arial" w:eastAsia="Arial" w:hAnsi="Arial"/>
                <w:sz w:val="12"/>
                <w:szCs w:val="12"/>
                <w:color w:val="auto"/>
                <w:w w:val="99"/>
              </w:rPr>
              <w:t>—</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350,007</w:t>
            </w:r>
          </w:p>
        </w:tc>
        <w:tc>
          <w:tcPr>
            <w:tcW w:w="140" w:type="dxa"/>
            <w:vAlign w:val="bottom"/>
          </w:tcPr>
          <w:p>
            <w:pPr>
              <w:spacing w:after="0"/>
              <w:rPr>
                <w:sz w:val="11"/>
                <w:szCs w:val="11"/>
                <w:color w:val="auto"/>
              </w:rPr>
            </w:pPr>
          </w:p>
        </w:tc>
        <w:tc>
          <w:tcPr>
            <w:tcW w:w="520" w:type="dxa"/>
            <w:vAlign w:val="bottom"/>
          </w:tcPr>
          <w:p>
            <w:pPr>
              <w:ind w:left="380"/>
              <w:spacing w:after="0" w:line="134" w:lineRule="exact"/>
              <w:rPr>
                <w:sz w:val="20"/>
                <w:szCs w:val="20"/>
                <w:color w:val="auto"/>
              </w:rPr>
            </w:pPr>
            <w:r>
              <w:rPr>
                <w:rFonts w:ascii="Arial" w:cs="Arial" w:eastAsia="Arial" w:hAnsi="Arial"/>
                <w:sz w:val="12"/>
                <w:szCs w:val="12"/>
                <w:color w:val="auto"/>
                <w:w w:val="99"/>
              </w:rPr>
              <w:t>—</w:t>
            </w:r>
          </w:p>
        </w:tc>
        <w:tc>
          <w:tcPr>
            <w:tcW w:w="10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239,750</w:t>
            </w:r>
          </w:p>
        </w:tc>
        <w:tc>
          <w:tcPr>
            <w:tcW w:w="140" w:type="dxa"/>
            <w:vAlign w:val="bottom"/>
          </w:tcPr>
          <w:p>
            <w:pPr>
              <w:spacing w:after="0"/>
              <w:rPr>
                <w:sz w:val="11"/>
                <w:szCs w:val="11"/>
                <w:color w:val="auto"/>
              </w:rPr>
            </w:pPr>
          </w:p>
        </w:tc>
        <w:tc>
          <w:tcPr>
            <w:tcW w:w="880" w:type="dxa"/>
            <w:vAlign w:val="bottom"/>
          </w:tcPr>
          <w:p>
            <w:pPr>
              <w:ind w:left="760"/>
              <w:spacing w:after="0" w:line="134" w:lineRule="exact"/>
              <w:rPr>
                <w:sz w:val="20"/>
                <w:szCs w:val="20"/>
                <w:color w:val="auto"/>
              </w:rPr>
            </w:pPr>
            <w:r>
              <w:rPr>
                <w:rFonts w:ascii="Arial" w:cs="Arial" w:eastAsia="Arial" w:hAnsi="Arial"/>
                <w:sz w:val="12"/>
                <w:szCs w:val="12"/>
                <w:color w:val="auto"/>
                <w:w w:val="82"/>
              </w:rPr>
              <w:t>—</w:t>
            </w:r>
          </w:p>
        </w:tc>
        <w:tc>
          <w:tcPr>
            <w:tcW w:w="10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24,248</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964,005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gridSpan w:val="3"/>
          </w:tcPr>
          <w:p>
            <w:pPr>
              <w:ind w:left="120"/>
              <w:spacing w:after="0"/>
              <w:rPr>
                <w:sz w:val="20"/>
                <w:szCs w:val="20"/>
                <w:color w:val="auto"/>
              </w:rPr>
            </w:pPr>
            <w:r>
              <w:rPr>
                <w:rFonts w:ascii="Arial" w:cs="Arial" w:eastAsia="Arial" w:hAnsi="Arial"/>
                <w:sz w:val="12"/>
                <w:szCs w:val="12"/>
                <w:color w:val="auto"/>
              </w:rPr>
              <w:t>Officer</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60" w:type="dxa"/>
            <w:vAlign w:val="bottom"/>
            <w:gridSpan w:val="3"/>
            <w:shd w:val="clear" w:color="auto" w:fill="CCEEFF"/>
          </w:tcPr>
          <w:p>
            <w:pPr>
              <w:spacing w:after="0" w:line="157" w:lineRule="exact"/>
              <w:rPr>
                <w:sz w:val="20"/>
                <w:szCs w:val="20"/>
                <w:color w:val="auto"/>
              </w:rPr>
            </w:pPr>
            <w:r>
              <w:rPr>
                <w:rFonts w:ascii="Arial" w:cs="Arial" w:eastAsia="Arial" w:hAnsi="Arial"/>
                <w:sz w:val="11"/>
                <w:szCs w:val="11"/>
                <w:b w:val="1"/>
                <w:bCs w:val="1"/>
                <w:color w:val="auto"/>
              </w:rPr>
              <w:t>Kevin P. Malcarney</w:t>
            </w:r>
            <w:r>
              <w:rPr>
                <w:rFonts w:ascii="Arial" w:cs="Arial" w:eastAsia="Arial" w:hAnsi="Arial"/>
                <w:sz w:val="18"/>
                <w:szCs w:val="18"/>
                <w:color w:val="auto"/>
                <w:vertAlign w:val="superscript"/>
              </w:rPr>
              <w:t>(5)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300,000</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2"/>
                <w:szCs w:val="12"/>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300,019</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2"/>
                <w:szCs w:val="12"/>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170,568</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ind w:left="760"/>
              <w:spacing w:after="0"/>
              <w:rPr>
                <w:sz w:val="20"/>
                <w:szCs w:val="20"/>
                <w:color w:val="auto"/>
              </w:rPr>
            </w:pPr>
            <w:r>
              <w:rPr>
                <w:rFonts w:ascii="Arial" w:cs="Arial" w:eastAsia="Arial" w:hAnsi="Arial"/>
                <w:sz w:val="12"/>
                <w:szCs w:val="12"/>
                <w:color w:val="auto"/>
                <w:w w:val="82"/>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11,077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781,663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Senior Vice President,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2018</w:t>
            </w:r>
          </w:p>
        </w:tc>
        <w:tc>
          <w:tcPr>
            <w:tcW w:w="6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180,000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line="134" w:lineRule="exact"/>
              <w:rPr>
                <w:sz w:val="20"/>
                <w:szCs w:val="20"/>
                <w:color w:val="auto"/>
              </w:rPr>
            </w:pPr>
            <w:r>
              <w:rPr>
                <w:rFonts w:ascii="Arial" w:cs="Arial" w:eastAsia="Arial" w:hAnsi="Arial"/>
                <w:sz w:val="12"/>
                <w:szCs w:val="12"/>
                <w:color w:val="auto"/>
                <w:w w:val="99"/>
              </w:rPr>
              <w:t>—</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589,868</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w w:val="99"/>
              </w:rPr>
              <w:t>—</w:t>
            </w:r>
          </w:p>
        </w:tc>
        <w:tc>
          <w:tcPr>
            <w:tcW w:w="10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96,855</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ind w:left="760"/>
              <w:spacing w:after="0" w:line="134" w:lineRule="exact"/>
              <w:rPr>
                <w:sz w:val="20"/>
                <w:szCs w:val="20"/>
                <w:color w:val="auto"/>
              </w:rPr>
            </w:pPr>
            <w:r>
              <w:rPr>
                <w:rFonts w:ascii="Arial" w:cs="Arial" w:eastAsia="Arial" w:hAnsi="Arial"/>
                <w:sz w:val="12"/>
                <w:szCs w:val="12"/>
                <w:color w:val="auto"/>
                <w:w w:val="82"/>
              </w:rPr>
              <w:t>—</w:t>
            </w:r>
          </w:p>
        </w:tc>
        <w:tc>
          <w:tcPr>
            <w:tcW w:w="10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500</w:t>
            </w:r>
          </w:p>
        </w:tc>
        <w:tc>
          <w:tcPr>
            <w:tcW w:w="7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867,223</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General Counsel and</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2017</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line="134" w:lineRule="exact"/>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ind w:left="760"/>
              <w:spacing w:after="0" w:line="134"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gridSpan w:val="3"/>
            <w:shd w:val="clear" w:color="auto" w:fill="CCEEFF"/>
          </w:tcPr>
          <w:p>
            <w:pPr>
              <w:ind w:left="120"/>
              <w:spacing w:after="0" w:line="134" w:lineRule="exact"/>
              <w:rPr>
                <w:sz w:val="20"/>
                <w:szCs w:val="20"/>
                <w:color w:val="auto"/>
              </w:rPr>
            </w:pPr>
            <w:r>
              <w:rPr>
                <w:rFonts w:ascii="Arial" w:cs="Arial" w:eastAsia="Arial" w:hAnsi="Arial"/>
                <w:sz w:val="12"/>
                <w:szCs w:val="12"/>
                <w:color w:val="auto"/>
              </w:rPr>
              <w:t>Corporate Secretary</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1"/>
                <w:szCs w:val="11"/>
                <w:b w:val="1"/>
                <w:bCs w:val="1"/>
                <w:color w:val="auto"/>
              </w:rPr>
              <w:t>Mary-Lee Stillwell</w:t>
            </w:r>
            <w:r>
              <w:rPr>
                <w:rFonts w:ascii="Arial" w:cs="Arial" w:eastAsia="Arial" w:hAnsi="Arial"/>
                <w:sz w:val="17"/>
                <w:szCs w:val="17"/>
                <w:color w:val="auto"/>
                <w:vertAlign w:val="superscript"/>
              </w:rPr>
              <w:t>(6)</w:t>
            </w: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2019</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295,000</w:t>
            </w:r>
          </w:p>
        </w:tc>
        <w:tc>
          <w:tcPr>
            <w:tcW w:w="140" w:type="dxa"/>
            <w:vAlign w:val="bottom"/>
          </w:tcPr>
          <w:p>
            <w:pPr>
              <w:spacing w:after="0"/>
              <w:rPr>
                <w:sz w:val="12"/>
                <w:szCs w:val="12"/>
                <w:color w:val="auto"/>
              </w:rPr>
            </w:pPr>
          </w:p>
        </w:tc>
        <w:tc>
          <w:tcPr>
            <w:tcW w:w="460" w:type="dxa"/>
            <w:vAlign w:val="bottom"/>
          </w:tcPr>
          <w:p>
            <w:pPr>
              <w:ind w:left="320"/>
              <w:spacing w:after="0"/>
              <w:rPr>
                <w:sz w:val="20"/>
                <w:szCs w:val="20"/>
                <w:color w:val="auto"/>
              </w:rPr>
            </w:pPr>
            <w:r>
              <w:rPr>
                <w:rFonts w:ascii="Arial" w:cs="Arial" w:eastAsia="Arial" w:hAnsi="Arial"/>
                <w:sz w:val="12"/>
                <w:szCs w:val="12"/>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221,261</w:t>
            </w:r>
          </w:p>
        </w:tc>
        <w:tc>
          <w:tcPr>
            <w:tcW w:w="14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175,018</w:t>
            </w:r>
          </w:p>
        </w:tc>
        <w:tc>
          <w:tcPr>
            <w:tcW w:w="140" w:type="dxa"/>
            <w:vAlign w:val="bottom"/>
          </w:tcPr>
          <w:p>
            <w:pPr>
              <w:spacing w:after="0"/>
              <w:rPr>
                <w:sz w:val="12"/>
                <w:szCs w:val="12"/>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w w:val="82"/>
              </w:rPr>
              <w:t>—</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10,892</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702,171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gridSpan w:val="3"/>
          </w:tcPr>
          <w:p>
            <w:pPr>
              <w:ind w:left="120"/>
              <w:spacing w:after="0" w:line="134" w:lineRule="exact"/>
              <w:rPr>
                <w:sz w:val="20"/>
                <w:szCs w:val="20"/>
                <w:color w:val="auto"/>
              </w:rPr>
            </w:pPr>
            <w:r>
              <w:rPr>
                <w:rFonts w:ascii="Arial" w:cs="Arial" w:eastAsia="Arial" w:hAnsi="Arial"/>
                <w:sz w:val="12"/>
                <w:szCs w:val="12"/>
                <w:color w:val="auto"/>
              </w:rPr>
              <w:t>Chief Accounting</w:t>
            </w:r>
          </w:p>
        </w:tc>
        <w:tc>
          <w:tcPr>
            <w:tcW w:w="5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2018</w:t>
            </w:r>
          </w:p>
        </w:tc>
        <w:tc>
          <w:tcPr>
            <w:tcW w:w="6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86,231</w:t>
            </w:r>
          </w:p>
        </w:tc>
        <w:tc>
          <w:tcPr>
            <w:tcW w:w="140" w:type="dxa"/>
            <w:vAlign w:val="bottom"/>
          </w:tcPr>
          <w:p>
            <w:pPr>
              <w:spacing w:after="0"/>
              <w:rPr>
                <w:sz w:val="11"/>
                <w:szCs w:val="11"/>
                <w:color w:val="auto"/>
              </w:rPr>
            </w:pPr>
          </w:p>
        </w:tc>
        <w:tc>
          <w:tcPr>
            <w:tcW w:w="460" w:type="dxa"/>
            <w:vAlign w:val="bottom"/>
          </w:tcPr>
          <w:p>
            <w:pPr>
              <w:ind w:left="320"/>
              <w:spacing w:after="0" w:line="134" w:lineRule="exact"/>
              <w:rPr>
                <w:sz w:val="20"/>
                <w:szCs w:val="20"/>
                <w:color w:val="auto"/>
              </w:rPr>
            </w:pPr>
            <w:r>
              <w:rPr>
                <w:rFonts w:ascii="Arial" w:cs="Arial" w:eastAsia="Arial" w:hAnsi="Arial"/>
                <w:sz w:val="12"/>
                <w:szCs w:val="12"/>
                <w:color w:val="auto"/>
                <w:w w:val="99"/>
              </w:rPr>
              <w:t>—</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556,336</w:t>
            </w:r>
          </w:p>
        </w:tc>
        <w:tc>
          <w:tcPr>
            <w:tcW w:w="140" w:type="dxa"/>
            <w:vAlign w:val="bottom"/>
          </w:tcPr>
          <w:p>
            <w:pPr>
              <w:spacing w:after="0"/>
              <w:rPr>
                <w:sz w:val="11"/>
                <w:szCs w:val="11"/>
                <w:color w:val="auto"/>
              </w:rPr>
            </w:pPr>
          </w:p>
        </w:tc>
        <w:tc>
          <w:tcPr>
            <w:tcW w:w="520" w:type="dxa"/>
            <w:vAlign w:val="bottom"/>
          </w:tcPr>
          <w:p>
            <w:pPr>
              <w:ind w:left="380"/>
              <w:spacing w:after="0" w:line="134" w:lineRule="exact"/>
              <w:rPr>
                <w:sz w:val="20"/>
                <w:szCs w:val="20"/>
                <w:color w:val="auto"/>
              </w:rPr>
            </w:pPr>
            <w:r>
              <w:rPr>
                <w:rFonts w:ascii="Arial" w:cs="Arial" w:eastAsia="Arial" w:hAnsi="Arial"/>
                <w:sz w:val="12"/>
                <w:szCs w:val="12"/>
                <w:color w:val="auto"/>
                <w:w w:val="99"/>
              </w:rPr>
              <w:t>—</w:t>
            </w:r>
          </w:p>
        </w:tc>
        <w:tc>
          <w:tcPr>
            <w:tcW w:w="10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49,849</w:t>
            </w:r>
          </w:p>
        </w:tc>
        <w:tc>
          <w:tcPr>
            <w:tcW w:w="140" w:type="dxa"/>
            <w:vAlign w:val="bottom"/>
          </w:tcPr>
          <w:p>
            <w:pPr>
              <w:spacing w:after="0"/>
              <w:rPr>
                <w:sz w:val="11"/>
                <w:szCs w:val="11"/>
                <w:color w:val="auto"/>
              </w:rPr>
            </w:pPr>
          </w:p>
        </w:tc>
        <w:tc>
          <w:tcPr>
            <w:tcW w:w="880" w:type="dxa"/>
            <w:vAlign w:val="bottom"/>
          </w:tcPr>
          <w:p>
            <w:pPr>
              <w:ind w:left="760"/>
              <w:spacing w:after="0" w:line="134" w:lineRule="exact"/>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692,416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60" w:type="dxa"/>
            <w:vAlign w:val="bottom"/>
            <w:gridSpan w:val="3"/>
          </w:tcPr>
          <w:p>
            <w:pPr>
              <w:ind w:left="120"/>
              <w:spacing w:after="0"/>
              <w:rPr>
                <w:sz w:val="20"/>
                <w:szCs w:val="20"/>
                <w:color w:val="auto"/>
              </w:rPr>
            </w:pPr>
            <w:r>
              <w:rPr>
                <w:rFonts w:ascii="Arial" w:cs="Arial" w:eastAsia="Arial" w:hAnsi="Arial"/>
                <w:sz w:val="12"/>
                <w:szCs w:val="12"/>
                <w:color w:val="auto"/>
              </w:rPr>
              <w:t>Officer</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2017</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60" w:type="dxa"/>
            <w:vAlign w:val="bottom"/>
          </w:tcPr>
          <w:p>
            <w:pPr>
              <w:ind w:left="32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603" w:hanging="478"/>
        <w:spacing w:after="0"/>
        <w:tabs>
          <w:tab w:leader="none" w:pos="1603"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Reflects base salary earnings.</w:t>
      </w:r>
    </w:p>
    <w:p>
      <w:pPr>
        <w:spacing w:after="0" w:line="116" w:lineRule="exact"/>
        <w:rPr>
          <w:rFonts w:ascii="Arial" w:cs="Arial" w:eastAsia="Arial" w:hAnsi="Arial"/>
          <w:sz w:val="12"/>
          <w:szCs w:val="12"/>
          <w:color w:val="auto"/>
        </w:rPr>
      </w:pPr>
    </w:p>
    <w:p>
      <w:pPr>
        <w:ind w:left="1603" w:hanging="478"/>
        <w:spacing w:after="0" w:line="241" w:lineRule="auto"/>
        <w:tabs>
          <w:tab w:leader="none" w:pos="1603"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Reflects the grant date fair value determined in accordance with the Financial Accounting Standards Board Accounting Standards Codification Topic 718, Comparison—Stock Compensation. Clearway Energy, Inc. uses the Company's Class C common stock price on the date of grant as the fair value of the Company's RSUs. The fair value of RPSUs is estimated on the date of grant using a Monte Carlo simulation model. For performance-based RPSUs granted in 2019, if the maximum level of performance is achieved, the fair value will be approximately $1,535,162 for Mr. Sotos, $477,388 for Mr. Plotkin and $301,523 for Mr. Malcarney.</w:t>
      </w:r>
    </w:p>
    <w:p>
      <w:pPr>
        <w:spacing w:after="0" w:line="101" w:lineRule="exact"/>
        <w:rPr>
          <w:rFonts w:ascii="Arial" w:cs="Arial" w:eastAsia="Arial" w:hAnsi="Arial"/>
          <w:sz w:val="12"/>
          <w:szCs w:val="12"/>
          <w:color w:val="auto"/>
        </w:rPr>
      </w:pPr>
    </w:p>
    <w:p>
      <w:pPr>
        <w:ind w:left="1603" w:right="120" w:hanging="478"/>
        <w:spacing w:after="0" w:line="260" w:lineRule="auto"/>
        <w:tabs>
          <w:tab w:leader="none" w:pos="1603"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amounts shown in this column represent the annual incentive bonuses paid to the NEOs. Further information regarding the annual incentive bonuses is included in the "2019 Annual Incentive Bonuses" section of this CD&amp;A.</w:t>
      </w:r>
    </w:p>
    <w:p>
      <w:pPr>
        <w:spacing w:after="0" w:line="89" w:lineRule="exact"/>
        <w:rPr>
          <w:rFonts w:ascii="Arial" w:cs="Arial" w:eastAsia="Arial" w:hAnsi="Arial"/>
          <w:sz w:val="12"/>
          <w:szCs w:val="12"/>
          <w:color w:val="auto"/>
        </w:rPr>
      </w:pPr>
    </w:p>
    <w:p>
      <w:pPr>
        <w:jc w:val="both"/>
        <w:ind w:left="1603" w:right="140" w:hanging="478"/>
        <w:spacing w:after="0" w:line="279" w:lineRule="auto"/>
        <w:tabs>
          <w:tab w:leader="none" w:pos="1603"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and when applicable, the Company's discretionary contribution to the 401(k) plan. The following table identifies the additional compensation for each NEO.</w:t>
      </w:r>
    </w:p>
    <w:p>
      <w:pPr>
        <w:spacing w:after="0" w:line="145" w:lineRule="exact"/>
        <w:rPr>
          <w:sz w:val="20"/>
          <w:szCs w:val="20"/>
          <w:color w:val="auto"/>
        </w:rPr>
      </w:pPr>
    </w:p>
    <w:tbl>
      <w:tblPr>
        <w:tblLayout w:type="fixed"/>
        <w:tblInd w:w="1923"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5"/>
              </w:rPr>
              <w:t>Life and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401(k)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Disability</w:t>
            </w: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Financial</w:t>
            </w:r>
          </w:p>
        </w:tc>
        <w:tc>
          <w:tcPr>
            <w:tcW w:w="1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Employer</w:t>
            </w:r>
          </w:p>
        </w:tc>
        <w:tc>
          <w:tcPr>
            <w:tcW w:w="16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7"/>
              </w:rPr>
              <w:t>401(k)</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1"/>
              </w:rPr>
              <w:t>Insurance</w:t>
            </w: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Advisor</w:t>
            </w:r>
          </w:p>
        </w:tc>
        <w:tc>
          <w:tcPr>
            <w:tcW w:w="1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4"/>
              </w:rPr>
              <w:t>Matching</w:t>
            </w:r>
          </w:p>
        </w:tc>
        <w:tc>
          <w:tcPr>
            <w:tcW w:w="160" w:type="dxa"/>
            <w:vAlign w:val="bottom"/>
          </w:tcPr>
          <w:p>
            <w:pPr>
              <w:spacing w:after="0"/>
              <w:rPr>
                <w:sz w:val="11"/>
                <w:szCs w:val="11"/>
                <w:color w:val="auto"/>
              </w:rPr>
            </w:pPr>
          </w:p>
        </w:tc>
        <w:tc>
          <w:tcPr>
            <w:tcW w:w="840" w:type="dxa"/>
            <w:vAlign w:val="bottom"/>
          </w:tcPr>
          <w:p>
            <w:pPr>
              <w:jc w:val="right"/>
              <w:ind w:right="19"/>
              <w:spacing w:after="0" w:line="134" w:lineRule="exact"/>
              <w:rPr>
                <w:sz w:val="20"/>
                <w:szCs w:val="20"/>
                <w:color w:val="auto"/>
              </w:rPr>
            </w:pPr>
            <w:r>
              <w:rPr>
                <w:rFonts w:ascii="Arial" w:cs="Arial" w:eastAsia="Arial" w:hAnsi="Arial"/>
                <w:sz w:val="12"/>
                <w:szCs w:val="12"/>
                <w:b w:val="1"/>
                <w:bCs w:val="1"/>
                <w:color w:val="auto"/>
                <w:w w:val="96"/>
              </w:rPr>
              <w:t>Discretionary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Reimbursement</w:t>
            </w: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4"/>
              </w:rPr>
              <w:t>Services</w:t>
            </w:r>
          </w:p>
        </w:tc>
        <w:tc>
          <w:tcPr>
            <w:tcW w:w="1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4"/>
              </w:rPr>
              <w:t>Contribution</w:t>
            </w:r>
          </w:p>
        </w:tc>
        <w:tc>
          <w:tcPr>
            <w:tcW w:w="160" w:type="dxa"/>
            <w:vAlign w:val="bottom"/>
          </w:tcPr>
          <w:p>
            <w:pPr>
              <w:spacing w:after="0"/>
              <w:rPr>
                <w:sz w:val="11"/>
                <w:szCs w:val="11"/>
                <w:color w:val="auto"/>
              </w:rPr>
            </w:pPr>
          </w:p>
        </w:tc>
        <w:tc>
          <w:tcPr>
            <w:tcW w:w="840" w:type="dxa"/>
            <w:vAlign w:val="bottom"/>
          </w:tcPr>
          <w:p>
            <w:pPr>
              <w:jc w:val="right"/>
              <w:ind w:right="19"/>
              <w:spacing w:after="0" w:line="134" w:lineRule="exact"/>
              <w:rPr>
                <w:sz w:val="20"/>
                <w:szCs w:val="20"/>
                <w:color w:val="auto"/>
              </w:rPr>
            </w:pPr>
            <w:r>
              <w:rPr>
                <w:rFonts w:ascii="Arial" w:cs="Arial" w:eastAsia="Arial" w:hAnsi="Arial"/>
                <w:sz w:val="12"/>
                <w:szCs w:val="12"/>
                <w:b w:val="1"/>
                <w:bCs w:val="1"/>
                <w:color w:val="auto"/>
              </w:rPr>
              <w:t>Contribution</w:t>
            </w:r>
          </w:p>
        </w:tc>
        <w:tc>
          <w:tcPr>
            <w:tcW w:w="140" w:type="dxa"/>
            <w:vAlign w:val="bottom"/>
          </w:tcPr>
          <w:p>
            <w:pPr>
              <w:spacing w:after="0"/>
              <w:rPr>
                <w:sz w:val="11"/>
                <w:szCs w:val="11"/>
                <w:color w:val="auto"/>
              </w:rPr>
            </w:pPr>
          </w:p>
        </w:tc>
        <w:tc>
          <w:tcPr>
            <w:tcW w:w="6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6"/>
        </w:trPr>
        <w:tc>
          <w:tcPr>
            <w:tcW w:w="23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Year</w:t>
            </w:r>
          </w:p>
        </w:tc>
        <w:tc>
          <w:tcPr>
            <w:tcW w:w="1100" w:type="dxa"/>
            <w:vAlign w:val="bottom"/>
            <w:gridSpan w:val="2"/>
          </w:tcPr>
          <w:p>
            <w:pPr>
              <w:jc w:val="center"/>
              <w:ind w:left="99"/>
              <w:spacing w:after="0"/>
              <w:rPr>
                <w:sz w:val="20"/>
                <w:szCs w:val="20"/>
                <w:color w:val="auto"/>
              </w:rPr>
            </w:pPr>
            <w:r>
              <w:rPr>
                <w:rFonts w:ascii="Arial" w:cs="Arial" w:eastAsia="Arial" w:hAnsi="Arial"/>
                <w:sz w:val="12"/>
                <w:szCs w:val="12"/>
                <w:b w:val="1"/>
                <w:bCs w:val="1"/>
                <w:color w:val="auto"/>
                <w:w w:val="95"/>
              </w:rPr>
              <w:t>($)</w:t>
            </w:r>
          </w:p>
        </w:tc>
        <w:tc>
          <w:tcPr>
            <w:tcW w:w="760" w:type="dxa"/>
            <w:vAlign w:val="bottom"/>
            <w:gridSpan w:val="2"/>
          </w:tcPr>
          <w:p>
            <w:pPr>
              <w:jc w:val="center"/>
              <w:ind w:left="79"/>
              <w:spacing w:after="0"/>
              <w:rPr>
                <w:sz w:val="20"/>
                <w:szCs w:val="20"/>
                <w:color w:val="auto"/>
              </w:rPr>
            </w:pPr>
            <w:r>
              <w:rPr>
                <w:rFonts w:ascii="Arial" w:cs="Arial" w:eastAsia="Arial" w:hAnsi="Arial"/>
                <w:sz w:val="12"/>
                <w:szCs w:val="12"/>
                <w:b w:val="1"/>
                <w:bCs w:val="1"/>
                <w:color w:val="auto"/>
                <w:w w:val="95"/>
              </w:rPr>
              <w:t>($)</w:t>
            </w:r>
          </w:p>
        </w:tc>
        <w:tc>
          <w:tcPr>
            <w:tcW w:w="960" w:type="dxa"/>
            <w:vAlign w:val="bottom"/>
            <w:gridSpan w:val="2"/>
          </w:tcPr>
          <w:p>
            <w:pPr>
              <w:jc w:val="right"/>
              <w:ind w:right="279"/>
              <w:spacing w:after="0"/>
              <w:rPr>
                <w:sz w:val="20"/>
                <w:szCs w:val="20"/>
                <w:color w:val="auto"/>
              </w:rPr>
            </w:pPr>
            <w:r>
              <w:rPr>
                <w:rFonts w:ascii="Arial" w:cs="Arial" w:eastAsia="Arial" w:hAnsi="Arial"/>
                <w:sz w:val="12"/>
                <w:szCs w:val="12"/>
                <w:b w:val="1"/>
                <w:bCs w:val="1"/>
                <w:color w:val="auto"/>
              </w:rPr>
              <w:t>($)</w:t>
            </w:r>
          </w:p>
        </w:tc>
        <w:tc>
          <w:tcPr>
            <w:tcW w:w="1000" w:type="dxa"/>
            <w:vAlign w:val="bottom"/>
            <w:gridSpan w:val="2"/>
          </w:tcPr>
          <w:p>
            <w:pPr>
              <w:jc w:val="right"/>
              <w:ind w:right="299"/>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99"/>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4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Christopher S. Sotos</w:t>
            </w:r>
          </w:p>
        </w:tc>
        <w:tc>
          <w:tcPr>
            <w:tcW w:w="3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2019</w:t>
            </w:r>
          </w:p>
        </w:tc>
        <w:tc>
          <w:tcPr>
            <w:tcW w:w="11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1,000</w:t>
            </w:r>
          </w:p>
        </w:tc>
        <w:tc>
          <w:tcPr>
            <w:tcW w:w="76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2,682</w:t>
            </w:r>
          </w:p>
        </w:tc>
        <w:tc>
          <w:tcPr>
            <w:tcW w:w="96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11,200</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14,882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2018</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2,250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11,000</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8,100</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21,350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10,800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7,950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22,750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Chad Plotkin</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2019</w:t>
            </w:r>
          </w:p>
        </w:tc>
        <w:tc>
          <w:tcPr>
            <w:tcW w:w="11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1,000</w:t>
            </w:r>
          </w:p>
        </w:tc>
        <w:tc>
          <w:tcPr>
            <w:tcW w:w="7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3,000</w:t>
            </w:r>
          </w:p>
        </w:tc>
        <w:tc>
          <w:tcPr>
            <w:tcW w:w="9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11,200</w:t>
            </w:r>
          </w:p>
        </w:tc>
        <w:tc>
          <w:tcPr>
            <w:tcW w:w="16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15,200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8,100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22,602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2017</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3,000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10,298</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7,950</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24,248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Kevin P. Malcarney</w:t>
            </w:r>
          </w:p>
        </w:tc>
        <w:tc>
          <w:tcPr>
            <w:tcW w:w="3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2019</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11,077</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11,077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2018</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2017</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Mary-Lee Stillwell</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2019</w:t>
            </w:r>
          </w:p>
        </w:tc>
        <w:tc>
          <w:tcPr>
            <w:tcW w:w="14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10,892</w:t>
            </w:r>
          </w:p>
        </w:tc>
        <w:tc>
          <w:tcPr>
            <w:tcW w:w="16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10,892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2017</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83" w:hanging="483"/>
        <w:spacing w:after="0"/>
        <w:tabs>
          <w:tab w:leader="none" w:pos="483" w:val="left"/>
        </w:tabs>
        <w:numPr>
          <w:ilvl w:val="0"/>
          <w:numId w:val="45"/>
        </w:numPr>
        <w:rPr>
          <w:rFonts w:ascii="Arial" w:cs="Arial" w:eastAsia="Arial" w:hAnsi="Arial"/>
          <w:sz w:val="12"/>
          <w:szCs w:val="12"/>
          <w:color w:val="auto"/>
        </w:rPr>
      </w:pPr>
      <w:r>
        <w:rPr>
          <w:rFonts w:ascii="Arial" w:cs="Arial" w:eastAsia="Arial" w:hAnsi="Arial"/>
          <w:sz w:val="12"/>
          <w:szCs w:val="12"/>
          <w:color w:val="auto"/>
        </w:rPr>
        <w:t>Mr. Malcarney was appointed as Senior Vice President, General Counsel &amp; Corporate Secretary on May 11, 2018.</w:t>
      </w:r>
    </w:p>
    <w:p>
      <w:pPr>
        <w:spacing w:after="0" w:line="116" w:lineRule="exact"/>
        <w:rPr>
          <w:rFonts w:ascii="Arial" w:cs="Arial" w:eastAsia="Arial" w:hAnsi="Arial"/>
          <w:sz w:val="12"/>
          <w:szCs w:val="12"/>
          <w:color w:val="auto"/>
        </w:rPr>
      </w:pPr>
    </w:p>
    <w:p>
      <w:pPr>
        <w:ind w:left="483" w:hanging="483"/>
        <w:spacing w:after="0"/>
        <w:tabs>
          <w:tab w:leader="none" w:pos="483" w:val="left"/>
        </w:tabs>
        <w:numPr>
          <w:ilvl w:val="0"/>
          <w:numId w:val="45"/>
        </w:numPr>
        <w:rPr>
          <w:rFonts w:ascii="Arial" w:cs="Arial" w:eastAsia="Arial" w:hAnsi="Arial"/>
          <w:sz w:val="12"/>
          <w:szCs w:val="12"/>
          <w:color w:val="auto"/>
        </w:rPr>
      </w:pPr>
      <w:r>
        <w:rPr>
          <w:rFonts w:ascii="Arial" w:cs="Arial" w:eastAsia="Arial" w:hAnsi="Arial"/>
          <w:sz w:val="12"/>
          <w:szCs w:val="12"/>
          <w:color w:val="auto"/>
        </w:rPr>
        <w:t>Ms. Stillwell was appointed as Chief Accounting Officer on August 31, 2018.</w:t>
      </w:r>
    </w:p>
    <w:p>
      <w:pPr>
        <w:spacing w:after="0" w:line="190"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5137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03"/>
          </w:cols>
          <w:pgMar w:left="317" w:top="131" w:right="37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34"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Grants of Plan-Based Awards</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Fiscal Year Ended December 31, 2019</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Grant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7"/>
          </w:tcPr>
          <w:p>
            <w:pPr>
              <w:jc w:val="center"/>
              <w:ind w:right="80"/>
              <w:spacing w:after="0" w:line="134" w:lineRule="exact"/>
              <w:rPr>
                <w:sz w:val="20"/>
                <w:szCs w:val="20"/>
                <w:color w:val="auto"/>
              </w:rPr>
            </w:pPr>
            <w:r>
              <w:rPr>
                <w:rFonts w:ascii="Arial" w:cs="Arial" w:eastAsia="Arial" w:hAnsi="Arial"/>
                <w:sz w:val="12"/>
                <w:szCs w:val="12"/>
                <w:b w:val="1"/>
                <w:bCs w:val="1"/>
                <w:color w:val="auto"/>
                <w:w w:val="88"/>
              </w:rPr>
              <w:t>Estimated Possible Payouts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4" w:lineRule="exact"/>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Under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6"/>
          </w:tcPr>
          <w:p>
            <w:pPr>
              <w:jc w:val="center"/>
              <w:ind w:right="80"/>
              <w:spacing w:after="0" w:line="134" w:lineRule="exact"/>
              <w:rPr>
                <w:sz w:val="20"/>
                <w:szCs w:val="20"/>
                <w:color w:val="auto"/>
              </w:rPr>
            </w:pPr>
            <w:r>
              <w:rPr>
                <w:rFonts w:ascii="Arial" w:cs="Arial" w:eastAsia="Arial" w:hAnsi="Arial"/>
                <w:sz w:val="12"/>
                <w:szCs w:val="12"/>
                <w:b w:val="1"/>
                <w:bCs w:val="1"/>
                <w:color w:val="auto"/>
                <w:w w:val="91"/>
              </w:rPr>
              <w:t>Estimated Future Payouts</w:t>
            </w: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Awards:</w:t>
            </w:r>
          </w:p>
        </w:tc>
        <w:tc>
          <w:tcPr>
            <w:tcW w:w="80" w:type="dxa"/>
            <w:vAlign w:val="bottom"/>
          </w:tcPr>
          <w:p>
            <w:pPr>
              <w:spacing w:after="0"/>
              <w:rPr>
                <w:sz w:val="11"/>
                <w:szCs w:val="11"/>
                <w:color w:val="auto"/>
              </w:rPr>
            </w:pPr>
          </w:p>
        </w:tc>
        <w:tc>
          <w:tcPr>
            <w:tcW w:w="780" w:type="dxa"/>
            <w:vAlign w:val="bottom"/>
            <w:gridSpan w:val="3"/>
          </w:tcPr>
          <w:p>
            <w:pPr>
              <w:jc w:val="center"/>
              <w:ind w:right="160"/>
              <w:spacing w:after="0" w:line="134" w:lineRule="exact"/>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7"/>
          </w:tcPr>
          <w:p>
            <w:pPr>
              <w:jc w:val="center"/>
              <w:ind w:right="60"/>
              <w:spacing w:after="0" w:line="134" w:lineRule="exact"/>
              <w:rPr>
                <w:sz w:val="20"/>
                <w:szCs w:val="20"/>
                <w:color w:val="auto"/>
              </w:rPr>
            </w:pPr>
            <w:r>
              <w:rPr>
                <w:rFonts w:ascii="Arial" w:cs="Arial" w:eastAsia="Arial" w:hAnsi="Arial"/>
                <w:sz w:val="12"/>
                <w:szCs w:val="12"/>
                <w:b w:val="1"/>
                <w:bCs w:val="1"/>
                <w:color w:val="auto"/>
                <w:w w:val="93"/>
              </w:rPr>
              <w:t>Non-Equity Incentive</w:t>
            </w:r>
          </w:p>
        </w:tc>
        <w:tc>
          <w:tcPr>
            <w:tcW w:w="60" w:type="dxa"/>
            <w:vAlign w:val="bottom"/>
          </w:tcPr>
          <w:p>
            <w:pPr>
              <w:spacing w:after="0"/>
              <w:rPr>
                <w:sz w:val="11"/>
                <w:szCs w:val="11"/>
                <w:color w:val="auto"/>
              </w:rPr>
            </w:pPr>
          </w:p>
        </w:tc>
        <w:tc>
          <w:tcPr>
            <w:tcW w:w="1760" w:type="dxa"/>
            <w:vAlign w:val="bottom"/>
            <w:gridSpan w:val="6"/>
          </w:tcPr>
          <w:p>
            <w:pPr>
              <w:jc w:val="center"/>
              <w:ind w:right="60"/>
              <w:spacing w:after="0" w:line="134" w:lineRule="exact"/>
              <w:rPr>
                <w:sz w:val="20"/>
                <w:szCs w:val="20"/>
                <w:color w:val="auto"/>
              </w:rPr>
            </w:pPr>
            <w:r>
              <w:rPr>
                <w:rFonts w:ascii="Arial" w:cs="Arial" w:eastAsia="Arial" w:hAnsi="Arial"/>
                <w:sz w:val="12"/>
                <w:szCs w:val="12"/>
                <w:b w:val="1"/>
                <w:bCs w:val="1"/>
                <w:color w:val="auto"/>
                <w:w w:val="93"/>
              </w:rPr>
              <w:t>Under Equity Incentive</w:t>
            </w: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w w:val="88"/>
              </w:rPr>
              <w:t>of Stock</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5"/>
          </w:tcPr>
          <w:p>
            <w:pPr>
              <w:jc w:val="center"/>
              <w:ind w:right="19"/>
              <w:spacing w:after="0" w:line="134" w:lineRule="exact"/>
              <w:rPr>
                <w:sz w:val="20"/>
                <w:szCs w:val="20"/>
                <w:color w:val="auto"/>
              </w:rPr>
            </w:pPr>
            <w:r>
              <w:rPr>
                <w:rFonts w:ascii="Arial" w:cs="Arial" w:eastAsia="Arial" w:hAnsi="Arial"/>
                <w:sz w:val="12"/>
                <w:szCs w:val="12"/>
                <w:b w:val="1"/>
                <w:bCs w:val="1"/>
                <w:color w:val="auto"/>
                <w:w w:val="91"/>
              </w:rPr>
              <w:t>Plan Awards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6"/>
          </w:tcPr>
          <w:p>
            <w:pPr>
              <w:jc w:val="center"/>
              <w:ind w:right="80"/>
              <w:spacing w:after="0" w:line="134" w:lineRule="exact"/>
              <w:rPr>
                <w:sz w:val="20"/>
                <w:szCs w:val="20"/>
                <w:color w:val="auto"/>
              </w:rPr>
            </w:pPr>
            <w:r>
              <w:rPr>
                <w:rFonts w:ascii="Arial" w:cs="Arial" w:eastAsia="Arial" w:hAnsi="Arial"/>
                <w:sz w:val="12"/>
                <w:szCs w:val="12"/>
                <w:b w:val="1"/>
                <w:bCs w:val="1"/>
                <w:color w:val="auto"/>
                <w:w w:val="94"/>
              </w:rPr>
              <w:t>Plan Awards</w:t>
            </w: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7"/>
              </w:rPr>
              <w:t>of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4"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auto"/>
                <w:w w:val="88"/>
              </w:rPr>
              <w:t>of Stock</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restart"/>
          </w:tcPr>
          <w:p>
            <w:pPr>
              <w:jc w:val="center"/>
              <w:ind w:right="260"/>
              <w:spacing w:after="0" w:line="134" w:lineRule="exact"/>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Award</w:t>
            </w:r>
          </w:p>
        </w:tc>
        <w:tc>
          <w:tcPr>
            <w:tcW w:w="60" w:type="dxa"/>
            <w:vAlign w:val="bottom"/>
          </w:tcPr>
          <w:p>
            <w:pPr>
              <w:spacing w:after="0"/>
              <w:rPr>
                <w:sz w:val="11"/>
                <w:szCs w:val="11"/>
                <w:color w:val="auto"/>
              </w:rPr>
            </w:pPr>
          </w:p>
        </w:tc>
        <w:tc>
          <w:tcPr>
            <w:tcW w:w="700" w:type="dxa"/>
            <w:vAlign w:val="bottom"/>
          </w:tcPr>
          <w:p>
            <w:pPr>
              <w:jc w:val="right"/>
              <w:ind w:right="139"/>
              <w:spacing w:after="0" w:line="134" w:lineRule="exact"/>
              <w:rPr>
                <w:sz w:val="20"/>
                <w:szCs w:val="20"/>
                <w:color w:val="auto"/>
              </w:rPr>
            </w:pPr>
            <w:r>
              <w:rPr>
                <w:rFonts w:ascii="Arial" w:cs="Arial" w:eastAsia="Arial" w:hAnsi="Arial"/>
                <w:sz w:val="12"/>
                <w:szCs w:val="12"/>
                <w:b w:val="1"/>
                <w:bCs w:val="1"/>
                <w:color w:val="auto"/>
              </w:rPr>
              <w:t>Grant</w:t>
            </w:r>
          </w:p>
        </w:tc>
        <w:tc>
          <w:tcPr>
            <w:tcW w:w="60" w:type="dxa"/>
            <w:vAlign w:val="bottom"/>
          </w:tcPr>
          <w:p>
            <w:pPr>
              <w:spacing w:after="0"/>
              <w:rPr>
                <w:sz w:val="11"/>
                <w:szCs w:val="11"/>
                <w:color w:val="auto"/>
              </w:rPr>
            </w:pPr>
          </w:p>
        </w:tc>
        <w:tc>
          <w:tcPr>
            <w:tcW w:w="96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Approval</w:t>
            </w:r>
          </w:p>
        </w:tc>
        <w:tc>
          <w:tcPr>
            <w:tcW w:w="60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w w:val="93"/>
              </w:rPr>
              <w:t>Threshold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40"/>
              <w:spacing w:after="0" w:line="134" w:lineRule="exact"/>
              <w:rPr>
                <w:sz w:val="20"/>
                <w:szCs w:val="20"/>
                <w:color w:val="auto"/>
              </w:rPr>
            </w:pPr>
            <w:r>
              <w:rPr>
                <w:rFonts w:ascii="Arial" w:cs="Arial" w:eastAsia="Arial" w:hAnsi="Arial"/>
                <w:sz w:val="12"/>
                <w:szCs w:val="12"/>
                <w:b w:val="1"/>
                <w:bCs w:val="1"/>
                <w:color w:val="auto"/>
                <w:w w:val="92"/>
              </w:rPr>
              <w:t>Target</w:t>
            </w:r>
          </w:p>
        </w:tc>
        <w:tc>
          <w:tcPr>
            <w:tcW w:w="80" w:type="dxa"/>
            <w:vAlign w:val="bottom"/>
          </w:tcPr>
          <w:p>
            <w:pPr>
              <w:spacing w:after="0"/>
              <w:rPr>
                <w:sz w:val="11"/>
                <w:szCs w:val="11"/>
                <w:color w:val="auto"/>
              </w:rPr>
            </w:pPr>
          </w:p>
        </w:tc>
        <w:tc>
          <w:tcPr>
            <w:tcW w:w="64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rPr>
              <w:t>Maximum</w:t>
            </w:r>
          </w:p>
        </w:tc>
        <w:tc>
          <w:tcPr>
            <w:tcW w:w="6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b w:val="1"/>
                <w:bCs w:val="1"/>
                <w:color w:val="auto"/>
                <w:w w:val="89"/>
              </w:rPr>
              <w:t>Threshold</w:t>
            </w:r>
          </w:p>
        </w:tc>
        <w:tc>
          <w:tcPr>
            <w:tcW w:w="80" w:type="dxa"/>
            <w:vAlign w:val="bottom"/>
          </w:tcPr>
          <w:p>
            <w:pPr>
              <w:spacing w:after="0"/>
              <w:rPr>
                <w:sz w:val="11"/>
                <w:szCs w:val="11"/>
                <w:color w:val="auto"/>
              </w:rPr>
            </w:pPr>
          </w:p>
        </w:tc>
        <w:tc>
          <w:tcPr>
            <w:tcW w:w="3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Target</w:t>
            </w:r>
          </w:p>
        </w:tc>
        <w:tc>
          <w:tcPr>
            <w:tcW w:w="8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Maximum</w:t>
            </w: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or Units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4" w:lineRule="exact"/>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158"/>
        </w:trPr>
        <w:tc>
          <w:tcPr>
            <w:tcW w:w="16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2"/>
              </w:rPr>
              <w:t>Type</w:t>
            </w:r>
          </w:p>
        </w:tc>
        <w:tc>
          <w:tcPr>
            <w:tcW w:w="60" w:type="dxa"/>
            <w:vAlign w:val="bottom"/>
          </w:tcPr>
          <w:p>
            <w:pPr>
              <w:spacing w:after="0"/>
              <w:rPr>
                <w:sz w:val="13"/>
                <w:szCs w:val="13"/>
                <w:color w:val="auto"/>
              </w:rPr>
            </w:pPr>
          </w:p>
        </w:tc>
        <w:tc>
          <w:tcPr>
            <w:tcW w:w="700" w:type="dxa"/>
            <w:vAlign w:val="bottom"/>
          </w:tcPr>
          <w:p>
            <w:pPr>
              <w:jc w:val="right"/>
              <w:ind w:right="179"/>
              <w:spacing w:after="0"/>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3"/>
                <w:szCs w:val="13"/>
                <w:color w:val="auto"/>
              </w:rPr>
            </w:pPr>
          </w:p>
        </w:tc>
        <w:tc>
          <w:tcPr>
            <w:tcW w:w="960" w:type="dxa"/>
            <w:vAlign w:val="bottom"/>
            <w:gridSpan w:val="2"/>
          </w:tcPr>
          <w:p>
            <w:pPr>
              <w:ind w:left="320"/>
              <w:spacing w:after="0"/>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3"/>
                <w:szCs w:val="13"/>
                <w:color w:val="auto"/>
              </w:rPr>
            </w:pPr>
          </w:p>
        </w:tc>
        <w:tc>
          <w:tcPr>
            <w:tcW w:w="480" w:type="dxa"/>
            <w:vAlign w:val="bottom"/>
          </w:tcPr>
          <w:p>
            <w:pPr>
              <w:jc w:val="right"/>
              <w:ind w:right="100"/>
              <w:spacing w:after="0" w:line="157"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ind w:right="40"/>
              <w:spacing w:after="0" w:line="157" w:lineRule="exact"/>
              <w:rPr>
                <w:sz w:val="20"/>
                <w:szCs w:val="20"/>
                <w:color w:val="auto"/>
              </w:rPr>
            </w:pPr>
            <w:r>
              <w:rPr>
                <w:rFonts w:ascii="Arial" w:cs="Arial" w:eastAsia="Arial" w:hAnsi="Arial"/>
                <w:sz w:val="11"/>
                <w:szCs w:val="11"/>
                <w:b w:val="1"/>
                <w:bCs w:val="1"/>
                <w:color w:val="auto"/>
                <w:w w:val="92"/>
              </w:rPr>
              <w:t>($)</w:t>
            </w:r>
            <w:r>
              <w:rPr>
                <w:rFonts w:ascii="Arial" w:cs="Arial" w:eastAsia="Arial" w:hAnsi="Arial"/>
                <w:sz w:val="18"/>
                <w:szCs w:val="18"/>
                <w:b w:val="1"/>
                <w:bCs w:val="1"/>
                <w:color w:val="auto"/>
                <w:w w:val="92"/>
                <w:vertAlign w:val="superscript"/>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0"/>
              <w:spacing w:after="0" w:line="157"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(3)</w:t>
            </w:r>
          </w:p>
        </w:tc>
        <w:tc>
          <w:tcPr>
            <w:tcW w:w="620" w:type="dxa"/>
            <w:vAlign w:val="bottom"/>
            <w:gridSpan w:val="2"/>
          </w:tcPr>
          <w:p>
            <w:pPr>
              <w:jc w:val="right"/>
              <w:ind w:right="139"/>
              <w:spacing w:after="0"/>
              <w:rPr>
                <w:sz w:val="20"/>
                <w:szCs w:val="20"/>
                <w:color w:val="auto"/>
              </w:rPr>
            </w:pPr>
            <w:r>
              <w:rPr>
                <w:rFonts w:ascii="Arial" w:cs="Arial" w:eastAsia="Arial" w:hAnsi="Arial"/>
                <w:sz w:val="12"/>
                <w:szCs w:val="12"/>
                <w:b w:val="1"/>
                <w:bCs w:val="1"/>
                <w:color w:val="auto"/>
              </w:rPr>
              <w:t>(#)</w:t>
            </w:r>
          </w:p>
        </w:tc>
        <w:tc>
          <w:tcPr>
            <w:tcW w:w="460" w:type="dxa"/>
            <w:vAlign w:val="bottom"/>
            <w:gridSpan w:val="2"/>
          </w:tcPr>
          <w:p>
            <w:pPr>
              <w:jc w:val="center"/>
              <w:ind w:left="19"/>
              <w:spacing w:after="0"/>
              <w:rPr>
                <w:sz w:val="20"/>
                <w:szCs w:val="20"/>
                <w:color w:val="auto"/>
              </w:rPr>
            </w:pPr>
            <w:r>
              <w:rPr>
                <w:rFonts w:ascii="Arial" w:cs="Arial" w:eastAsia="Arial" w:hAnsi="Arial"/>
                <w:sz w:val="12"/>
                <w:szCs w:val="12"/>
                <w:b w:val="1"/>
                <w:bCs w:val="1"/>
                <w:color w:val="auto"/>
                <w:w w:val="95"/>
              </w:rPr>
              <w:t>(#)</w:t>
            </w:r>
          </w:p>
        </w:tc>
        <w:tc>
          <w:tcPr>
            <w:tcW w:w="660" w:type="dxa"/>
            <w:vAlign w:val="bottom"/>
            <w:gridSpan w:val="2"/>
          </w:tcPr>
          <w:p>
            <w:pPr>
              <w:jc w:val="right"/>
              <w:ind w:right="159"/>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20"/>
              <w:spacing w:after="0" w:line="157" w:lineRule="exact"/>
              <w:rPr>
                <w:sz w:val="20"/>
                <w:szCs w:val="20"/>
                <w:color w:val="auto"/>
              </w:rPr>
            </w:pPr>
            <w:r>
              <w:rPr>
                <w:rFonts w:ascii="Arial" w:cs="Arial" w:eastAsia="Arial" w:hAnsi="Arial"/>
                <w:sz w:val="11"/>
                <w:szCs w:val="11"/>
                <w:b w:val="1"/>
                <w:bCs w:val="1"/>
                <w:color w:val="auto"/>
                <w:w w:val="92"/>
              </w:rPr>
              <w:t>($)</w:t>
            </w:r>
            <w:r>
              <w:rPr>
                <w:rFonts w:ascii="Arial" w:cs="Arial" w:eastAsia="Arial" w:hAnsi="Arial"/>
                <w:sz w:val="18"/>
                <w:szCs w:val="18"/>
                <w:b w:val="1"/>
                <w:bCs w:val="1"/>
                <w:color w:val="auto"/>
                <w:w w:val="92"/>
                <w:vertAlign w:val="superscript"/>
              </w:rPr>
              <w:t>(4)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58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Christopher S. Sotos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rPr>
              <w:t>AIP</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1080" w:type="dxa"/>
            <w:vAlign w:val="bottom"/>
            <w:gridSpan w:val="3"/>
            <w:shd w:val="clear" w:color="auto" w:fill="CCEEFF"/>
          </w:tcPr>
          <w:p>
            <w:pPr>
              <w:ind w:left="780"/>
              <w:spacing w:after="0" w:line="126" w:lineRule="exact"/>
              <w:rPr>
                <w:sz w:val="20"/>
                <w:szCs w:val="20"/>
                <w:color w:val="auto"/>
              </w:rPr>
            </w:pPr>
            <w:r>
              <w:rPr>
                <w:rFonts w:ascii="Arial" w:cs="Arial" w:eastAsia="Arial" w:hAnsi="Arial"/>
                <w:sz w:val="12"/>
                <w:szCs w:val="12"/>
                <w:color w:val="auto"/>
              </w:rPr>
              <w:t>— $</w:t>
            </w: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305,500</w:t>
            </w:r>
          </w:p>
        </w:tc>
        <w:tc>
          <w:tcPr>
            <w:tcW w:w="16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w w:val="96"/>
              </w:rPr>
              <w:t>611,000</w:t>
            </w:r>
          </w:p>
        </w:tc>
        <w:tc>
          <w:tcPr>
            <w:tcW w:w="1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w w:val="97"/>
              </w:rPr>
              <w:t>1,222,000</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RPSU</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12/6/2018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13,668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54,671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82,007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1,023,441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RSU</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12/6/2018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504,080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gridSpan w:val="2"/>
          </w:tcPr>
          <w:p>
            <w:pPr>
              <w:spacing w:after="0"/>
              <w:rPr>
                <w:sz w:val="20"/>
                <w:szCs w:val="20"/>
                <w:color w:val="auto"/>
              </w:rPr>
            </w:pPr>
            <w:r>
              <w:rPr>
                <w:rFonts w:ascii="Arial" w:cs="Arial" w:eastAsia="Arial" w:hAnsi="Arial"/>
                <w:sz w:val="12"/>
                <w:szCs w:val="12"/>
                <w:b w:val="1"/>
                <w:bCs w:val="1"/>
                <w:color w:val="auto"/>
              </w:rPr>
              <w:t>Chad Plotkin</w:t>
            </w:r>
          </w:p>
        </w:tc>
        <w:tc>
          <w:tcPr>
            <w:tcW w:w="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rPr>
              <w:t>AIP</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80" w:type="dxa"/>
            <w:vAlign w:val="bottom"/>
            <w:gridSpan w:val="3"/>
          </w:tcPr>
          <w:p>
            <w:pPr>
              <w:ind w:left="780"/>
              <w:spacing w:after="0"/>
              <w:rPr>
                <w:sz w:val="20"/>
                <w:szCs w:val="20"/>
                <w:color w:val="auto"/>
              </w:rPr>
            </w:pPr>
            <w:r>
              <w:rPr>
                <w:rFonts w:ascii="Arial" w:cs="Arial" w:eastAsia="Arial" w:hAnsi="Arial"/>
                <w:sz w:val="12"/>
                <w:szCs w:val="12"/>
                <w:color w:val="auto"/>
              </w:rPr>
              <w:t>— $</w:t>
            </w:r>
          </w:p>
        </w:tc>
        <w:tc>
          <w:tcPr>
            <w:tcW w:w="480" w:type="dxa"/>
            <w:vAlign w:val="bottom"/>
          </w:tcPr>
          <w:p>
            <w:pPr>
              <w:jc w:val="right"/>
              <w:spacing w:after="0"/>
              <w:rPr>
                <w:sz w:val="20"/>
                <w:szCs w:val="20"/>
                <w:color w:val="auto"/>
              </w:rPr>
            </w:pPr>
            <w:r>
              <w:rPr>
                <w:rFonts w:ascii="Arial" w:cs="Arial" w:eastAsia="Arial" w:hAnsi="Arial"/>
                <w:sz w:val="12"/>
                <w:szCs w:val="12"/>
                <w:color w:val="auto"/>
              </w:rPr>
              <w:t>114,000</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228,000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456,000</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RPSU</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1/2/2019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11/29/2018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4,250</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17,001</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25,502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318,259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94"/>
              </w:rPr>
              <w:t>RSU</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1/2/2019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11/29/2018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9,114</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156,761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Kevin P. Malcarney</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rPr>
              <w:t>AIP</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ind w:left="780"/>
              <w:spacing w:after="0" w:line="134" w:lineRule="exact"/>
              <w:rPr>
                <w:sz w:val="20"/>
                <w:szCs w:val="20"/>
                <w:color w:val="auto"/>
              </w:rPr>
            </w:pPr>
            <w:r>
              <w:rPr>
                <w:rFonts w:ascii="Arial" w:cs="Arial" w:eastAsia="Arial" w:hAnsi="Arial"/>
                <w:sz w:val="12"/>
                <w:szCs w:val="12"/>
                <w:color w:val="auto"/>
              </w:rPr>
              <w:t>— $</w:t>
            </w: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60,000</w:t>
            </w:r>
          </w:p>
        </w:tc>
        <w:tc>
          <w:tcPr>
            <w:tcW w:w="1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6"/>
              </w:rPr>
              <w:t>120,000</w:t>
            </w:r>
          </w:p>
        </w:tc>
        <w:tc>
          <w:tcPr>
            <w:tcW w:w="1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240,000</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RPSU</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12/6/2018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10,738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16,107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201,015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RSU</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12/6/2018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99,003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gridSpan w:val="2"/>
          </w:tcPr>
          <w:p>
            <w:pPr>
              <w:spacing w:after="0"/>
              <w:rPr>
                <w:sz w:val="20"/>
                <w:szCs w:val="20"/>
                <w:color w:val="auto"/>
              </w:rPr>
            </w:pPr>
            <w:r>
              <w:rPr>
                <w:rFonts w:ascii="Arial" w:cs="Arial" w:eastAsia="Arial" w:hAnsi="Arial"/>
                <w:sz w:val="12"/>
                <w:szCs w:val="12"/>
                <w:b w:val="1"/>
                <w:bCs w:val="1"/>
                <w:color w:val="auto"/>
              </w:rPr>
              <w:t>Mary-Lee Stillwell</w:t>
            </w:r>
          </w:p>
        </w:tc>
        <w:tc>
          <w:tcPr>
            <w:tcW w:w="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rPr>
              <w:t>AIP</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80" w:type="dxa"/>
            <w:vAlign w:val="bottom"/>
            <w:gridSpan w:val="3"/>
          </w:tcPr>
          <w:p>
            <w:pPr>
              <w:ind w:left="780"/>
              <w:spacing w:after="0"/>
              <w:rPr>
                <w:sz w:val="20"/>
                <w:szCs w:val="20"/>
                <w:color w:val="auto"/>
              </w:rPr>
            </w:pPr>
            <w:r>
              <w:rPr>
                <w:rFonts w:ascii="Arial" w:cs="Arial" w:eastAsia="Arial" w:hAnsi="Arial"/>
                <w:sz w:val="12"/>
                <w:szCs w:val="12"/>
                <w:color w:val="auto"/>
              </w:rPr>
              <w:t>— $</w:t>
            </w:r>
          </w:p>
        </w:tc>
        <w:tc>
          <w:tcPr>
            <w:tcW w:w="480" w:type="dxa"/>
            <w:vAlign w:val="bottom"/>
          </w:tcPr>
          <w:p>
            <w:pPr>
              <w:jc w:val="right"/>
              <w:spacing w:after="0"/>
              <w:rPr>
                <w:sz w:val="20"/>
                <w:szCs w:val="20"/>
                <w:color w:val="auto"/>
              </w:rPr>
            </w:pPr>
            <w:r>
              <w:rPr>
                <w:rFonts w:ascii="Arial" w:cs="Arial" w:eastAsia="Arial" w:hAnsi="Arial"/>
                <w:sz w:val="12"/>
                <w:szCs w:val="12"/>
                <w:color w:val="auto"/>
              </w:rPr>
              <w:t>59,000</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118,000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236,000</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RPSU</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94"/>
              </w:rPr>
              <w:t>RSU</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1/2/2019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12/6/2018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12,864</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221,261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600" w:hanging="478"/>
        <w:spacing w:after="0"/>
        <w:tabs>
          <w:tab w:leader="none" w:pos="16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Threshold non-equity incentive plan awards include annual incentive plan threshold payments, as presented in the CD&amp;A.</w:t>
      </w:r>
    </w:p>
    <w:p>
      <w:pPr>
        <w:spacing w:after="0" w:line="116" w:lineRule="exact"/>
        <w:rPr>
          <w:rFonts w:ascii="Arial" w:cs="Arial" w:eastAsia="Arial" w:hAnsi="Arial"/>
          <w:sz w:val="12"/>
          <w:szCs w:val="12"/>
          <w:color w:val="auto"/>
        </w:rPr>
      </w:pPr>
    </w:p>
    <w:p>
      <w:pPr>
        <w:ind w:left="1600" w:hanging="478"/>
        <w:spacing w:after="0"/>
        <w:tabs>
          <w:tab w:leader="none" w:pos="16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Target non-equity incentive plan awards include annual incentive plan target payments, as presented in the CD&amp;A.</w:t>
      </w:r>
    </w:p>
    <w:p>
      <w:pPr>
        <w:spacing w:after="0" w:line="116" w:lineRule="exact"/>
        <w:rPr>
          <w:rFonts w:ascii="Arial" w:cs="Arial" w:eastAsia="Arial" w:hAnsi="Arial"/>
          <w:sz w:val="12"/>
          <w:szCs w:val="12"/>
          <w:color w:val="auto"/>
        </w:rPr>
      </w:pPr>
    </w:p>
    <w:p>
      <w:pPr>
        <w:ind w:left="1600" w:hanging="478"/>
        <w:spacing w:after="0"/>
        <w:tabs>
          <w:tab w:leader="none" w:pos="16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Maximum non-equity incentive plan awards include annual incentive plan maximum payments, as presented in the CD&amp;A.</w:t>
      </w:r>
    </w:p>
    <w:p>
      <w:pPr>
        <w:spacing w:after="0" w:line="116" w:lineRule="exact"/>
        <w:rPr>
          <w:rFonts w:ascii="Arial" w:cs="Arial" w:eastAsia="Arial" w:hAnsi="Arial"/>
          <w:sz w:val="12"/>
          <w:szCs w:val="12"/>
          <w:color w:val="auto"/>
        </w:rPr>
      </w:pPr>
    </w:p>
    <w:p>
      <w:pPr>
        <w:ind w:left="1600" w:hanging="478"/>
        <w:spacing w:after="0" w:line="246" w:lineRule="auto"/>
        <w:tabs>
          <w:tab w:leader="none" w:pos="16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Reflects the grant date fair value determined in accordance with the Financial Accounting Standards Board Accounting Standards Codification Topic 718, Comparison—Stock Compensation. The Company uses the Class C common stock price on the date of grant as the fair value of the Company's RSUs. The fair value of RPSUs is estimated on the date of grant using a Monte Carlo simulation model.</w:t>
      </w:r>
    </w:p>
    <w:p>
      <w:pPr>
        <w:spacing w:after="0" w:line="361"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Outstanding Equity Awards at Fiscal Year End</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Fiscal Year Ended December 31, 2019</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2"/>
                <w:szCs w:val="12"/>
                <w:b w:val="1"/>
                <w:bCs w:val="1"/>
                <w:color w:val="auto"/>
              </w:rPr>
              <w:t>Stock Awards</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1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Number</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7"/>
              </w:rPr>
              <w:t>Market Value</w:t>
            </w:r>
          </w:p>
        </w:tc>
        <w:tc>
          <w:tcPr>
            <w:tcW w:w="1700" w:type="dxa"/>
            <w:vAlign w:val="bottom"/>
            <w:tcBorders>
              <w:bottom w:val="single" w:sz="8" w:color="auto"/>
            </w:tcBorders>
            <w:gridSpan w:val="3"/>
          </w:tcPr>
          <w:p>
            <w:pPr>
              <w:jc w:val="right"/>
              <w:ind w:right="19"/>
              <w:spacing w:after="0" w:line="126" w:lineRule="exact"/>
              <w:rPr>
                <w:sz w:val="20"/>
                <w:szCs w:val="20"/>
                <w:color w:val="auto"/>
              </w:rPr>
            </w:pPr>
            <w:r>
              <w:rPr>
                <w:rFonts w:ascii="Arial" w:cs="Arial" w:eastAsia="Arial" w:hAnsi="Arial"/>
                <w:sz w:val="12"/>
                <w:szCs w:val="12"/>
                <w:b w:val="1"/>
                <w:bCs w:val="1"/>
                <w:color w:val="auto"/>
                <w:w w:val="95"/>
              </w:rPr>
              <w:t>Equity Incentive Plan Awards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Securities</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Securities</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of Shares</w:t>
            </w:r>
          </w:p>
        </w:tc>
        <w:tc>
          <w:tcPr>
            <w:tcW w:w="140" w:type="dxa"/>
            <w:vAlign w:val="bottom"/>
          </w:tcPr>
          <w:p>
            <w:pPr>
              <w:spacing w:after="0"/>
              <w:rPr>
                <w:sz w:val="10"/>
                <w:szCs w:val="10"/>
                <w:color w:val="auto"/>
              </w:rPr>
            </w:pPr>
          </w:p>
        </w:tc>
        <w:tc>
          <w:tcPr>
            <w:tcW w:w="880" w:type="dxa"/>
            <w:vAlign w:val="bottom"/>
            <w:gridSpan w:val="2"/>
          </w:tcPr>
          <w:p>
            <w:pPr>
              <w:jc w:val="center"/>
              <w:ind w:right="160"/>
              <w:spacing w:after="0" w:line="122" w:lineRule="exact"/>
              <w:rPr>
                <w:sz w:val="20"/>
                <w:szCs w:val="20"/>
                <w:color w:val="auto"/>
              </w:rPr>
            </w:pPr>
            <w:r>
              <w:rPr>
                <w:rFonts w:ascii="Arial" w:cs="Arial" w:eastAsia="Arial" w:hAnsi="Arial"/>
                <w:sz w:val="12"/>
                <w:szCs w:val="12"/>
                <w:b w:val="1"/>
                <w:bCs w:val="1"/>
                <w:color w:val="auto"/>
                <w:w w:val="91"/>
              </w:rPr>
              <w:t>of Shares or</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Underlying</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or Units of</w:t>
            </w: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89"/>
              </w:rPr>
              <w:t>Units of</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Unearned</w:t>
            </w:r>
          </w:p>
        </w:tc>
        <w:tc>
          <w:tcPr>
            <w:tcW w:w="140" w:type="dxa"/>
            <w:vAlign w:val="bottom"/>
          </w:tcPr>
          <w:p>
            <w:pPr>
              <w:spacing w:after="0"/>
              <w:rPr>
                <w:sz w:val="11"/>
                <w:szCs w:val="11"/>
                <w:color w:val="auto"/>
              </w:rPr>
            </w:pPr>
          </w:p>
        </w:tc>
        <w:tc>
          <w:tcPr>
            <w:tcW w:w="10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7"/>
              </w:rPr>
              <w:t>Market Value</w:t>
            </w: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Unexercised</w:t>
            </w:r>
          </w:p>
        </w:tc>
        <w:tc>
          <w:tcPr>
            <w:tcW w:w="140" w:type="dxa"/>
            <w:vAlign w:val="bottom"/>
          </w:tcPr>
          <w:p>
            <w:pPr>
              <w:spacing w:after="0"/>
              <w:rPr>
                <w:sz w:val="11"/>
                <w:szCs w:val="11"/>
                <w:color w:val="auto"/>
              </w:rPr>
            </w:pP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6"/>
              </w:rPr>
              <w:t>Unexercised</w:t>
            </w:r>
          </w:p>
        </w:tc>
        <w:tc>
          <w:tcPr>
            <w:tcW w:w="160" w:type="dxa"/>
            <w:vAlign w:val="bottom"/>
          </w:tcPr>
          <w:p>
            <w:pPr>
              <w:spacing w:after="0"/>
              <w:rPr>
                <w:sz w:val="11"/>
                <w:szCs w:val="11"/>
                <w:color w:val="auto"/>
              </w:rPr>
            </w:pPr>
          </w:p>
        </w:tc>
        <w:tc>
          <w:tcPr>
            <w:tcW w:w="4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Option</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Stock that</w:t>
            </w: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89"/>
              </w:rPr>
              <w:t>Stock that</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Shares that</w:t>
            </w:r>
          </w:p>
        </w:tc>
        <w:tc>
          <w:tcPr>
            <w:tcW w:w="140" w:type="dxa"/>
            <w:vAlign w:val="bottom"/>
          </w:tcPr>
          <w:p>
            <w:pPr>
              <w:spacing w:after="0"/>
              <w:rPr>
                <w:sz w:val="11"/>
                <w:szCs w:val="11"/>
                <w:color w:val="auto"/>
              </w:rPr>
            </w:pPr>
          </w:p>
        </w:tc>
        <w:tc>
          <w:tcPr>
            <w:tcW w:w="10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1"/>
              </w:rPr>
              <w:t>of Unearned</w:t>
            </w: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Options</w:t>
            </w:r>
          </w:p>
        </w:tc>
        <w:tc>
          <w:tcPr>
            <w:tcW w:w="140" w:type="dxa"/>
            <w:vAlign w:val="bottom"/>
          </w:tcPr>
          <w:p>
            <w:pPr>
              <w:spacing w:after="0"/>
              <w:rPr>
                <w:sz w:val="11"/>
                <w:szCs w:val="11"/>
                <w:color w:val="auto"/>
              </w:rPr>
            </w:pP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Options</w:t>
            </w:r>
          </w:p>
        </w:tc>
        <w:tc>
          <w:tcPr>
            <w:tcW w:w="160" w:type="dxa"/>
            <w:vAlign w:val="bottom"/>
          </w:tcPr>
          <w:p>
            <w:pPr>
              <w:spacing w:after="0"/>
              <w:rPr>
                <w:sz w:val="11"/>
                <w:szCs w:val="11"/>
                <w:color w:val="auto"/>
              </w:rPr>
            </w:pPr>
          </w:p>
        </w:tc>
        <w:tc>
          <w:tcPr>
            <w:tcW w:w="4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Option</w:t>
            </w: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6"/>
              </w:rPr>
              <w:t>Have Not</w:t>
            </w: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2"/>
              </w:rPr>
              <w:t>Have Not</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Have</w:t>
            </w:r>
          </w:p>
        </w:tc>
        <w:tc>
          <w:tcPr>
            <w:tcW w:w="140" w:type="dxa"/>
            <w:vAlign w:val="bottom"/>
          </w:tcPr>
          <w:p>
            <w:pPr>
              <w:spacing w:after="0"/>
              <w:rPr>
                <w:sz w:val="11"/>
                <w:szCs w:val="11"/>
                <w:color w:val="auto"/>
              </w:rPr>
            </w:pPr>
          </w:p>
        </w:tc>
        <w:tc>
          <w:tcPr>
            <w:tcW w:w="10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0"/>
              </w:rPr>
              <w:t>Shares that Have</w:t>
            </w: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center"/>
              <w:ind w:left="79"/>
              <w:spacing w:after="0" w:line="134" w:lineRule="exact"/>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1"/>
                <w:szCs w:val="11"/>
                <w:color w:val="auto"/>
              </w:rPr>
            </w:pPr>
          </w:p>
        </w:tc>
        <w:tc>
          <w:tcPr>
            <w:tcW w:w="4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Price</w:t>
            </w:r>
          </w:p>
        </w:tc>
        <w:tc>
          <w:tcPr>
            <w:tcW w:w="14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Expiration</w:t>
            </w: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6"/>
              </w:rPr>
              <w:t>Vested</w:t>
            </w: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81"/>
              </w:rPr>
              <w:t>Vested</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Not Vested</w:t>
            </w:r>
          </w:p>
        </w:tc>
        <w:tc>
          <w:tcPr>
            <w:tcW w:w="140" w:type="dxa"/>
            <w:vAlign w:val="bottom"/>
          </w:tcPr>
          <w:p>
            <w:pPr>
              <w:spacing w:after="0"/>
              <w:rPr>
                <w:sz w:val="11"/>
                <w:szCs w:val="11"/>
                <w:color w:val="auto"/>
              </w:rPr>
            </w:pPr>
          </w:p>
        </w:tc>
        <w:tc>
          <w:tcPr>
            <w:tcW w:w="10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89"/>
              </w:rPr>
              <w:t>Not Vested</w:t>
            </w:r>
          </w:p>
        </w:tc>
        <w:tc>
          <w:tcPr>
            <w:tcW w:w="0" w:type="dxa"/>
            <w:vAlign w:val="bottom"/>
          </w:tcPr>
          <w:p>
            <w:pPr>
              <w:spacing w:after="0"/>
              <w:rPr>
                <w:sz w:val="1"/>
                <w:szCs w:val="1"/>
                <w:color w:val="auto"/>
              </w:rPr>
            </w:pPr>
          </w:p>
        </w:tc>
      </w:tr>
      <w:tr>
        <w:trPr>
          <w:trHeight w:val="158"/>
        </w:trPr>
        <w:tc>
          <w:tcPr>
            <w:tcW w:w="25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9"/>
              </w:rPr>
              <w:t>Exercisable</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0"/>
              </w:rPr>
              <w:t>Unexercisable</w:t>
            </w:r>
          </w:p>
        </w:tc>
        <w:tc>
          <w:tcPr>
            <w:tcW w:w="640" w:type="dxa"/>
            <w:vAlign w:val="bottom"/>
            <w:gridSpan w:val="2"/>
          </w:tcPr>
          <w:p>
            <w:pPr>
              <w:jc w:val="center"/>
              <w:ind w:left="79"/>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760" w:type="dxa"/>
            <w:vAlign w:val="bottom"/>
            <w:gridSpan w:val="2"/>
          </w:tcPr>
          <w:p>
            <w:pPr>
              <w:jc w:val="center"/>
              <w:ind w:left="83"/>
              <w:spacing w:after="0"/>
              <w:rPr>
                <w:sz w:val="20"/>
                <w:szCs w:val="20"/>
                <w:color w:val="auto"/>
              </w:rPr>
            </w:pPr>
            <w:r>
              <w:rPr>
                <w:rFonts w:ascii="Arial" w:cs="Arial" w:eastAsia="Arial" w:hAnsi="Arial"/>
                <w:sz w:val="12"/>
                <w:szCs w:val="12"/>
                <w:b w:val="1"/>
                <w:bCs w:val="1"/>
                <w:color w:val="auto"/>
                <w:w w:val="95"/>
              </w:rPr>
              <w:t>(#)</w:t>
            </w:r>
          </w:p>
        </w:tc>
        <w:tc>
          <w:tcPr>
            <w:tcW w:w="860" w:type="dxa"/>
            <w:vAlign w:val="bottom"/>
            <w:gridSpan w:val="2"/>
          </w:tcPr>
          <w:p>
            <w:pPr>
              <w:jc w:val="center"/>
              <w:ind w:left="7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64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(1)</w:t>
            </w:r>
          </w:p>
        </w:tc>
        <w:tc>
          <w:tcPr>
            <w:tcW w:w="1060" w:type="dxa"/>
            <w:vAlign w:val="bottom"/>
            <w:gridSpan w:val="2"/>
          </w:tcPr>
          <w:p>
            <w:pPr>
              <w:jc w:val="center"/>
              <w:ind w:left="104"/>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Christopher S. Sotos</w:t>
            </w:r>
          </w:p>
        </w:tc>
        <w:tc>
          <w:tcPr>
            <w:tcW w:w="660" w:type="dxa"/>
            <w:vAlign w:val="bottom"/>
            <w:shd w:val="clear" w:color="auto" w:fill="CCEEFF"/>
          </w:tcPr>
          <w:p>
            <w:pPr>
              <w:ind w:left="52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ind w:left="360"/>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2"/>
              </w:rPr>
              <w:t>—</w:t>
            </w:r>
          </w:p>
        </w:tc>
        <w:tc>
          <w:tcPr>
            <w:tcW w:w="760" w:type="dxa"/>
            <w:vAlign w:val="bottom"/>
            <w:gridSpan w:val="2"/>
            <w:shd w:val="clear" w:color="auto" w:fill="CCEEFF"/>
          </w:tcPr>
          <w:p>
            <w:pPr>
              <w:jc w:val="right"/>
              <w:spacing w:after="0" w:line="150" w:lineRule="exact"/>
              <w:rPr>
                <w:sz w:val="20"/>
                <w:szCs w:val="20"/>
                <w:color w:val="auto"/>
              </w:rPr>
            </w:pPr>
            <w:r>
              <w:rPr>
                <w:rFonts w:ascii="Arial" w:cs="Arial" w:eastAsia="Arial" w:hAnsi="Arial"/>
                <w:sz w:val="11"/>
                <w:szCs w:val="11"/>
                <w:color w:val="auto"/>
              </w:rPr>
              <w:t>52,266</w:t>
            </w:r>
            <w:r>
              <w:rPr>
                <w:rFonts w:ascii="Arial" w:cs="Arial" w:eastAsia="Arial" w:hAnsi="Arial"/>
                <w:sz w:val="17"/>
                <w:szCs w:val="17"/>
                <w:color w:val="auto"/>
                <w:vertAlign w:val="superscript"/>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1,042,707</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0" w:lineRule="exact"/>
              <w:rPr>
                <w:sz w:val="20"/>
                <w:szCs w:val="20"/>
                <w:color w:val="auto"/>
              </w:rPr>
            </w:pPr>
            <w:r>
              <w:rPr>
                <w:rFonts w:ascii="Arial" w:cs="Arial" w:eastAsia="Arial" w:hAnsi="Arial"/>
                <w:sz w:val="11"/>
                <w:szCs w:val="11"/>
                <w:color w:val="auto"/>
              </w:rPr>
              <w:t>133,645</w:t>
            </w:r>
            <w:r>
              <w:rPr>
                <w:rFonts w:ascii="Arial" w:cs="Arial" w:eastAsia="Arial" w:hAnsi="Arial"/>
                <w:sz w:val="17"/>
                <w:szCs w:val="17"/>
                <w:color w:val="auto"/>
                <w:vertAlign w:val="superscript"/>
              </w:rPr>
              <w:t>(3)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2,666,218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60" w:type="dxa"/>
            <w:vAlign w:val="bottom"/>
            <w:gridSpan w:val="3"/>
          </w:tcPr>
          <w:p>
            <w:pPr>
              <w:spacing w:after="0"/>
              <w:rPr>
                <w:sz w:val="20"/>
                <w:szCs w:val="20"/>
                <w:color w:val="auto"/>
              </w:rPr>
            </w:pPr>
            <w:r>
              <w:rPr>
                <w:rFonts w:ascii="Arial" w:cs="Arial" w:eastAsia="Arial" w:hAnsi="Arial"/>
                <w:sz w:val="12"/>
                <w:szCs w:val="12"/>
                <w:b w:val="1"/>
                <w:bCs w:val="1"/>
                <w:color w:val="auto"/>
              </w:rPr>
              <w:t>Chad Plotkin</w:t>
            </w:r>
          </w:p>
        </w:tc>
        <w:tc>
          <w:tcPr>
            <w:tcW w:w="660" w:type="dxa"/>
            <w:vAlign w:val="bottom"/>
          </w:tcPr>
          <w:p>
            <w:pPr>
              <w:ind w:left="52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3"/>
                <w:szCs w:val="13"/>
                <w:color w:val="auto"/>
              </w:rPr>
            </w:pPr>
          </w:p>
        </w:tc>
        <w:tc>
          <w:tcPr>
            <w:tcW w:w="480" w:type="dxa"/>
            <w:vAlign w:val="bottom"/>
          </w:tcPr>
          <w:p>
            <w:pPr>
              <w:ind w:left="36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3"/>
                <w:szCs w:val="13"/>
                <w:color w:val="auto"/>
              </w:rPr>
            </w:pP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760" w:type="dxa"/>
            <w:vAlign w:val="bottom"/>
            <w:gridSpan w:val="2"/>
          </w:tcPr>
          <w:p>
            <w:pPr>
              <w:jc w:val="right"/>
              <w:spacing w:after="0" w:line="157" w:lineRule="exact"/>
              <w:rPr>
                <w:sz w:val="20"/>
                <w:szCs w:val="20"/>
                <w:color w:val="auto"/>
              </w:rPr>
            </w:pPr>
            <w:r>
              <w:rPr>
                <w:rFonts w:ascii="Arial" w:cs="Arial" w:eastAsia="Arial" w:hAnsi="Arial"/>
                <w:sz w:val="11"/>
                <w:szCs w:val="11"/>
                <w:color w:val="auto"/>
              </w:rPr>
              <w:t>15,544</w:t>
            </w:r>
            <w:r>
              <w:rPr>
                <w:rFonts w:ascii="Arial" w:cs="Arial" w:eastAsia="Arial" w:hAnsi="Arial"/>
                <w:sz w:val="18"/>
                <w:szCs w:val="18"/>
                <w:color w:val="auto"/>
                <w:vertAlign w:val="superscript"/>
              </w:rPr>
              <w:t>(4)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310,103</w:t>
            </w:r>
          </w:p>
        </w:tc>
        <w:tc>
          <w:tcPr>
            <w:tcW w:w="16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1"/>
                <w:szCs w:val="11"/>
                <w:color w:val="auto"/>
              </w:rPr>
              <w:t>39,114</w:t>
            </w:r>
            <w:r>
              <w:rPr>
                <w:rFonts w:ascii="Arial" w:cs="Arial" w:eastAsia="Arial" w:hAnsi="Arial"/>
                <w:sz w:val="18"/>
                <w:szCs w:val="18"/>
                <w:color w:val="auto"/>
                <w:vertAlign w:val="superscript"/>
              </w:rPr>
              <w:t>(5)</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780,324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Kevin P. Malcarney</w:t>
            </w:r>
          </w:p>
        </w:tc>
        <w:tc>
          <w:tcPr>
            <w:tcW w:w="660" w:type="dxa"/>
            <w:vAlign w:val="bottom"/>
            <w:shd w:val="clear" w:color="auto" w:fill="CCEEFF"/>
          </w:tcPr>
          <w:p>
            <w:pPr>
              <w:ind w:left="52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ind w:left="360"/>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2"/>
              </w:rPr>
              <w:t>—</w:t>
            </w:r>
          </w:p>
        </w:tc>
        <w:tc>
          <w:tcPr>
            <w:tcW w:w="7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1"/>
                <w:szCs w:val="11"/>
                <w:color w:val="auto"/>
              </w:rPr>
              <w:t>20,046</w:t>
            </w:r>
            <w:r>
              <w:rPr>
                <w:rFonts w:ascii="Arial" w:cs="Arial" w:eastAsia="Arial" w:hAnsi="Arial"/>
                <w:sz w:val="18"/>
                <w:szCs w:val="18"/>
                <w:color w:val="auto"/>
                <w:vertAlign w:val="superscript"/>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399,918</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1"/>
                <w:szCs w:val="11"/>
                <w:color w:val="auto"/>
              </w:rPr>
              <w:t>10,738</w:t>
            </w:r>
            <w:r>
              <w:rPr>
                <w:rFonts w:ascii="Arial" w:cs="Arial" w:eastAsia="Arial" w:hAnsi="Arial"/>
                <w:sz w:val="18"/>
                <w:szCs w:val="18"/>
                <w:color w:val="auto"/>
                <w:vertAlign w:val="superscript"/>
              </w:rPr>
              <w:t>(7)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214,223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Mary-Lee Stillwell</w:t>
            </w:r>
          </w:p>
        </w:tc>
        <w:tc>
          <w:tcPr>
            <w:tcW w:w="960" w:type="dxa"/>
            <w:vAlign w:val="bottom"/>
          </w:tcPr>
          <w:p>
            <w:pPr>
              <w:spacing w:after="0"/>
              <w:rPr>
                <w:sz w:val="22"/>
                <w:szCs w:val="22"/>
                <w:color w:val="auto"/>
              </w:rPr>
            </w:pPr>
          </w:p>
        </w:tc>
        <w:tc>
          <w:tcPr>
            <w:tcW w:w="660" w:type="dxa"/>
            <w:vAlign w:val="bottom"/>
          </w:tcPr>
          <w:p>
            <w:pPr>
              <w:ind w:left="52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22"/>
                <w:szCs w:val="22"/>
                <w:color w:val="auto"/>
              </w:rPr>
            </w:pP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22"/>
                <w:szCs w:val="22"/>
                <w:color w:val="auto"/>
              </w:rPr>
            </w:pPr>
          </w:p>
        </w:tc>
        <w:tc>
          <w:tcPr>
            <w:tcW w:w="480" w:type="dxa"/>
            <w:vAlign w:val="bottom"/>
          </w:tcPr>
          <w:p>
            <w:pPr>
              <w:ind w:left="36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22"/>
                <w:szCs w:val="22"/>
                <w:color w:val="auto"/>
              </w:rPr>
            </w:pP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24,916</w:t>
            </w:r>
            <w:r>
              <w:rPr>
                <w:rFonts w:ascii="Arial" w:cs="Arial" w:eastAsia="Arial" w:hAnsi="Arial"/>
                <w:sz w:val="20"/>
                <w:szCs w:val="20"/>
                <w:color w:val="auto"/>
                <w:vertAlign w:val="superscript"/>
              </w:rPr>
              <w:t>(8)</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497,074</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600" w:hanging="478"/>
        <w:spacing w:after="0"/>
        <w:tabs>
          <w:tab w:leader="none" w:pos="16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Assumes achievement at target award level for 2017, 2018 and 2019 RPSU awards as discussed in the CD&amp;A.</w:t>
      </w:r>
    </w:p>
    <w:p>
      <w:pPr>
        <w:spacing w:after="0" w:line="116" w:lineRule="exact"/>
        <w:rPr>
          <w:rFonts w:ascii="Arial" w:cs="Arial" w:eastAsia="Arial" w:hAnsi="Arial"/>
          <w:sz w:val="12"/>
          <w:szCs w:val="12"/>
          <w:color w:val="auto"/>
        </w:rPr>
      </w:pPr>
    </w:p>
    <w:p>
      <w:pPr>
        <w:ind w:left="1600" w:right="40" w:hanging="478"/>
        <w:spacing w:after="0" w:line="260" w:lineRule="auto"/>
        <w:tabs>
          <w:tab w:leader="none" w:pos="16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This amount represents 16,840 RSUs that vested on January 2, 2020, 8,776 RSUs that vested on January 3, 2020, 16,861 RSUs that will vest on January 2, 2021, and 9,789 RSUs that will vest on January 2, 2022.</w:t>
      </w:r>
    </w:p>
    <w:p>
      <w:pPr>
        <w:spacing w:after="0" w:line="89" w:lineRule="exact"/>
        <w:rPr>
          <w:rFonts w:ascii="Arial" w:cs="Arial" w:eastAsia="Arial" w:hAnsi="Arial"/>
          <w:sz w:val="12"/>
          <w:szCs w:val="12"/>
          <w:color w:val="auto"/>
        </w:rPr>
      </w:pPr>
    </w:p>
    <w:p>
      <w:pPr>
        <w:ind w:left="1600" w:right="60" w:hanging="478"/>
        <w:spacing w:after="0" w:line="260" w:lineRule="auto"/>
        <w:tabs>
          <w:tab w:leader="none" w:pos="16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This amount represents 39,375 RPSUs that vested on January 3, 2020, 39,599 that will vest on January 2, 2021, and 54,671 that will vest on January 2, 2022. On January 3, 2020, the 2017 RPSU award vested at 157% of target based on the Company's TSR performance ranked against the TSR performance of the Performance Peer Group.</w:t>
      </w:r>
    </w:p>
    <w:p>
      <w:pPr>
        <w:spacing w:after="0" w:line="89" w:lineRule="exact"/>
        <w:rPr>
          <w:rFonts w:ascii="Arial" w:cs="Arial" w:eastAsia="Arial" w:hAnsi="Arial"/>
          <w:sz w:val="12"/>
          <w:szCs w:val="12"/>
          <w:color w:val="auto"/>
        </w:rPr>
      </w:pPr>
    </w:p>
    <w:p>
      <w:pPr>
        <w:ind w:left="1600" w:right="160" w:hanging="478"/>
        <w:spacing w:after="0" w:line="260" w:lineRule="auto"/>
        <w:tabs>
          <w:tab w:leader="none" w:pos="16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This amount represents 5,017 RSUs that vested on January 2, 2020, 2,458 RSUs that vested on January 3, 2020, 5,024 RSUs that will vest on January 2, 2021, and 3,045 RSUs that will vest on January 2, 2022.</w:t>
      </w:r>
    </w:p>
    <w:p>
      <w:pPr>
        <w:spacing w:after="0" w:line="89" w:lineRule="exact"/>
        <w:rPr>
          <w:rFonts w:ascii="Arial" w:cs="Arial" w:eastAsia="Arial" w:hAnsi="Arial"/>
          <w:sz w:val="12"/>
          <w:szCs w:val="12"/>
          <w:color w:val="auto"/>
        </w:rPr>
      </w:pPr>
    </w:p>
    <w:p>
      <w:pPr>
        <w:ind w:left="1600" w:right="60" w:hanging="478"/>
        <w:spacing w:after="0" w:line="260" w:lineRule="auto"/>
        <w:tabs>
          <w:tab w:leader="none" w:pos="16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This amount represents 11,025 RPSUs that vested on January 3, 2020, 11,088 that will vest on January 2, 2021, and 17,001 that will vest on January 2, 2022. On January 3, 2020, the 2017 RPSU award vested at 157% of target based on the Company's TSR performance ranked against the TSR performance of the Performance Peer Group.</w:t>
      </w:r>
    </w:p>
    <w:p>
      <w:pPr>
        <w:spacing w:after="0" w:line="89" w:lineRule="exact"/>
        <w:rPr>
          <w:rFonts w:ascii="Arial" w:cs="Arial" w:eastAsia="Arial" w:hAnsi="Arial"/>
          <w:sz w:val="12"/>
          <w:szCs w:val="12"/>
          <w:color w:val="auto"/>
        </w:rPr>
      </w:pPr>
    </w:p>
    <w:p>
      <w:pPr>
        <w:ind w:left="1600" w:right="100" w:hanging="478"/>
        <w:spacing w:after="0" w:line="260" w:lineRule="auto"/>
        <w:tabs>
          <w:tab w:leader="none" w:pos="16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This amount represents 1,916 RSUs that vested on January 2, 2020, 10,967 RSUs that vested on January 3, 2020, 5,240 RSUs that will vest on January 2, 2021, and 1,923 RSUs that will vest on January 2, 2022.</w:t>
      </w:r>
    </w:p>
    <w:p>
      <w:pPr>
        <w:spacing w:after="0" w:line="89" w:lineRule="exact"/>
        <w:rPr>
          <w:rFonts w:ascii="Arial" w:cs="Arial" w:eastAsia="Arial" w:hAnsi="Arial"/>
          <w:sz w:val="12"/>
          <w:szCs w:val="12"/>
          <w:color w:val="auto"/>
        </w:rPr>
      </w:pPr>
    </w:p>
    <w:p>
      <w:pPr>
        <w:ind w:left="1600" w:hanging="478"/>
        <w:spacing w:after="0"/>
        <w:tabs>
          <w:tab w:leader="none" w:pos="16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This amount represents 10,738 RPSUs that will vest on January 2, 2022.</w:t>
      </w:r>
    </w:p>
    <w:p>
      <w:pPr>
        <w:spacing w:after="0" w:line="116" w:lineRule="exact"/>
        <w:rPr>
          <w:rFonts w:ascii="Arial" w:cs="Arial" w:eastAsia="Arial" w:hAnsi="Arial"/>
          <w:sz w:val="12"/>
          <w:szCs w:val="12"/>
          <w:color w:val="auto"/>
        </w:rPr>
      </w:pPr>
    </w:p>
    <w:p>
      <w:pPr>
        <w:ind w:left="1600" w:right="160" w:hanging="478"/>
        <w:spacing w:after="0" w:line="260" w:lineRule="auto"/>
        <w:tabs>
          <w:tab w:leader="none" w:pos="16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This amount represents 4,283 RSUs that vested on January 2, 2020, 9,249 RSUs that vested on January 3, 2020, 7,087 RSUs that will vest on January 2, 2021, and 4,297 RSUs that will vest on January 2, 2022.</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Option Exercises and Stock Vested</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Fiscal Year Ended December 31, 2019</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0" w:type="dxa"/>
            <w:vAlign w:val="bottom"/>
            <w:gridSpan w:val="3"/>
          </w:tcPr>
          <w:p>
            <w:pPr>
              <w:ind w:left="700"/>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Pr>
          <w:p>
            <w:pPr>
              <w:spacing w:after="0"/>
              <w:rPr>
                <w:sz w:val="12"/>
                <w:szCs w:val="12"/>
                <w:color w:val="auto"/>
              </w:rPr>
            </w:pPr>
          </w:p>
        </w:tc>
        <w:tc>
          <w:tcPr>
            <w:tcW w:w="2360" w:type="dxa"/>
            <w:vAlign w:val="bottom"/>
            <w:gridSpan w:val="4"/>
          </w:tcPr>
          <w:p>
            <w:pPr>
              <w:ind w:left="740"/>
              <w:spacing w:after="0"/>
              <w:rPr>
                <w:sz w:val="20"/>
                <w:szCs w:val="20"/>
                <w:color w:val="auto"/>
              </w:rPr>
            </w:pPr>
            <w:r>
              <w:rPr>
                <w:rFonts w:ascii="Arial" w:cs="Arial" w:eastAsia="Arial" w:hAnsi="Arial"/>
                <w:sz w:val="12"/>
                <w:szCs w:val="12"/>
                <w:b w:val="1"/>
                <w:bCs w:val="1"/>
                <w:color w:val="auto"/>
              </w:rPr>
              <w:t>Stock Awards</w:t>
            </w:r>
          </w:p>
        </w:tc>
      </w:tr>
      <w:tr>
        <w:trPr>
          <w:trHeight w:val="126"/>
        </w:trPr>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0"/>
              </w:rPr>
              <w:t>Number of Shares</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0"/>
              </w:rPr>
              <w:t>Number of Shares</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34"/>
        </w:trPr>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1"/>
              </w:rPr>
              <w:t>Acquired on</w:t>
            </w:r>
          </w:p>
        </w:tc>
        <w:tc>
          <w:tcPr>
            <w:tcW w:w="14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Value Realized</w:t>
            </w:r>
          </w:p>
        </w:tc>
        <w:tc>
          <w:tcPr>
            <w:tcW w:w="140" w:type="dxa"/>
            <w:vAlign w:val="bottom"/>
          </w:tcPr>
          <w:p>
            <w:pPr>
              <w:spacing w:after="0"/>
              <w:rPr>
                <w:sz w:val="11"/>
                <w:szCs w:val="11"/>
                <w:color w:val="auto"/>
              </w:rPr>
            </w:pP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Acquired</w:t>
            </w:r>
          </w:p>
        </w:tc>
        <w:tc>
          <w:tcPr>
            <w:tcW w:w="140" w:type="dxa"/>
            <w:vAlign w:val="bottom"/>
          </w:tcPr>
          <w:p>
            <w:pPr>
              <w:spacing w:after="0"/>
              <w:rPr>
                <w:sz w:val="11"/>
                <w:szCs w:val="11"/>
                <w:color w:val="auto"/>
              </w:rPr>
            </w:pPr>
          </w:p>
        </w:tc>
        <w:tc>
          <w:tcPr>
            <w:tcW w:w="10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0"/>
              </w:rPr>
              <w:t>Value Realized</w:t>
            </w:r>
          </w:p>
        </w:tc>
      </w:tr>
      <w:tr>
        <w:trPr>
          <w:trHeight w:val="134"/>
        </w:trPr>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on Exercise</w:t>
            </w:r>
          </w:p>
        </w:tc>
        <w:tc>
          <w:tcPr>
            <w:tcW w:w="140" w:type="dxa"/>
            <w:vAlign w:val="bottom"/>
          </w:tcPr>
          <w:p>
            <w:pPr>
              <w:spacing w:after="0"/>
              <w:rPr>
                <w:sz w:val="11"/>
                <w:szCs w:val="11"/>
                <w:color w:val="auto"/>
              </w:rPr>
            </w:pP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7"/>
              </w:rPr>
              <w:t>on Vesting</w:t>
            </w:r>
          </w:p>
        </w:tc>
        <w:tc>
          <w:tcPr>
            <w:tcW w:w="140" w:type="dxa"/>
            <w:vAlign w:val="bottom"/>
          </w:tcPr>
          <w:p>
            <w:pPr>
              <w:spacing w:after="0"/>
              <w:rPr>
                <w:sz w:val="11"/>
                <w:szCs w:val="11"/>
                <w:color w:val="auto"/>
              </w:rPr>
            </w:pPr>
          </w:p>
        </w:tc>
        <w:tc>
          <w:tcPr>
            <w:tcW w:w="108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84"/>
              </w:rPr>
              <w:t>on Vesting</w:t>
            </w:r>
          </w:p>
        </w:tc>
      </w:tr>
      <w:tr>
        <w:trPr>
          <w:trHeight w:val="158"/>
        </w:trPr>
        <w:tc>
          <w:tcPr>
            <w:tcW w:w="43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060" w:type="dxa"/>
            <w:vAlign w:val="bottom"/>
            <w:gridSpan w:val="2"/>
          </w:tcPr>
          <w:p>
            <w:pPr>
              <w:jc w:val="center"/>
              <w:ind w:left="59"/>
              <w:spacing w:after="0"/>
              <w:rPr>
                <w:sz w:val="20"/>
                <w:szCs w:val="20"/>
                <w:color w:val="auto"/>
              </w:rPr>
            </w:pPr>
            <w:r>
              <w:rPr>
                <w:rFonts w:ascii="Arial" w:cs="Arial" w:eastAsia="Arial" w:hAnsi="Arial"/>
                <w:sz w:val="12"/>
                <w:szCs w:val="12"/>
                <w:b w:val="1"/>
                <w:bCs w:val="1"/>
                <w:color w:val="auto"/>
                <w:w w:val="95"/>
              </w:rPr>
              <w:t>($)</w:t>
            </w:r>
          </w:p>
        </w:tc>
        <w:tc>
          <w:tcPr>
            <w:tcW w:w="1280" w:type="dxa"/>
            <w:vAlign w:val="bottom"/>
            <w:gridSpan w:val="2"/>
          </w:tcPr>
          <w:p>
            <w:pPr>
              <w:jc w:val="center"/>
              <w:ind w:left="66"/>
              <w:spacing w:after="0" w:line="157" w:lineRule="exact"/>
              <w:rPr>
                <w:sz w:val="20"/>
                <w:szCs w:val="20"/>
                <w:color w:val="auto"/>
              </w:rPr>
            </w:pPr>
            <w:r>
              <w:rPr>
                <w:rFonts w:ascii="Arial" w:cs="Arial" w:eastAsia="Arial" w:hAnsi="Arial"/>
                <w:sz w:val="11"/>
                <w:szCs w:val="11"/>
                <w:b w:val="1"/>
                <w:bCs w:val="1"/>
                <w:color w:val="auto"/>
                <w:w w:val="92"/>
              </w:rPr>
              <w:t>(#)</w:t>
            </w:r>
            <w:r>
              <w:rPr>
                <w:rFonts w:ascii="Arial" w:cs="Arial" w:eastAsia="Arial" w:hAnsi="Arial"/>
                <w:sz w:val="18"/>
                <w:szCs w:val="18"/>
                <w:b w:val="1"/>
                <w:bCs w:val="1"/>
                <w:color w:val="auto"/>
                <w:w w:val="92"/>
                <w:vertAlign w:val="superscript"/>
              </w:rPr>
              <w:t>(1)</w:t>
            </w:r>
          </w:p>
        </w:tc>
        <w:tc>
          <w:tcPr>
            <w:tcW w:w="1060" w:type="dxa"/>
            <w:vAlign w:val="bottom"/>
            <w:gridSpan w:val="2"/>
          </w:tcPr>
          <w:p>
            <w:pPr>
              <w:jc w:val="center"/>
              <w:ind w:left="65"/>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43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Christopher S. Sotos</w:t>
            </w:r>
          </w:p>
        </w:tc>
        <w:tc>
          <w:tcPr>
            <w:tcW w:w="114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760"/>
              <w:spacing w:after="0"/>
              <w:rPr>
                <w:sz w:val="20"/>
                <w:szCs w:val="20"/>
                <w:color w:val="auto"/>
              </w:rPr>
            </w:pPr>
            <w:r>
              <w:rPr>
                <w:rFonts w:ascii="Arial" w:cs="Arial" w:eastAsia="Arial" w:hAnsi="Arial"/>
                <w:sz w:val="16"/>
                <w:szCs w:val="16"/>
                <w:color w:val="auto"/>
                <w:w w:val="87"/>
              </w:rPr>
              <w:t>—</w:t>
            </w:r>
          </w:p>
        </w:tc>
        <w:tc>
          <w:tcPr>
            <w:tcW w:w="1280" w:type="dxa"/>
            <w:vAlign w:val="bottom"/>
            <w:gridSpan w:val="2"/>
            <w:shd w:val="clear" w:color="auto" w:fill="CCEEFF"/>
          </w:tcPr>
          <w:p>
            <w:pPr>
              <w:jc w:val="right"/>
              <w:spacing w:after="0" w:line="223" w:lineRule="exact"/>
              <w:rPr>
                <w:sz w:val="20"/>
                <w:szCs w:val="20"/>
                <w:color w:val="auto"/>
              </w:rPr>
            </w:pPr>
            <w:r>
              <w:rPr>
                <w:rFonts w:ascii="Arial" w:cs="Arial" w:eastAsia="Arial" w:hAnsi="Arial"/>
                <w:sz w:val="15"/>
                <w:szCs w:val="15"/>
                <w:color w:val="auto"/>
              </w:rPr>
              <w:t>95,628</w:t>
            </w:r>
            <w:r>
              <w:rPr>
                <w:rFonts w:ascii="Arial" w:cs="Arial" w:eastAsia="Arial" w:hAnsi="Arial"/>
                <w:sz w:val="25"/>
                <w:szCs w:val="25"/>
                <w:color w:val="auto"/>
                <w:vertAlign w:val="superscript"/>
              </w:rPr>
              <w:t>(2)</w:t>
            </w:r>
          </w:p>
        </w:tc>
        <w:tc>
          <w:tcPr>
            <w:tcW w:w="1060" w:type="dxa"/>
            <w:vAlign w:val="bottom"/>
            <w:gridSpan w:val="2"/>
            <w:shd w:val="clear" w:color="auto" w:fill="CCEEFF"/>
          </w:tcPr>
          <w:p>
            <w:pPr>
              <w:jc w:val="right"/>
              <w:spacing w:after="0" w:line="223" w:lineRule="exact"/>
              <w:rPr>
                <w:sz w:val="20"/>
                <w:szCs w:val="20"/>
                <w:color w:val="auto"/>
              </w:rPr>
            </w:pPr>
            <w:r>
              <w:rPr>
                <w:rFonts w:ascii="Arial" w:cs="Arial" w:eastAsia="Arial" w:hAnsi="Arial"/>
                <w:sz w:val="15"/>
                <w:szCs w:val="15"/>
                <w:color w:val="auto"/>
              </w:rPr>
              <w:t>1,676,418</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19"/>
                <w:szCs w:val="19"/>
                <w:color w:val="auto"/>
              </w:rPr>
            </w:pPr>
          </w:p>
        </w:tc>
      </w:tr>
      <w:tr>
        <w:trPr>
          <w:trHeight w:val="231"/>
        </w:trPr>
        <w:tc>
          <w:tcPr>
            <w:tcW w:w="4360" w:type="dxa"/>
            <w:vAlign w:val="bottom"/>
            <w:gridSpan w:val="3"/>
          </w:tcPr>
          <w:p>
            <w:pPr>
              <w:spacing w:after="0"/>
              <w:rPr>
                <w:sz w:val="20"/>
                <w:szCs w:val="20"/>
                <w:color w:val="auto"/>
              </w:rPr>
            </w:pPr>
            <w:r>
              <w:rPr>
                <w:rFonts w:ascii="Arial" w:cs="Arial" w:eastAsia="Arial" w:hAnsi="Arial"/>
                <w:sz w:val="16"/>
                <w:szCs w:val="16"/>
                <w:b w:val="1"/>
                <w:bCs w:val="1"/>
                <w:color w:val="auto"/>
              </w:rPr>
              <w:t>Chad Plotkin</w:t>
            </w:r>
          </w:p>
        </w:tc>
        <w:tc>
          <w:tcPr>
            <w:tcW w:w="1140" w:type="dxa"/>
            <w:vAlign w:val="bottom"/>
          </w:tcPr>
          <w:p>
            <w:pPr>
              <w:ind w:left="9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0"/>
                <w:szCs w:val="20"/>
                <w:color w:val="auto"/>
              </w:rPr>
            </w:pPr>
          </w:p>
        </w:tc>
        <w:tc>
          <w:tcPr>
            <w:tcW w:w="920" w:type="dxa"/>
            <w:vAlign w:val="bottom"/>
          </w:tcPr>
          <w:p>
            <w:pPr>
              <w:ind w:left="760"/>
              <w:spacing w:after="0"/>
              <w:rPr>
                <w:sz w:val="20"/>
                <w:szCs w:val="20"/>
                <w:color w:val="auto"/>
              </w:rPr>
            </w:pPr>
            <w:r>
              <w:rPr>
                <w:rFonts w:ascii="Arial" w:cs="Arial" w:eastAsia="Arial" w:hAnsi="Arial"/>
                <w:sz w:val="16"/>
                <w:szCs w:val="16"/>
                <w:color w:val="auto"/>
                <w:w w:val="87"/>
              </w:rPr>
              <w:t>—</w:t>
            </w:r>
          </w:p>
        </w:tc>
        <w:tc>
          <w:tcPr>
            <w:tcW w:w="1280" w:type="dxa"/>
            <w:vAlign w:val="bottom"/>
            <w:gridSpan w:val="2"/>
          </w:tcPr>
          <w:p>
            <w:pPr>
              <w:jc w:val="right"/>
              <w:spacing w:after="0" w:line="231" w:lineRule="exact"/>
              <w:rPr>
                <w:sz w:val="20"/>
                <w:szCs w:val="20"/>
                <w:color w:val="auto"/>
              </w:rPr>
            </w:pPr>
            <w:r>
              <w:rPr>
                <w:rFonts w:ascii="Arial" w:cs="Arial" w:eastAsia="Arial" w:hAnsi="Arial"/>
                <w:sz w:val="16"/>
                <w:szCs w:val="16"/>
                <w:color w:val="auto"/>
              </w:rPr>
              <w:t>9,801</w:t>
            </w:r>
            <w:r>
              <w:rPr>
                <w:rFonts w:ascii="Arial" w:cs="Arial" w:eastAsia="Arial" w:hAnsi="Arial"/>
                <w:sz w:val="26"/>
                <w:szCs w:val="26"/>
                <w:color w:val="auto"/>
                <w:vertAlign w:val="superscript"/>
              </w:rPr>
              <w:t>(4)</w:t>
            </w:r>
          </w:p>
        </w:tc>
        <w:tc>
          <w:tcPr>
            <w:tcW w:w="1060" w:type="dxa"/>
            <w:vAlign w:val="bottom"/>
            <w:gridSpan w:val="2"/>
          </w:tcPr>
          <w:p>
            <w:pPr>
              <w:jc w:val="right"/>
              <w:spacing w:after="0" w:line="231" w:lineRule="exact"/>
              <w:rPr>
                <w:sz w:val="20"/>
                <w:szCs w:val="20"/>
                <w:color w:val="auto"/>
              </w:rPr>
            </w:pPr>
            <w:r>
              <w:rPr>
                <w:rFonts w:ascii="Arial" w:cs="Arial" w:eastAsia="Arial" w:hAnsi="Arial"/>
                <w:sz w:val="16"/>
                <w:szCs w:val="16"/>
                <w:color w:val="auto"/>
              </w:rPr>
              <w:t>170,136</w:t>
            </w:r>
            <w:r>
              <w:rPr>
                <w:rFonts w:ascii="Arial" w:cs="Arial" w:eastAsia="Arial" w:hAnsi="Arial"/>
                <w:sz w:val="26"/>
                <w:szCs w:val="26"/>
                <w:color w:val="auto"/>
                <w:vertAlign w:val="superscript"/>
              </w:rPr>
              <w:t>(3)</w:t>
            </w:r>
          </w:p>
        </w:tc>
        <w:tc>
          <w:tcPr>
            <w:tcW w:w="160" w:type="dxa"/>
            <w:vAlign w:val="bottom"/>
          </w:tcPr>
          <w:p>
            <w:pPr>
              <w:spacing w:after="0"/>
              <w:rPr>
                <w:sz w:val="20"/>
                <w:szCs w:val="20"/>
                <w:color w:val="auto"/>
              </w:rPr>
            </w:pPr>
          </w:p>
        </w:tc>
      </w:tr>
      <w:tr>
        <w:trPr>
          <w:trHeight w:val="231"/>
        </w:trPr>
        <w:tc>
          <w:tcPr>
            <w:tcW w:w="43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Kevin P. Malcarney</w:t>
            </w:r>
          </w:p>
        </w:tc>
        <w:tc>
          <w:tcPr>
            <w:tcW w:w="114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ind w:left="760"/>
              <w:spacing w:after="0"/>
              <w:rPr>
                <w:sz w:val="20"/>
                <w:szCs w:val="20"/>
                <w:color w:val="auto"/>
              </w:rPr>
            </w:pPr>
            <w:r>
              <w:rPr>
                <w:rFonts w:ascii="Arial" w:cs="Arial" w:eastAsia="Arial" w:hAnsi="Arial"/>
                <w:sz w:val="16"/>
                <w:szCs w:val="16"/>
                <w:color w:val="auto"/>
                <w:w w:val="87"/>
              </w:rPr>
              <w:t>—</w:t>
            </w:r>
          </w:p>
        </w:tc>
        <w:tc>
          <w:tcPr>
            <w:tcW w:w="1280" w:type="dxa"/>
            <w:vAlign w:val="bottom"/>
            <w:gridSpan w:val="2"/>
            <w:shd w:val="clear" w:color="auto" w:fill="CCEEFF"/>
          </w:tcPr>
          <w:p>
            <w:pPr>
              <w:jc w:val="right"/>
              <w:spacing w:after="0" w:line="231" w:lineRule="exact"/>
              <w:rPr>
                <w:sz w:val="20"/>
                <w:szCs w:val="20"/>
                <w:color w:val="auto"/>
              </w:rPr>
            </w:pPr>
            <w:r>
              <w:rPr>
                <w:rFonts w:ascii="Arial" w:cs="Arial" w:eastAsia="Arial" w:hAnsi="Arial"/>
                <w:sz w:val="16"/>
                <w:szCs w:val="16"/>
                <w:color w:val="auto"/>
              </w:rPr>
              <w:t>19,943</w:t>
            </w:r>
            <w:r>
              <w:rPr>
                <w:rFonts w:ascii="Arial" w:cs="Arial" w:eastAsia="Arial" w:hAnsi="Arial"/>
                <w:sz w:val="26"/>
                <w:szCs w:val="26"/>
                <w:color w:val="auto"/>
                <w:vertAlign w:val="superscript"/>
              </w:rPr>
              <w:t>(5)</w:t>
            </w:r>
          </w:p>
        </w:tc>
        <w:tc>
          <w:tcPr>
            <w:tcW w:w="1060" w:type="dxa"/>
            <w:vAlign w:val="bottom"/>
            <w:gridSpan w:val="2"/>
            <w:shd w:val="clear" w:color="auto" w:fill="CCEEFF"/>
          </w:tcPr>
          <w:p>
            <w:pPr>
              <w:jc w:val="right"/>
              <w:spacing w:after="0" w:line="231" w:lineRule="exact"/>
              <w:rPr>
                <w:sz w:val="20"/>
                <w:szCs w:val="20"/>
                <w:color w:val="auto"/>
              </w:rPr>
            </w:pPr>
            <w:r>
              <w:rPr>
                <w:rFonts w:ascii="Arial" w:cs="Arial" w:eastAsia="Arial" w:hAnsi="Arial"/>
                <w:sz w:val="16"/>
                <w:szCs w:val="16"/>
                <w:color w:val="auto"/>
              </w:rPr>
              <w:t>351,612</w:t>
            </w:r>
            <w:r>
              <w:rPr>
                <w:rFonts w:ascii="Arial" w:cs="Arial" w:eastAsia="Arial" w:hAnsi="Arial"/>
                <w:sz w:val="26"/>
                <w:szCs w:val="26"/>
                <w:color w:val="auto"/>
                <w:vertAlign w:val="superscript"/>
              </w:rPr>
              <w:t>(6)</w:t>
            </w:r>
          </w:p>
        </w:tc>
        <w:tc>
          <w:tcPr>
            <w:tcW w:w="160" w:type="dxa"/>
            <w:vAlign w:val="bottom"/>
            <w:shd w:val="clear" w:color="auto" w:fill="CCEEFF"/>
          </w:tcPr>
          <w:p>
            <w:pPr>
              <w:spacing w:after="0"/>
              <w:rPr>
                <w:sz w:val="20"/>
                <w:szCs w:val="20"/>
                <w:color w:val="auto"/>
              </w:rPr>
            </w:pPr>
          </w:p>
        </w:tc>
      </w:tr>
      <w:tr>
        <w:trPr>
          <w:trHeight w:val="328"/>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Mary-Lee Stillwell</w:t>
            </w:r>
          </w:p>
        </w:tc>
        <w:tc>
          <w:tcPr>
            <w:tcW w:w="2380" w:type="dxa"/>
            <w:vAlign w:val="bottom"/>
          </w:tcPr>
          <w:p>
            <w:pPr>
              <w:spacing w:after="0"/>
              <w:rPr>
                <w:sz w:val="24"/>
                <w:szCs w:val="24"/>
                <w:color w:val="auto"/>
              </w:rPr>
            </w:pPr>
          </w:p>
        </w:tc>
        <w:tc>
          <w:tcPr>
            <w:tcW w:w="1140" w:type="dxa"/>
            <w:vAlign w:val="bottom"/>
          </w:tcPr>
          <w:p>
            <w:pPr>
              <w:ind w:left="9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4"/>
                <w:szCs w:val="24"/>
                <w:color w:val="auto"/>
              </w:rPr>
            </w:pPr>
          </w:p>
        </w:tc>
        <w:tc>
          <w:tcPr>
            <w:tcW w:w="920" w:type="dxa"/>
            <w:vAlign w:val="bottom"/>
          </w:tcPr>
          <w:p>
            <w:pPr>
              <w:ind w:left="760"/>
              <w:spacing w:after="0"/>
              <w:rPr>
                <w:sz w:val="20"/>
                <w:szCs w:val="20"/>
                <w:color w:val="auto"/>
              </w:rPr>
            </w:pPr>
            <w:r>
              <w:rPr>
                <w:rFonts w:ascii="Arial" w:cs="Arial" w:eastAsia="Arial" w:hAnsi="Arial"/>
                <w:sz w:val="16"/>
                <w:szCs w:val="16"/>
                <w:color w:val="auto"/>
                <w:w w:val="87"/>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16,523</w:t>
            </w:r>
            <w:r>
              <w:rPr>
                <w:rFonts w:ascii="Arial" w:cs="Arial" w:eastAsia="Arial" w:hAnsi="Arial"/>
                <w:sz w:val="26"/>
                <w:szCs w:val="26"/>
                <w:color w:val="auto"/>
                <w:vertAlign w:val="superscript"/>
              </w:rPr>
              <w:t>(7)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291,303</w:t>
            </w:r>
            <w:r>
              <w:rPr>
                <w:rFonts w:ascii="Arial" w:cs="Arial" w:eastAsia="Arial" w:hAnsi="Arial"/>
                <w:sz w:val="26"/>
                <w:szCs w:val="26"/>
                <w:color w:val="auto"/>
                <w:vertAlign w:val="superscript"/>
              </w:rPr>
              <w:t>(6)</w:t>
            </w:r>
          </w:p>
        </w:tc>
        <w:tc>
          <w:tcPr>
            <w:tcW w:w="160" w:type="dxa"/>
            <w:vAlign w:val="bottom"/>
          </w:tcPr>
          <w:p>
            <w:pPr>
              <w:spacing w:after="0"/>
              <w:rPr>
                <w:sz w:val="24"/>
                <w:szCs w:val="24"/>
                <w:color w:val="auto"/>
              </w:rPr>
            </w:pPr>
          </w:p>
        </w:tc>
      </w:tr>
    </w:tbl>
    <w:p>
      <w:pPr>
        <w:spacing w:after="0" w:line="197" w:lineRule="exact"/>
        <w:rPr>
          <w:sz w:val="20"/>
          <w:szCs w:val="20"/>
          <w:color w:val="auto"/>
        </w:rPr>
      </w:pPr>
    </w:p>
    <w:p>
      <w:pPr>
        <w:ind w:left="1600" w:hanging="478"/>
        <w:spacing w:after="0"/>
        <w:tabs>
          <w:tab w:leader="none" w:pos="1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shares and DERs that vested pursuant to underlying awards and converted to Class C common stock in 2019.</w:t>
      </w:r>
    </w:p>
    <w:p>
      <w:pPr>
        <w:spacing w:after="0" w:line="228" w:lineRule="exact"/>
        <w:rPr>
          <w:rFonts w:ascii="Arial" w:cs="Arial" w:eastAsia="Arial" w:hAnsi="Arial"/>
          <w:sz w:val="16"/>
          <w:szCs w:val="16"/>
          <w:color w:val="auto"/>
        </w:rPr>
      </w:pPr>
    </w:p>
    <w:p>
      <w:pPr>
        <w:ind w:left="1600" w:hanging="478"/>
        <w:spacing w:after="0" w:line="319" w:lineRule="auto"/>
        <w:tabs>
          <w:tab w:leader="none" w:pos="1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7,080 RSUs and 509 DERs that vested on January 2, 2019 pursuant to the stock compensation award granted on January 2, 2018. Represents 8,749 RSUs and 1,207 DERs that vested on January 3, 2019 pursuant to the stock compensation award granted on January 3, 2017. Represents 66,559 RSUs and 11,524 DERs that vested on January 4, 2019 pursuant to the stock compensation award granted on August 8, 2016.</w:t>
      </w:r>
    </w:p>
    <w:p>
      <w:pPr>
        <w:spacing w:after="0" w:line="147" w:lineRule="exact"/>
        <w:rPr>
          <w:rFonts w:ascii="Arial" w:cs="Arial" w:eastAsia="Arial" w:hAnsi="Arial"/>
          <w:sz w:val="14"/>
          <w:szCs w:val="14"/>
          <w:color w:val="auto"/>
        </w:rPr>
      </w:pPr>
    </w:p>
    <w:p>
      <w:pPr>
        <w:ind w:left="1600" w:right="40" w:hanging="478"/>
        <w:spacing w:after="0" w:line="319" w:lineRule="auto"/>
        <w:tabs>
          <w:tab w:leader="none" w:pos="1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values are based on January 2, 2019 Class C common stock closing share price of $17.20 for awards and DERs that vested on January 2, 2019. The values are based on January 3, 2019 Class C common stock closing share price of $17.00 for awards and DERs that vested on January 3, 2019. The values are based on January 4, 2019 Class C common stock closing share price of $17.63 for awards and DERs that vested on January 4, 2019.</w:t>
      </w:r>
    </w:p>
    <w:p>
      <w:pPr>
        <w:spacing w:after="0" w:line="147" w:lineRule="exact"/>
        <w:rPr>
          <w:rFonts w:ascii="Arial" w:cs="Arial" w:eastAsia="Arial" w:hAnsi="Arial"/>
          <w:sz w:val="14"/>
          <w:szCs w:val="14"/>
          <w:color w:val="auto"/>
        </w:rPr>
      </w:pPr>
    </w:p>
    <w:p>
      <w:pPr>
        <w:ind w:left="1600" w:hanging="478"/>
        <w:spacing w:after="0" w:line="319" w:lineRule="auto"/>
        <w:tabs>
          <w:tab w:leader="none" w:pos="1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1,982 RSUs and 142 DERs that vested on January 2, 2019 pursuant to the stock compensation award granted on January 2, 2018. Represents 2,450 RSUs and 338 DERs that vested on January 3, 2019 pursuant to the stock compensation award granted on January 3, 2017. Represents 4,226 RSUs and 663 DERs that vested on January 4, 2019 pursuant to the stock compensation award granted on November 7, 2016.</w:t>
      </w:r>
    </w:p>
    <w:p>
      <w:pPr>
        <w:spacing w:after="0" w:line="159" w:lineRule="exact"/>
        <w:rPr>
          <w:rFonts w:ascii="Arial" w:cs="Arial" w:eastAsia="Arial" w:hAnsi="Arial"/>
          <w:sz w:val="14"/>
          <w:szCs w:val="14"/>
          <w:color w:val="auto"/>
        </w:rPr>
      </w:pPr>
    </w:p>
    <w:p>
      <w:pPr>
        <w:ind w:left="1600" w:hanging="478"/>
        <w:spacing w:after="0"/>
        <w:tabs>
          <w:tab w:leader="none" w:pos="16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18,942 RSUs and 1,001 DERs that vested on January 4, 2019 pursuant to the stock compensation award granted on May 11, 2018.</w:t>
      </w:r>
    </w:p>
    <w:p>
      <w:pPr>
        <w:spacing w:after="0" w:line="228" w:lineRule="exact"/>
        <w:rPr>
          <w:rFonts w:ascii="Arial" w:cs="Arial" w:eastAsia="Arial" w:hAnsi="Arial"/>
          <w:sz w:val="15"/>
          <w:szCs w:val="15"/>
          <w:color w:val="auto"/>
        </w:rPr>
      </w:pPr>
    </w:p>
    <w:p>
      <w:pPr>
        <w:ind w:left="1600" w:hanging="478"/>
        <w:spacing w:after="0"/>
        <w:tabs>
          <w:tab w:leader="none" w:pos="1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values are based on January 4, 2019 Class C common stock closing share price of $17.63 for awards and DERs that vested on January 4, 2019.</w:t>
      </w:r>
    </w:p>
    <w:p>
      <w:pPr>
        <w:spacing w:after="0" w:line="239" w:lineRule="exact"/>
        <w:rPr>
          <w:rFonts w:ascii="Arial" w:cs="Arial" w:eastAsia="Arial" w:hAnsi="Arial"/>
          <w:sz w:val="14"/>
          <w:szCs w:val="14"/>
          <w:color w:val="auto"/>
        </w:rPr>
      </w:pPr>
    </w:p>
    <w:p>
      <w:pPr>
        <w:ind w:left="1600" w:hanging="478"/>
        <w:spacing w:after="0"/>
        <w:tabs>
          <w:tab w:leader="none" w:pos="16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15,975 RSUs and 548 DERs that vested on January 4, 2019 pursuant to the stock compensation award granted on August 31, 2018.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EMPLOYMENT AGREEMENTS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has not entered into employment agreements with any officers other than Mr. Sotos.</w:t>
      </w:r>
    </w:p>
    <w:p>
      <w:pPr>
        <w:spacing w:after="0" w:line="204" w:lineRule="exact"/>
        <w:rPr>
          <w:sz w:val="20"/>
          <w:szCs w:val="20"/>
          <w:color w:val="auto"/>
        </w:rPr>
      </w:pPr>
    </w:p>
    <w:p>
      <w:pPr>
        <w:ind w:right="20" w:firstLine="316"/>
        <w:spacing w:after="0" w:line="275" w:lineRule="auto"/>
        <w:rPr>
          <w:sz w:val="20"/>
          <w:szCs w:val="20"/>
          <w:color w:val="auto"/>
        </w:rPr>
      </w:pPr>
      <w:r>
        <w:rPr>
          <w:rFonts w:ascii="Arial" w:cs="Arial" w:eastAsia="Arial" w:hAnsi="Arial"/>
          <w:sz w:val="15"/>
          <w:szCs w:val="15"/>
          <w:color w:val="auto"/>
        </w:rPr>
        <w:t>On August 8, 2016, the Company entered into an employment agreement with Mr. Sotos pursuant to which Mr. Sotos serves as the Company's President and CEO for the term that began on May 6, 2016 (the "Effective Date") and ending on the date that his employment is terminated by either party. The employment agreement entitled Mr. Sotos to an annual base salary of $500,000 for the period beginning on the Effective Date and ended on December 31, 2016. For each annual period thereafter, our Board determines whether to increase Mr. Sotos' annual base salary (as noted in the above Summary Compensation Table, Mr. Sotos' base salary was increased to over $600,000 for fiscal year 2019). The employment agreement provides that, beginning with the 2016 fiscal year, Mr. Sotos is eligible to receive an annual bonus at a target amount equal to 100% of base salary (i.e., AIP bonus), based on achievement of criteria determined by the Board with input from Mr. Sotos. The maximum award opportunity each year is 200% of the target amount. The employment agreement further provides that Mr. Sotos is eligible to participate in the LTIP, on such terms as are set forth in the plan. Mr. Sotos' target LTIP award for the 2019 fiscal year was approximately 250% of base salary.</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addition to the compensation and benefits described above, as well as paid vacation and director and officer liability insurance, the employment agreement provides that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Mr. Sotos will receive the following:</w:t>
      </w:r>
    </w:p>
    <w:p>
      <w:pPr>
        <w:spacing w:after="0" w:line="210" w:lineRule="exact"/>
        <w:rPr>
          <w:sz w:val="20"/>
          <w:szCs w:val="20"/>
          <w:color w:val="auto"/>
        </w:rPr>
      </w:pPr>
    </w:p>
    <w:p>
      <w:pPr>
        <w:ind w:left="960" w:hanging="477"/>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Reimbursement for annual tax return preparation expenses and tax advice and financial planning, up to a maximum of $12,000 per year;</w:t>
      </w:r>
    </w:p>
    <w:p>
      <w:pPr>
        <w:spacing w:after="0" w:line="228" w:lineRule="exact"/>
        <w:rPr>
          <w:rFonts w:ascii="Arial" w:cs="Arial" w:eastAsia="Arial" w:hAnsi="Arial"/>
          <w:sz w:val="16"/>
          <w:szCs w:val="16"/>
          <w:color w:val="auto"/>
        </w:rPr>
      </w:pPr>
    </w:p>
    <w:p>
      <w:pPr>
        <w:ind w:left="960" w:right="80" w:hanging="477"/>
        <w:spacing w:after="0" w:line="275"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Eligibility to participate in the Company's retirement plans, health and welfare plans, and disability insurance plans under the same terms, and to the same extent, as other senior management of the Company;</w:t>
      </w:r>
    </w:p>
    <w:p>
      <w:pPr>
        <w:spacing w:after="0" w:line="173" w:lineRule="exact"/>
        <w:rPr>
          <w:rFonts w:ascii="Arial" w:cs="Arial" w:eastAsia="Arial" w:hAnsi="Arial"/>
          <w:sz w:val="16"/>
          <w:szCs w:val="16"/>
          <w:color w:val="auto"/>
        </w:rPr>
      </w:pPr>
    </w:p>
    <w:p>
      <w:pPr>
        <w:ind w:left="960" w:right="20" w:hanging="477"/>
        <w:spacing w:after="0" w:line="275"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Reimbursement for the costs of litigation or other disputes incurred in asserting any claims under the employment agreement, unless the court finds in favor of the Company; and</w:t>
      </w:r>
    </w:p>
    <w:p>
      <w:pPr>
        <w:spacing w:after="0" w:line="173" w:lineRule="exact"/>
        <w:rPr>
          <w:rFonts w:ascii="Arial" w:cs="Arial" w:eastAsia="Arial" w:hAnsi="Arial"/>
          <w:sz w:val="16"/>
          <w:szCs w:val="16"/>
          <w:color w:val="auto"/>
        </w:rPr>
      </w:pPr>
    </w:p>
    <w:p>
      <w:pPr>
        <w:ind w:left="960" w:right="160" w:hanging="477"/>
        <w:spacing w:after="0" w:line="275"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Reimbursement for legal fees and expenses incurred in connection with negotiating the employment agreement and other agreements referenced therein, up to a maximum of $6,000, which reimbursement was completed in 2016.</w:t>
      </w:r>
    </w:p>
    <w:p>
      <w:pPr>
        <w:spacing w:after="0" w:line="161" w:lineRule="exact"/>
        <w:rPr>
          <w:sz w:val="20"/>
          <w:szCs w:val="20"/>
          <w:color w:val="auto"/>
        </w:rPr>
      </w:pPr>
    </w:p>
    <w:p>
      <w:pPr>
        <w:ind w:right="260" w:firstLine="313"/>
        <w:spacing w:after="0" w:line="319" w:lineRule="auto"/>
        <w:rPr>
          <w:sz w:val="20"/>
          <w:szCs w:val="20"/>
          <w:color w:val="auto"/>
        </w:rPr>
      </w:pPr>
      <w:r>
        <w:rPr>
          <w:rFonts w:ascii="Arial" w:cs="Arial" w:eastAsia="Arial" w:hAnsi="Arial"/>
          <w:sz w:val="14"/>
          <w:szCs w:val="14"/>
          <w:color w:val="auto"/>
        </w:rPr>
        <w:t>The employment agreement also entitles him to certain severance payments and benefits in the event his employment terminates under certain circumstances. These severance payments and benefits are described and quantified under the section "Severance and Change-in-Control" below. In addition, under the employment agreement, the Company has agreed to indemnify Mr. Sotos against any claims arising as a result of his position with the Company to the maximum extent permitted by law.</w:t>
      </w:r>
    </w:p>
    <w:p>
      <w:pPr>
        <w:spacing w:after="0" w:line="135" w:lineRule="exact"/>
        <w:rPr>
          <w:sz w:val="20"/>
          <w:szCs w:val="20"/>
          <w:color w:val="auto"/>
        </w:rPr>
      </w:pPr>
    </w:p>
    <w:p>
      <w:pPr>
        <w:ind w:firstLine="313"/>
        <w:spacing w:after="0" w:line="260" w:lineRule="auto"/>
        <w:rPr>
          <w:sz w:val="20"/>
          <w:szCs w:val="20"/>
          <w:color w:val="auto"/>
        </w:rPr>
      </w:pPr>
      <w:r>
        <w:rPr>
          <w:rFonts w:ascii="Arial" w:cs="Arial" w:eastAsia="Arial" w:hAnsi="Arial"/>
          <w:sz w:val="16"/>
          <w:szCs w:val="16"/>
          <w:color w:val="auto"/>
        </w:rPr>
        <w:t>The employment agreement includes non-competition and non-solicitation restrictions on Mr. Sotos during the term of his employment and for one year after his termination of employment. The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employment agreement may only be waived with the written consent of the Company and Mr. Sotos.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SEVERANCE AND CHANGE-IN-CONTROL</w:t>
      </w:r>
    </w:p>
    <w:p>
      <w:pPr>
        <w:spacing w:after="0" w:line="208" w:lineRule="exact"/>
        <w:rPr>
          <w:sz w:val="20"/>
          <w:szCs w:val="20"/>
          <w:color w:val="auto"/>
        </w:rPr>
      </w:pPr>
    </w:p>
    <w:p>
      <w:pPr>
        <w:ind w:right="60" w:firstLine="316"/>
        <w:spacing w:after="0" w:line="296" w:lineRule="auto"/>
        <w:rPr>
          <w:sz w:val="20"/>
          <w:szCs w:val="20"/>
          <w:color w:val="auto"/>
        </w:rPr>
      </w:pPr>
      <w:r>
        <w:rPr>
          <w:rFonts w:ascii="Arial" w:cs="Arial" w:eastAsia="Arial" w:hAnsi="Arial"/>
          <w:sz w:val="14"/>
          <w:szCs w:val="14"/>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employment agreement with respect to Mr. Sotos' and as defined in the LTIP with respect to the other NEOs) within the six months immediately prior to, or the 12 months immediately following, a change in control of the Company (as defined in the LTIP),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In general, no RPSU or RSU accelerated vesting applies to any other involuntary termination, although new hire grants of RSUs, such as the grant made to Ms. Stillwell on August 31, 2018, provide pro-rated vesting for certain involuntary terminations of service that occur in connection with certain significant business events.</w:t>
      </w:r>
    </w:p>
    <w:p>
      <w:pPr>
        <w:spacing w:after="0" w:line="151" w:lineRule="exact"/>
        <w:rPr>
          <w:sz w:val="20"/>
          <w:szCs w:val="20"/>
          <w:color w:val="auto"/>
        </w:rPr>
      </w:pPr>
    </w:p>
    <w:p>
      <w:pPr>
        <w:jc w:val="both"/>
        <w:ind w:right="180" w:firstLine="316"/>
        <w:spacing w:after="0" w:line="264" w:lineRule="auto"/>
        <w:rPr>
          <w:sz w:val="20"/>
          <w:szCs w:val="20"/>
          <w:color w:val="auto"/>
        </w:rPr>
      </w:pPr>
      <w:r>
        <w:rPr>
          <w:rFonts w:ascii="Arial" w:cs="Arial" w:eastAsia="Arial" w:hAnsi="Arial"/>
          <w:sz w:val="16"/>
          <w:szCs w:val="16"/>
          <w:color w:val="auto"/>
        </w:rPr>
        <w:t>In addition to the above described treatment of his or her equity awards, Mr. Sotos, pursuant to his employment agreement, and the other NEOs, pursuant to the CIC Plan and in some cases, the AIP, are entitled to certain additional severance payments and benefits in the event of termination of employment under certain circumstances, including following a change-in-control.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SOTOS' BENEFITS</w:t>
      </w:r>
    </w:p>
    <w:p>
      <w:pPr>
        <w:spacing w:after="0" w:line="208" w:lineRule="exact"/>
        <w:rPr>
          <w:sz w:val="20"/>
          <w:szCs w:val="20"/>
          <w:color w:val="auto"/>
        </w:rPr>
      </w:pPr>
    </w:p>
    <w:p>
      <w:pPr>
        <w:ind w:right="220" w:firstLine="316"/>
        <w:spacing w:after="0" w:line="275" w:lineRule="auto"/>
        <w:rPr>
          <w:sz w:val="20"/>
          <w:szCs w:val="20"/>
          <w:color w:val="auto"/>
        </w:rPr>
      </w:pPr>
      <w:r>
        <w:rPr>
          <w:rFonts w:ascii="Arial" w:cs="Arial" w:eastAsia="Arial" w:hAnsi="Arial"/>
          <w:sz w:val="16"/>
          <w:szCs w:val="16"/>
          <w:color w:val="auto"/>
        </w:rPr>
        <w:t>If Mr. Sotos' employment is involuntarily terminated by the Company without cause or if he terminates his employment for good reason, subject to Mr. Sotos executing a release of claims, the Company agrees to provide Mr. Sotos with the following severance benefits:</w:t>
      </w:r>
    </w:p>
    <w:p>
      <w:pPr>
        <w:spacing w:after="0" w:line="173" w:lineRule="exact"/>
        <w:rPr>
          <w:sz w:val="20"/>
          <w:szCs w:val="20"/>
          <w:color w:val="auto"/>
        </w:rPr>
      </w:pPr>
    </w:p>
    <w:p>
      <w:pPr>
        <w:ind w:left="960" w:hanging="477"/>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lump sum payment equal to no less than 1.5 times Mr. Sotos' annual base salary in effect at the time of the Effective Date;</w:t>
      </w:r>
    </w:p>
    <w:p>
      <w:pPr>
        <w:spacing w:after="0" w:line="228" w:lineRule="exact"/>
        <w:rPr>
          <w:rFonts w:ascii="Arial" w:cs="Arial" w:eastAsia="Arial" w:hAnsi="Arial"/>
          <w:sz w:val="16"/>
          <w:szCs w:val="16"/>
          <w:color w:val="auto"/>
        </w:rPr>
      </w:pPr>
    </w:p>
    <w:p>
      <w:pPr>
        <w:ind w:left="960" w:hanging="477"/>
        <w:spacing w:after="0" w:line="275"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lump sum payment equal to the target bonus opportunity under the then-current bonus plan, which amount will be pro-rated based on the number of days during the year that he was employed by the Company;</w:t>
      </w:r>
    </w:p>
    <w:p>
      <w:pPr>
        <w:spacing w:after="0" w:line="173" w:lineRule="exact"/>
        <w:rPr>
          <w:rFonts w:ascii="Arial" w:cs="Arial" w:eastAsia="Arial" w:hAnsi="Arial"/>
          <w:sz w:val="16"/>
          <w:szCs w:val="16"/>
          <w:color w:val="auto"/>
        </w:rPr>
      </w:pPr>
    </w:p>
    <w:p>
      <w:pPr>
        <w:ind w:left="960" w:hanging="477"/>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unpaid bonus amount for the prior fiscal year to the extent not paid prior to the termination date; and</w:t>
      </w:r>
    </w:p>
    <w:p>
      <w:pPr>
        <w:spacing w:after="0" w:line="216" w:lineRule="exact"/>
        <w:rPr>
          <w:rFonts w:ascii="Arial" w:cs="Arial" w:eastAsia="Arial" w:hAnsi="Arial"/>
          <w:sz w:val="16"/>
          <w:szCs w:val="16"/>
          <w:color w:val="auto"/>
        </w:rPr>
      </w:pPr>
    </w:p>
    <w:p>
      <w:pPr>
        <w:ind w:left="960" w:right="200" w:hanging="477"/>
        <w:spacing w:after="0" w:line="275"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Reimbursement of COBRA premiums for 18 months after the date of termination, except that such coverage will be discontinued if Mr. Sotos becomes eligible for medical benefits from a subsequent employer or otherwise.</w:t>
      </w:r>
    </w:p>
    <w:p>
      <w:pPr>
        <w:spacing w:after="0" w:line="161" w:lineRule="exact"/>
        <w:rPr>
          <w:sz w:val="20"/>
          <w:szCs w:val="20"/>
          <w:color w:val="auto"/>
        </w:rPr>
      </w:pPr>
    </w:p>
    <w:p>
      <w:pPr>
        <w:jc w:val="both"/>
        <w:ind w:right="20" w:firstLine="316"/>
        <w:spacing w:after="0" w:line="264" w:lineRule="auto"/>
        <w:rPr>
          <w:sz w:val="20"/>
          <w:szCs w:val="20"/>
          <w:color w:val="auto"/>
        </w:rPr>
      </w:pPr>
      <w:r>
        <w:rPr>
          <w:rFonts w:ascii="Arial" w:cs="Arial" w:eastAsia="Arial" w:hAnsi="Arial"/>
          <w:sz w:val="16"/>
          <w:szCs w:val="16"/>
          <w:color w:val="auto"/>
        </w:rPr>
        <w:t>If Mr. Sotos' employment is involuntarily terminated by the Company without cause or if he terminates his employment for good reason within the six months immediately prior to, or the 12 months immediately following, a change-in-control of the Company, in lieu of the severance benefits set forth above, the Company will provide Mr. Sotos with the following severance benefits:</w:t>
      </w:r>
    </w:p>
    <w:p>
      <w:pPr>
        <w:spacing w:after="0" w:line="194" w:lineRule="exact"/>
        <w:rPr>
          <w:sz w:val="20"/>
          <w:szCs w:val="20"/>
          <w:color w:val="auto"/>
        </w:rPr>
      </w:pPr>
    </w:p>
    <w:p>
      <w:pPr>
        <w:ind w:left="960" w:hanging="477"/>
        <w:spacing w:after="0" w:line="275" w:lineRule="auto"/>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lump sum payment of no less than three times the sum of (a) Mr. Sotos' base salary in effect at the Effective Date and (b) Mr. Sotos' target bonus opportunity for the year of termination;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960" w:hanging="477"/>
        <w:spacing w:after="0" w:line="275"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lump sum payment equal to the target bonus opportunity under the then-current bonus plan, which amount will be pro-rated based on the number of days during the year that he was employed by the Company;</w:t>
      </w:r>
    </w:p>
    <w:p>
      <w:pPr>
        <w:spacing w:after="0" w:line="185" w:lineRule="exact"/>
        <w:rPr>
          <w:rFonts w:ascii="Arial" w:cs="Arial" w:eastAsia="Arial" w:hAnsi="Arial"/>
          <w:sz w:val="16"/>
          <w:szCs w:val="16"/>
          <w:color w:val="auto"/>
        </w:rPr>
      </w:pPr>
    </w:p>
    <w:p>
      <w:pPr>
        <w:ind w:left="960" w:hanging="477"/>
        <w:spacing w:after="0"/>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unpaid bonus amount for the prior fiscal year to the extent not paid prior to the termination date; and</w:t>
      </w:r>
    </w:p>
    <w:p>
      <w:pPr>
        <w:spacing w:after="0" w:line="216" w:lineRule="exact"/>
        <w:rPr>
          <w:rFonts w:ascii="Arial" w:cs="Arial" w:eastAsia="Arial" w:hAnsi="Arial"/>
          <w:sz w:val="16"/>
          <w:szCs w:val="16"/>
          <w:color w:val="auto"/>
        </w:rPr>
      </w:pPr>
    </w:p>
    <w:p>
      <w:pPr>
        <w:ind w:left="960" w:right="200" w:hanging="477"/>
        <w:spacing w:after="0" w:line="275"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Reimbursement of COBRA premiums for 18 months after the date of termination, except that such coverage will be discontinued if Mr. Sotos becomes eligible for medical benefits from a subsequent employer or otherwise.</w:t>
      </w:r>
    </w:p>
    <w:p>
      <w:pPr>
        <w:spacing w:after="0" w:line="161" w:lineRule="exact"/>
        <w:rPr>
          <w:sz w:val="20"/>
          <w:szCs w:val="20"/>
          <w:color w:val="auto"/>
        </w:rPr>
      </w:pPr>
    </w:p>
    <w:p>
      <w:pPr>
        <w:ind w:right="140" w:firstLine="316"/>
        <w:spacing w:after="0" w:line="264" w:lineRule="auto"/>
        <w:rPr>
          <w:sz w:val="20"/>
          <w:szCs w:val="20"/>
          <w:color w:val="auto"/>
        </w:rPr>
      </w:pPr>
      <w:r>
        <w:rPr>
          <w:rFonts w:ascii="Arial" w:cs="Arial" w:eastAsia="Arial" w:hAnsi="Arial"/>
          <w:sz w:val="16"/>
          <w:szCs w:val="16"/>
          <w:color w:val="auto"/>
        </w:rPr>
        <w:t>If Mr. Sotos' employment is terminated as a result of his death or disability, the Company agrees to pay him an amount equal to the target bonus opportunity for the year of termination, which amount will be pro-rated based on the number of days during the year that Mr. Sotos' was employed by the Company. In addition, the Company will pay Mr. Sotos any unpaid bonus amount for the prior fiscal year to the extent not paid prior to the termination date.</w:t>
      </w:r>
    </w:p>
    <w:p>
      <w:pPr>
        <w:spacing w:after="0" w:line="170" w:lineRule="exact"/>
        <w:rPr>
          <w:sz w:val="20"/>
          <w:szCs w:val="20"/>
          <w:color w:val="auto"/>
        </w:rPr>
      </w:pPr>
    </w:p>
    <w:p>
      <w:pPr>
        <w:ind w:right="260" w:firstLine="316"/>
        <w:spacing w:after="0" w:line="264" w:lineRule="auto"/>
        <w:rPr>
          <w:sz w:val="20"/>
          <w:szCs w:val="20"/>
          <w:color w:val="auto"/>
        </w:rPr>
      </w:pPr>
      <w:r>
        <w:rPr>
          <w:rFonts w:ascii="Arial" w:cs="Arial" w:eastAsia="Arial" w:hAnsi="Arial"/>
          <w:sz w:val="16"/>
          <w:szCs w:val="16"/>
          <w:color w:val="auto"/>
        </w:rPr>
        <w:t>If an excise tax under Section 4999 of the Code would be triggered by any payments under Mr. Sotos' employment agreement or otherwise upon a change-in-control,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NEO BENEFITS</w:t>
      </w:r>
    </w:p>
    <w:p>
      <w:pPr>
        <w:spacing w:after="0" w:line="208" w:lineRule="exact"/>
        <w:rPr>
          <w:sz w:val="20"/>
          <w:szCs w:val="20"/>
          <w:color w:val="auto"/>
        </w:rPr>
      </w:pPr>
    </w:p>
    <w:p>
      <w:pPr>
        <w:ind w:right="60" w:firstLine="316"/>
        <w:spacing w:after="0" w:line="258" w:lineRule="auto"/>
        <w:rPr>
          <w:sz w:val="20"/>
          <w:szCs w:val="20"/>
          <w:color w:val="auto"/>
        </w:rPr>
      </w:pPr>
      <w:r>
        <w:rPr>
          <w:rFonts w:ascii="Arial" w:cs="Arial" w:eastAsia="Arial" w:hAnsi="Arial"/>
          <w:sz w:val="16"/>
          <w:szCs w:val="16"/>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177" w:lineRule="exact"/>
        <w:rPr>
          <w:sz w:val="20"/>
          <w:szCs w:val="20"/>
          <w:color w:val="auto"/>
        </w:rPr>
      </w:pPr>
    </w:p>
    <w:p>
      <w:pPr>
        <w:ind w:right="100" w:firstLine="313"/>
        <w:spacing w:after="0" w:line="301" w:lineRule="auto"/>
        <w:rPr>
          <w:sz w:val="20"/>
          <w:szCs w:val="20"/>
          <w:color w:val="auto"/>
        </w:rPr>
      </w:pPr>
      <w:r>
        <w:rPr>
          <w:rFonts w:ascii="Arial" w:cs="Arial" w:eastAsia="Arial" w:hAnsi="Arial"/>
          <w:sz w:val="14"/>
          <w:szCs w:val="14"/>
          <w:color w:val="auto"/>
        </w:rPr>
        <w:t>The CIC Plan also provides a change-in-control benefit in the event that, within six months prior to, as well as 12 months following, a change-in-control, an eligible NEO's employment is either involuntarily terminated by the Company without cause or voluntarily terminated by such NEO for good reason. Mr. Plotkin's change-in-control benefit consists of an amount equal to 2.99 times the sum of his base salary plus the annual target incentive for the year of termination, payable in a lump sum amount. The change-in-control benefit for other eligible NEOs (other than Mr. Plotkin) consists of an amount equal to two times the sum of their base salary plus the annual target incentive for the year of termination, payable in a lump sum amount. All such NEOs are also eligible for an amount equal to their target bonus for the year of termination, prorated for the number of days during the performance period that such NEO was employed by the Company and reimbursement for COBRA benefits continuation cost for a period of 18 months.</w:t>
      </w:r>
    </w:p>
    <w:p>
      <w:pPr>
        <w:spacing w:after="0" w:line="148" w:lineRule="exact"/>
        <w:rPr>
          <w:sz w:val="20"/>
          <w:szCs w:val="20"/>
          <w:color w:val="auto"/>
        </w:rPr>
      </w:pPr>
    </w:p>
    <w:p>
      <w:pPr>
        <w:ind w:right="100" w:firstLine="307"/>
        <w:spacing w:after="0" w:line="264" w:lineRule="auto"/>
        <w:rPr>
          <w:sz w:val="20"/>
          <w:szCs w:val="20"/>
          <w:color w:val="auto"/>
        </w:rPr>
      </w:pPr>
      <w:r>
        <w:rPr>
          <w:rFonts w:ascii="Arial" w:cs="Arial" w:eastAsia="Arial" w:hAnsi="Arial"/>
          <w:sz w:val="16"/>
          <w:szCs w:val="16"/>
          <w:color w:val="auto"/>
        </w:rPr>
        <w:t>As a condition of receiving severance or change-in-control benefits, an eligible NEO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w:t>
      </w:r>
    </w:p>
    <w:p>
      <w:pPr>
        <w:spacing w:after="0" w:line="170" w:lineRule="exact"/>
        <w:rPr>
          <w:sz w:val="20"/>
          <w:szCs w:val="20"/>
          <w:color w:val="auto"/>
        </w:rPr>
      </w:pPr>
    </w:p>
    <w:p>
      <w:pPr>
        <w:ind w:right="320" w:firstLine="316"/>
        <w:spacing w:after="0" w:line="275" w:lineRule="auto"/>
        <w:rPr>
          <w:sz w:val="20"/>
          <w:szCs w:val="20"/>
          <w:color w:val="auto"/>
        </w:rPr>
      </w:pPr>
      <w:r>
        <w:rPr>
          <w:rFonts w:ascii="Arial" w:cs="Arial" w:eastAsia="Arial" w:hAnsi="Arial"/>
          <w:sz w:val="16"/>
          <w:szCs w:val="16"/>
          <w:color w:val="auto"/>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ind w:left="3"/>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amount to be retained such NEO to be greater than if such NEO were required to pay such excise tax.</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DEFINITION OF CHANGE-IN-CONTROL, ETC.</w:t>
      </w:r>
    </w:p>
    <w:p>
      <w:pPr>
        <w:spacing w:after="0" w:line="208" w:lineRule="exact"/>
        <w:rPr>
          <w:sz w:val="20"/>
          <w:szCs w:val="20"/>
          <w:color w:val="auto"/>
        </w:rPr>
      </w:pPr>
    </w:p>
    <w:p>
      <w:pPr>
        <w:jc w:val="both"/>
        <w:ind w:left="3" w:right="60" w:firstLine="316"/>
        <w:spacing w:after="0" w:line="292" w:lineRule="auto"/>
        <w:rPr>
          <w:sz w:val="20"/>
          <w:szCs w:val="20"/>
          <w:color w:val="auto"/>
        </w:rPr>
      </w:pPr>
      <w:r>
        <w:rPr>
          <w:rFonts w:ascii="Arial" w:cs="Arial" w:eastAsia="Arial" w:hAnsi="Arial"/>
          <w:sz w:val="14"/>
          <w:szCs w:val="14"/>
          <w:color w:val="auto"/>
        </w:rPr>
        <w:t>In general, under Mr. Sotos' employment agreement and the CIC Plan, a "change-in-control" occurs in the event: (a) any person or entity (with certain exceptions), becomes the direct or indirect beneficial owner of 50% or more of the Company's voting stock or obtains the power to, directly or indirectly, vote or cause to be voted 50% or more of the Company's capital stock entitled to vote in the election of directors, including by contract or through proxy, (b) directors serving on the Board as of a specified date cease to</w:t>
      </w:r>
    </w:p>
    <w:p>
      <w:pPr>
        <w:spacing w:after="0" w:line="1" w:lineRule="exact"/>
        <w:rPr>
          <w:sz w:val="20"/>
          <w:szCs w:val="20"/>
          <w:color w:val="auto"/>
        </w:rPr>
      </w:pPr>
    </w:p>
    <w:p>
      <w:pPr>
        <w:ind w:left="3" w:right="240"/>
        <w:spacing w:after="0" w:line="236" w:lineRule="auto"/>
        <w:rPr>
          <w:sz w:val="20"/>
          <w:szCs w:val="20"/>
          <w:color w:val="auto"/>
        </w:rPr>
      </w:pPr>
      <w:r>
        <w:rPr>
          <w:rFonts w:ascii="Arial" w:cs="Arial" w:eastAsia="Arial" w:hAnsi="Arial"/>
          <w:sz w:val="16"/>
          <w:szCs w:val="16"/>
          <w:color w:val="auto"/>
        </w:rPr>
        <w:t>constitute at least a majority of the Board unless such directors are approved by a vote of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and the previous stockholders of the Company fail to own at least 50% of the combined voting power of the resulting entity in substantially the same proportions of their ownership in the Company immediately prior to such transaction, or (d) the stockholders approve a plan or proposal to liquidate or dissolve the Company.</w:t>
      </w:r>
    </w:p>
    <w:p>
      <w:pPr>
        <w:spacing w:after="0" w:line="191" w:lineRule="exact"/>
        <w:rPr>
          <w:sz w:val="20"/>
          <w:szCs w:val="20"/>
          <w:color w:val="auto"/>
        </w:rPr>
      </w:pPr>
    </w:p>
    <w:p>
      <w:pPr>
        <w:ind w:left="3" w:right="140" w:firstLine="307"/>
        <w:spacing w:after="0" w:line="294" w:lineRule="auto"/>
        <w:rPr>
          <w:sz w:val="20"/>
          <w:szCs w:val="20"/>
          <w:color w:val="auto"/>
        </w:rPr>
      </w:pPr>
      <w:r>
        <w:rPr>
          <w:rFonts w:ascii="Arial" w:cs="Arial" w:eastAsia="Arial" w:hAnsi="Arial"/>
          <w:sz w:val="14"/>
          <w:szCs w:val="14"/>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 under the CIC Plan), (b) willful failure to perform his or her duties,</w:t>
      </w:r>
    </w:p>
    <w:p>
      <w:pPr>
        <w:ind w:left="3" w:right="120" w:hanging="3"/>
        <w:spacing w:after="0" w:line="260" w:lineRule="auto"/>
        <w:tabs>
          <w:tab w:leader="none" w:pos="217"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(or in Mr. Sotos' case, a material breach of his employment agreement).</w:t>
      </w:r>
    </w:p>
    <w:p>
      <w:pPr>
        <w:spacing w:after="0" w:line="173" w:lineRule="exact"/>
        <w:rPr>
          <w:sz w:val="20"/>
          <w:szCs w:val="20"/>
          <w:color w:val="auto"/>
        </w:rPr>
      </w:pPr>
    </w:p>
    <w:p>
      <w:pPr>
        <w:ind w:left="3" w:right="20" w:firstLine="307"/>
        <w:spacing w:after="0" w:line="304" w:lineRule="auto"/>
        <w:rPr>
          <w:sz w:val="20"/>
          <w:szCs w:val="20"/>
          <w:color w:val="auto"/>
        </w:rPr>
      </w:pPr>
      <w:r>
        <w:rPr>
          <w:rFonts w:ascii="Arial" w:cs="Arial" w:eastAsia="Arial" w:hAnsi="Arial"/>
          <w:sz w:val="14"/>
          <w:szCs w:val="14"/>
          <w:color w:val="auto"/>
        </w:rPr>
        <w:t>A voluntary termination for "good reason" means the resignation of the NEO in the event of (a) a material reduction in his or her compensation or benefits, (b) a material diminution in his or her title, authority, duties or responsibilities, or (c) the failure of a successor to the Company to agree, in writing, to assume the CIC Plan within 15 days after a merger, consolidation, sale or similar transaction. In Mr. Sotos' case only, "good reason" also includes (i) any material failure by the Company to comply with his employment agreement, (ii) his removal from the Board, (iii) the failure to elect him to the Board during any regular election, (iv) any reduction in his target annual bonus opportunity and long-term incentive award, or (v) a change in reporting structure of the Company requiring Mr. Sotos to report to anyone other than the Board.</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POTENTIAL PAYMENTS UPON TERMINATION OR CHANGE-IN-CONTROL</w:t>
      </w:r>
    </w:p>
    <w:p>
      <w:pPr>
        <w:spacing w:after="0" w:line="208" w:lineRule="exact"/>
        <w:rPr>
          <w:sz w:val="20"/>
          <w:szCs w:val="20"/>
          <w:color w:val="auto"/>
        </w:rPr>
      </w:pPr>
    </w:p>
    <w:p>
      <w:pPr>
        <w:ind w:left="3" w:firstLine="313"/>
        <w:spacing w:after="0" w:line="275" w:lineRule="auto"/>
        <w:rPr>
          <w:sz w:val="20"/>
          <w:szCs w:val="20"/>
          <w:color w:val="auto"/>
        </w:rPr>
      </w:pPr>
      <w:r>
        <w:rPr>
          <w:rFonts w:ascii="Arial" w:cs="Arial" w:eastAsia="Arial" w:hAnsi="Arial"/>
          <w:sz w:val="16"/>
          <w:szCs w:val="16"/>
          <w:color w:val="auto"/>
        </w:rPr>
        <w:t>The amount of compensation payable to each NEO in each circumstance is shown in the table below, assuming that termination of employment occurred as of December 31, 2019, and including</w:t>
      </w:r>
    </w:p>
    <w:p>
      <w:pPr>
        <w:spacing w:after="0" w:line="161"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5137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3"/>
          </w:cols>
          <w:pgMar w:left="317" w:top="130" w:right="3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payments that would have been earned as of such date. The amounts shown below do not include benefits payable under the Company's 401(k) plan.</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4"/>
              </w:rPr>
              <w:t>Involuntary Not for</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Cause or Voluntary</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Involuntary</w:t>
            </w:r>
          </w:p>
        </w:tc>
        <w:tc>
          <w:tcPr>
            <w:tcW w:w="160" w:type="dxa"/>
            <w:vAlign w:val="bottom"/>
          </w:tcPr>
          <w:p>
            <w:pPr>
              <w:spacing w:after="0"/>
              <w:rPr>
                <w:sz w:val="11"/>
                <w:szCs w:val="11"/>
                <w:color w:val="auto"/>
              </w:rPr>
            </w:pPr>
          </w:p>
        </w:tc>
        <w:tc>
          <w:tcPr>
            <w:tcW w:w="12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Voluntary</w:t>
            </w:r>
          </w:p>
        </w:tc>
        <w:tc>
          <w:tcPr>
            <w:tcW w:w="160" w:type="dxa"/>
            <w:vAlign w:val="bottom"/>
          </w:tcPr>
          <w:p>
            <w:pPr>
              <w:spacing w:after="0"/>
              <w:rPr>
                <w:sz w:val="11"/>
                <w:szCs w:val="11"/>
                <w:color w:val="auto"/>
              </w:rPr>
            </w:pPr>
          </w:p>
        </w:tc>
        <w:tc>
          <w:tcPr>
            <w:tcW w:w="14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8"/>
              </w:rPr>
              <w:t>for Good Reason</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Termination</w:t>
            </w:r>
          </w:p>
        </w:tc>
        <w:tc>
          <w:tcPr>
            <w:tcW w:w="160" w:type="dxa"/>
            <w:vAlign w:val="bottom"/>
          </w:tcPr>
          <w:p>
            <w:pPr>
              <w:spacing w:after="0"/>
              <w:rPr>
                <w:sz w:val="11"/>
                <w:szCs w:val="11"/>
                <w:color w:val="auto"/>
              </w:rPr>
            </w:pPr>
          </w:p>
        </w:tc>
        <w:tc>
          <w:tcPr>
            <w:tcW w:w="12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3"/>
              </w:rPr>
              <w:t>Termination</w:t>
            </w:r>
          </w:p>
        </w:tc>
        <w:tc>
          <w:tcPr>
            <w:tcW w:w="160" w:type="dxa"/>
            <w:vAlign w:val="bottom"/>
          </w:tcPr>
          <w:p>
            <w:pPr>
              <w:spacing w:after="0"/>
              <w:rPr>
                <w:sz w:val="11"/>
                <w:szCs w:val="11"/>
                <w:color w:val="auto"/>
              </w:rPr>
            </w:pPr>
          </w:p>
        </w:tc>
        <w:tc>
          <w:tcPr>
            <w:tcW w:w="14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9"/>
              </w:rPr>
              <w:t>Following</w:t>
            </w: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4"/>
              </w:rPr>
              <w:t>Death or</w:t>
            </w:r>
          </w:p>
        </w:tc>
        <w:tc>
          <w:tcPr>
            <w:tcW w:w="0" w:type="dxa"/>
            <w:vAlign w:val="bottom"/>
          </w:tcPr>
          <w:p>
            <w:pPr>
              <w:spacing w:after="0"/>
              <w:rPr>
                <w:sz w:val="1"/>
                <w:szCs w:val="1"/>
                <w:color w:val="auto"/>
              </w:rPr>
            </w:pPr>
          </w:p>
        </w:tc>
      </w:tr>
      <w:tr>
        <w:trPr>
          <w:trHeight w:val="146"/>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rPr>
              <w:t>Named Executive Officer</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0"/>
              </w:rPr>
              <w:t>Not for Cause ($)</w:t>
            </w:r>
          </w:p>
        </w:tc>
        <w:tc>
          <w:tcPr>
            <w:tcW w:w="1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0"/>
              </w:rPr>
              <w:t>for Good Reason ($)</w:t>
            </w:r>
          </w:p>
        </w:tc>
        <w:tc>
          <w:tcPr>
            <w:tcW w:w="16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2"/>
              </w:rPr>
              <w:t>a Change in Control ($)</w:t>
            </w:r>
          </w:p>
        </w:tc>
        <w:tc>
          <w:tcPr>
            <w:tcW w:w="14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Disability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S. Sotos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1,391,643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1,391,643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8,086,500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4,722,857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Chad Plotkin</w:t>
            </w:r>
          </w:p>
        </w:tc>
        <w:tc>
          <w:tcPr>
            <w:tcW w:w="1080" w:type="dxa"/>
            <w:vAlign w:val="bottom"/>
          </w:tcPr>
          <w:p>
            <w:pPr>
              <w:jc w:val="right"/>
              <w:spacing w:after="0"/>
              <w:rPr>
                <w:sz w:val="20"/>
                <w:szCs w:val="20"/>
                <w:color w:val="auto"/>
              </w:rPr>
            </w:pPr>
            <w:r>
              <w:rPr>
                <w:rFonts w:ascii="Arial" w:cs="Arial" w:eastAsia="Arial" w:hAnsi="Arial"/>
                <w:sz w:val="16"/>
                <w:szCs w:val="16"/>
                <w:color w:val="auto"/>
              </w:rPr>
              <w:t>828,380</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3,282,110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1,433,810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Kevin P. Malcarney</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601,992</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1,652,215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780,223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Mary-Lee Stillwell</w:t>
            </w:r>
          </w:p>
        </w:tc>
        <w:tc>
          <w:tcPr>
            <w:tcW w:w="1080" w:type="dxa"/>
            <w:vAlign w:val="bottom"/>
          </w:tcPr>
          <w:p>
            <w:pPr>
              <w:jc w:val="right"/>
              <w:spacing w:after="0"/>
              <w:rPr>
                <w:sz w:val="20"/>
                <w:szCs w:val="20"/>
                <w:color w:val="auto"/>
              </w:rPr>
            </w:pPr>
            <w:r>
              <w:rPr>
                <w:rFonts w:ascii="Arial" w:cs="Arial" w:eastAsia="Arial" w:hAnsi="Arial"/>
                <w:sz w:val="16"/>
                <w:szCs w:val="16"/>
                <w:color w:val="auto"/>
              </w:rPr>
              <w:t>786,806</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1,505,044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648,222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CEO PAY RATIO</w:t>
      </w:r>
    </w:p>
    <w:p>
      <w:pPr>
        <w:spacing w:after="0" w:line="208" w:lineRule="exact"/>
        <w:rPr>
          <w:sz w:val="20"/>
          <w:szCs w:val="20"/>
          <w:color w:val="auto"/>
        </w:rPr>
      </w:pPr>
    </w:p>
    <w:p>
      <w:pPr>
        <w:jc w:val="both"/>
        <w:ind w:right="180" w:firstLine="307"/>
        <w:spacing w:after="0" w:line="348" w:lineRule="auto"/>
        <w:rPr>
          <w:sz w:val="20"/>
          <w:szCs w:val="20"/>
          <w:color w:val="auto"/>
        </w:rPr>
      </w:pPr>
      <w:r>
        <w:rPr>
          <w:rFonts w:ascii="Arial" w:cs="Arial" w:eastAsia="Arial" w:hAnsi="Arial"/>
          <w:sz w:val="14"/>
          <w:szCs w:val="14"/>
          <w:color w:val="auto"/>
        </w:rPr>
        <w:t>As a result of the recently adopted rules under the Dodd-Frank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16" w:lineRule="exact"/>
        <w:rPr>
          <w:sz w:val="20"/>
          <w:szCs w:val="20"/>
          <w:color w:val="auto"/>
        </w:rPr>
      </w:pPr>
    </w:p>
    <w:p>
      <w:pPr>
        <w:ind w:firstLine="313"/>
        <w:spacing w:after="0" w:line="304" w:lineRule="auto"/>
        <w:rPr>
          <w:sz w:val="20"/>
          <w:szCs w:val="20"/>
          <w:color w:val="auto"/>
        </w:rPr>
      </w:pPr>
      <w:r>
        <w:rPr>
          <w:rFonts w:ascii="Arial" w:cs="Arial" w:eastAsia="Arial" w:hAnsi="Arial"/>
          <w:sz w:val="14"/>
          <w:szCs w:val="14"/>
          <w:color w:val="auto"/>
        </w:rPr>
        <w:t>We determined that we could use in our 2019 CEO pay ratio analysis the same median employee that we identified in 2018 given that there has been no change in either our employee population or our employee compensation arrangements that we believe would significantly impact our 2019 pay ratio disclosure. Similarly, there has been no change in our median employee's circumstances that we reasonably believe would result in a significant change to our 2019 pay ratio disclosure. Our median employee's annual total compensation for 2019 was determined using the same rules that apply to reporting the compensation of our NEOs (including our CEO) in the "Total" column of the "Summary Compensation Table—2017—2019" above. The following total compensation amounts were determined based on that methodology:</w:t>
      </w:r>
    </w:p>
    <w:p>
      <w:pPr>
        <w:spacing w:after="0" w:line="158" w:lineRule="exact"/>
        <w:rPr>
          <w:sz w:val="20"/>
          <w:szCs w:val="20"/>
          <w:color w:val="auto"/>
        </w:rPr>
      </w:pPr>
    </w:p>
    <w:p>
      <w:pPr>
        <w:ind w:left="960" w:hanging="477"/>
        <w:spacing w:after="0"/>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annual total compensation of the median employee for 2019 was $85,913.</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annual total compensation of Mr. Sotos for 2019 was $3,054,942.</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a result, we estimate that Mr. Sotos' 2019 annual total compensation was approximately 36 times that of our median employee.</w:t>
      </w:r>
    </w:p>
    <w:p>
      <w:pPr>
        <w:spacing w:after="0" w:line="204" w:lineRule="exact"/>
        <w:rPr>
          <w:sz w:val="20"/>
          <w:szCs w:val="20"/>
          <w:color w:val="auto"/>
        </w:rPr>
      </w:pPr>
    </w:p>
    <w:p>
      <w:pPr>
        <w:ind w:right="40" w:firstLine="316"/>
        <w:spacing w:after="0" w:line="275" w:lineRule="auto"/>
        <w:rPr>
          <w:sz w:val="20"/>
          <w:szCs w:val="20"/>
          <w:color w:val="auto"/>
        </w:rPr>
      </w:pPr>
      <w:r>
        <w:rPr>
          <w:rFonts w:ascii="Arial" w:cs="Arial" w:eastAsia="Arial" w:hAnsi="Arial"/>
          <w:sz w:val="16"/>
          <w:szCs w:val="16"/>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COMPENSATION COMMITTEE REPORT ON EXECUTIVE COMPENSATION</w:t>
      </w:r>
    </w:p>
    <w:p>
      <w:pPr>
        <w:spacing w:after="0" w:line="208" w:lineRule="exact"/>
        <w:rPr>
          <w:sz w:val="20"/>
          <w:szCs w:val="20"/>
          <w:color w:val="auto"/>
        </w:rPr>
      </w:pPr>
    </w:p>
    <w:p>
      <w:pPr>
        <w:ind w:right="100" w:firstLine="313"/>
        <w:spacing w:after="0" w:line="264" w:lineRule="auto"/>
        <w:rPr>
          <w:sz w:val="20"/>
          <w:szCs w:val="20"/>
          <w:color w:val="auto"/>
        </w:rPr>
      </w:pPr>
      <w:r>
        <w:rPr>
          <w:rFonts w:ascii="Arial" w:cs="Arial" w:eastAsia="Arial" w:hAnsi="Arial"/>
          <w:sz w:val="16"/>
          <w:szCs w:val="16"/>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Compensation Committee:</w:t>
      </w:r>
    </w:p>
    <w:p>
      <w:pPr>
        <w:spacing w:after="0" w:line="233"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Ferrell P. McClean, Chair</w:t>
      </w:r>
    </w:p>
    <w:p>
      <w:pPr>
        <w:spacing w:after="0" w:line="17"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Jonathan Bram</w:t>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Brian R. Ford</w:t>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Daniel B. More</w:t>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E. Stanley O'Neal</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08" w:lineRule="exact"/>
        <w:rPr>
          <w:sz w:val="20"/>
          <w:szCs w:val="20"/>
          <w:color w:val="auto"/>
        </w:rPr>
      </w:pPr>
    </w:p>
    <w:p>
      <w:pPr>
        <w:ind w:firstLine="316"/>
        <w:spacing w:after="0" w:line="264" w:lineRule="auto"/>
        <w:rPr>
          <w:sz w:val="20"/>
          <w:szCs w:val="20"/>
          <w:color w:val="auto"/>
        </w:rPr>
      </w:pPr>
      <w:r>
        <w:rPr>
          <w:rFonts w:ascii="Arial" w:cs="Arial" w:eastAsia="Arial" w:hAnsi="Arial"/>
          <w:sz w:val="16"/>
          <w:szCs w:val="16"/>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AUDIT COMMITTEE REPORT</w:t>
      </w:r>
    </w:p>
    <w:p>
      <w:pPr>
        <w:spacing w:after="0" w:line="208" w:lineRule="exact"/>
        <w:rPr>
          <w:sz w:val="20"/>
          <w:szCs w:val="20"/>
          <w:color w:val="auto"/>
        </w:rPr>
      </w:pPr>
    </w:p>
    <w:p>
      <w:pPr>
        <w:ind w:right="100" w:firstLine="313"/>
        <w:spacing w:after="0" w:line="258" w:lineRule="auto"/>
        <w:rPr>
          <w:sz w:val="20"/>
          <w:szCs w:val="20"/>
          <w:color w:val="auto"/>
        </w:rPr>
      </w:pPr>
      <w:r>
        <w:rPr>
          <w:rFonts w:ascii="Arial" w:cs="Arial" w:eastAsia="Arial" w:hAnsi="Arial"/>
          <w:sz w:val="16"/>
          <w:szCs w:val="16"/>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New York Stock Exchange listing standards' definition of independence for audit committee members and has determined that each member of the Audit Committee meets that standard. The Board has also determined that each of the three members of the Audit Committee who served as such in 2019 met the requirements of an "audit committee financial expert."</w:t>
      </w:r>
    </w:p>
    <w:p>
      <w:pPr>
        <w:spacing w:after="0" w:line="177" w:lineRule="exact"/>
        <w:rPr>
          <w:sz w:val="20"/>
          <w:szCs w:val="20"/>
          <w:color w:val="auto"/>
        </w:rPr>
      </w:pPr>
    </w:p>
    <w:p>
      <w:pPr>
        <w:ind w:right="320" w:firstLine="316"/>
        <w:spacing w:after="0" w:line="275" w:lineRule="auto"/>
        <w:rPr>
          <w:sz w:val="20"/>
          <w:szCs w:val="20"/>
          <w:color w:val="auto"/>
        </w:rPr>
      </w:pPr>
      <w:r>
        <w:rPr>
          <w:rFonts w:ascii="Arial" w:cs="Arial" w:eastAsia="Arial" w:hAnsi="Arial"/>
          <w:sz w:val="16"/>
          <w:szCs w:val="16"/>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161" w:lineRule="exact"/>
        <w:rPr>
          <w:sz w:val="20"/>
          <w:szCs w:val="20"/>
          <w:color w:val="auto"/>
        </w:rPr>
      </w:pPr>
    </w:p>
    <w:p>
      <w:pPr>
        <w:ind w:firstLine="313"/>
        <w:spacing w:after="0" w:line="264" w:lineRule="auto"/>
        <w:rPr>
          <w:sz w:val="20"/>
          <w:szCs w:val="20"/>
          <w:color w:val="auto"/>
        </w:rPr>
      </w:pPr>
      <w:r>
        <w:rPr>
          <w:rFonts w:ascii="Arial" w:cs="Arial" w:eastAsia="Arial" w:hAnsi="Arial"/>
          <w:sz w:val="16"/>
          <w:szCs w:val="16"/>
          <w:color w:val="auto"/>
        </w:rPr>
        <w:t>The Company's independent registered public accounting firm for the fiscal year 2019, KPMG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70" w:lineRule="exact"/>
        <w:rPr>
          <w:sz w:val="20"/>
          <w:szCs w:val="20"/>
          <w:color w:val="auto"/>
        </w:rPr>
      </w:pPr>
    </w:p>
    <w:p>
      <w:pPr>
        <w:ind w:right="260" w:firstLine="313"/>
        <w:spacing w:after="0" w:line="257" w:lineRule="auto"/>
        <w:rPr>
          <w:sz w:val="20"/>
          <w:szCs w:val="20"/>
          <w:color w:val="auto"/>
        </w:rPr>
      </w:pPr>
      <w:r>
        <w:rPr>
          <w:rFonts w:ascii="Arial" w:cs="Arial" w:eastAsia="Arial" w:hAnsi="Arial"/>
          <w:sz w:val="16"/>
          <w:szCs w:val="16"/>
          <w:color w:val="auto"/>
        </w:rPr>
        <w:t>The Audit Committee has reviewed and discussed the audited financial statements of the Company for the fiscal year ended December 31, 2019 with the Company's management and has discussed with KPMG LLP the matters required to be discussed by the PCAOB Auditing Standard No. 1301, as amended, "Communication with Audit Committees." In addition, KPMG LLP has provided the Audit Committee with the written disclosures and the letter required by Statement on the PCAOB Auditing Standard No. 1301, "Communication with Audit Committees," and the Audit Committee has discussed with KPMG LLP their independence. The Audit Committee also reviewed, and discussed with management and KPMG LLP, management's report and KPMG LLP's report and attestation on internal control over financial reporting in accordance with Section 404 of the Sarbanes-Oxley Act of 2002.</w:t>
      </w:r>
    </w:p>
    <w:p>
      <w:pPr>
        <w:spacing w:after="0" w:line="178" w:lineRule="exact"/>
        <w:rPr>
          <w:sz w:val="20"/>
          <w:szCs w:val="20"/>
          <w:color w:val="auto"/>
        </w:rPr>
      </w:pPr>
    </w:p>
    <w:p>
      <w:pPr>
        <w:ind w:right="40" w:firstLine="316"/>
        <w:spacing w:after="0" w:line="275" w:lineRule="auto"/>
        <w:rPr>
          <w:sz w:val="20"/>
          <w:szCs w:val="20"/>
          <w:color w:val="auto"/>
        </w:rPr>
      </w:pPr>
      <w:r>
        <w:rPr>
          <w:rFonts w:ascii="Arial" w:cs="Arial" w:eastAsia="Arial" w:hAnsi="Arial"/>
          <w:sz w:val="16"/>
          <w:szCs w:val="16"/>
          <w:color w:val="auto"/>
        </w:rPr>
        <w:t>Based on these reviews and discussions, the Audit Committee recommended to the Board that the audited financial statements be included in the Company's Annual Report on Form 10-K for the fiscal year ended December 31, 2019, for filing with the Securities and Exchange Commission.</w:t>
      </w:r>
    </w:p>
    <w:p>
      <w:pPr>
        <w:spacing w:after="0" w:line="157"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Audit Committee:</w:t>
      </w:r>
    </w:p>
    <w:p>
      <w:pPr>
        <w:spacing w:after="0" w:line="233"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Brian R. Ford, Chair</w:t>
      </w:r>
    </w:p>
    <w:p>
      <w:pPr>
        <w:spacing w:after="0" w:line="17"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Ferrell P. McClean</w:t>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Daniel B. More</w:t>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E. Stanley O'Neal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AND NONAUDIT FEES</w:t>
      </w:r>
    </w:p>
    <w:p>
      <w:pPr>
        <w:spacing w:after="0" w:line="208" w:lineRule="exact"/>
        <w:rPr>
          <w:sz w:val="20"/>
          <w:szCs w:val="20"/>
          <w:color w:val="auto"/>
        </w:rPr>
      </w:pPr>
    </w:p>
    <w:p>
      <w:pPr>
        <w:ind w:right="500" w:firstLine="313"/>
        <w:spacing w:after="0" w:line="275" w:lineRule="auto"/>
        <w:rPr>
          <w:sz w:val="20"/>
          <w:szCs w:val="20"/>
          <w:color w:val="auto"/>
        </w:rPr>
      </w:pPr>
      <w:r>
        <w:rPr>
          <w:rFonts w:ascii="Arial" w:cs="Arial" w:eastAsia="Arial" w:hAnsi="Arial"/>
          <w:sz w:val="16"/>
          <w:szCs w:val="16"/>
          <w:color w:val="auto"/>
        </w:rPr>
        <w:t>The following table presents fees for professional services rendered by KPMG LLP, our principal independent registered public accounting firm, for the years ended December 31, 2019 and December 31, 2018.</w:t>
      </w:r>
    </w:p>
    <w:p>
      <w:pPr>
        <w:spacing w:after="0" w:line="153"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rPr>
              <w:t>Year Ended</w:t>
            </w:r>
          </w:p>
        </w:tc>
      </w:tr>
      <w:tr>
        <w:trPr>
          <w:trHeight w:val="146"/>
        </w:trPr>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64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9"/>
              <w:spacing w:after="0" w:line="126" w:lineRule="exact"/>
              <w:rPr>
                <w:sz w:val="20"/>
                <w:szCs w:val="20"/>
                <w:color w:val="auto"/>
              </w:rPr>
            </w:pPr>
            <w:r>
              <w:rPr>
                <w:rFonts w:ascii="Arial" w:cs="Arial" w:eastAsia="Arial" w:hAnsi="Arial"/>
                <w:sz w:val="12"/>
                <w:szCs w:val="12"/>
                <w:b w:val="1"/>
                <w:bCs w:val="1"/>
                <w:color w:val="auto"/>
                <w:w w:val="97"/>
              </w:rPr>
              <w:t>2019</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4"/>
              <w:spacing w:after="0" w:line="126" w:lineRule="exact"/>
              <w:rPr>
                <w:sz w:val="20"/>
                <w:szCs w:val="20"/>
                <w:color w:val="auto"/>
              </w:rPr>
            </w:pPr>
            <w:r>
              <w:rPr>
                <w:rFonts w:ascii="Arial" w:cs="Arial" w:eastAsia="Arial" w:hAnsi="Arial"/>
                <w:sz w:val="12"/>
                <w:szCs w:val="12"/>
                <w:b w:val="1"/>
                <w:bCs w:val="1"/>
                <w:color w:val="auto"/>
                <w:w w:val="97"/>
              </w:rPr>
              <w:t>2018</w:t>
            </w:r>
          </w:p>
        </w:tc>
        <w:tc>
          <w:tcPr>
            <w:tcW w:w="160" w:type="dxa"/>
            <w:vAlign w:val="bottom"/>
          </w:tcPr>
          <w:p>
            <w:pPr>
              <w:spacing w:after="0"/>
              <w:rPr>
                <w:sz w:val="10"/>
                <w:szCs w:val="10"/>
                <w:color w:val="auto"/>
              </w:rPr>
            </w:pPr>
          </w:p>
        </w:tc>
      </w:tr>
      <w:tr>
        <w:trPr>
          <w:trHeight w:val="126"/>
        </w:trPr>
        <w:tc>
          <w:tcPr>
            <w:tcW w:w="6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69"/>
              <w:spacing w:after="0" w:line="126" w:lineRule="exact"/>
              <w:rPr>
                <w:sz w:val="20"/>
                <w:szCs w:val="20"/>
                <w:color w:val="auto"/>
              </w:rPr>
            </w:pPr>
            <w:r>
              <w:rPr>
                <w:rFonts w:ascii="Arial" w:cs="Arial" w:eastAsia="Arial" w:hAnsi="Arial"/>
                <w:sz w:val="12"/>
                <w:szCs w:val="12"/>
                <w:b w:val="1"/>
                <w:bCs w:val="1"/>
                <w:color w:val="auto"/>
              </w:rPr>
              <w:t>(In</w:t>
            </w:r>
          </w:p>
        </w:tc>
        <w:tc>
          <w:tcPr>
            <w:tcW w:w="700" w:type="dxa"/>
            <w:vAlign w:val="bottom"/>
            <w:gridSpan w:val="3"/>
          </w:tcPr>
          <w:p>
            <w:pPr>
              <w:jc w:val="right"/>
              <w:ind w:right="164"/>
              <w:spacing w:after="0"/>
              <w:rPr>
                <w:sz w:val="20"/>
                <w:szCs w:val="20"/>
                <w:color w:val="auto"/>
              </w:rPr>
            </w:pPr>
            <w:r>
              <w:rPr>
                <w:rFonts w:ascii="Arial" w:cs="Arial" w:eastAsia="Arial" w:hAnsi="Arial"/>
                <w:sz w:val="11"/>
                <w:szCs w:val="11"/>
                <w:b w:val="1"/>
                <w:bCs w:val="1"/>
                <w:color w:val="auto"/>
                <w:w w:val="74"/>
              </w:rPr>
              <w:t>thousands)</w:t>
            </w:r>
          </w:p>
        </w:tc>
        <w:tc>
          <w:tcPr>
            <w:tcW w:w="160" w:type="dxa"/>
            <w:vAlign w:val="bottom"/>
          </w:tcPr>
          <w:p>
            <w:pPr>
              <w:spacing w:after="0"/>
              <w:rPr>
                <w:sz w:val="10"/>
                <w:szCs w:val="10"/>
                <w:color w:val="auto"/>
              </w:rPr>
            </w:pPr>
          </w:p>
        </w:tc>
      </w:tr>
      <w:tr>
        <w:trPr>
          <w:trHeight w:val="19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3,529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2,688</w:t>
            </w:r>
          </w:p>
        </w:tc>
      </w:tr>
      <w:tr>
        <w:trPr>
          <w:trHeight w:val="194"/>
        </w:trPr>
        <w:tc>
          <w:tcPr>
            <w:tcW w:w="646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120" w:type="dxa"/>
            <w:vAlign w:val="bottom"/>
          </w:tcPr>
          <w:p>
            <w:pPr>
              <w:spacing w:after="0"/>
              <w:rPr>
                <w:sz w:val="16"/>
                <w:szCs w:val="16"/>
                <w:color w:val="auto"/>
              </w:rPr>
            </w:pPr>
          </w:p>
        </w:tc>
        <w:tc>
          <w:tcPr>
            <w:tcW w:w="5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985</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117</w:t>
            </w:r>
          </w:p>
        </w:tc>
      </w:tr>
      <w:tr>
        <w:trPr>
          <w:trHeight w:val="194"/>
        </w:trPr>
        <w:tc>
          <w:tcPr>
            <w:tcW w:w="6460" w:type="dxa"/>
            <w:vAlign w:val="bottom"/>
          </w:tcPr>
          <w:p>
            <w:pPr>
              <w:ind w:left="20"/>
              <w:spacing w:after="0"/>
              <w:rPr>
                <w:sz w:val="20"/>
                <w:szCs w:val="20"/>
                <w:color w:val="auto"/>
              </w:rPr>
            </w:pPr>
            <w:r>
              <w:rPr>
                <w:rFonts w:ascii="Arial" w:cs="Arial" w:eastAsia="Arial" w:hAnsi="Arial"/>
                <w:sz w:val="16"/>
                <w:szCs w:val="16"/>
                <w:color w:val="auto"/>
              </w:rPr>
              <w:t>All Other Fees</w:t>
            </w:r>
          </w:p>
        </w:tc>
        <w:tc>
          <w:tcPr>
            <w:tcW w:w="120" w:type="dxa"/>
            <w:vAlign w:val="bottom"/>
          </w:tcPr>
          <w:p>
            <w:pPr>
              <w:spacing w:after="0"/>
              <w:rPr>
                <w:sz w:val="16"/>
                <w:szCs w:val="16"/>
                <w:color w:val="auto"/>
              </w:rPr>
            </w:pPr>
          </w:p>
        </w:tc>
        <w:tc>
          <w:tcPr>
            <w:tcW w:w="5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6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4,514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2,805</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08" w:lineRule="exact"/>
        <w:rPr>
          <w:sz w:val="20"/>
          <w:szCs w:val="20"/>
          <w:color w:val="auto"/>
        </w:rPr>
      </w:pPr>
    </w:p>
    <w:p>
      <w:pPr>
        <w:ind w:firstLine="316"/>
        <w:spacing w:after="0" w:line="260" w:lineRule="auto"/>
        <w:rPr>
          <w:sz w:val="20"/>
          <w:szCs w:val="20"/>
          <w:color w:val="auto"/>
        </w:rPr>
      </w:pPr>
      <w:r>
        <w:rPr>
          <w:rFonts w:ascii="Arial" w:cs="Arial" w:eastAsia="Arial" w:hAnsi="Arial"/>
          <w:sz w:val="16"/>
          <w:szCs w:val="16"/>
          <w:color w:val="auto"/>
        </w:rPr>
        <w:t>For 2019 and 2018 audit services, KPMG LLP billed us approximately $3,529,000 and $2,688,000,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 and in connection with subsidiary financial statement audits and the issuance of comfort letters and consents in connection with debt offerings.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AUDIT-RELATED FEES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2019 and 2018, there were no audit-related fees billed to us by KPMG LLP.</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2019 tax fees, KPMG LLP billed us approximately $984,780 for tax compliance. For 2018 tax fees, KPMG LLP billed us approximately $117,000 for tax compliance.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FEES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There were no other fees billed to us by KPMG LLP for 2019 or 2018.</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ON AUDIT COMMITTEE PRE-APPROVAL</w:t>
      </w:r>
    </w:p>
    <w:p>
      <w:pPr>
        <w:spacing w:after="0" w:line="208" w:lineRule="exact"/>
        <w:rPr>
          <w:sz w:val="20"/>
          <w:szCs w:val="20"/>
          <w:color w:val="auto"/>
        </w:rPr>
      </w:pPr>
    </w:p>
    <w:p>
      <w:pPr>
        <w:ind w:right="320" w:firstLine="313"/>
        <w:spacing w:after="0" w:line="348" w:lineRule="auto"/>
        <w:rPr>
          <w:sz w:val="20"/>
          <w:szCs w:val="20"/>
          <w:color w:val="auto"/>
        </w:rPr>
      </w:pPr>
      <w:r>
        <w:rPr>
          <w:rFonts w:ascii="Arial" w:cs="Arial" w:eastAsia="Arial" w:hAnsi="Arial"/>
          <w:sz w:val="14"/>
          <w:szCs w:val="14"/>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116" w:lineRule="exact"/>
        <w:rPr>
          <w:sz w:val="20"/>
          <w:szCs w:val="20"/>
          <w:color w:val="auto"/>
        </w:rPr>
      </w:pPr>
    </w:p>
    <w:p>
      <w:pPr>
        <w:ind w:right="140" w:firstLine="313"/>
        <w:spacing w:after="0" w:line="264" w:lineRule="auto"/>
        <w:rPr>
          <w:sz w:val="20"/>
          <w:szCs w:val="20"/>
          <w:color w:val="auto"/>
        </w:rPr>
      </w:pPr>
      <w:r>
        <w:rPr>
          <w:rFonts w:ascii="Arial" w:cs="Arial" w:eastAsia="Arial" w:hAnsi="Arial"/>
          <w:sz w:val="16"/>
          <w:szCs w:val="16"/>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170" w:lineRule="exact"/>
        <w:rPr>
          <w:sz w:val="20"/>
          <w:szCs w:val="20"/>
          <w:color w:val="auto"/>
        </w:rPr>
      </w:pPr>
    </w:p>
    <w:p>
      <w:pPr>
        <w:ind w:right="120" w:firstLine="316"/>
        <w:spacing w:after="0" w:line="275" w:lineRule="auto"/>
        <w:rPr>
          <w:sz w:val="20"/>
          <w:szCs w:val="20"/>
          <w:color w:val="auto"/>
        </w:rPr>
      </w:pPr>
      <w:r>
        <w:rPr>
          <w:rFonts w:ascii="Arial" w:cs="Arial" w:eastAsia="Arial" w:hAnsi="Arial"/>
          <w:sz w:val="16"/>
          <w:szCs w:val="16"/>
          <w:color w:val="auto"/>
        </w:rPr>
        <w:t>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pre-approve any proposed services exceeding the pre-approved budgeted fee levels for a specified type of service.</w:t>
      </w:r>
    </w:p>
    <w:p>
      <w:pPr>
        <w:spacing w:after="0" w:line="204" w:lineRule="exact"/>
        <w:rPr>
          <w:sz w:val="20"/>
          <w:szCs w:val="20"/>
          <w:color w:val="auto"/>
        </w:rPr>
      </w:pPr>
    </w:p>
    <w:p>
      <w:pPr>
        <w:ind w:firstLine="313"/>
        <w:spacing w:after="0" w:line="275" w:lineRule="auto"/>
        <w:rPr>
          <w:sz w:val="20"/>
          <w:szCs w:val="20"/>
          <w:color w:val="auto"/>
        </w:rPr>
      </w:pPr>
      <w:r>
        <w:rPr>
          <w:rFonts w:ascii="Arial" w:cs="Arial" w:eastAsia="Arial" w:hAnsi="Arial"/>
          <w:sz w:val="16"/>
          <w:szCs w:val="16"/>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QUESTIONS AND ANSWERS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PURPOSE OF THE ANNUAL MEETING?</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purpose of the Annual Meeting is to:</w:t>
      </w:r>
    </w:p>
    <w:p>
      <w:pPr>
        <w:spacing w:after="0" w:line="217" w:lineRule="exact"/>
        <w:rPr>
          <w:sz w:val="20"/>
          <w:szCs w:val="20"/>
          <w:color w:val="auto"/>
        </w:rPr>
      </w:pPr>
    </w:p>
    <w:p>
      <w:pPr>
        <w:ind w:left="960" w:hanging="477"/>
        <w:spacing w:after="0"/>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elect nine directors;</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approve the Amended and Restated Certificate of Incorporation Proposal;</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approve the Say on Pay Proposal;</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approve the Ratification of KPMG LLP's Appointment Proposal; and</w:t>
      </w:r>
    </w:p>
    <w:p>
      <w:pPr>
        <w:spacing w:after="0" w:line="228" w:lineRule="exact"/>
        <w:rPr>
          <w:rFonts w:ascii="Arial" w:cs="Arial" w:eastAsia="Arial" w:hAnsi="Arial"/>
          <w:sz w:val="16"/>
          <w:szCs w:val="16"/>
          <w:color w:val="auto"/>
        </w:rPr>
      </w:pPr>
    </w:p>
    <w:p>
      <w:pPr>
        <w:ind w:left="320" w:right="2800" w:firstLine="163"/>
        <w:spacing w:after="0" w:line="576" w:lineRule="auto"/>
        <w:tabs>
          <w:tab w:leader="none" w:pos="976"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conduct such other business as may properly come before the Annual Meeting and any adjournment or postponement. Other than these proposals, the Board is not aware of any other matters to be presented for a vote at the Annual Meeting.</w:t>
      </w:r>
    </w:p>
    <w:p>
      <w:pPr>
        <w:spacing w:after="0"/>
        <w:rPr>
          <w:sz w:val="20"/>
          <w:szCs w:val="20"/>
          <w:color w:val="auto"/>
        </w:rPr>
      </w:pPr>
      <w:r>
        <w:rPr>
          <w:rFonts w:ascii="Arial" w:cs="Arial" w:eastAsia="Arial" w:hAnsi="Arial"/>
          <w:sz w:val="16"/>
          <w:szCs w:val="16"/>
          <w:b w:val="1"/>
          <w:bCs w:val="1"/>
          <w:color w:val="auto"/>
        </w:rPr>
        <w:t>WHO IS ENTITLED TO VOTE AT THE ANNUAL MEETING?</w:t>
      </w:r>
    </w:p>
    <w:p>
      <w:pPr>
        <w:spacing w:after="0" w:line="208" w:lineRule="exact"/>
        <w:rPr>
          <w:sz w:val="20"/>
          <w:szCs w:val="20"/>
          <w:color w:val="auto"/>
        </w:rPr>
      </w:pPr>
    </w:p>
    <w:p>
      <w:pPr>
        <w:ind w:right="300" w:firstLine="307"/>
        <w:spacing w:after="0" w:line="309" w:lineRule="auto"/>
        <w:rPr>
          <w:sz w:val="20"/>
          <w:szCs w:val="20"/>
          <w:color w:val="auto"/>
        </w:rPr>
      </w:pPr>
      <w:r>
        <w:rPr>
          <w:rFonts w:ascii="Arial" w:cs="Arial" w:eastAsia="Arial" w:hAnsi="Arial"/>
          <w:sz w:val="15"/>
          <w:szCs w:val="15"/>
          <w:color w:val="auto"/>
        </w:rPr>
        <w:t>All of our stockholders may attend the Annual Meeting. However, only stockholders who owned our Class A, Class B, Class C or Class D common stock at the close of business on March 4, 2020, the record date for the Annual Meeting, or their duly appointed proxies, are entitled to vote at the Annual Meeting.</w:t>
      </w:r>
    </w:p>
    <w:p>
      <w:pPr>
        <w:spacing w:after="0" w:line="139" w:lineRule="exact"/>
        <w:rPr>
          <w:sz w:val="20"/>
          <w:szCs w:val="20"/>
          <w:color w:val="auto"/>
        </w:rPr>
      </w:pPr>
    </w:p>
    <w:p>
      <w:pPr>
        <w:ind w:right="300" w:firstLine="316"/>
        <w:spacing w:after="0" w:line="275" w:lineRule="auto"/>
        <w:rPr>
          <w:sz w:val="20"/>
          <w:szCs w:val="20"/>
          <w:color w:val="auto"/>
        </w:rPr>
      </w:pPr>
      <w:r>
        <w:rPr>
          <w:rFonts w:ascii="Arial" w:cs="Arial" w:eastAsia="Arial" w:hAnsi="Arial"/>
          <w:sz w:val="16"/>
          <w:szCs w:val="16"/>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173" w:lineRule="exact"/>
        <w:rPr>
          <w:sz w:val="20"/>
          <w:szCs w:val="20"/>
          <w:color w:val="auto"/>
        </w:rPr>
      </w:pPr>
    </w:p>
    <w:p>
      <w:pPr>
        <w:ind w:left="960" w:right="120" w:hanging="477"/>
        <w:spacing w:after="0" w:line="275"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—If your shares are registered directly in your name with our transfer agent, Computershare, you are considered the stockholder of record</w:t>
      </w:r>
      <w:r>
        <w:rPr>
          <w:rFonts w:ascii="Arial" w:cs="Arial" w:eastAsia="Arial" w:hAnsi="Arial"/>
          <w:sz w:val="16"/>
          <w:szCs w:val="16"/>
          <w:i w:val="1"/>
          <w:iCs w:val="1"/>
          <w:color w:val="auto"/>
        </w:rPr>
        <w:t xml:space="preserve"> </w:t>
      </w:r>
      <w:r>
        <w:rPr>
          <w:rFonts w:ascii="Arial" w:cs="Arial" w:eastAsia="Arial" w:hAnsi="Arial"/>
          <w:sz w:val="16"/>
          <w:szCs w:val="16"/>
          <w:color w:val="auto"/>
        </w:rPr>
        <w:t>of those shares.</w:t>
      </w:r>
    </w:p>
    <w:p>
      <w:pPr>
        <w:spacing w:after="0" w:line="173" w:lineRule="exact"/>
        <w:rPr>
          <w:rFonts w:ascii="Arial" w:cs="Arial" w:eastAsia="Arial" w:hAnsi="Arial"/>
          <w:sz w:val="16"/>
          <w:szCs w:val="16"/>
          <w:color w:val="auto"/>
        </w:rPr>
      </w:pPr>
    </w:p>
    <w:p>
      <w:pPr>
        <w:ind w:left="960" w:hanging="477"/>
        <w:spacing w:after="0" w:line="258"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—If your shares are held in a stock brokerage account, or by a bank, trustee, or other nominee, you are considered the beneficial owner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held in "street name." As the beneficial owner, you have the right to direct your broker, trustee or nominee on how to vote and you are also invited to attend the Annual Meeting. However, since you are not the stockholder of record, you may not vote these shares in person at the Annual Meeting, unless you follow the procedures of your broker, trustee or nominee for obtaining a legal proxy. Your broker, trustee, or nominee is obligated to provide you with a voting instruction card for you to use to vote in person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DO I HAVE?</w:t>
      </w:r>
    </w:p>
    <w:p>
      <w:pPr>
        <w:spacing w:after="0" w:line="212" w:lineRule="exact"/>
        <w:rPr>
          <w:sz w:val="20"/>
          <w:szCs w:val="20"/>
          <w:color w:val="auto"/>
        </w:rPr>
      </w:pPr>
    </w:p>
    <w:p>
      <w:pPr>
        <w:ind w:right="40" w:firstLine="310"/>
        <w:spacing w:after="0" w:line="268" w:lineRule="auto"/>
        <w:rPr>
          <w:sz w:val="20"/>
          <w:szCs w:val="20"/>
          <w:color w:val="auto"/>
        </w:rPr>
      </w:pPr>
      <w:r>
        <w:rPr>
          <w:rFonts w:ascii="Arial" w:cs="Arial" w:eastAsia="Arial" w:hAnsi="Arial"/>
          <w:sz w:val="14"/>
          <w:szCs w:val="14"/>
          <w:color w:val="auto"/>
        </w:rPr>
        <w:t>You have one vote for each share of our Class A or Class B common stock you owned as of the record date for the Annual Meeting. You have 1/100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 GIP, through its ownership of all of our outstanding Class B and Class D common stock, held approximately 55.0% of the combined voting power of our common stock as of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RECOMMENDATIONS OF THE BOARD?</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recommends a vote:</w:t>
      </w:r>
    </w:p>
    <w:p>
      <w:pPr>
        <w:spacing w:after="0" w:line="225" w:lineRule="exact"/>
        <w:rPr>
          <w:sz w:val="20"/>
          <w:szCs w:val="20"/>
          <w:color w:val="auto"/>
        </w:rPr>
      </w:pPr>
    </w:p>
    <w:p>
      <w:pPr>
        <w:ind w:left="960" w:hanging="477"/>
        <w:spacing w:after="0"/>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director nominees;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960" w:hanging="477"/>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Amended and Restated Certificate of Incorporation Proposal;</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Say on Pay Proposal; and</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KPMG LLP's Appointment Proposal.</w:t>
      </w:r>
    </w:p>
    <w:p>
      <w:pPr>
        <w:spacing w:after="0" w:line="208" w:lineRule="exact"/>
        <w:rPr>
          <w:sz w:val="20"/>
          <w:szCs w:val="20"/>
          <w:color w:val="auto"/>
        </w:rPr>
      </w:pPr>
    </w:p>
    <w:p>
      <w:pPr>
        <w:ind w:right="140" w:firstLine="316"/>
        <w:spacing w:after="0" w:line="275" w:lineRule="auto"/>
        <w:rPr>
          <w:sz w:val="20"/>
          <w:szCs w:val="20"/>
          <w:color w:val="auto"/>
        </w:rPr>
      </w:pPr>
      <w:r>
        <w:rPr>
          <w:rFonts w:ascii="Arial" w:cs="Arial" w:eastAsia="Arial" w:hAnsi="Arial"/>
          <w:sz w:val="16"/>
          <w:szCs w:val="16"/>
          <w:color w:val="auto"/>
        </w:rPr>
        <w:t>If you grant a proxy and any additional matters are properly presented for a vote at the Annual Meeting, either of the persons named as proxy holders, Christopher S. Sotos or Kevin P. Malcarney, will have the discretion to vote your shares.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MUST BE PRESENT TO HOLD THE ANNUAL MEETING?</w:t>
      </w:r>
    </w:p>
    <w:p>
      <w:pPr>
        <w:spacing w:after="0" w:line="208" w:lineRule="exact"/>
        <w:rPr>
          <w:sz w:val="20"/>
          <w:szCs w:val="20"/>
          <w:color w:val="auto"/>
        </w:rPr>
      </w:pPr>
    </w:p>
    <w:p>
      <w:pPr>
        <w:ind w:right="20" w:firstLine="313"/>
        <w:spacing w:after="0" w:line="289" w:lineRule="auto"/>
        <w:rPr>
          <w:sz w:val="20"/>
          <w:szCs w:val="20"/>
          <w:color w:val="auto"/>
        </w:rPr>
      </w:pPr>
      <w:r>
        <w:rPr>
          <w:rFonts w:ascii="Arial" w:cs="Arial" w:eastAsia="Arial" w:hAnsi="Arial"/>
          <w:sz w:val="15"/>
          <w:szCs w:val="15"/>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in person or by proxy at the Annual Meeting. As of the record date, there were 78,554,297 votes entitled to be cast in the aggregate by the holders of all shares of our common stock outstanding, consisting of:</w:t>
      </w:r>
    </w:p>
    <w:p>
      <w:pPr>
        <w:spacing w:after="0" w:line="166" w:lineRule="exact"/>
        <w:rPr>
          <w:sz w:val="20"/>
          <w:szCs w:val="20"/>
          <w:color w:val="auto"/>
        </w:rPr>
      </w:pPr>
    </w:p>
    <w:p>
      <w:pPr>
        <w:ind w:left="960" w:hanging="477"/>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34,599,645 shares of our Class A common stock (representing the same number of votes);</w:t>
      </w:r>
    </w:p>
    <w:p>
      <w:pPr>
        <w:spacing w:after="0" w:line="228" w:lineRule="exact"/>
        <w:rPr>
          <w:rFonts w:ascii="Arial" w:cs="Arial" w:eastAsia="Arial" w:hAnsi="Arial"/>
          <w:sz w:val="16"/>
          <w:szCs w:val="16"/>
          <w:color w:val="auto"/>
        </w:rPr>
      </w:pPr>
    </w:p>
    <w:p>
      <w:pPr>
        <w:ind w:left="960" w:hanging="477"/>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42,738,750 shares of our Class B common stock (representing the same number of votes);</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78,851,377 shares of our Class C common stock (representing 788,514 votes); and</w:t>
      </w:r>
    </w:p>
    <w:p>
      <w:pPr>
        <w:spacing w:after="0" w:line="216" w:lineRule="exact"/>
        <w:rPr>
          <w:rFonts w:ascii="Arial" w:cs="Arial" w:eastAsia="Arial" w:hAnsi="Arial"/>
          <w:sz w:val="16"/>
          <w:szCs w:val="16"/>
          <w:color w:val="auto"/>
        </w:rPr>
      </w:pPr>
    </w:p>
    <w:p>
      <w:pPr>
        <w:ind w:left="960" w:hanging="477"/>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42,738,750 shares of our Class D common stock (representing 427,388 votes).</w:t>
      </w:r>
    </w:p>
    <w:p>
      <w:pPr>
        <w:spacing w:after="0" w:line="204" w:lineRule="exact"/>
        <w:rPr>
          <w:sz w:val="20"/>
          <w:szCs w:val="20"/>
          <w:color w:val="auto"/>
        </w:rPr>
      </w:pPr>
    </w:p>
    <w:p>
      <w:pPr>
        <w:jc w:val="both"/>
        <w:ind w:right="20" w:firstLine="313"/>
        <w:spacing w:after="0" w:line="264" w:lineRule="auto"/>
        <w:rPr>
          <w:sz w:val="20"/>
          <w:szCs w:val="20"/>
          <w:color w:val="auto"/>
        </w:rPr>
      </w:pPr>
      <w:r>
        <w:rPr>
          <w:rFonts w:ascii="Arial" w:cs="Arial" w:eastAsia="Arial" w:hAnsi="Arial"/>
          <w:sz w:val="16"/>
          <w:szCs w:val="16"/>
          <w:color w:val="auto"/>
        </w:rPr>
        <w:t>The presence of holders entitled to cast at least 39,277,149 votes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VOTE IS REQUIRED TO APPROVE EACH PROPOSAL?</w:t>
      </w:r>
    </w:p>
    <w:p>
      <w:pPr>
        <w:spacing w:after="0" w:line="233" w:lineRule="exact"/>
        <w:rPr>
          <w:sz w:val="20"/>
          <w:szCs w:val="20"/>
          <w:color w:val="auto"/>
        </w:rPr>
      </w:pPr>
    </w:p>
    <w:p>
      <w:pPr>
        <w:ind w:left="960" w:right="40" w:hanging="477"/>
        <w:spacing w:after="0" w:line="260" w:lineRule="auto"/>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Election of Directors</w:t>
      </w:r>
      <w:r>
        <w:rPr>
          <w:rFonts w:ascii="Arial" w:cs="Arial" w:eastAsia="Arial" w:hAnsi="Arial"/>
          <w:sz w:val="16"/>
          <w:szCs w:val="16"/>
          <w:color w:val="auto"/>
        </w:rPr>
        <w:t>—The nominees for election as directors at the Annual Meeting will be elected by the vote of a plurality of the votes entitled to be cast by all</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entitled to vote on the election, voting as a single class and represented in person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189" w:lineRule="exact"/>
        <w:rPr>
          <w:rFonts w:ascii="Arial" w:cs="Arial" w:eastAsia="Arial" w:hAnsi="Arial"/>
          <w:sz w:val="16"/>
          <w:szCs w:val="16"/>
          <w:color w:val="auto"/>
        </w:rPr>
      </w:pPr>
    </w:p>
    <w:p>
      <w:pPr>
        <w:ind w:left="960" w:right="120" w:hanging="477"/>
        <w:spacing w:after="0" w:line="186" w:lineRule="auto"/>
        <w:tabs>
          <w:tab w:leader="none" w:pos="960" w:val="left"/>
        </w:tabs>
        <w:numPr>
          <w:ilvl w:val="0"/>
          <w:numId w:val="60"/>
        </w:numPr>
        <w:rPr>
          <w:rFonts w:ascii="Arial" w:cs="Arial" w:eastAsia="Arial" w:hAnsi="Arial"/>
          <w:sz w:val="32"/>
          <w:szCs w:val="32"/>
          <w:color w:val="auto"/>
          <w:vertAlign w:val="superscript"/>
        </w:rPr>
      </w:pPr>
      <w:r>
        <w:rPr>
          <w:rFonts w:ascii="Arial" w:cs="Arial" w:eastAsia="Arial" w:hAnsi="Arial"/>
          <w:sz w:val="16"/>
          <w:szCs w:val="16"/>
          <w:i w:val="1"/>
          <w:iCs w:val="1"/>
          <w:color w:val="auto"/>
        </w:rPr>
        <w:t>Amended and Restated Certificate of Incorporation Proposal</w:t>
      </w:r>
      <w:r>
        <w:rPr>
          <w:rFonts w:ascii="Arial" w:cs="Arial" w:eastAsia="Arial" w:hAnsi="Arial"/>
          <w:sz w:val="16"/>
          <w:szCs w:val="16"/>
          <w:color w:val="auto"/>
        </w:rPr>
        <w:t>—This proposal requires the affirmative vote of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common stock outstanding as of the record date and entitled to vote on the proposal.</w:t>
      </w:r>
    </w:p>
    <w:p>
      <w:pPr>
        <w:spacing w:after="0" w:line="200" w:lineRule="exact"/>
        <w:rPr>
          <w:rFonts w:ascii="Arial" w:cs="Arial" w:eastAsia="Arial" w:hAnsi="Arial"/>
          <w:sz w:val="32"/>
          <w:szCs w:val="32"/>
          <w:color w:val="auto"/>
          <w:vertAlign w:val="superscript"/>
        </w:rPr>
      </w:pPr>
    </w:p>
    <w:p>
      <w:pPr>
        <w:ind w:left="960" w:hanging="477"/>
        <w:spacing w:after="0" w:line="260" w:lineRule="auto"/>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Say on Pay Proposal</w:t>
      </w:r>
      <w:r>
        <w:rPr>
          <w:rFonts w:ascii="Arial" w:cs="Arial" w:eastAsia="Arial" w:hAnsi="Arial"/>
          <w:sz w:val="16"/>
          <w:szCs w:val="16"/>
          <w:color w:val="auto"/>
        </w:rPr>
        <w:t>—This proposal requires the affirmative vote of the majority in voting power of the shares of our common stock present in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98" w:lineRule="exact"/>
        <w:rPr>
          <w:rFonts w:ascii="Arial" w:cs="Arial" w:eastAsia="Arial" w:hAnsi="Arial"/>
          <w:sz w:val="16"/>
          <w:szCs w:val="16"/>
          <w:color w:val="auto"/>
        </w:rPr>
      </w:pPr>
    </w:p>
    <w:p>
      <w:pPr>
        <w:jc w:val="both"/>
        <w:ind w:left="960" w:right="60" w:hanging="477"/>
        <w:spacing w:after="0" w:line="264" w:lineRule="auto"/>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Ratification of KPMG LLP's Appointment Proposal</w:t>
      </w:r>
      <w:r>
        <w:rPr>
          <w:rFonts w:ascii="Arial" w:cs="Arial" w:eastAsia="Arial" w:hAnsi="Arial"/>
          <w:sz w:val="16"/>
          <w:szCs w:val="16"/>
          <w:color w:val="auto"/>
        </w:rPr>
        <w:t>—This proposal requires the affirmative vote of a majority in voting power of the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in person or represented by proxy at the Annual Meeting and entitled to vote on the proposal. If the selection of KPMG LLP as our independent registered public accounting firm is not ratified, the Audit Committee will reconsider its selection.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ABSTENTIONS AND BROKER NON-VOTES AND HOW ARE THEY TREATED?</w:t>
      </w:r>
    </w:p>
    <w:p>
      <w:pPr>
        <w:spacing w:after="0" w:line="208" w:lineRule="exact"/>
        <w:rPr>
          <w:sz w:val="20"/>
          <w:szCs w:val="20"/>
          <w:color w:val="auto"/>
        </w:rPr>
      </w:pPr>
    </w:p>
    <w:p>
      <w:pPr>
        <w:ind w:right="180" w:firstLine="307"/>
        <w:spacing w:after="0" w:line="304" w:lineRule="auto"/>
        <w:rPr>
          <w:sz w:val="20"/>
          <w:szCs w:val="20"/>
          <w:color w:val="auto"/>
        </w:rPr>
      </w:pPr>
      <w:r>
        <w:rPr>
          <w:rFonts w:ascii="Arial" w:cs="Arial" w:eastAsia="Arial" w:hAnsi="Arial"/>
          <w:sz w:val="14"/>
          <w:szCs w:val="14"/>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KPMG LLP's Appointment Proposal, but do not have the discretion to vote on the election of directors, the Amended and Restated Certificate of Incorporation Proposal or the Say on Pay Proposal. Broker non-votes and abstentions, if any, will be treated as follows with respect to votes on each of the proposals:</w:t>
      </w:r>
    </w:p>
    <w:p>
      <w:pPr>
        <w:sectPr>
          <w:pgSz w:w="11900" w:h="16838" w:orient="portrait"/>
          <w:cols w:equalWidth="0" w:num="1">
            <w:col w:w="11160"/>
          </w:cols>
          <w:pgMar w:left="320" w:top="130" w:right="419" w:bottom="1440" w:gutter="0" w:footer="0" w:header="0"/>
        </w:sectPr>
      </w:pPr>
    </w:p>
    <w:p>
      <w:pPr>
        <w:spacing w:after="0" w:line="142"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Proposal</w:t>
            </w:r>
          </w:p>
        </w:tc>
        <w:tc>
          <w:tcPr>
            <w:tcW w:w="200" w:type="dxa"/>
            <w:vAlign w:val="bottom"/>
          </w:tcPr>
          <w:p>
            <w:pPr>
              <w:spacing w:after="0"/>
              <w:rPr>
                <w:sz w:val="12"/>
                <w:szCs w:val="12"/>
                <w:color w:val="auto"/>
              </w:rPr>
            </w:pPr>
          </w:p>
        </w:tc>
        <w:tc>
          <w:tcPr>
            <w:tcW w:w="3340" w:type="dxa"/>
            <w:vAlign w:val="bottom"/>
          </w:tcPr>
          <w:p>
            <w:pPr>
              <w:ind w:left="1000"/>
              <w:spacing w:after="0"/>
              <w:rPr>
                <w:sz w:val="20"/>
                <w:szCs w:val="20"/>
                <w:color w:val="auto"/>
              </w:rPr>
            </w:pPr>
            <w:r>
              <w:rPr>
                <w:rFonts w:ascii="Arial" w:cs="Arial" w:eastAsia="Arial" w:hAnsi="Arial"/>
                <w:sz w:val="12"/>
                <w:szCs w:val="12"/>
                <w:b w:val="1"/>
                <w:bCs w:val="1"/>
                <w:color w:val="auto"/>
              </w:rPr>
              <w:t>Treatment of Abstentions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1.</w:t>
            </w:r>
          </w:p>
        </w:tc>
        <w:tc>
          <w:tcPr>
            <w:tcW w:w="1720" w:type="dxa"/>
            <w:vAlign w:val="bottom"/>
            <w:gridSpan w:val="2"/>
          </w:tcPr>
          <w:p>
            <w:pPr>
              <w:ind w:left="80"/>
              <w:spacing w:after="0"/>
              <w:rPr>
                <w:sz w:val="20"/>
                <w:szCs w:val="20"/>
                <w:color w:val="auto"/>
              </w:rPr>
            </w:pPr>
            <w:r>
              <w:rPr>
                <w:rFonts w:ascii="Arial" w:cs="Arial" w:eastAsia="Arial" w:hAnsi="Arial"/>
                <w:sz w:val="16"/>
                <w:szCs w:val="16"/>
                <w:color w:val="auto"/>
              </w:rPr>
              <w:t>Election of Directors</w:t>
            </w:r>
          </w:p>
        </w:tc>
        <w:tc>
          <w:tcPr>
            <w:tcW w:w="200" w:type="dxa"/>
            <w:vAlign w:val="bottom"/>
            <w:vMerge w:val="continue"/>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No effect on this proposal.</w:t>
            </w:r>
          </w:p>
        </w:tc>
        <w:tc>
          <w:tcPr>
            <w:tcW w:w="0" w:type="dxa"/>
            <w:vAlign w:val="bottom"/>
          </w:tcPr>
          <w:p>
            <w:pPr>
              <w:spacing w:after="0"/>
              <w:rPr>
                <w:sz w:val="1"/>
                <w:szCs w:val="1"/>
                <w:color w:val="auto"/>
              </w:rPr>
            </w:pPr>
          </w:p>
        </w:tc>
      </w:tr>
      <w:tr>
        <w:trPr>
          <w:trHeight w:val="397"/>
        </w:trPr>
        <w:tc>
          <w:tcPr>
            <w:tcW w:w="220" w:type="dxa"/>
            <w:vAlign w:val="bottom"/>
            <w:gridSpan w:val="2"/>
          </w:tcPr>
          <w:p>
            <w:pPr>
              <w:spacing w:after="0"/>
              <w:rPr>
                <w:sz w:val="20"/>
                <w:szCs w:val="20"/>
                <w:color w:val="auto"/>
              </w:rPr>
            </w:pPr>
            <w:r>
              <w:rPr>
                <w:rFonts w:ascii="Arial" w:cs="Arial" w:eastAsia="Arial" w:hAnsi="Arial"/>
                <w:sz w:val="16"/>
                <w:szCs w:val="16"/>
                <w:color w:val="auto"/>
              </w:rPr>
              <w:t>2.</w:t>
            </w:r>
          </w:p>
        </w:tc>
        <w:tc>
          <w:tcPr>
            <w:tcW w:w="1720" w:type="dxa"/>
            <w:vAlign w:val="bottom"/>
            <w:gridSpan w:val="2"/>
          </w:tcPr>
          <w:p>
            <w:pPr>
              <w:ind w:left="80"/>
              <w:spacing w:after="0"/>
              <w:rPr>
                <w:sz w:val="20"/>
                <w:szCs w:val="20"/>
                <w:color w:val="auto"/>
              </w:rPr>
            </w:pPr>
            <w:r>
              <w:rPr>
                <w:rFonts w:ascii="Arial" w:cs="Arial" w:eastAsia="Arial" w:hAnsi="Arial"/>
                <w:sz w:val="16"/>
                <w:szCs w:val="16"/>
                <w:color w:val="auto"/>
                <w:w w:val="96"/>
              </w:rPr>
              <w:t>Amended and Restated</w:t>
            </w:r>
          </w:p>
        </w:tc>
        <w:tc>
          <w:tcPr>
            <w:tcW w:w="3540" w:type="dxa"/>
            <w:vAlign w:val="bottom"/>
            <w:gridSpan w:val="2"/>
          </w:tcPr>
          <w:p>
            <w:pPr>
              <w:ind w:left="180"/>
              <w:spacing w:after="0"/>
              <w:rPr>
                <w:sz w:val="20"/>
                <w:szCs w:val="20"/>
                <w:color w:val="auto"/>
              </w:rPr>
            </w:pPr>
            <w:r>
              <w:rPr>
                <w:rFonts w:ascii="Arial" w:cs="Arial" w:eastAsia="Arial" w:hAnsi="Arial"/>
                <w:sz w:val="16"/>
                <w:szCs w:val="16"/>
                <w:color w:val="auto"/>
              </w:rPr>
              <w:t>Counted toward the tabulation of votes on this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color w:val="auto"/>
              </w:rPr>
              <w:t>Certificate of</w:t>
            </w:r>
          </w:p>
        </w:tc>
        <w:tc>
          <w:tcPr>
            <w:tcW w:w="3540" w:type="dxa"/>
            <w:vAlign w:val="bottom"/>
            <w:gridSpan w:val="2"/>
          </w:tcPr>
          <w:p>
            <w:pPr>
              <w:ind w:left="180"/>
              <w:spacing w:after="0"/>
              <w:rPr>
                <w:sz w:val="20"/>
                <w:szCs w:val="20"/>
                <w:color w:val="auto"/>
              </w:rPr>
            </w:pPr>
            <w:r>
              <w:rPr>
                <w:rFonts w:ascii="Arial" w:cs="Arial" w:eastAsia="Arial" w:hAnsi="Arial"/>
                <w:sz w:val="16"/>
                <w:szCs w:val="16"/>
                <w:color w:val="auto"/>
                <w:w w:val="97"/>
              </w:rPr>
              <w:t>proposal and will have the same effect as a vote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color w:val="auto"/>
              </w:rPr>
              <w:t>Incorporation Proposal</w:t>
            </w:r>
          </w:p>
        </w:tc>
        <w:tc>
          <w:tcPr>
            <w:tcW w:w="3540" w:type="dxa"/>
            <w:vAlign w:val="bottom"/>
            <w:gridSpan w:val="2"/>
          </w:tcPr>
          <w:p>
            <w:pPr>
              <w:ind w:left="180"/>
              <w:spacing w:after="0"/>
              <w:rPr>
                <w:sz w:val="20"/>
                <w:szCs w:val="20"/>
                <w:color w:val="auto"/>
              </w:rPr>
            </w:pPr>
            <w:r>
              <w:rPr>
                <w:rFonts w:ascii="Arial" w:cs="Arial" w:eastAsia="Arial" w:hAnsi="Arial"/>
                <w:sz w:val="16"/>
                <w:szCs w:val="16"/>
                <w:color w:val="auto"/>
              </w:rPr>
              <w:t>AGAINST this proposal.</w:t>
            </w:r>
          </w:p>
        </w:tc>
        <w:tc>
          <w:tcPr>
            <w:tcW w:w="0" w:type="dxa"/>
            <w:vAlign w:val="bottom"/>
          </w:tcPr>
          <w:p>
            <w:pPr>
              <w:spacing w:after="0"/>
              <w:rPr>
                <w:sz w:val="1"/>
                <w:szCs w:val="1"/>
                <w:color w:val="auto"/>
              </w:rPr>
            </w:pPr>
          </w:p>
        </w:tc>
      </w:tr>
      <w:tr>
        <w:trPr>
          <w:trHeight w:val="406"/>
        </w:trPr>
        <w:tc>
          <w:tcPr>
            <w:tcW w:w="220" w:type="dxa"/>
            <w:vAlign w:val="bottom"/>
            <w:gridSpan w:val="2"/>
          </w:tcPr>
          <w:p>
            <w:pPr>
              <w:spacing w:after="0"/>
              <w:rPr>
                <w:sz w:val="20"/>
                <w:szCs w:val="20"/>
                <w:color w:val="auto"/>
              </w:rPr>
            </w:pPr>
            <w:r>
              <w:rPr>
                <w:rFonts w:ascii="Arial" w:cs="Arial" w:eastAsia="Arial" w:hAnsi="Arial"/>
                <w:sz w:val="16"/>
                <w:szCs w:val="16"/>
                <w:color w:val="auto"/>
              </w:rPr>
              <w:t>3.</w:t>
            </w:r>
          </w:p>
        </w:tc>
        <w:tc>
          <w:tcPr>
            <w:tcW w:w="1720" w:type="dxa"/>
            <w:vAlign w:val="bottom"/>
            <w:gridSpan w:val="2"/>
          </w:tcPr>
          <w:p>
            <w:pPr>
              <w:ind w:left="80"/>
              <w:spacing w:after="0"/>
              <w:rPr>
                <w:sz w:val="20"/>
                <w:szCs w:val="20"/>
                <w:color w:val="auto"/>
              </w:rPr>
            </w:pPr>
            <w:r>
              <w:rPr>
                <w:rFonts w:ascii="Arial" w:cs="Arial" w:eastAsia="Arial" w:hAnsi="Arial"/>
                <w:sz w:val="16"/>
                <w:szCs w:val="16"/>
                <w:color w:val="auto"/>
              </w:rPr>
              <w:t>Say on Pay Proposal</w:t>
            </w:r>
          </w:p>
        </w:tc>
        <w:tc>
          <w:tcPr>
            <w:tcW w:w="3540" w:type="dxa"/>
            <w:vAlign w:val="bottom"/>
            <w:gridSpan w:val="2"/>
          </w:tcPr>
          <w:p>
            <w:pPr>
              <w:ind w:left="180"/>
              <w:spacing w:after="0"/>
              <w:rPr>
                <w:sz w:val="20"/>
                <w:szCs w:val="20"/>
                <w:color w:val="auto"/>
              </w:rPr>
            </w:pPr>
            <w:r>
              <w:rPr>
                <w:rFonts w:ascii="Arial" w:cs="Arial" w:eastAsia="Arial" w:hAnsi="Arial"/>
                <w:sz w:val="16"/>
                <w:szCs w:val="16"/>
                <w:color w:val="auto"/>
              </w:rPr>
              <w:t>Counted toward the tabulation of votes on this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540" w:type="dxa"/>
            <w:vAlign w:val="bottom"/>
            <w:gridSpan w:val="2"/>
          </w:tcPr>
          <w:p>
            <w:pPr>
              <w:ind w:left="180"/>
              <w:spacing w:after="0"/>
              <w:rPr>
                <w:sz w:val="20"/>
                <w:szCs w:val="20"/>
                <w:color w:val="auto"/>
              </w:rPr>
            </w:pPr>
            <w:r>
              <w:rPr>
                <w:rFonts w:ascii="Arial" w:cs="Arial" w:eastAsia="Arial" w:hAnsi="Arial"/>
                <w:sz w:val="16"/>
                <w:szCs w:val="16"/>
                <w:color w:val="auto"/>
                <w:w w:val="97"/>
              </w:rPr>
              <w:t>proposal and will have the same effect as a vote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540" w:type="dxa"/>
            <w:vAlign w:val="bottom"/>
            <w:gridSpan w:val="2"/>
          </w:tcPr>
          <w:p>
            <w:pPr>
              <w:ind w:left="180"/>
              <w:spacing w:after="0"/>
              <w:rPr>
                <w:sz w:val="20"/>
                <w:szCs w:val="20"/>
                <w:color w:val="auto"/>
              </w:rPr>
            </w:pPr>
            <w:r>
              <w:rPr>
                <w:rFonts w:ascii="Arial" w:cs="Arial" w:eastAsia="Arial" w:hAnsi="Arial"/>
                <w:sz w:val="16"/>
                <w:szCs w:val="16"/>
                <w:color w:val="auto"/>
              </w:rPr>
              <w:t>AGAINST this proposal.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Treatment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212788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2788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 effect on this proposal.</w:t>
      </w:r>
    </w:p>
    <w:p>
      <w:pPr>
        <w:spacing w:after="0" w:line="220" w:lineRule="exact"/>
        <w:rPr>
          <w:sz w:val="20"/>
          <w:szCs w:val="20"/>
          <w:color w:val="auto"/>
        </w:rPr>
      </w:pPr>
    </w:p>
    <w:p>
      <w:pPr>
        <w:ind w:right="1400"/>
        <w:spacing w:after="0" w:line="264" w:lineRule="auto"/>
        <w:rPr>
          <w:sz w:val="20"/>
          <w:szCs w:val="20"/>
          <w:color w:val="auto"/>
        </w:rPr>
      </w:pPr>
      <w:r>
        <w:rPr>
          <w:rFonts w:ascii="Arial" w:cs="Arial" w:eastAsia="Arial" w:hAnsi="Arial"/>
          <w:sz w:val="16"/>
          <w:szCs w:val="16"/>
          <w:color w:val="auto"/>
        </w:rPr>
        <w:t>Counted toward the tabulation of votes on this proposal and will have the same effect as a vote AGAINST this proposal.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 effect on this proposal.</w:t>
      </w:r>
    </w:p>
    <w:p>
      <w:pPr>
        <w:spacing w:after="0" w:line="605" w:lineRule="exact"/>
        <w:rPr>
          <w:sz w:val="20"/>
          <w:szCs w:val="20"/>
          <w:color w:val="auto"/>
        </w:rPr>
      </w:pPr>
    </w:p>
    <w:p>
      <w:pPr>
        <w:sectPr>
          <w:pgSz w:w="11900" w:h="16838" w:orient="portrait"/>
          <w:cols w:equalWidth="0" w:num="2">
            <w:col w:w="6600" w:space="140"/>
            <w:col w:w="4420"/>
          </w:cols>
          <w:pgMar w:left="320" w:top="130" w:right="419" w:bottom="1440" w:gutter="0" w:footer="0" w:header="0"/>
          <w:type w:val="continuous"/>
        </w:sectPr>
      </w:pPr>
    </w:p>
    <w:p>
      <w:pPr>
        <w:spacing w:after="0" w:line="12" w:lineRule="exact"/>
        <w:rPr>
          <w:sz w:val="20"/>
          <w:szCs w:val="20"/>
          <w:color w:val="auto"/>
        </w:rPr>
      </w:pPr>
    </w:p>
    <w:p>
      <w:pPr>
        <w:ind w:left="1120"/>
        <w:spacing w:after="0"/>
        <w:tabs>
          <w:tab w:leader="none" w:pos="1400" w:val="left"/>
          <w:tab w:leader="none" w:pos="3220" w:val="left"/>
        </w:tabs>
        <w:rPr>
          <w:sz w:val="20"/>
          <w:szCs w:val="20"/>
          <w:color w:val="auto"/>
        </w:rPr>
      </w:pPr>
      <w:r>
        <w:rPr>
          <w:rFonts w:ascii="Arial" w:cs="Arial" w:eastAsia="Arial" w:hAnsi="Arial"/>
          <w:sz w:val="16"/>
          <w:szCs w:val="16"/>
          <w:color w:val="auto"/>
        </w:rPr>
        <w:t>4.</w:t>
        <w:tab/>
        <w:t>Ratification of</w:t>
      </w:r>
      <w:r>
        <w:rPr>
          <w:sz w:val="20"/>
          <w:szCs w:val="20"/>
          <w:color w:val="auto"/>
        </w:rPr>
        <w:tab/>
      </w:r>
      <w:r>
        <w:rPr>
          <w:rFonts w:ascii="Arial" w:cs="Arial" w:eastAsia="Arial" w:hAnsi="Arial"/>
          <w:sz w:val="14"/>
          <w:szCs w:val="14"/>
          <w:color w:val="auto"/>
        </w:rPr>
        <w:t>Counted toward the tabulation of votes on this</w:t>
      </w:r>
    </w:p>
    <w:p>
      <w:pPr>
        <w:spacing w:after="0" w:line="17" w:lineRule="exact"/>
        <w:rPr>
          <w:sz w:val="20"/>
          <w:szCs w:val="20"/>
          <w:color w:val="auto"/>
        </w:rPr>
      </w:pPr>
    </w:p>
    <w:p>
      <w:pPr>
        <w:jc w:val="right"/>
        <w:spacing w:after="0"/>
        <w:tabs>
          <w:tab w:leader="none" w:pos="3000" w:val="left"/>
        </w:tabs>
        <w:rPr>
          <w:sz w:val="20"/>
          <w:szCs w:val="20"/>
          <w:color w:val="auto"/>
        </w:rPr>
      </w:pPr>
      <w:r>
        <w:rPr>
          <w:rFonts w:ascii="Arial" w:cs="Arial" w:eastAsia="Arial" w:hAnsi="Arial"/>
          <w:sz w:val="16"/>
          <w:szCs w:val="16"/>
          <w:color w:val="auto"/>
        </w:rPr>
        <w:t>KPMG LLP's</w:t>
      </w:r>
      <w:r>
        <w:rPr>
          <w:sz w:val="20"/>
          <w:szCs w:val="20"/>
          <w:color w:val="auto"/>
        </w:rPr>
        <w:tab/>
      </w:r>
      <w:r>
        <w:rPr>
          <w:rFonts w:ascii="Arial" w:cs="Arial" w:eastAsia="Arial" w:hAnsi="Arial"/>
          <w:sz w:val="14"/>
          <w:szCs w:val="14"/>
          <w:color w:val="auto"/>
        </w:rPr>
        <w:t>proposal and will have the same effect as a vote</w:t>
      </w:r>
    </w:p>
    <w:p>
      <w:pPr>
        <w:spacing w:after="0" w:line="10" w:lineRule="exact"/>
        <w:rPr>
          <w:sz w:val="20"/>
          <w:szCs w:val="20"/>
          <w:color w:val="auto"/>
        </w:rPr>
      </w:pPr>
    </w:p>
    <w:p>
      <w:pPr>
        <w:ind w:left="1420"/>
        <w:spacing w:after="0"/>
        <w:tabs>
          <w:tab w:leader="none" w:pos="3220" w:val="left"/>
        </w:tabs>
        <w:rPr>
          <w:sz w:val="20"/>
          <w:szCs w:val="20"/>
          <w:color w:val="auto"/>
        </w:rPr>
      </w:pPr>
      <w:r>
        <w:rPr>
          <w:rFonts w:ascii="Arial" w:cs="Arial" w:eastAsia="Arial" w:hAnsi="Arial"/>
          <w:sz w:val="16"/>
          <w:szCs w:val="16"/>
          <w:color w:val="auto"/>
        </w:rPr>
        <w:t>Appointment Proposal</w:t>
      </w:r>
      <w:r>
        <w:rPr>
          <w:sz w:val="20"/>
          <w:szCs w:val="20"/>
          <w:color w:val="auto"/>
        </w:rPr>
        <w:tab/>
      </w:r>
      <w:r>
        <w:rPr>
          <w:rFonts w:ascii="Arial" w:cs="Arial" w:eastAsia="Arial" w:hAnsi="Arial"/>
          <w:sz w:val="14"/>
          <w:szCs w:val="14"/>
          <w:color w:val="auto"/>
        </w:rPr>
        <w:t>AGAINST this proposal.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w:t>
      </w:r>
    </w:p>
    <w:p>
      <w:pPr>
        <w:spacing w:after="0" w:line="20" w:lineRule="exact"/>
        <w:rPr>
          <w:sz w:val="20"/>
          <w:szCs w:val="20"/>
          <w:color w:val="auto"/>
        </w:rPr>
      </w:pPr>
      <w:r>
        <w:rPr>
          <w:sz w:val="20"/>
          <w:szCs w:val="20"/>
          <w:color w:val="auto"/>
        </w:rPr>
        <w:br w:type="column"/>
      </w:r>
    </w:p>
    <w:p>
      <w:pPr>
        <w:ind w:right="1420"/>
        <w:spacing w:after="0" w:line="348" w:lineRule="auto"/>
        <w:rPr>
          <w:sz w:val="20"/>
          <w:szCs w:val="20"/>
          <w:color w:val="auto"/>
        </w:rPr>
      </w:pPr>
      <w:r>
        <w:rPr>
          <w:rFonts w:ascii="Arial" w:cs="Arial" w:eastAsia="Arial" w:hAnsi="Arial"/>
          <w:sz w:val="14"/>
          <w:szCs w:val="14"/>
          <w:color w:val="auto"/>
        </w:rPr>
        <w:t>Not applicable since brokers have discretionary authority to vote on this proposal.</w:t>
      </w:r>
    </w:p>
    <w:p>
      <w:pPr>
        <w:spacing w:after="0" w:line="690" w:lineRule="exact"/>
        <w:rPr>
          <w:sz w:val="20"/>
          <w:szCs w:val="20"/>
          <w:color w:val="auto"/>
        </w:rPr>
      </w:pPr>
    </w:p>
    <w:p>
      <w:pPr>
        <w:sectPr>
          <w:pgSz w:w="11900" w:h="16838" w:orient="portrait"/>
          <w:cols w:equalWidth="0" w:num="2">
            <w:col w:w="6260" w:space="480"/>
            <w:col w:w="4420"/>
          </w:cols>
          <w:pgMar w:left="320" w:top="130" w:right="419" w:bottom="1440" w:gutter="0" w:footer="0" w:header="0"/>
          <w:type w:val="continuous"/>
        </w:sectPr>
      </w:pPr>
    </w:p>
    <w:p>
      <w:pPr>
        <w:spacing w:after="0" w:line="8" w:lineRule="exact"/>
        <w:rPr>
          <w:sz w:val="20"/>
          <w:szCs w:val="20"/>
          <w:color w:val="auto"/>
        </w:rPr>
      </w:pPr>
    </w:p>
    <w:p>
      <w:pPr>
        <w:ind w:right="80" w:firstLine="316"/>
        <w:spacing w:after="0" w:line="309" w:lineRule="auto"/>
        <w:rPr>
          <w:sz w:val="20"/>
          <w:szCs w:val="20"/>
          <w:color w:val="auto"/>
        </w:rPr>
      </w:pPr>
      <w:r>
        <w:rPr>
          <w:rFonts w:ascii="Arial" w:cs="Arial" w:eastAsia="Arial" w:hAnsi="Arial"/>
          <w:sz w:val="14"/>
          <w:szCs w:val="14"/>
          <w:color w:val="auto"/>
        </w:rPr>
        <w:t>If you hold shares of Class A, Class B, Class C or Class D common stock directly as the stockholder of record, you may vote in person,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in person at the Annual Meeting. Please refer to the summary instructions below and those included on your proxy card or, for shares held in street name, the voting instruction card included by your bank, broker, trustee, or nominee.</w:t>
      </w:r>
    </w:p>
    <w:p>
      <w:pPr>
        <w:spacing w:after="0" w:line="154" w:lineRule="exact"/>
        <w:rPr>
          <w:sz w:val="20"/>
          <w:szCs w:val="20"/>
          <w:color w:val="auto"/>
        </w:rPr>
      </w:pPr>
    </w:p>
    <w:p>
      <w:pPr>
        <w:jc w:val="both"/>
        <w:ind w:left="960" w:right="320" w:hanging="477"/>
        <w:spacing w:after="0" w:line="289" w:lineRule="auto"/>
        <w:tabs>
          <w:tab w:leader="none" w:pos="96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Vote By Internet: </w:t>
      </w:r>
      <w:r>
        <w:rPr>
          <w:rFonts w:ascii="Arial" w:cs="Arial" w:eastAsia="Arial" w:hAnsi="Arial"/>
          <w:sz w:val="15"/>
          <w:szCs w:val="15"/>
          <w:color w:val="auto"/>
        </w:rPr>
        <w:t>If you have Internet access, you may submit your proxy from any location in the world 24 hours a day, 7 days a week, up until 11:59 p.m.,</w:t>
      </w:r>
      <w:r>
        <w:rPr>
          <w:rFonts w:ascii="Arial" w:cs="Arial" w:eastAsia="Arial" w:hAnsi="Arial"/>
          <w:sz w:val="15"/>
          <w:szCs w:val="15"/>
          <w:i w:val="1"/>
          <w:iCs w:val="1"/>
          <w:color w:val="auto"/>
        </w:rPr>
        <w:t xml:space="preserve"> </w:t>
      </w:r>
      <w:r>
        <w:rPr>
          <w:rFonts w:ascii="Arial" w:cs="Arial" w:eastAsia="Arial" w:hAnsi="Arial"/>
          <w:sz w:val="15"/>
          <w:szCs w:val="15"/>
          <w:color w:val="auto"/>
        </w:rPr>
        <w:t>Eastern Time, on April 29, 2020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178" w:lineRule="exact"/>
        <w:rPr>
          <w:rFonts w:ascii="Arial" w:cs="Arial" w:eastAsia="Arial" w:hAnsi="Arial"/>
          <w:sz w:val="15"/>
          <w:szCs w:val="15"/>
          <w:color w:val="auto"/>
        </w:rPr>
      </w:pPr>
    </w:p>
    <w:p>
      <w:pPr>
        <w:ind w:left="960" w:hanging="477"/>
        <w:spacing w:after="0"/>
        <w:tabs>
          <w:tab w:leader="none" w:pos="96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Vote By Telephone: </w:t>
      </w:r>
      <w:r>
        <w:rPr>
          <w:rFonts w:ascii="Arial" w:cs="Arial" w:eastAsia="Arial" w:hAnsi="Arial"/>
          <w:sz w:val="14"/>
          <w:szCs w:val="14"/>
          <w:color w:val="auto"/>
        </w:rPr>
        <w:t>If you live in the United States, you may use any touch-tone telephone to vote your proxy toll-free 24 hours a day, 7 days a week, up until</w:t>
      </w:r>
    </w:p>
    <w:p>
      <w:pPr>
        <w:spacing w:after="0" w:line="39" w:lineRule="exact"/>
        <w:rPr>
          <w:rFonts w:ascii="Arial" w:cs="Arial" w:eastAsia="Arial" w:hAnsi="Arial"/>
          <w:sz w:val="14"/>
          <w:szCs w:val="14"/>
          <w:color w:val="auto"/>
        </w:rPr>
      </w:pPr>
    </w:p>
    <w:p>
      <w:pPr>
        <w:ind w:left="960"/>
        <w:spacing w:after="0" w:line="266" w:lineRule="auto"/>
        <w:rPr>
          <w:rFonts w:ascii="Arial" w:cs="Arial" w:eastAsia="Arial" w:hAnsi="Arial"/>
          <w:sz w:val="14"/>
          <w:szCs w:val="14"/>
          <w:color w:val="auto"/>
        </w:rPr>
      </w:pPr>
      <w:r>
        <w:rPr>
          <w:rFonts w:ascii="Arial" w:cs="Arial" w:eastAsia="Arial" w:hAnsi="Arial"/>
          <w:sz w:val="16"/>
          <w:szCs w:val="16"/>
          <w:color w:val="auto"/>
        </w:rPr>
        <w:t>11:59 p.m., Eastern Time, on April 29, 2020. The telephone number is printed on your proxy card or voting instruction card. If you vote by telephone, you do not need to return your proxy card or voting instruction card.</w:t>
      </w:r>
    </w:p>
    <w:p>
      <w:pPr>
        <w:spacing w:after="0" w:line="180" w:lineRule="exact"/>
        <w:rPr>
          <w:rFonts w:ascii="Arial" w:cs="Arial" w:eastAsia="Arial" w:hAnsi="Arial"/>
          <w:sz w:val="14"/>
          <w:szCs w:val="14"/>
          <w:color w:val="auto"/>
        </w:rPr>
      </w:pPr>
    </w:p>
    <w:p>
      <w:pPr>
        <w:ind w:left="960" w:right="140" w:hanging="477"/>
        <w:spacing w:after="0" w:line="264" w:lineRule="auto"/>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Vote By Mail: </w:t>
      </w:r>
      <w:r>
        <w:rPr>
          <w:rFonts w:ascii="Arial" w:cs="Arial" w:eastAsia="Arial" w:hAnsi="Arial"/>
          <w:sz w:val="16"/>
          <w:szCs w:val="16"/>
          <w:color w:val="auto"/>
        </w:rPr>
        <w:t>If you received or requested a paper copy of the materials, you may submit your proxy by signing your proxy card or, for shares held in street</w:t>
      </w:r>
      <w:r>
        <w:rPr>
          <w:rFonts w:ascii="Arial" w:cs="Arial" w:eastAsia="Arial" w:hAnsi="Arial"/>
          <w:sz w:val="16"/>
          <w:szCs w:val="16"/>
          <w:i w:val="1"/>
          <w:iCs w:val="1"/>
          <w:color w:val="auto"/>
        </w:rPr>
        <w:t xml:space="preserve"> </w:t>
      </w:r>
      <w:r>
        <w:rPr>
          <w:rFonts w:ascii="Arial" w:cs="Arial" w:eastAsia="Arial" w:hAnsi="Arial"/>
          <w:sz w:val="16"/>
          <w:szCs w:val="16"/>
          <w:color w:val="auto"/>
        </w:rPr>
        <w:t>name, the voting instruction card included by your broker, trustee, or nominee, and mailing it in the enclosed, postage-paid, addressed envelope. If you provide specific voting instructions, your shares will be voted as you</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960" w:right="80"/>
        <w:spacing w:after="0" w:line="309" w:lineRule="auto"/>
        <w:rPr>
          <w:sz w:val="20"/>
          <w:szCs w:val="20"/>
          <w:color w:val="auto"/>
        </w:rPr>
      </w:pPr>
      <w:r>
        <w:rPr>
          <w:rFonts w:ascii="Arial" w:cs="Arial" w:eastAsia="Arial" w:hAnsi="Arial"/>
          <w:sz w:val="15"/>
          <w:szCs w:val="15"/>
          <w:color w:val="auto"/>
        </w:rPr>
        <w:t>instruct. If you sign, but do not provide instructions, your shares will be voted as the Board recommends. Mark, sign, and date your proxy card and return it in the postage-paid envelope provided as soon as possible as it must be received by the Company prior to April 30, 2020, the Annual Meeting date.</w:t>
      </w:r>
    </w:p>
    <w:p>
      <w:pPr>
        <w:spacing w:after="0" w:line="151" w:lineRule="exact"/>
        <w:rPr>
          <w:sz w:val="20"/>
          <w:szCs w:val="20"/>
          <w:color w:val="auto"/>
        </w:rPr>
      </w:pPr>
    </w:p>
    <w:p>
      <w:pPr>
        <w:ind w:left="960" w:right="40" w:hanging="477"/>
        <w:spacing w:after="0" w:line="283" w:lineRule="auto"/>
        <w:tabs>
          <w:tab w:leader="none" w:pos="96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Vote In Person: </w:t>
      </w:r>
      <w:r>
        <w:rPr>
          <w:rFonts w:ascii="Arial" w:cs="Arial" w:eastAsia="Arial" w:hAnsi="Arial"/>
          <w:sz w:val="15"/>
          <w:szCs w:val="15"/>
          <w:color w:val="auto"/>
        </w:rPr>
        <w:t>For information on how record holders and beneficial owners of shares held in street can vote in person, please refer to "How can I vote at the</w:t>
      </w:r>
      <w:r>
        <w:rPr>
          <w:rFonts w:ascii="Arial" w:cs="Arial" w:eastAsia="Arial" w:hAnsi="Arial"/>
          <w:sz w:val="15"/>
          <w:szCs w:val="15"/>
          <w:i w:val="1"/>
          <w:iCs w:val="1"/>
          <w:color w:val="auto"/>
        </w:rPr>
        <w:t xml:space="preserve"> </w:t>
      </w:r>
      <w:r>
        <w:rPr>
          <w:rFonts w:ascii="Arial" w:cs="Arial" w:eastAsia="Arial" w:hAnsi="Arial"/>
          <w:sz w:val="15"/>
          <w:szCs w:val="15"/>
          <w:color w:val="auto"/>
        </w:rPr>
        <w:t>Annual Meeting if I attend in person?" on page 64. Record holders, beneficial owners and legal proxy holders should also refer to "What should I bring to the Annual Meeting if I attend in person?" on page 63 for the Annual Meeting admission and voting requirements. Stockholders holding shares in a joint account may attend the meeting if they provide proof of joint ownership, and if each stockholder follows the admission requirements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I CHANGE MY VOTE?</w:t>
      </w:r>
    </w:p>
    <w:p>
      <w:pPr>
        <w:spacing w:after="0" w:line="208" w:lineRule="exact"/>
        <w:rPr>
          <w:sz w:val="20"/>
          <w:szCs w:val="20"/>
          <w:color w:val="auto"/>
        </w:rPr>
      </w:pPr>
    </w:p>
    <w:p>
      <w:pPr>
        <w:ind w:firstLine="310"/>
        <w:spacing w:after="0" w:line="258" w:lineRule="auto"/>
        <w:rPr>
          <w:sz w:val="20"/>
          <w:szCs w:val="20"/>
          <w:color w:val="auto"/>
        </w:rPr>
      </w:pPr>
      <w:r>
        <w:rPr>
          <w:rFonts w:ascii="Arial" w:cs="Arial" w:eastAsia="Arial" w:hAnsi="Arial"/>
          <w:sz w:val="16"/>
          <w:szCs w:val="16"/>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attending the Annual Meeting and voting in person (although attendance at the Annual Meeting will not in and of itself constitute a revocation of a proxy). For shares held in street name, you may change your vote by submitting new voting instructions to your broker, trustee, or nominee, or by obtaining a legal proxy from your broker and voting your shares by ballot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SHOULD I BRING TO THE ANNUAL MEETING IF I ATTEND IN PERSON?</w:t>
      </w:r>
    </w:p>
    <w:p>
      <w:pPr>
        <w:spacing w:after="0" w:line="208" w:lineRule="exact"/>
        <w:rPr>
          <w:sz w:val="20"/>
          <w:szCs w:val="20"/>
          <w:color w:val="auto"/>
        </w:rPr>
      </w:pPr>
    </w:p>
    <w:p>
      <w:pPr>
        <w:ind w:right="140" w:firstLine="316"/>
        <w:spacing w:after="0" w:line="264" w:lineRule="auto"/>
        <w:rPr>
          <w:sz w:val="20"/>
          <w:szCs w:val="20"/>
          <w:color w:val="auto"/>
        </w:rPr>
      </w:pPr>
      <w:r>
        <w:rPr>
          <w:rFonts w:ascii="Arial" w:cs="Arial" w:eastAsia="Arial" w:hAnsi="Arial"/>
          <w:sz w:val="16"/>
          <w:szCs w:val="16"/>
          <w:color w:val="auto"/>
        </w:rPr>
        <w:t>Registration for the Annual Meeting will begin at 8 a.m., Eastern Time. Please allow ample time for check-in. No cameras, recording equipment, electronic devices, large bags, briefcases or packages will be permitted in the Annual Meeting. For admission to the Annual Meeting, all individuals attending must provide personal identification (such as a driver's license or passport), as well as the following:</w:t>
      </w:r>
    </w:p>
    <w:p>
      <w:pPr>
        <w:spacing w:after="0" w:line="166" w:lineRule="exact"/>
        <w:rPr>
          <w:sz w:val="20"/>
          <w:szCs w:val="20"/>
          <w:color w:val="auto"/>
        </w:rPr>
      </w:pPr>
    </w:p>
    <w:p>
      <w:pPr>
        <w:ind w:right="100" w:firstLine="316"/>
        <w:spacing w:after="0" w:line="266" w:lineRule="auto"/>
        <w:rPr>
          <w:sz w:val="20"/>
          <w:szCs w:val="20"/>
          <w:color w:val="auto"/>
        </w:rPr>
      </w:pPr>
      <w:r>
        <w:rPr>
          <w:rFonts w:ascii="Arial" w:cs="Arial" w:eastAsia="Arial" w:hAnsi="Arial"/>
          <w:sz w:val="16"/>
          <w:szCs w:val="16"/>
          <w:b w:val="1"/>
          <w:bCs w:val="1"/>
          <w:color w:val="auto"/>
        </w:rPr>
        <w:t>If you are a record holder (i.e., you hold your shares through our transfer agent, Computershare)</w:t>
      </w:r>
      <w:r>
        <w:rPr>
          <w:rFonts w:ascii="Arial" w:cs="Arial" w:eastAsia="Arial" w:hAnsi="Arial"/>
          <w:sz w:val="16"/>
          <w:szCs w:val="16"/>
          <w:color w:val="auto"/>
        </w:rPr>
        <w:t>, you must bring either a copy of the proxy card you received as part</w:t>
      </w:r>
      <w:r>
        <w:rPr>
          <w:rFonts w:ascii="Arial" w:cs="Arial" w:eastAsia="Arial" w:hAnsi="Arial"/>
          <w:sz w:val="16"/>
          <w:szCs w:val="16"/>
          <w:b w:val="1"/>
          <w:bCs w:val="1"/>
          <w:color w:val="auto"/>
        </w:rPr>
        <w:t xml:space="preserve"> </w:t>
      </w:r>
      <w:r>
        <w:rPr>
          <w:rFonts w:ascii="Arial" w:cs="Arial" w:eastAsia="Arial" w:hAnsi="Arial"/>
          <w:sz w:val="16"/>
          <w:szCs w:val="16"/>
          <w:color w:val="auto"/>
        </w:rPr>
        <w:t>of your proxy materials, a copy of your Computershare account statement indicating your ownership of our common stock as of the record date, or the Notice of Availability, if you received one.</w:t>
      </w:r>
    </w:p>
    <w:p>
      <w:pPr>
        <w:spacing w:after="0" w:line="165" w:lineRule="exact"/>
        <w:rPr>
          <w:sz w:val="20"/>
          <w:szCs w:val="20"/>
          <w:color w:val="auto"/>
        </w:rPr>
      </w:pPr>
    </w:p>
    <w:p>
      <w:pPr>
        <w:ind w:right="20" w:firstLine="316"/>
        <w:spacing w:after="0" w:line="266" w:lineRule="auto"/>
        <w:rPr>
          <w:sz w:val="20"/>
          <w:szCs w:val="20"/>
          <w:color w:val="auto"/>
        </w:rPr>
      </w:pPr>
      <w:r>
        <w:rPr>
          <w:rFonts w:ascii="Arial" w:cs="Arial" w:eastAsia="Arial" w:hAnsi="Arial"/>
          <w:sz w:val="16"/>
          <w:szCs w:val="16"/>
          <w:b w:val="1"/>
          <w:bCs w:val="1"/>
          <w:color w:val="auto"/>
        </w:rPr>
        <w:t>If you hold your shares in street name (i.e., through a bank, broker, trustee or other nominee)</w:t>
      </w:r>
      <w:r>
        <w:rPr>
          <w:rFonts w:ascii="Arial" w:cs="Arial" w:eastAsia="Arial" w:hAnsi="Arial"/>
          <w:sz w:val="16"/>
          <w:szCs w:val="16"/>
          <w:color w:val="auto"/>
        </w:rPr>
        <w:t>, you must bring either the voting instruction card you received from your</w:t>
      </w:r>
      <w:r>
        <w:rPr>
          <w:rFonts w:ascii="Arial" w:cs="Arial" w:eastAsia="Arial" w:hAnsi="Arial"/>
          <w:sz w:val="16"/>
          <w:szCs w:val="16"/>
          <w:b w:val="1"/>
          <w:bCs w:val="1"/>
          <w:color w:val="auto"/>
        </w:rPr>
        <w:t xml:space="preserve"> </w:t>
      </w:r>
      <w:r>
        <w:rPr>
          <w:rFonts w:ascii="Arial" w:cs="Arial" w:eastAsia="Arial" w:hAnsi="Arial"/>
          <w:sz w:val="16"/>
          <w:szCs w:val="16"/>
          <w:color w:val="auto"/>
        </w:rPr>
        <w:t>bank, trustee, broker or other nominee as part of your proxy materials, a copy of your brokerage statement indicating your ownership of our common stock as of the record date, or the Notice of Availability, if you received one.</w:t>
      </w:r>
    </w:p>
    <w:p>
      <w:pPr>
        <w:spacing w:after="0" w:line="165" w:lineRule="exact"/>
        <w:rPr>
          <w:sz w:val="20"/>
          <w:szCs w:val="20"/>
          <w:color w:val="auto"/>
        </w:rPr>
      </w:pPr>
    </w:p>
    <w:p>
      <w:pPr>
        <w:jc w:val="both"/>
        <w:ind w:right="120" w:firstLine="316"/>
        <w:spacing w:after="0" w:line="262" w:lineRule="auto"/>
        <w:rPr>
          <w:sz w:val="20"/>
          <w:szCs w:val="20"/>
          <w:color w:val="auto"/>
        </w:rPr>
      </w:pPr>
      <w:r>
        <w:rPr>
          <w:rFonts w:ascii="Arial" w:cs="Arial" w:eastAsia="Arial" w:hAnsi="Arial"/>
          <w:sz w:val="16"/>
          <w:szCs w:val="16"/>
          <w:b w:val="1"/>
          <w:bCs w:val="1"/>
          <w:color w:val="auto"/>
        </w:rPr>
        <w:t>If you are not a stockholder, but are attending the meeting as proxy for a stockholder</w:t>
      </w:r>
      <w:r>
        <w:rPr>
          <w:rFonts w:ascii="Arial" w:cs="Arial" w:eastAsia="Arial" w:hAnsi="Arial"/>
          <w:sz w:val="16"/>
          <w:szCs w:val="16"/>
          <w:color w:val="auto"/>
        </w:rPr>
        <w:t>, you must bring a valid legal proxy. If you attend as a proxy for a record holder,</w:t>
      </w:r>
      <w:r>
        <w:rPr>
          <w:rFonts w:ascii="Arial" w:cs="Arial" w:eastAsia="Arial" w:hAnsi="Arial"/>
          <w:sz w:val="16"/>
          <w:szCs w:val="16"/>
          <w:b w:val="1"/>
          <w:bCs w:val="1"/>
          <w:color w:val="auto"/>
        </w:rPr>
        <w:t xml:space="preserve"> </w:t>
      </w:r>
      <w:r>
        <w:rPr>
          <w:rFonts w:ascii="Arial" w:cs="Arial" w:eastAsia="Arial" w:hAnsi="Arial"/>
          <w:sz w:val="16"/>
          <w:szCs w:val="16"/>
          <w:color w:val="auto"/>
        </w:rPr>
        <w:t>you must present a valid legal proxy from the record holder to you. If you attend as a proxy for a street name holder, you must present a valid legal proxy from the record holder (i.e., the bank, broker, trustee, or other nominee) to the street name holder that is assignable, as well as a valid legal proxy from the street name holder to you. Stockholders may only appoint one proxy holder to attend the Annual Meeting on their behalf.</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VOTE AT THE ANNUAL MEETING IF I ATTEND IN PERSON?</w:t>
      </w:r>
    </w:p>
    <w:p>
      <w:pPr>
        <w:spacing w:after="0" w:line="204" w:lineRule="exact"/>
        <w:rPr>
          <w:sz w:val="20"/>
          <w:szCs w:val="20"/>
          <w:color w:val="auto"/>
        </w:rPr>
      </w:pPr>
    </w:p>
    <w:p>
      <w:pPr>
        <w:ind w:right="200" w:firstLine="316"/>
        <w:spacing w:after="0" w:line="280" w:lineRule="auto"/>
        <w:rPr>
          <w:sz w:val="20"/>
          <w:szCs w:val="20"/>
          <w:color w:val="auto"/>
        </w:rPr>
      </w:pPr>
      <w:r>
        <w:rPr>
          <w:rFonts w:ascii="Arial" w:cs="Arial" w:eastAsia="Arial" w:hAnsi="Arial"/>
          <w:sz w:val="16"/>
          <w:szCs w:val="16"/>
          <w:b w:val="1"/>
          <w:bCs w:val="1"/>
          <w:color w:val="auto"/>
        </w:rPr>
        <w:t>If you are a record holder (i.e., you hold your shares through our transfer agent, Computershare) and wish to vote your shares in person at the Annual Meeting</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need to bring proof of ownership as described above and a ballot will be provided to you at the Annual Meeting.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ind w:right="80" w:firstLine="316"/>
        <w:spacing w:after="0" w:line="302" w:lineRule="auto"/>
        <w:rPr>
          <w:sz w:val="20"/>
          <w:szCs w:val="20"/>
          <w:color w:val="auto"/>
        </w:rPr>
      </w:pPr>
      <w:r>
        <w:rPr>
          <w:rFonts w:ascii="Arial" w:cs="Arial" w:eastAsia="Arial" w:hAnsi="Arial"/>
          <w:sz w:val="14"/>
          <w:szCs w:val="14"/>
          <w:b w:val="1"/>
          <w:bCs w:val="1"/>
          <w:color w:val="auto"/>
        </w:rPr>
        <w:t>If you hold your shares in street name (i.e., through a bank, broker or other nominee) and wish to vote your shares in person at the Annual Meeting</w:t>
      </w:r>
      <w:r>
        <w:rPr>
          <w:rFonts w:ascii="Arial" w:cs="Arial" w:eastAsia="Arial" w:hAnsi="Arial"/>
          <w:sz w:val="14"/>
          <w:szCs w:val="14"/>
          <w:color w:val="auto"/>
        </w:rPr>
        <w:t>, you will need</w:t>
      </w:r>
      <w:r>
        <w:rPr>
          <w:rFonts w:ascii="Arial" w:cs="Arial" w:eastAsia="Arial" w:hAnsi="Arial"/>
          <w:sz w:val="14"/>
          <w:szCs w:val="14"/>
          <w:b w:val="1"/>
          <w:bCs w:val="1"/>
          <w:color w:val="auto"/>
        </w:rPr>
        <w:t xml:space="preserve"> </w:t>
      </w:r>
      <w:r>
        <w:rPr>
          <w:rFonts w:ascii="Arial" w:cs="Arial" w:eastAsia="Arial" w:hAnsi="Arial"/>
          <w:sz w:val="14"/>
          <w:szCs w:val="14"/>
          <w:color w:val="auto"/>
        </w:rPr>
        <w:t>to ask your bank, broker or other nominee to furnish you with a legal proxy. You will need to bring proof of ownership as described above and the legal proxy with you to the Annual Meeting and hand it in with a signed ballot that will be provided to you at the Annual Meeting. You will not be able to vote your shares at the Annual Meeting without a legal proxy. If you do not have a legal proxy, you can still attend the Annual Meeting but you will not be able to vote your shares at the Annual Meeting. Accordingly, we encourage you to vote your shares in advance, even if you intend to attend the Annual Meeting. Please note that if you request a legal proxy, any previously executed proxy will be revoked, and your vote will not be counted unless you appear at the Annual Meeting and vote in person or legally appoint another proxy to vote on your behalf.</w:t>
      </w:r>
    </w:p>
    <w:p>
      <w:pPr>
        <w:spacing w:after="0" w:line="148" w:lineRule="exact"/>
        <w:rPr>
          <w:sz w:val="20"/>
          <w:szCs w:val="20"/>
          <w:color w:val="auto"/>
        </w:rPr>
      </w:pPr>
    </w:p>
    <w:p>
      <w:pPr>
        <w:ind w:right="100" w:firstLine="313"/>
        <w:spacing w:after="0" w:line="260" w:lineRule="auto"/>
        <w:rPr>
          <w:sz w:val="20"/>
          <w:szCs w:val="20"/>
          <w:color w:val="auto"/>
        </w:rPr>
      </w:pPr>
      <w:r>
        <w:rPr>
          <w:rFonts w:ascii="Arial" w:cs="Arial" w:eastAsia="Arial" w:hAnsi="Arial"/>
          <w:sz w:val="16"/>
          <w:szCs w:val="16"/>
          <w:color w:val="auto"/>
        </w:rPr>
        <w:t>We intend to hold our annual meeting in person. However, we are actively monitoring the public health and travel concerns of our stockholders and employees in light of COVID-19 (Coronavirus), as well as the related protocols that federal, state and local governments may impose. As part of our precautions, we are considering the possibility of changing the location of the annual meeting and/or holding a virtual meeting by means of remote communication. We will announce any alternative arrangements for the annual meeting as promptly as practicable.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I DO NOT PROVIDE INSTRUCTIONS AS TO HOW TO VOTE?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If you sign your proxy card or voting instruction card with no further instructions, your shares will be voted in accordance with the recommendations of the Board.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OBTAIN THE LIST OF STOCKHOLDERS ENTITLED TO VOTE?</w:t>
      </w:r>
    </w:p>
    <w:p>
      <w:pPr>
        <w:spacing w:after="0" w:line="208" w:lineRule="exact"/>
        <w:rPr>
          <w:sz w:val="20"/>
          <w:szCs w:val="20"/>
          <w:color w:val="auto"/>
        </w:rPr>
      </w:pPr>
    </w:p>
    <w:p>
      <w:pPr>
        <w:ind w:firstLine="313"/>
        <w:spacing w:after="0" w:line="289" w:lineRule="auto"/>
        <w:rPr>
          <w:sz w:val="20"/>
          <w:szCs w:val="20"/>
          <w:color w:val="auto"/>
        </w:rPr>
      </w:pPr>
      <w:r>
        <w:rPr>
          <w:rFonts w:ascii="Arial" w:cs="Arial" w:eastAsia="Arial" w:hAnsi="Arial"/>
          <w:sz w:val="15"/>
          <w:szCs w:val="15"/>
          <w:color w:val="auto"/>
        </w:rPr>
        <w:t>The names of stockholders of record entitled to vote at the Annual Meeting will be available at the Annual Meeting and for ten days prior to the meeting for any purpose germane to the Annual Meeting, between the hours of 8:30 a.m. and 5:00 p.m., Eastern Time, at our principal executive offices at 300 Carnegie Center, Suite 300, Princeton, New Jersey 08540. Please contact our Corporate Secretary if you wish to review the list of stockholders at our principal executive offices.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PAYS THE COST OF SOLICITATION OF PROXIES?</w:t>
      </w:r>
    </w:p>
    <w:p>
      <w:pPr>
        <w:spacing w:after="0" w:line="208" w:lineRule="exact"/>
        <w:rPr>
          <w:sz w:val="20"/>
          <w:szCs w:val="20"/>
          <w:color w:val="auto"/>
        </w:rPr>
      </w:pPr>
    </w:p>
    <w:p>
      <w:pPr>
        <w:ind w:right="100" w:firstLine="313"/>
        <w:spacing w:after="0" w:line="258" w:lineRule="auto"/>
        <w:rPr>
          <w:sz w:val="20"/>
          <w:szCs w:val="20"/>
          <w:color w:val="auto"/>
        </w:rPr>
      </w:pPr>
      <w:r>
        <w:rPr>
          <w:rFonts w:ascii="Arial" w:cs="Arial" w:eastAsia="Arial" w:hAnsi="Arial"/>
          <w:sz w:val="16"/>
          <w:szCs w:val="16"/>
          <w:color w:val="auto"/>
        </w:rPr>
        <w:t>We will pay for the cost of preparing, assembling, printing, mailing and distributing these proxy materials. Our directors and officers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$25,000, plus reasonable out-of-pocket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THE COMPANY'S TRANSFER AGENT?</w:t>
      </w:r>
    </w:p>
    <w:p>
      <w:pPr>
        <w:spacing w:after="0" w:line="208" w:lineRule="exact"/>
        <w:rPr>
          <w:sz w:val="20"/>
          <w:szCs w:val="20"/>
          <w:color w:val="auto"/>
        </w:rPr>
      </w:pPr>
    </w:p>
    <w:p>
      <w:pPr>
        <w:ind w:right="220" w:firstLine="316"/>
        <w:spacing w:after="0" w:line="280" w:lineRule="auto"/>
        <w:rPr>
          <w:sz w:val="20"/>
          <w:szCs w:val="20"/>
          <w:color w:val="auto"/>
        </w:rPr>
      </w:pPr>
      <w:r>
        <w:rPr>
          <w:rFonts w:ascii="Arial" w:cs="Arial" w:eastAsia="Arial" w:hAnsi="Arial"/>
          <w:sz w:val="15"/>
          <w:szCs w:val="15"/>
          <w:color w:val="auto"/>
        </w:rPr>
        <w:t xml:space="preserve">Our transfer agent is Computershare. All communications concerning stockholder inquiries can be handled by contacting Clearway Energy, Inc. c/o Computershare, Computershare Investor Services, by regular mail to P.O. Box 505000, Louisville, KY 40233-5000, by overnight delivery to 462 South 4th Street, Suite 1600, Louisville, KY 40202, or by telephone at 1-877-498-8861, or 1-781-575-2725 (outside the U.S. and Canada), or 1-800-952-9245 (Hearing Impaired-TTY). Their website is </w:t>
      </w:r>
      <w:r>
        <w:rPr>
          <w:rFonts w:ascii="Arial" w:cs="Arial" w:eastAsia="Arial" w:hAnsi="Arial"/>
          <w:sz w:val="15"/>
          <w:szCs w:val="15"/>
          <w:i w:val="1"/>
          <w:iCs w:val="1"/>
          <w:color w:val="auto"/>
        </w:rPr>
        <w:t>http://www.computershare.com</w:t>
      </w:r>
      <w:r>
        <w:rPr>
          <w:rFonts w:ascii="Arial" w:cs="Arial" w:eastAsia="Arial" w:hAnsi="Arial"/>
          <w:sz w:val="15"/>
          <w:szCs w:val="15"/>
          <w:color w:val="auto"/>
        </w:rPr>
        <w:t>. Certificates for transfer and address changes should be sent either by regular mail to Computershare, P.O. Box 505000, Louisville, KY 40233-5000 or by overnight delivery to Computershare, 462 South 4th Street, Suite 1600, Louisville, KY 40202.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ind w:left="160" w:right="60" w:hanging="161"/>
        <w:spacing w:after="0" w:line="280" w:lineRule="auto"/>
        <w:rPr>
          <w:sz w:val="20"/>
          <w:szCs w:val="20"/>
          <w:color w:val="auto"/>
        </w:rPr>
      </w:pPr>
      <w:r>
        <w:rPr>
          <w:rFonts w:ascii="Arial" w:cs="Arial" w:eastAsia="Arial" w:hAnsi="Arial"/>
          <w:sz w:val="16"/>
          <w:szCs w:val="16"/>
          <w:b w:val="1"/>
          <w:bCs w:val="1"/>
          <w:color w:val="auto"/>
        </w:rPr>
        <w:t>WHY DID I RECEIVE A ONE-PAGE NOTICE IN THE MAIL REGARDING THE INTERNET AVAILABILITY OF PROXY MATERIALS INSTEAD OF A FULL SET OF PROXY MATERIALS?</w:t>
      </w:r>
    </w:p>
    <w:p>
      <w:pPr>
        <w:spacing w:after="0" w:line="157" w:lineRule="exact"/>
        <w:rPr>
          <w:sz w:val="20"/>
          <w:szCs w:val="20"/>
          <w:color w:val="auto"/>
        </w:rPr>
      </w:pPr>
    </w:p>
    <w:p>
      <w:pPr>
        <w:jc w:val="both"/>
        <w:ind w:right="100" w:firstLine="316"/>
        <w:spacing w:after="0" w:line="280" w:lineRule="auto"/>
        <w:rPr>
          <w:sz w:val="20"/>
          <w:szCs w:val="20"/>
          <w:color w:val="auto"/>
        </w:rPr>
      </w:pPr>
      <w:r>
        <w:rPr>
          <w:rFonts w:ascii="Arial" w:cs="Arial" w:eastAsia="Arial" w:hAnsi="Arial"/>
          <w:sz w:val="15"/>
          <w:szCs w:val="15"/>
          <w:color w:val="auto"/>
        </w:rPr>
        <w:t>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DIRECTIONS TO THE ANNUAL MEETING?</w:t>
      </w:r>
    </w:p>
    <w:p>
      <w:pPr>
        <w:spacing w:after="0" w:line="208" w:lineRule="exact"/>
        <w:rPr>
          <w:sz w:val="20"/>
          <w:szCs w:val="20"/>
          <w:color w:val="auto"/>
        </w:rPr>
      </w:pPr>
    </w:p>
    <w:p>
      <w:pPr>
        <w:ind w:right="800" w:firstLine="316"/>
        <w:spacing w:after="0" w:line="275" w:lineRule="auto"/>
        <w:rPr>
          <w:sz w:val="20"/>
          <w:szCs w:val="20"/>
          <w:color w:val="auto"/>
        </w:rPr>
      </w:pPr>
      <w:r>
        <w:rPr>
          <w:rFonts w:ascii="Arial" w:cs="Arial" w:eastAsia="Arial" w:hAnsi="Arial"/>
          <w:sz w:val="16"/>
          <w:szCs w:val="16"/>
          <w:color w:val="auto"/>
        </w:rPr>
        <w:t xml:space="preserve">Directions to the Annual Meeting can be found at the Hyatt Regency Princeton's website at </w:t>
      </w:r>
      <w:r>
        <w:rPr>
          <w:rFonts w:ascii="Arial" w:cs="Arial" w:eastAsia="Arial" w:hAnsi="Arial"/>
          <w:sz w:val="16"/>
          <w:szCs w:val="16"/>
          <w:i w:val="1"/>
          <w:iCs w:val="1"/>
          <w:color w:val="auto"/>
        </w:rPr>
        <w:t>http://www.princeton.regency.hyatt.com/en/hotel/our-hotel/map-and-directions.html</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"HOUSEHOLDING"?</w:t>
      </w:r>
    </w:p>
    <w:p>
      <w:pPr>
        <w:spacing w:after="0" w:line="208" w:lineRule="exact"/>
        <w:rPr>
          <w:sz w:val="20"/>
          <w:szCs w:val="20"/>
          <w:color w:val="auto"/>
        </w:rPr>
      </w:pPr>
    </w:p>
    <w:p>
      <w:pPr>
        <w:ind w:firstLine="313"/>
        <w:spacing w:after="0" w:line="278" w:lineRule="auto"/>
        <w:rPr>
          <w:sz w:val="20"/>
          <w:szCs w:val="20"/>
          <w:color w:val="auto"/>
        </w:rPr>
      </w:pPr>
      <w:r>
        <w:rPr>
          <w:rFonts w:ascii="Arial" w:cs="Arial" w:eastAsia="Arial" w:hAnsi="Arial"/>
          <w:sz w:val="15"/>
          <w:szCs w:val="15"/>
          <w:color w:val="auto"/>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Arial" w:cs="Arial" w:eastAsia="Arial" w:hAnsi="Arial"/>
          <w:sz w:val="15"/>
          <w:szCs w:val="15"/>
          <w:i w:val="1"/>
          <w:iCs w:val="1"/>
          <w:color w:val="auto"/>
        </w:rPr>
        <w:t>sendmaterial@proxyvote.com</w:t>
      </w:r>
      <w:r>
        <w:rPr>
          <w:rFonts w:ascii="Arial" w:cs="Arial" w:eastAsia="Arial" w:hAnsi="Arial"/>
          <w:sz w:val="15"/>
          <w:szCs w:val="15"/>
          <w:color w:val="auto"/>
        </w:rPr>
        <w:t>. Stockholders who are receiving individual copies of such materials, and who would like to receive single copies at a shared address, may contact Broadridge Financial Solutions, Inc. with this request by using the contact information provided above.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REQUEST ADDITIONAL MATERIALS?</w:t>
      </w:r>
    </w:p>
    <w:p>
      <w:pPr>
        <w:spacing w:after="0" w:line="208" w:lineRule="exact"/>
        <w:rPr>
          <w:sz w:val="20"/>
          <w:szCs w:val="20"/>
          <w:color w:val="auto"/>
        </w:rPr>
      </w:pPr>
    </w:p>
    <w:p>
      <w:pPr>
        <w:ind w:right="220" w:firstLine="316"/>
        <w:spacing w:after="0" w:line="275" w:lineRule="auto"/>
        <w:rPr>
          <w:sz w:val="20"/>
          <w:szCs w:val="20"/>
          <w:color w:val="auto"/>
        </w:rPr>
      </w:pPr>
      <w:r>
        <w:rPr>
          <w:rFonts w:ascii="Arial" w:cs="Arial" w:eastAsia="Arial" w:hAnsi="Arial"/>
          <w:sz w:val="16"/>
          <w:szCs w:val="16"/>
          <w:color w:val="auto"/>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16"/>
          <w:szCs w:val="16"/>
          <w:i w:val="1"/>
          <w:iCs w:val="1"/>
          <w:color w:val="auto"/>
        </w:rPr>
        <w:t>sendmaterial@proxyvote.com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WHOM SHOULD I CALL IF I HAVE QUESTIONS ABOUT THE ANNUAL MEETING?</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you have any questions or need any assistance in voting your shares, please contact our proxy solicitor: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MacKenzie Partners,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1407 Broadway, 27th Floor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New York, NY 10018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Toll Free: (800) 322-2885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Collect: (212) 929-5500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Fax: (646) 439-9201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i w:val="1"/>
          <w:iCs w:val="1"/>
          <w:color w:val="auto"/>
        </w:rPr>
        <w:t>proxy@mackenziepartners.com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REQUIREMENTS FOR SUBMISSION OF STOCKHOLDER PROPOSALS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2021 ANNUAL MEETING OF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FOR INCLUSION IN THE COMPANY'S PROXY STATEMENT FOR THE 2021 ANNUAL MEETING OF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Deadline</w:t>
      </w:r>
    </w:p>
    <w:p>
      <w:pPr>
        <w:spacing w:after="0" w:line="208" w:lineRule="exact"/>
        <w:rPr>
          <w:sz w:val="20"/>
          <w:szCs w:val="20"/>
          <w:color w:val="auto"/>
        </w:rPr>
      </w:pPr>
    </w:p>
    <w:p>
      <w:pPr>
        <w:ind w:firstLine="316"/>
        <w:spacing w:after="0" w:line="258" w:lineRule="auto"/>
        <w:rPr>
          <w:sz w:val="20"/>
          <w:szCs w:val="20"/>
          <w:color w:val="auto"/>
        </w:rPr>
      </w:pPr>
      <w:r>
        <w:rPr>
          <w:rFonts w:ascii="Arial" w:cs="Arial" w:eastAsia="Arial" w:hAnsi="Arial"/>
          <w:sz w:val="16"/>
          <w:szCs w:val="16"/>
          <w:color w:val="auto"/>
        </w:rPr>
        <w:t>In order for a stockholder proposal to be considered for inclusion in our proxy statement for the 2021 Annual Meeting, our Corporate Secretary must receive the proposal no later than the close of business on November 18, 2020, which is the 120th day prior to the first anniversary of the date on which this Proxy Statement was first released to our stockholders in connection with the 2020 Annual Meeting. If we change the date of the 2021 Annual Meeting by more than 30 days from the anniversary of this year's Annual Meeting, stockholder proposals must be received a reasonable time before we begin to print and mail the proxy materials for the 2021 Annual Meeting in order to be considered for inclusion in our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Submitting Proposals</w:t>
      </w:r>
    </w:p>
    <w:p>
      <w:pPr>
        <w:spacing w:after="0" w:line="208" w:lineRule="exact"/>
        <w:rPr>
          <w:sz w:val="20"/>
          <w:szCs w:val="20"/>
          <w:color w:val="auto"/>
        </w:rPr>
      </w:pPr>
    </w:p>
    <w:p>
      <w:pPr>
        <w:ind w:right="80" w:firstLine="316"/>
        <w:spacing w:after="0" w:line="260" w:lineRule="auto"/>
        <w:rPr>
          <w:sz w:val="20"/>
          <w:szCs w:val="20"/>
          <w:color w:val="auto"/>
        </w:rPr>
      </w:pPr>
      <w:r>
        <w:rPr>
          <w:rFonts w:ascii="Arial" w:cs="Arial" w:eastAsia="Arial" w:hAnsi="Arial"/>
          <w:sz w:val="16"/>
          <w:szCs w:val="16"/>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70" w:lineRule="exact"/>
        <w:rPr>
          <w:sz w:val="20"/>
          <w:szCs w:val="20"/>
          <w:color w:val="auto"/>
        </w:rPr>
      </w:pPr>
    </w:p>
    <w:p>
      <w:pPr>
        <w:ind w:left="160" w:right="460" w:hanging="161"/>
        <w:spacing w:after="0" w:line="280" w:lineRule="auto"/>
        <w:rPr>
          <w:sz w:val="20"/>
          <w:szCs w:val="20"/>
          <w:color w:val="auto"/>
        </w:rPr>
      </w:pPr>
      <w:r>
        <w:rPr>
          <w:rFonts w:ascii="Arial" w:cs="Arial" w:eastAsia="Arial" w:hAnsi="Arial"/>
          <w:sz w:val="16"/>
          <w:szCs w:val="16"/>
          <w:b w:val="1"/>
          <w:bCs w:val="1"/>
          <w:color w:val="auto"/>
        </w:rPr>
        <w:t>STOCKHOLDER PROPOSALS OR STOCKHOLDER NOMINATION OF DIRECTOR TO BE BROUGHT AT THE 2021 ANNUAL MEETING (WITHOUT INCLUSION IN THE COMPANY'S PROXY STATEMENT)</w:t>
      </w:r>
    </w:p>
    <w:p>
      <w:pPr>
        <w:spacing w:after="0" w:line="157" w:lineRule="exact"/>
        <w:rPr>
          <w:sz w:val="20"/>
          <w:szCs w:val="20"/>
          <w:color w:val="auto"/>
        </w:rPr>
      </w:pPr>
    </w:p>
    <w:p>
      <w:pPr>
        <w:ind w:right="480" w:firstLine="307"/>
        <w:spacing w:after="0" w:line="275" w:lineRule="auto"/>
        <w:rPr>
          <w:sz w:val="20"/>
          <w:szCs w:val="20"/>
          <w:color w:val="auto"/>
        </w:rPr>
      </w:pPr>
      <w:r>
        <w:rPr>
          <w:rFonts w:ascii="Arial" w:cs="Arial" w:eastAsia="Arial" w:hAnsi="Arial"/>
          <w:sz w:val="16"/>
          <w:szCs w:val="16"/>
          <w:color w:val="auto"/>
        </w:rPr>
        <w:t>Alternatively, stockholders intending to present a proposal or nominate a director for election at the 2021 Annual Meeting without having the proposal or nomination included in our proxy statement must comply with the requirements set forth in our Bylaws and summarized below.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Deadline</w:t>
      </w:r>
    </w:p>
    <w:p>
      <w:pPr>
        <w:spacing w:after="0" w:line="208" w:lineRule="exact"/>
        <w:rPr>
          <w:sz w:val="20"/>
          <w:szCs w:val="20"/>
          <w:color w:val="auto"/>
        </w:rPr>
      </w:pPr>
    </w:p>
    <w:p>
      <w:pPr>
        <w:ind w:right="40" w:firstLine="316"/>
        <w:spacing w:after="0" w:line="256" w:lineRule="auto"/>
        <w:rPr>
          <w:sz w:val="20"/>
          <w:szCs w:val="20"/>
          <w:color w:val="auto"/>
        </w:rPr>
      </w:pPr>
      <w:r>
        <w:rPr>
          <w:rFonts w:ascii="Arial" w:cs="Arial" w:eastAsia="Arial" w:hAnsi="Arial"/>
          <w:sz w:val="16"/>
          <w:szCs w:val="16"/>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2021 Annual Meeting is more than 30 days before or more than 70 days after such anniversary date. For our 2021 Annual Meeting, our Corporate Secretary must receive the proposal or nomination no earlier than December 31, 2020 and no later than the close of business on January 30, 2021, unless the 2021 Annual Meeting is held earlier than March 31, 2021 or later than July 9, 2021, in which case the proposal or nomination should be received no earlier than the close of business on the 120th day prior to such annual meeting and not later than the close of business on the later of (a) the 90th day prior to the date of the 2021 Annual Meeting or (b) the 10th day following the day on which the date of the 2021 Annual Meeting is first publicly announced by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Required</w:t>
      </w:r>
    </w:p>
    <w:p>
      <w:pPr>
        <w:spacing w:after="0" w:line="208" w:lineRule="exact"/>
        <w:rPr>
          <w:sz w:val="20"/>
          <w:szCs w:val="20"/>
          <w:color w:val="auto"/>
        </w:rPr>
      </w:pPr>
    </w:p>
    <w:p>
      <w:pPr>
        <w:ind w:right="200" w:firstLine="313"/>
        <w:spacing w:after="0" w:line="264" w:lineRule="auto"/>
        <w:rPr>
          <w:sz w:val="20"/>
          <w:szCs w:val="20"/>
          <w:color w:val="auto"/>
        </w:rPr>
      </w:pPr>
      <w:r>
        <w:rPr>
          <w:rFonts w:ascii="Arial" w:cs="Arial" w:eastAsia="Arial" w:hAnsi="Arial"/>
          <w:sz w:val="16"/>
          <w:szCs w:val="16"/>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ind w:left="10400"/>
        <w:spacing w:after="0"/>
        <w:rPr>
          <w:sz w:val="20"/>
          <w:szCs w:val="20"/>
          <w:color w:val="auto"/>
        </w:rPr>
      </w:pPr>
      <w:r>
        <w:rPr>
          <w:rFonts w:ascii="Arial" w:cs="Arial" w:eastAsia="Arial" w:hAnsi="Arial"/>
          <w:sz w:val="14"/>
          <w:szCs w:val="14"/>
          <w:b w:val="1"/>
          <w:bCs w:val="1"/>
          <w:color w:val="auto"/>
        </w:rPr>
        <w:t>Appendix 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CLEARWAY ENERGY, INC.</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ONE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name of the corporation is Clearway Energy, Inc. (the "</w:t>
      </w:r>
      <w:r>
        <w:rPr>
          <w:rFonts w:ascii="Arial" w:cs="Arial" w:eastAsia="Arial" w:hAnsi="Arial"/>
          <w:sz w:val="16"/>
          <w:szCs w:val="16"/>
          <w:i w:val="1"/>
          <w:iCs w:val="1"/>
          <w:color w:val="auto"/>
        </w:rPr>
        <w:t>Corporation</w:t>
      </w:r>
      <w:r>
        <w:rPr>
          <w:rFonts w:ascii="Arial" w:cs="Arial" w:eastAsia="Arial" w:hAnsi="Arial"/>
          <w:sz w:val="16"/>
          <w:szCs w:val="16"/>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TWO</w:t>
      </w:r>
    </w:p>
    <w:p>
      <w:pPr>
        <w:spacing w:after="0" w:line="208" w:lineRule="exact"/>
        <w:rPr>
          <w:sz w:val="20"/>
          <w:szCs w:val="20"/>
          <w:color w:val="auto"/>
        </w:rPr>
      </w:pPr>
    </w:p>
    <w:p>
      <w:pPr>
        <w:ind w:right="300" w:firstLine="313"/>
        <w:spacing w:after="0" w:line="275" w:lineRule="auto"/>
        <w:rPr>
          <w:sz w:val="20"/>
          <w:szCs w:val="20"/>
          <w:color w:val="auto"/>
        </w:rPr>
      </w:pPr>
      <w:r>
        <w:rPr>
          <w:rFonts w:ascii="Arial" w:cs="Arial" w:eastAsia="Arial" w:hAnsi="Arial"/>
          <w:sz w:val="16"/>
          <w:szCs w:val="16"/>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THREE</w:t>
      </w:r>
    </w:p>
    <w:p>
      <w:pPr>
        <w:spacing w:after="0" w:line="208" w:lineRule="exact"/>
        <w:rPr>
          <w:sz w:val="20"/>
          <w:szCs w:val="20"/>
          <w:color w:val="auto"/>
        </w:rPr>
      </w:pPr>
    </w:p>
    <w:p>
      <w:pPr>
        <w:ind w:right="260" w:firstLine="313"/>
        <w:spacing w:after="0" w:line="275" w:lineRule="auto"/>
        <w:rPr>
          <w:sz w:val="20"/>
          <w:szCs w:val="20"/>
          <w:color w:val="auto"/>
        </w:rPr>
      </w:pPr>
      <w:r>
        <w:rPr>
          <w:rFonts w:ascii="Arial" w:cs="Arial" w:eastAsia="Arial" w:hAnsi="Arial"/>
          <w:sz w:val="16"/>
          <w:szCs w:val="16"/>
          <w:color w:val="auto"/>
        </w:rPr>
        <w:t>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6"/>
          <w:szCs w:val="16"/>
          <w:i w:val="1"/>
          <w:iCs w:val="1"/>
          <w:color w:val="auto"/>
        </w:rPr>
        <w:t>DGCL</w:t>
      </w:r>
      <w:r>
        <w:rPr>
          <w:rFonts w:ascii="Arial" w:cs="Arial" w:eastAsia="Arial" w:hAnsi="Arial"/>
          <w:sz w:val="16"/>
          <w:szCs w:val="16"/>
          <w:color w:val="auto"/>
        </w:rPr>
        <w: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FOUR</w:t>
      </w:r>
    </w:p>
    <w:p>
      <w:pPr>
        <w:spacing w:after="0" w:line="208" w:lineRule="exact"/>
        <w:rPr>
          <w:sz w:val="20"/>
          <w:szCs w:val="20"/>
          <w:color w:val="auto"/>
        </w:rPr>
      </w:pPr>
    </w:p>
    <w:p>
      <w:pPr>
        <w:ind w:left="320"/>
        <w:spacing w:after="0"/>
        <w:tabs>
          <w:tab w:leader="none" w:pos="1080" w:val="left"/>
          <w:tab w:leader="none" w:pos="246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6"/>
          <w:szCs w:val="16"/>
          <w:i w:val="1"/>
          <w:iCs w:val="1"/>
          <w:color w:val="auto"/>
        </w:rPr>
        <w:t>Authorized Shares.</w:t>
      </w:r>
      <w:r>
        <w:rPr>
          <w:sz w:val="20"/>
          <w:szCs w:val="20"/>
          <w:color w:val="auto"/>
        </w:rPr>
        <w:tab/>
      </w:r>
      <w:r>
        <w:rPr>
          <w:rFonts w:ascii="Arial" w:cs="Arial" w:eastAsia="Arial" w:hAnsi="Arial"/>
          <w:sz w:val="14"/>
          <w:szCs w:val="14"/>
          <w:color w:val="auto"/>
        </w:rPr>
        <w:t>The total number of shares of capital stock which the Corporation has authority to issue is 3,010,000,000 shares, consisting of:</w:t>
      </w:r>
    </w:p>
    <w:p>
      <w:pPr>
        <w:spacing w:after="0" w:line="204" w:lineRule="exact"/>
        <w:rPr>
          <w:sz w:val="20"/>
          <w:szCs w:val="20"/>
          <w:color w:val="auto"/>
        </w:rPr>
      </w:pPr>
    </w:p>
    <w:p>
      <w:pPr>
        <w:ind w:left="1100" w:hanging="302"/>
        <w:spacing w:after="0"/>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10,000,000 shares of Preferred Stock, par value $0.01 per share ("</w:t>
      </w:r>
      <w:r>
        <w:rPr>
          <w:rFonts w:ascii="Arial" w:cs="Arial" w:eastAsia="Arial" w:hAnsi="Arial"/>
          <w:sz w:val="16"/>
          <w:szCs w:val="16"/>
          <w:i w:val="1"/>
          <w:iCs w:val="1"/>
          <w:color w:val="auto"/>
        </w:rPr>
        <w:t>Preferred Stock</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ind w:left="1100" w:hanging="302"/>
        <w:spacing w:after="0"/>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500,000,000 shares of Class A Common Stock, par value $0.01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ind w:left="1100" w:hanging="302"/>
        <w:spacing w:after="0"/>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500,000,000 shares of Class B Common Stock, par value $0.01 per share ("</w:t>
      </w:r>
      <w:r>
        <w:rPr>
          <w:rFonts w:ascii="Arial" w:cs="Arial" w:eastAsia="Arial" w:hAnsi="Arial"/>
          <w:sz w:val="16"/>
          <w:szCs w:val="16"/>
          <w:i w:val="1"/>
          <w:iCs w:val="1"/>
          <w:color w:val="auto"/>
        </w:rPr>
        <w:t>Class B Common Stock</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ind w:left="1100" w:hanging="302"/>
        <w:spacing w:after="0"/>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1,000,000,000 shares of Class C Common Stock, par value $0.01 per share ("</w:t>
      </w:r>
      <w:r>
        <w:rPr>
          <w:rFonts w:ascii="Arial" w:cs="Arial" w:eastAsia="Arial" w:hAnsi="Arial"/>
          <w:sz w:val="16"/>
          <w:szCs w:val="16"/>
          <w:i w:val="1"/>
          <w:iCs w:val="1"/>
          <w:color w:val="auto"/>
        </w:rPr>
        <w:t>Class C Common Stock</w:t>
      </w:r>
      <w:r>
        <w:rPr>
          <w:rFonts w:ascii="Arial" w:cs="Arial" w:eastAsia="Arial" w:hAnsi="Arial"/>
          <w:sz w:val="16"/>
          <w:szCs w:val="16"/>
          <w:color w:val="auto"/>
        </w:rPr>
        <w:t>"); and</w:t>
      </w:r>
    </w:p>
    <w:p>
      <w:pPr>
        <w:spacing w:after="0" w:line="204" w:lineRule="exact"/>
        <w:rPr>
          <w:rFonts w:ascii="Arial" w:cs="Arial" w:eastAsia="Arial" w:hAnsi="Arial"/>
          <w:sz w:val="16"/>
          <w:szCs w:val="16"/>
          <w:color w:val="auto"/>
        </w:rPr>
      </w:pPr>
    </w:p>
    <w:p>
      <w:pPr>
        <w:ind w:left="480" w:right="440" w:firstLine="318"/>
        <w:spacing w:after="0" w:line="275" w:lineRule="auto"/>
        <w:tabs>
          <w:tab w:leader="none" w:pos="1089" w:val="left"/>
        </w:tabs>
        <w:numPr>
          <w:ilvl w:val="0"/>
          <w:numId w:val="63"/>
        </w:numPr>
        <w:rPr>
          <w:rFonts w:ascii="Arial" w:cs="Arial" w:eastAsia="Arial" w:hAnsi="Arial"/>
          <w:sz w:val="16"/>
          <w:szCs w:val="16"/>
          <w:color w:val="auto"/>
        </w:rPr>
      </w:pPr>
      <w:r>
        <w:rPr>
          <w:rFonts w:ascii="Arial" w:cs="Arial" w:eastAsia="Arial" w:hAnsi="Arial"/>
          <w:sz w:val="16"/>
          <w:szCs w:val="16"/>
          <w:color w:val="auto"/>
        </w:rPr>
        <w:t>1,000,000,000 shares of Class D Common Stock, par value $0.01 per share ("</w:t>
      </w:r>
      <w:r>
        <w:rPr>
          <w:rFonts w:ascii="Arial" w:cs="Arial" w:eastAsia="Arial" w:hAnsi="Arial"/>
          <w:sz w:val="16"/>
          <w:szCs w:val="16"/>
          <w:i w:val="1"/>
          <w:iCs w:val="1"/>
          <w:color w:val="auto"/>
        </w:rPr>
        <w:t>Class D Common Stock</w:t>
      </w:r>
      <w:r>
        <w:rPr>
          <w:rFonts w:ascii="Arial" w:cs="Arial" w:eastAsia="Arial" w:hAnsi="Arial"/>
          <w:sz w:val="16"/>
          <w:szCs w:val="16"/>
          <w:color w:val="auto"/>
        </w:rPr>
        <w:t>" and, together with the Class A Common Stock, the Class B Common Stock, and the Class C Common Stock, the "</w:t>
      </w:r>
      <w:r>
        <w:rPr>
          <w:rFonts w:ascii="Arial" w:cs="Arial" w:eastAsia="Arial" w:hAnsi="Arial"/>
          <w:sz w:val="16"/>
          <w:szCs w:val="16"/>
          <w:i w:val="1"/>
          <w:iCs w:val="1"/>
          <w:color w:val="auto"/>
        </w:rPr>
        <w:t>Common Stock</w:t>
      </w:r>
      <w:r>
        <w:rPr>
          <w:rFonts w:ascii="Arial" w:cs="Arial" w:eastAsia="Arial" w:hAnsi="Arial"/>
          <w:sz w:val="16"/>
          <w:szCs w:val="16"/>
          <w:color w:val="auto"/>
        </w:rPr>
        <w:t>").</w:t>
      </w:r>
    </w:p>
    <w:p>
      <w:pPr>
        <w:spacing w:after="0" w:line="355" w:lineRule="exact"/>
        <w:rPr>
          <w:sz w:val="20"/>
          <w:szCs w:val="20"/>
          <w:color w:val="auto"/>
        </w:rPr>
      </w:pPr>
    </w:p>
    <w:p>
      <w:pPr>
        <w:ind w:firstLine="316"/>
        <w:spacing w:after="0" w:line="25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Preferred Stock.</w:t>
      </w:r>
      <w:r>
        <w:rPr>
          <w:rFonts w:ascii="Arial" w:cs="Arial" w:eastAsia="Arial" w:hAnsi="Arial"/>
          <w:sz w:val="16"/>
          <w:szCs w:val="16"/>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Arial" w:cs="Arial" w:eastAsia="Arial" w:hAnsi="Arial"/>
          <w:sz w:val="16"/>
          <w:szCs w:val="16"/>
          <w:i w:val="1"/>
          <w:iCs w:val="1"/>
          <w:color w:val="auto"/>
        </w:rPr>
        <w:t>Board of Directors</w:t>
      </w:r>
      <w:r>
        <w:rPr>
          <w:rFonts w:ascii="Arial" w:cs="Arial" w:eastAsia="Arial" w:hAnsi="Arial"/>
          <w:sz w:val="16"/>
          <w:szCs w:val="16"/>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342"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4"/>
          <w:szCs w:val="14"/>
          <w:i w:val="1"/>
          <w:iCs w:val="1"/>
          <w:color w:val="auto"/>
        </w:rPr>
        <w:t>Common Stock.</w:t>
      </w:r>
    </w:p>
    <w:p>
      <w:pPr>
        <w:spacing w:after="0" w:line="204" w:lineRule="exact"/>
        <w:rPr>
          <w:sz w:val="20"/>
          <w:szCs w:val="20"/>
          <w:color w:val="auto"/>
        </w:rPr>
      </w:pPr>
    </w:p>
    <w:p>
      <w:pPr>
        <w:jc w:val="both"/>
        <w:ind w:left="480" w:right="40" w:firstLine="318"/>
        <w:spacing w:after="0" w:line="291" w:lineRule="auto"/>
        <w:tabs>
          <w:tab w:leader="none" w:pos="1128"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Voting Rights. </w:t>
      </w:r>
      <w:r>
        <w:rPr>
          <w:rFonts w:ascii="Arial" w:cs="Arial" w:eastAsia="Arial" w:hAnsi="Arial"/>
          <w:sz w:val="14"/>
          <w:szCs w:val="14"/>
          <w:color w:val="auto"/>
        </w:rPr>
        <w:t>Except as otherwise provided by the DGCL or this Certificate, and subject to the rights of holders of any series of Preferred Stock, all of the</w:t>
      </w:r>
      <w:r>
        <w:rPr>
          <w:rFonts w:ascii="Arial" w:cs="Arial" w:eastAsia="Arial" w:hAnsi="Arial"/>
          <w:sz w:val="14"/>
          <w:szCs w:val="14"/>
          <w:i w:val="1"/>
          <w:iCs w:val="1"/>
          <w:color w:val="auto"/>
        </w:rPr>
        <w:t xml:space="preserve"> </w:t>
      </w:r>
      <w:r>
        <w:rPr>
          <w:rFonts w:ascii="Arial" w:cs="Arial" w:eastAsia="Arial" w:hAnsi="Arial"/>
          <w:sz w:val="14"/>
          <w:szCs w:val="14"/>
          <w:color w:val="auto"/>
        </w:rPr>
        <w:t>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w:t>
      </w:r>
    </w:p>
    <w:p>
      <w:pPr>
        <w:spacing w:after="0" w:line="3" w:lineRule="exact"/>
        <w:rPr>
          <w:sz w:val="20"/>
          <w:szCs w:val="20"/>
          <w:color w:val="auto"/>
        </w:rPr>
      </w:pPr>
    </w:p>
    <w:p>
      <w:pPr>
        <w:ind w:left="480" w:right="40"/>
        <w:spacing w:after="0" w:line="211" w:lineRule="auto"/>
        <w:rPr>
          <w:sz w:val="20"/>
          <w:szCs w:val="20"/>
          <w:color w:val="auto"/>
        </w:rPr>
      </w:pPr>
      <w:r>
        <w:rPr>
          <w:rFonts w:ascii="Arial" w:cs="Arial" w:eastAsia="Arial" w:hAnsi="Arial"/>
          <w:sz w:val="16"/>
          <w:szCs w:val="16"/>
          <w:color w:val="auto"/>
        </w:rPr>
        <w:t>stockholders of the Corporation. Each holder of Class C Common Stock and Class D Common Stock shall have 1/100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one vote for each share held by such holder on all matters voted upon by the stockholders of the Corporation.</w:t>
      </w:r>
    </w:p>
    <w:p>
      <w:pPr>
        <w:spacing w:after="0" w:line="188" w:lineRule="exact"/>
        <w:rPr>
          <w:sz w:val="20"/>
          <w:szCs w:val="20"/>
          <w:color w:val="auto"/>
        </w:rPr>
      </w:pPr>
    </w:p>
    <w:p>
      <w:pPr>
        <w:ind w:left="1140" w:hanging="342"/>
        <w:spacing w:after="0"/>
        <w:tabs>
          <w:tab w:leader="none" w:pos="114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Dividends and Other Distributions.</w:t>
      </w:r>
    </w:p>
    <w:p>
      <w:pPr>
        <w:spacing w:after="0" w:line="204" w:lineRule="exact"/>
        <w:rPr>
          <w:sz w:val="20"/>
          <w:szCs w:val="20"/>
          <w:color w:val="auto"/>
        </w:rPr>
      </w:pPr>
    </w:p>
    <w:p>
      <w:pPr>
        <w:ind w:left="480" w:right="220" w:firstLine="318"/>
        <w:spacing w:after="0" w:line="264" w:lineRule="auto"/>
        <w:tabs>
          <w:tab w:leader="none" w:pos="11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69" w:lineRule="exact"/>
        <w:rPr>
          <w:rFonts w:ascii="Arial" w:cs="Arial" w:eastAsia="Arial" w:hAnsi="Arial"/>
          <w:sz w:val="16"/>
          <w:szCs w:val="16"/>
          <w:color w:val="auto"/>
        </w:rPr>
      </w:pPr>
    </w:p>
    <w:p>
      <w:pPr>
        <w:ind w:left="480" w:right="60" w:firstLine="318"/>
        <w:spacing w:after="0" w:line="275" w:lineRule="auto"/>
        <w:tabs>
          <w:tab w:leader="none" w:pos="1107"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as provided in clause (b)(iii) below with respect to stock dividends, dividends and other distributions of cash or property may not be declared or paid on the Class B Common Stock or Class D Common Stock.</w:t>
      </w:r>
    </w:p>
    <w:p>
      <w:pPr>
        <w:spacing w:after="0" w:line="161" w:lineRule="exact"/>
        <w:rPr>
          <w:rFonts w:ascii="Arial" w:cs="Arial" w:eastAsia="Arial" w:hAnsi="Arial"/>
          <w:sz w:val="16"/>
          <w:szCs w:val="16"/>
          <w:color w:val="auto"/>
        </w:rPr>
      </w:pPr>
    </w:p>
    <w:p>
      <w:pPr>
        <w:ind w:left="480" w:firstLine="318"/>
        <w:spacing w:after="0" w:line="258" w:lineRule="auto"/>
        <w:tabs>
          <w:tab w:leader="none" w:pos="1111"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77" w:lineRule="exact"/>
        <w:rPr>
          <w:sz w:val="20"/>
          <w:szCs w:val="20"/>
          <w:color w:val="auto"/>
        </w:rPr>
      </w:pPr>
    </w:p>
    <w:p>
      <w:pPr>
        <w:ind w:left="480" w:firstLine="318"/>
        <w:spacing w:after="0" w:line="280" w:lineRule="auto"/>
        <w:tabs>
          <w:tab w:leader="none" w:pos="1128"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Liquidation, Dissolution or Winding Up. </w:t>
      </w:r>
      <w:r>
        <w:rPr>
          <w:rFonts w:ascii="Arial" w:cs="Arial" w:eastAsia="Arial" w:hAnsi="Arial"/>
          <w:sz w:val="15"/>
          <w:szCs w:val="15"/>
          <w:color w:val="auto"/>
        </w:rPr>
        <w:t>In the event of any voluntary or involuntary liquidation, dissolution or winding up of the affairs of the Corporation,</w:t>
      </w:r>
      <w:r>
        <w:rPr>
          <w:rFonts w:ascii="Arial" w:cs="Arial" w:eastAsia="Arial" w:hAnsi="Arial"/>
          <w:sz w:val="15"/>
          <w:szCs w:val="15"/>
          <w:i w:val="1"/>
          <w:iCs w:val="1"/>
          <w:color w:val="auto"/>
        </w:rPr>
        <w:t xml:space="preserve"> </w:t>
      </w:r>
      <w:r>
        <w:rPr>
          <w:rFonts w:ascii="Arial" w:cs="Arial" w:eastAsia="Arial" w:hAnsi="Arial"/>
          <w:sz w:val="15"/>
          <w:szCs w:val="15"/>
          <w:color w:val="auto"/>
        </w:rPr>
        <w:t>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80" w:right="220"/>
        <w:spacing w:after="0" w:line="264" w:lineRule="auto"/>
        <w:rPr>
          <w:sz w:val="20"/>
          <w:szCs w:val="20"/>
          <w:color w:val="auto"/>
        </w:rPr>
      </w:pPr>
      <w:r>
        <w:rPr>
          <w:rFonts w:ascii="Arial" w:cs="Arial" w:eastAsia="Arial" w:hAnsi="Arial"/>
          <w:sz w:val="16"/>
          <w:szCs w:val="16"/>
          <w:color w:val="auto"/>
        </w:rPr>
        <w:t>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70" w:lineRule="exact"/>
        <w:rPr>
          <w:sz w:val="20"/>
          <w:szCs w:val="20"/>
          <w:color w:val="auto"/>
        </w:rPr>
      </w:pPr>
    </w:p>
    <w:p>
      <w:pPr>
        <w:ind w:left="480" w:firstLine="318"/>
        <w:spacing w:after="0" w:line="256" w:lineRule="auto"/>
        <w:tabs>
          <w:tab w:leader="none" w:pos="1137"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Retirement of Class B Common Stock and Class D Common Stock. </w:t>
      </w:r>
      <w:r>
        <w:rPr>
          <w:rFonts w:ascii="Arial" w:cs="Arial" w:eastAsia="Arial" w:hAnsi="Arial"/>
          <w:sz w:val="16"/>
          <w:szCs w:val="16"/>
          <w:color w:val="auto"/>
        </w:rPr>
        <w:t>In the event that, pursuant to that certain Amended and Restated Exchange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dated as of May 14, 2015, and as assigned on August 31, 2018 (the "</w:t>
      </w:r>
      <w:r>
        <w:rPr>
          <w:rFonts w:ascii="Arial" w:cs="Arial" w:eastAsia="Arial" w:hAnsi="Arial"/>
          <w:sz w:val="16"/>
          <w:szCs w:val="16"/>
          <w:i w:val="1"/>
          <w:iCs w:val="1"/>
          <w:color w:val="auto"/>
        </w:rPr>
        <w:t>Exchange Agreement</w:t>
      </w:r>
      <w:r>
        <w:rPr>
          <w:rFonts w:ascii="Arial" w:cs="Arial" w:eastAsia="Arial" w:hAnsi="Arial"/>
          <w:sz w:val="16"/>
          <w:szCs w:val="16"/>
          <w:color w:val="auto"/>
        </w:rPr>
        <w:t>"), by and among Clearway Energy Group LLC (formerly Zephyr Renewables LLC), a Delaware limited liability company ("</w:t>
      </w:r>
      <w:r>
        <w:rPr>
          <w:rFonts w:ascii="Arial" w:cs="Arial" w:eastAsia="Arial" w:hAnsi="Arial"/>
          <w:sz w:val="16"/>
          <w:szCs w:val="16"/>
          <w:i w:val="1"/>
          <w:iCs w:val="1"/>
          <w:color w:val="auto"/>
        </w:rPr>
        <w:t>CEG</w:t>
      </w:r>
      <w:r>
        <w:rPr>
          <w:rFonts w:ascii="Arial" w:cs="Arial" w:eastAsia="Arial" w:hAnsi="Arial"/>
          <w:sz w:val="16"/>
          <w:szCs w:val="16"/>
          <w:color w:val="auto"/>
        </w:rPr>
        <w:t>"), Clearway Energy LLC (formerly NRG Yield LLC), a Delaware limited liability company ("</w:t>
      </w:r>
      <w:r>
        <w:rPr>
          <w:rFonts w:ascii="Arial" w:cs="Arial" w:eastAsia="Arial" w:hAnsi="Arial"/>
          <w:sz w:val="16"/>
          <w:szCs w:val="16"/>
          <w:i w:val="1"/>
          <w:iCs w:val="1"/>
          <w:color w:val="auto"/>
        </w:rPr>
        <w:t>Clearway LLC</w:t>
      </w:r>
      <w:r>
        <w:rPr>
          <w:rFonts w:ascii="Arial" w:cs="Arial" w:eastAsia="Arial" w:hAnsi="Arial"/>
          <w:sz w:val="16"/>
          <w:szCs w:val="16"/>
          <w:color w:val="auto"/>
        </w:rPr>
        <w:t>") and the Corporation, CEG or its permitted transferees or assignees exchange a Class B unit of Clearway LLC for a share of Class A Common Stock or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78" w:lineRule="exact"/>
        <w:rPr>
          <w:rFonts w:ascii="Arial" w:cs="Arial" w:eastAsia="Arial" w:hAnsi="Arial"/>
          <w:sz w:val="16"/>
          <w:szCs w:val="16"/>
          <w:color w:val="auto"/>
        </w:rPr>
      </w:pPr>
    </w:p>
    <w:p>
      <w:pPr>
        <w:jc w:val="both"/>
        <w:ind w:left="480" w:right="60" w:firstLine="318"/>
        <w:spacing w:after="0" w:line="264" w:lineRule="auto"/>
        <w:tabs>
          <w:tab w:leader="none" w:pos="1128"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Preemptive Rights. </w:t>
      </w:r>
      <w:r>
        <w:rPr>
          <w:rFonts w:ascii="Arial" w:cs="Arial" w:eastAsia="Arial" w:hAnsi="Arial"/>
          <w:sz w:val="16"/>
          <w:szCs w:val="16"/>
          <w:color w:val="auto"/>
        </w:rPr>
        <w:t>Except as otherwise provided in this Article FOUR, no holder of Common Stock shall have any preemptive, conversion or other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subscribe for additional shares with respect to the Common Stock or any other securities of the Corporation, or to any obligations convertible (directly or indirectly) into securities of the Corporation, whether now or hereafter authorized.</w:t>
      </w:r>
    </w:p>
    <w:p>
      <w:pPr>
        <w:spacing w:after="0" w:line="169" w:lineRule="exact"/>
        <w:rPr>
          <w:rFonts w:ascii="Arial" w:cs="Arial" w:eastAsia="Arial" w:hAnsi="Arial"/>
          <w:sz w:val="16"/>
          <w:szCs w:val="16"/>
          <w:color w:val="auto"/>
        </w:rPr>
      </w:pPr>
    </w:p>
    <w:p>
      <w:pPr>
        <w:ind w:left="480" w:firstLine="318"/>
        <w:spacing w:after="0" w:line="294" w:lineRule="auto"/>
        <w:tabs>
          <w:tab w:leader="none" w:pos="1111"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 xml:space="preserve">Equal Status. </w:t>
      </w:r>
      <w:r>
        <w:rPr>
          <w:rFonts w:ascii="Arial" w:cs="Arial" w:eastAsia="Arial" w:hAnsi="Arial"/>
          <w:sz w:val="14"/>
          <w:szCs w:val="14"/>
          <w:color w:val="auto"/>
        </w:rPr>
        <w:t>Except as expressly provided in this Article FOUR, Class C Common Stock shall have the same rights and privileges and rank equally, share</w:t>
      </w:r>
      <w:r>
        <w:rPr>
          <w:rFonts w:ascii="Arial" w:cs="Arial" w:eastAsia="Arial" w:hAnsi="Arial"/>
          <w:sz w:val="14"/>
          <w:szCs w:val="14"/>
          <w:i w:val="1"/>
          <w:iCs w:val="1"/>
          <w:color w:val="auto"/>
        </w:rPr>
        <w:t xml:space="preserve"> </w:t>
      </w:r>
      <w:r>
        <w:rPr>
          <w:rFonts w:ascii="Arial" w:cs="Arial" w:eastAsia="Arial" w:hAnsi="Arial"/>
          <w:sz w:val="14"/>
          <w:szCs w:val="14"/>
          <w:color w:val="auto"/>
        </w:rPr>
        <w:t>ratably and be 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Capital Stock shall be entitled to make the same election as to their shares of Class C Capital Stock).</w:t>
      </w:r>
    </w:p>
    <w:p>
      <w:pPr>
        <w:spacing w:after="0" w:line="350"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4"/>
          <w:szCs w:val="14"/>
          <w:i w:val="1"/>
          <w:iCs w:val="1"/>
          <w:color w:val="auto"/>
        </w:rPr>
        <w:t>Restrictions on Transfer.</w:t>
      </w:r>
    </w:p>
    <w:p>
      <w:pPr>
        <w:spacing w:after="0" w:line="204" w:lineRule="exact"/>
        <w:rPr>
          <w:sz w:val="20"/>
          <w:szCs w:val="20"/>
          <w:color w:val="auto"/>
        </w:rPr>
      </w:pPr>
    </w:p>
    <w:p>
      <w:pPr>
        <w:ind w:left="480" w:right="320" w:firstLine="318"/>
        <w:spacing w:after="0" w:line="275" w:lineRule="auto"/>
        <w:tabs>
          <w:tab w:leader="none" w:pos="1128"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Restricted Transfers. </w:t>
      </w:r>
      <w:r>
        <w:rPr>
          <w:rFonts w:ascii="Arial" w:cs="Arial" w:eastAsia="Arial" w:hAnsi="Arial"/>
          <w:sz w:val="16"/>
          <w:szCs w:val="16"/>
          <w:color w:val="auto"/>
        </w:rPr>
        <w:t>Except through a Secondary Market Transaction, no person shall purchase or otherwise acquire (whether through the conversion or</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80" w:right="20"/>
        <w:spacing w:after="0" w:line="319" w:lineRule="auto"/>
        <w:rPr>
          <w:sz w:val="20"/>
          <w:szCs w:val="20"/>
          <w:color w:val="auto"/>
        </w:rPr>
      </w:pPr>
      <w:r>
        <w:rPr>
          <w:rFonts w:ascii="Arial" w:cs="Arial" w:eastAsia="Arial" w:hAnsi="Arial"/>
          <w:sz w:val="14"/>
          <w:szCs w:val="14"/>
          <w:color w:val="auto"/>
        </w:rPr>
        <w:t>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Arial" w:cs="Arial" w:eastAsia="Arial" w:hAnsi="Arial"/>
          <w:sz w:val="14"/>
          <w:szCs w:val="14"/>
          <w:i w:val="1"/>
          <w:iCs w:val="1"/>
          <w:color w:val="auto"/>
        </w:rPr>
        <w:t>Restricted Transfer</w:t>
      </w:r>
      <w:r>
        <w:rPr>
          <w:rFonts w:ascii="Arial" w:cs="Arial" w:eastAsia="Arial" w:hAnsi="Arial"/>
          <w:sz w:val="14"/>
          <w:szCs w:val="14"/>
          <w:color w:val="auto"/>
        </w:rPr>
        <w:t>"), the holdings of the transferee, together with those of its FERC Affiliates, would equal or exceed the Utility Control Threshold without the prior written consent of the Board of Directors.</w:t>
      </w:r>
    </w:p>
    <w:p>
      <w:pPr>
        <w:spacing w:after="0" w:line="135" w:lineRule="exact"/>
        <w:rPr>
          <w:sz w:val="20"/>
          <w:szCs w:val="20"/>
          <w:color w:val="auto"/>
        </w:rPr>
      </w:pPr>
    </w:p>
    <w:p>
      <w:pPr>
        <w:jc w:val="both"/>
        <w:ind w:left="480" w:firstLine="318"/>
        <w:spacing w:after="0" w:line="283" w:lineRule="auto"/>
        <w:tabs>
          <w:tab w:leader="none" w:pos="1137"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Purported Transfer in Violation of Restrictions. </w:t>
      </w:r>
      <w:r>
        <w:rPr>
          <w:rFonts w:ascii="Arial" w:cs="Arial" w:eastAsia="Arial" w:hAnsi="Arial"/>
          <w:sz w:val="15"/>
          <w:szCs w:val="15"/>
          <w:color w:val="auto"/>
        </w:rPr>
        <w:t>Unless the approval of the Board of Directors is obtained with respect to a Restricted Transfer, such purported</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57" w:lineRule="exact"/>
        <w:rPr>
          <w:rFonts w:ascii="Arial" w:cs="Arial" w:eastAsia="Arial" w:hAnsi="Arial"/>
          <w:sz w:val="15"/>
          <w:szCs w:val="15"/>
          <w:color w:val="auto"/>
        </w:rPr>
      </w:pPr>
    </w:p>
    <w:p>
      <w:pPr>
        <w:ind w:left="1140" w:hanging="342"/>
        <w:spacing w:after="0"/>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Certain Definitions.  </w:t>
      </w:r>
      <w:r>
        <w:rPr>
          <w:rFonts w:ascii="Arial" w:cs="Arial" w:eastAsia="Arial" w:hAnsi="Arial"/>
          <w:sz w:val="16"/>
          <w:szCs w:val="16"/>
          <w:color w:val="auto"/>
        </w:rPr>
        <w:t>For purposes of this Section 4 of Article FOUR:</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Clearway Public Utility</w:t>
      </w:r>
      <w:r>
        <w:rPr>
          <w:rFonts w:ascii="Arial" w:cs="Arial" w:eastAsia="Arial" w:hAnsi="Arial"/>
          <w:sz w:val="15"/>
          <w:szCs w:val="15"/>
          <w:color w:val="auto"/>
        </w:rPr>
        <w:t>" means any direct or indirect subsidiary of Clearway Energy LLC that is a "public utility" (as that term is defined in the Federal Power Act).</w:t>
      </w:r>
    </w:p>
    <w:p>
      <w:pPr>
        <w:spacing w:after="0" w:line="216" w:lineRule="exact"/>
        <w:rPr>
          <w:sz w:val="20"/>
          <w:szCs w:val="20"/>
          <w:color w:val="auto"/>
        </w:rPr>
      </w:pPr>
    </w:p>
    <w:p>
      <w:pPr>
        <w:ind w:right="300" w:firstLine="316"/>
        <w:spacing w:after="0" w:line="275" w:lineRule="auto"/>
        <w:rPr>
          <w:sz w:val="20"/>
          <w:szCs w:val="20"/>
          <w:color w:val="auto"/>
        </w:rPr>
      </w:pPr>
      <w:r>
        <w:rPr>
          <w:rFonts w:ascii="Arial" w:cs="Arial" w:eastAsia="Arial" w:hAnsi="Arial"/>
          <w:sz w:val="16"/>
          <w:szCs w:val="16"/>
          <w:i w:val="1"/>
          <w:iCs w:val="1"/>
          <w:color w:val="auto"/>
        </w:rPr>
        <w:t>"FERC Affiliate</w:t>
      </w:r>
      <w:r>
        <w:rPr>
          <w:rFonts w:ascii="Arial" w:cs="Arial" w:eastAsia="Arial" w:hAnsi="Arial"/>
          <w:sz w:val="16"/>
          <w:szCs w:val="16"/>
          <w:color w:val="auto"/>
        </w:rPr>
        <w:t>" means any person that is an "affiliate" (as such term is defined in 18 C.F.R. § 35.36(a)(9)) of another person prior to the effective date of the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w:t>
      </w:r>
    </w:p>
    <w:p>
      <w:pPr>
        <w:spacing w:after="0" w:line="161" w:lineRule="exact"/>
        <w:rPr>
          <w:sz w:val="20"/>
          <w:szCs w:val="20"/>
          <w:color w:val="auto"/>
        </w:rPr>
      </w:pPr>
    </w:p>
    <w:p>
      <w:pPr>
        <w:ind w:right="40" w:firstLine="316"/>
        <w:spacing w:after="0" w:line="30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Secondary Market Transaction</w:t>
      </w:r>
      <w:r>
        <w:rPr>
          <w:rFonts w:ascii="Arial" w:cs="Arial" w:eastAsia="Arial" w:hAnsi="Arial"/>
          <w:sz w:val="14"/>
          <w:szCs w:val="14"/>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42" w:lineRule="exact"/>
        <w:rPr>
          <w:sz w:val="20"/>
          <w:szCs w:val="20"/>
          <w:color w:val="auto"/>
        </w:rPr>
      </w:pPr>
    </w:p>
    <w:p>
      <w:pPr>
        <w:ind w:right="20" w:firstLine="316"/>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Utility Control Threshold</w:t>
      </w:r>
      <w:r>
        <w:rPr>
          <w:rFonts w:ascii="Arial" w:cs="Arial" w:eastAsia="Arial" w:hAnsi="Arial"/>
          <w:sz w:val="16"/>
          <w:szCs w:val="16"/>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FIVE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Corporation is to have perpetual existence.</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SIX</w:t>
      </w:r>
    </w:p>
    <w:p>
      <w:pPr>
        <w:spacing w:after="0" w:line="208" w:lineRule="exact"/>
        <w:rPr>
          <w:sz w:val="20"/>
          <w:szCs w:val="20"/>
          <w:color w:val="auto"/>
        </w:rPr>
      </w:pPr>
    </w:p>
    <w:p>
      <w:pPr>
        <w:ind w:right="120" w:firstLine="316"/>
        <w:spacing w:after="0" w:line="264" w:lineRule="auto"/>
        <w:rPr>
          <w:sz w:val="20"/>
          <w:szCs w:val="20"/>
          <w:color w:val="auto"/>
        </w:rPr>
      </w:pPr>
      <w:r>
        <w:rPr>
          <w:rFonts w:ascii="Arial" w:cs="Arial" w:eastAsia="Arial" w:hAnsi="Arial"/>
          <w:sz w:val="16"/>
          <w:szCs w:val="16"/>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SEVEN</w:t>
      </w:r>
    </w:p>
    <w:p>
      <w:pPr>
        <w:spacing w:after="0" w:line="208" w:lineRule="exact"/>
        <w:rPr>
          <w:sz w:val="20"/>
          <w:szCs w:val="20"/>
          <w:color w:val="auto"/>
        </w:rPr>
      </w:pPr>
    </w:p>
    <w:p>
      <w:pPr>
        <w:ind w:right="140" w:firstLine="316"/>
        <w:spacing w:after="0" w:line="289"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i w:val="1"/>
          <w:iCs w:val="1"/>
          <w:color w:val="auto"/>
        </w:rPr>
        <w:t>Board of Directors.</w:t>
      </w:r>
      <w:r>
        <w:rPr>
          <w:rFonts w:ascii="Arial" w:cs="Arial" w:eastAsia="Arial" w:hAnsi="Arial"/>
          <w:sz w:val="15"/>
          <w:szCs w:val="15"/>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Arial" w:cs="Arial" w:eastAsia="Arial" w:hAnsi="Arial"/>
          <w:sz w:val="15"/>
          <w:szCs w:val="15"/>
          <w:i w:val="1"/>
          <w:iCs w:val="1"/>
          <w:color w:val="auto"/>
        </w:rPr>
        <w:t>Bylaws</w:t>
      </w:r>
      <w:r>
        <w:rPr>
          <w:rFonts w:ascii="Arial" w:cs="Arial" w:eastAsia="Arial" w:hAnsi="Arial"/>
          <w:sz w:val="15"/>
          <w:szCs w:val="15"/>
          <w:color w:val="auto"/>
        </w:rPr>
        <w:t>"), the directors are hereby empowered to exercise all such powers and do all such acts and things as may be exercised or done by the Corporation.</w:t>
      </w:r>
    </w:p>
    <w:p>
      <w:pPr>
        <w:spacing w:after="0" w:line="348" w:lineRule="exact"/>
        <w:rPr>
          <w:sz w:val="20"/>
          <w:szCs w:val="20"/>
          <w:color w:val="auto"/>
        </w:rPr>
      </w:pPr>
    </w:p>
    <w:p>
      <w:pPr>
        <w:ind w:firstLine="316"/>
        <w:spacing w:after="0" w:line="276"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i w:val="1"/>
          <w:iCs w:val="1"/>
          <w:color w:val="auto"/>
        </w:rPr>
        <w:t>Number of Directors.</w:t>
      </w:r>
      <w:r>
        <w:rPr>
          <w:rFonts w:ascii="Arial" w:cs="Arial" w:eastAsia="Arial" w:hAnsi="Arial"/>
          <w:sz w:val="15"/>
          <w:szCs w:val="15"/>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Subject to the rights of the holders of any series of Preferred Stock, newly created directorships resulting from an increase in the size of the Board of Directors may be filled by the affirmative vote of a majority of the total number of directors then in office, although less than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360" w:lineRule="exact"/>
        <w:rPr>
          <w:sz w:val="20"/>
          <w:szCs w:val="20"/>
          <w:color w:val="auto"/>
        </w:rPr>
      </w:pPr>
    </w:p>
    <w:p>
      <w:pPr>
        <w:ind w:right="20" w:firstLine="316"/>
        <w:spacing w:after="0" w:line="278"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i w:val="1"/>
          <w:iCs w:val="1"/>
          <w:color w:val="auto"/>
        </w:rPr>
        <w:t>Removal of Directors.</w:t>
      </w:r>
      <w:r>
        <w:rPr>
          <w:rFonts w:ascii="Arial" w:cs="Arial" w:eastAsia="Arial" w:hAnsi="Arial"/>
          <w:sz w:val="15"/>
          <w:szCs w:val="15"/>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355" w:lineRule="exact"/>
        <w:rPr>
          <w:sz w:val="20"/>
          <w:szCs w:val="20"/>
          <w:color w:val="auto"/>
        </w:rPr>
      </w:pPr>
    </w:p>
    <w:p>
      <w:pPr>
        <w:ind w:right="60" w:firstLine="316"/>
        <w:spacing w:after="0" w:line="280"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i w:val="1"/>
          <w:iCs w:val="1"/>
          <w:color w:val="auto"/>
        </w:rPr>
        <w:t>Vacancies in the Board of Directors.</w:t>
      </w:r>
      <w:r>
        <w:rPr>
          <w:rFonts w:ascii="Arial" w:cs="Arial" w:eastAsia="Arial" w:hAnsi="Arial"/>
          <w:sz w:val="15"/>
          <w:szCs w:val="15"/>
          <w:color w:val="auto"/>
        </w:rPr>
        <w:t xml:space="preserve"> Subject to the rights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EIGHT</w:t>
      </w:r>
    </w:p>
    <w:p>
      <w:pPr>
        <w:spacing w:after="0" w:line="208" w:lineRule="exact"/>
        <w:rPr>
          <w:sz w:val="20"/>
          <w:szCs w:val="20"/>
          <w:color w:val="auto"/>
        </w:rPr>
      </w:pPr>
    </w:p>
    <w:p>
      <w:pPr>
        <w:ind w:right="380" w:firstLine="316"/>
        <w:spacing w:after="0" w:line="275" w:lineRule="auto"/>
        <w:rPr>
          <w:sz w:val="20"/>
          <w:szCs w:val="20"/>
          <w:color w:val="auto"/>
        </w:rPr>
      </w:pPr>
      <w:r>
        <w:rPr>
          <w:rFonts w:ascii="Arial" w:cs="Arial" w:eastAsia="Arial" w:hAnsi="Arial"/>
          <w:sz w:val="16"/>
          <w:szCs w:val="16"/>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NINE</w:t>
      </w:r>
    </w:p>
    <w:p>
      <w:pPr>
        <w:spacing w:after="0" w:line="208"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5"/>
          <w:szCs w:val="15"/>
          <w:i w:val="1"/>
          <w:iCs w:val="1"/>
          <w:color w:val="auto"/>
        </w:rPr>
        <w:t>Indemnification; Limitation of Liability.</w:t>
      </w:r>
    </w:p>
    <w:p>
      <w:pPr>
        <w:spacing w:after="0" w:line="204" w:lineRule="exact"/>
        <w:rPr>
          <w:sz w:val="20"/>
          <w:szCs w:val="20"/>
          <w:color w:val="auto"/>
        </w:rPr>
      </w:pPr>
    </w:p>
    <w:p>
      <w:pPr>
        <w:ind w:left="480" w:right="20" w:firstLine="318"/>
        <w:spacing w:after="0" w:line="275" w:lineRule="auto"/>
        <w:tabs>
          <w:tab w:leader="none" w:pos="108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fiduciary duty owed to the Corporation or its stockholders; and (ii) the Corporation shall indemnify its officers and directors.</w:t>
      </w:r>
    </w:p>
    <w:p>
      <w:pPr>
        <w:spacing w:after="0" w:line="204" w:lineRule="exact"/>
        <w:rPr>
          <w:sz w:val="20"/>
          <w:szCs w:val="20"/>
          <w:color w:val="auto"/>
        </w:rPr>
      </w:pPr>
    </w:p>
    <w:p>
      <w:pPr>
        <w:ind w:left="480" w:right="120" w:firstLine="318"/>
        <w:spacing w:after="0" w:line="348" w:lineRule="auto"/>
        <w:tabs>
          <w:tab w:leader="none" w:pos="1089" w:val="left"/>
        </w:tabs>
        <w:numPr>
          <w:ilvl w:val="0"/>
          <w:numId w:val="72"/>
        </w:numPr>
        <w:rPr>
          <w:rFonts w:ascii="Arial" w:cs="Arial" w:eastAsia="Arial" w:hAnsi="Arial"/>
          <w:sz w:val="14"/>
          <w:szCs w:val="14"/>
          <w:color w:val="auto"/>
        </w:rPr>
      </w:pPr>
      <w:r>
        <w:rPr>
          <w:rFonts w:ascii="Arial" w:cs="Arial" w:eastAsia="Arial" w:hAnsi="Arial"/>
          <w:sz w:val="14"/>
          <w:szCs w:val="14"/>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TEN</w:t>
      </w:r>
    </w:p>
    <w:p>
      <w:pPr>
        <w:spacing w:after="0" w:line="208" w:lineRule="exact"/>
        <w:rPr>
          <w:sz w:val="20"/>
          <w:szCs w:val="20"/>
          <w:color w:val="auto"/>
        </w:rPr>
      </w:pPr>
    </w:p>
    <w:p>
      <w:pPr>
        <w:ind w:right="140" w:firstLine="316"/>
        <w:spacing w:after="0" w:line="264" w:lineRule="auto"/>
        <w:rPr>
          <w:sz w:val="20"/>
          <w:szCs w:val="20"/>
          <w:color w:val="auto"/>
        </w:rPr>
      </w:pPr>
      <w:r>
        <w:rPr>
          <w:rFonts w:ascii="Arial" w:cs="Arial" w:eastAsia="Arial" w:hAnsi="Arial"/>
          <w:sz w:val="16"/>
          <w:szCs w:val="16"/>
          <w:color w:val="auto"/>
        </w:rPr>
        <w:t>For purposes of this Amended and Restated Certificate of Incorporation, "</w:t>
      </w:r>
      <w:r>
        <w:rPr>
          <w:rFonts w:ascii="Arial" w:cs="Arial" w:eastAsia="Arial" w:hAnsi="Arial"/>
          <w:sz w:val="16"/>
          <w:szCs w:val="16"/>
          <w:i w:val="1"/>
          <w:iCs w:val="1"/>
          <w:color w:val="auto"/>
        </w:rPr>
        <w:t>Affiliated Company</w:t>
      </w:r>
      <w:r>
        <w:rPr>
          <w:rFonts w:ascii="Arial" w:cs="Arial" w:eastAsia="Arial" w:hAnsi="Arial"/>
          <w:sz w:val="16"/>
          <w:szCs w:val="16"/>
          <w:color w:val="auto"/>
        </w:rPr>
        <w:t>" means (i) Global Infrastructure Investors III, LLC ("</w:t>
      </w:r>
      <w:r>
        <w:rPr>
          <w:rFonts w:ascii="Arial" w:cs="Arial" w:eastAsia="Arial" w:hAnsi="Arial"/>
          <w:sz w:val="16"/>
          <w:szCs w:val="16"/>
          <w:i w:val="1"/>
          <w:iCs w:val="1"/>
          <w:color w:val="auto"/>
        </w:rPr>
        <w:t>GIP</w:t>
      </w:r>
      <w:r>
        <w:rPr>
          <w:rFonts w:ascii="Arial" w:cs="Arial" w:eastAsia="Arial" w:hAnsi="Arial"/>
          <w:sz w:val="16"/>
          <w:szCs w:val="16"/>
          <w:color w:val="auto"/>
        </w:rPr>
        <w:t>") and (ii) 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ELEVEN</w:t>
      </w:r>
    </w:p>
    <w:p>
      <w:pPr>
        <w:spacing w:after="0" w:line="208" w:lineRule="exact"/>
        <w:rPr>
          <w:sz w:val="20"/>
          <w:szCs w:val="20"/>
          <w:color w:val="auto"/>
        </w:rPr>
      </w:pPr>
    </w:p>
    <w:p>
      <w:pPr>
        <w:ind w:right="180" w:firstLine="316"/>
        <w:spacing w:after="0" w:line="348" w:lineRule="auto"/>
        <w:rPr>
          <w:sz w:val="20"/>
          <w:szCs w:val="20"/>
          <w:color w:val="auto"/>
        </w:rPr>
      </w:pPr>
      <w:r>
        <w:rPr>
          <w:rFonts w:ascii="Arial" w:cs="Arial" w:eastAsia="Arial" w:hAnsi="Arial"/>
          <w:sz w:val="14"/>
          <w:szCs w:val="14"/>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TWELVE</w:t>
      </w:r>
    </w:p>
    <w:p>
      <w:pPr>
        <w:spacing w:after="0" w:line="208" w:lineRule="exact"/>
        <w:rPr>
          <w:sz w:val="20"/>
          <w:szCs w:val="20"/>
          <w:color w:val="auto"/>
        </w:rPr>
      </w:pPr>
    </w:p>
    <w:p>
      <w:pPr>
        <w:ind w:right="40" w:firstLine="316"/>
        <w:spacing w:after="0" w:line="258" w:lineRule="auto"/>
        <w:rPr>
          <w:sz w:val="20"/>
          <w:szCs w:val="20"/>
          <w:color w:val="auto"/>
        </w:rPr>
      </w:pPr>
      <w:r>
        <w:rPr>
          <w:rFonts w:ascii="Arial" w:cs="Arial" w:eastAsia="Arial" w:hAnsi="Arial"/>
          <w:sz w:val="16"/>
          <w:szCs w:val="16"/>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THIRTEEN</w:t>
      </w:r>
    </w:p>
    <w:p>
      <w:pPr>
        <w:spacing w:after="0" w:line="208" w:lineRule="exact"/>
        <w:rPr>
          <w:sz w:val="20"/>
          <w:szCs w:val="20"/>
          <w:color w:val="auto"/>
        </w:rPr>
      </w:pPr>
    </w:p>
    <w:p>
      <w:pPr>
        <w:ind w:right="120" w:firstLine="316"/>
        <w:spacing w:after="0" w:line="26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Competition and Corporate Opportunities.</w:t>
      </w:r>
      <w:r>
        <w:rPr>
          <w:rFonts w:ascii="Arial" w:cs="Arial" w:eastAsia="Arial" w:hAnsi="Arial"/>
          <w:sz w:val="16"/>
          <w:szCs w:val="16"/>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70" w:lineRule="exact"/>
        <w:rPr>
          <w:sz w:val="20"/>
          <w:szCs w:val="20"/>
          <w:color w:val="auto"/>
        </w:rPr>
      </w:pPr>
    </w:p>
    <w:p>
      <w:pPr>
        <w:jc w:val="both"/>
        <w:ind w:left="480" w:firstLine="318"/>
        <w:spacing w:after="0" w:line="260" w:lineRule="auto"/>
        <w:tabs>
          <w:tab w:leader="none" w:pos="1089"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73" w:lineRule="exact"/>
        <w:rPr>
          <w:rFonts w:ascii="Arial" w:cs="Arial" w:eastAsia="Arial" w:hAnsi="Arial"/>
          <w:sz w:val="16"/>
          <w:szCs w:val="16"/>
          <w:color w:val="auto"/>
        </w:rPr>
      </w:pPr>
    </w:p>
    <w:p>
      <w:pPr>
        <w:ind w:left="480" w:right="160" w:firstLine="318"/>
        <w:spacing w:after="0" w:line="289" w:lineRule="auto"/>
        <w:tabs>
          <w:tab w:leader="none" w:pos="1089" w:val="left"/>
        </w:tabs>
        <w:numPr>
          <w:ilvl w:val="0"/>
          <w:numId w:val="73"/>
        </w:numPr>
        <w:rPr>
          <w:rFonts w:ascii="Arial" w:cs="Arial" w:eastAsia="Arial" w:hAnsi="Arial"/>
          <w:sz w:val="15"/>
          <w:szCs w:val="15"/>
          <w:color w:val="auto"/>
        </w:rPr>
      </w:pPr>
      <w:r>
        <w:rPr>
          <w:rFonts w:ascii="Arial" w:cs="Arial" w:eastAsia="Arial" w:hAnsi="Arial"/>
          <w:sz w:val="15"/>
          <w:szCs w:val="15"/>
          <w:color w:val="auto"/>
        </w:rPr>
        <w:t>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80" w:right="60"/>
        <w:spacing w:after="0" w:line="319" w:lineRule="auto"/>
        <w:rPr>
          <w:sz w:val="20"/>
          <w:szCs w:val="20"/>
          <w:color w:val="auto"/>
        </w:rPr>
      </w:pPr>
      <w:r>
        <w:rPr>
          <w:rFonts w:ascii="Arial" w:cs="Arial" w:eastAsia="Arial" w:hAnsi="Arial"/>
          <w:sz w:val="14"/>
          <w:szCs w:val="14"/>
          <w:color w:val="auto"/>
        </w:rPr>
        <w:t>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329" w:lineRule="exact"/>
        <w:rPr>
          <w:sz w:val="20"/>
          <w:szCs w:val="20"/>
          <w:color w:val="auto"/>
        </w:rPr>
      </w:pPr>
    </w:p>
    <w:p>
      <w:pPr>
        <w:ind w:right="100" w:firstLine="316"/>
        <w:spacing w:after="0" w:line="25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Certain Matters Deemed not Corporate Opportunities.</w:t>
      </w:r>
      <w:r>
        <w:rPr>
          <w:rFonts w:ascii="Arial" w:cs="Arial" w:eastAsia="Arial" w:hAnsi="Arial"/>
          <w:sz w:val="16"/>
          <w:szCs w:val="16"/>
          <w:color w:val="auto"/>
        </w:rPr>
        <w:t xml:space="preserve"> In addition to and notwithstanding the foregoing provisions of this Article THIRTEEN,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THIRTEEN shall amend or modify in any respect any written contractual agreement between the Affiliated Company, on the one hand, and the Corporation or any of its Affiliated Companies, on the other hand.</w:t>
      </w:r>
    </w:p>
    <w:p>
      <w:pPr>
        <w:spacing w:after="0" w:line="372" w:lineRule="exact"/>
        <w:rPr>
          <w:sz w:val="20"/>
          <w:szCs w:val="20"/>
          <w:color w:val="auto"/>
        </w:rPr>
      </w:pPr>
    </w:p>
    <w:p>
      <w:pPr>
        <w:ind w:left="320"/>
        <w:spacing w:after="0"/>
        <w:tabs>
          <w:tab w:leader="none" w:pos="1080" w:val="left"/>
          <w:tab w:leader="none" w:pos="254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6"/>
          <w:szCs w:val="16"/>
          <w:i w:val="1"/>
          <w:iCs w:val="1"/>
          <w:color w:val="auto"/>
        </w:rPr>
        <w:t>Certain Definitions.</w:t>
      </w:r>
      <w:r>
        <w:rPr>
          <w:sz w:val="20"/>
          <w:szCs w:val="20"/>
          <w:color w:val="auto"/>
        </w:rPr>
        <w:tab/>
      </w:r>
      <w:r>
        <w:rPr>
          <w:rFonts w:ascii="Arial" w:cs="Arial" w:eastAsia="Arial" w:hAnsi="Arial"/>
          <w:sz w:val="14"/>
          <w:szCs w:val="14"/>
          <w:color w:val="auto"/>
        </w:rPr>
        <w:t>For purposes of this Article THIRTEEN and Article FIFTEEN:</w:t>
      </w:r>
    </w:p>
    <w:p>
      <w:pPr>
        <w:spacing w:after="0" w:line="204" w:lineRule="exact"/>
        <w:rPr>
          <w:sz w:val="20"/>
          <w:szCs w:val="20"/>
          <w:color w:val="auto"/>
        </w:rPr>
      </w:pPr>
    </w:p>
    <w:p>
      <w:pPr>
        <w:ind w:firstLine="316"/>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Controlled Company</w:t>
      </w:r>
      <w:r>
        <w:rPr>
          <w:rFonts w:ascii="Arial" w:cs="Arial" w:eastAsia="Arial" w:hAnsi="Arial"/>
          <w:sz w:val="16"/>
          <w:szCs w:val="16"/>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61" w:lineRule="exact"/>
        <w:rPr>
          <w:sz w:val="20"/>
          <w:szCs w:val="20"/>
          <w:color w:val="auto"/>
        </w:rPr>
      </w:pPr>
    </w:p>
    <w:p>
      <w:pPr>
        <w:ind w:right="80" w:firstLine="316"/>
        <w:spacing w:after="0" w:line="31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Dual Opportunity</w:t>
      </w:r>
      <w:r>
        <w:rPr>
          <w:rFonts w:ascii="Arial" w:cs="Arial" w:eastAsia="Arial" w:hAnsi="Arial"/>
          <w:sz w:val="14"/>
          <w:szCs w:val="14"/>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Dual Role Person</w:t>
      </w:r>
      <w:r>
        <w:rPr>
          <w:rFonts w:ascii="Arial" w:cs="Arial" w:eastAsia="Arial" w:hAnsi="Arial"/>
          <w:sz w:val="16"/>
          <w:szCs w:val="16"/>
          <w:color w:val="auto"/>
        </w:rPr>
        <w:t>" means any individual who is an officer or director of both the Corporation and the Affiliated Company.</w:t>
      </w:r>
    </w:p>
    <w:p>
      <w:pPr>
        <w:spacing w:after="0" w:line="204" w:lineRule="exact"/>
        <w:rPr>
          <w:sz w:val="20"/>
          <w:szCs w:val="20"/>
          <w:color w:val="auto"/>
        </w:rPr>
      </w:pPr>
    </w:p>
    <w:p>
      <w:pPr>
        <w:ind w:right="320" w:firstLine="316"/>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355" w:lineRule="exact"/>
        <w:rPr>
          <w:sz w:val="20"/>
          <w:szCs w:val="20"/>
          <w:color w:val="auto"/>
        </w:rPr>
      </w:pPr>
    </w:p>
    <w:p>
      <w:pPr>
        <w:ind w:right="20" w:firstLine="316"/>
        <w:spacing w:after="0" w:line="280"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i w:val="1"/>
          <w:iCs w:val="1"/>
          <w:color w:val="auto"/>
        </w:rPr>
        <w:t>Termination.</w:t>
      </w:r>
      <w:r>
        <w:rPr>
          <w:rFonts w:ascii="Arial" w:cs="Arial" w:eastAsia="Arial" w:hAnsi="Arial"/>
          <w:sz w:val="15"/>
          <w:szCs w:val="15"/>
          <w:color w:val="auto"/>
        </w:rPr>
        <w:t xml:space="preserve"> The provisions of this Article THIRTEEN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such termination shall not terminate the effect of such provisions with respect to any agreement, arrangement or other 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354" w:lineRule="exact"/>
        <w:rPr>
          <w:sz w:val="20"/>
          <w:szCs w:val="20"/>
          <w:color w:val="auto"/>
        </w:rPr>
      </w:pPr>
    </w:p>
    <w:p>
      <w:pPr>
        <w:ind w:right="160" w:firstLine="316"/>
        <w:spacing w:after="0" w:line="27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Deemed Notice.</w:t>
      </w:r>
      <w:r>
        <w:rPr>
          <w:rFonts w:ascii="Arial" w:cs="Arial" w:eastAsia="Arial" w:hAnsi="Arial"/>
          <w:sz w:val="16"/>
          <w:szCs w:val="16"/>
          <w:color w:val="auto"/>
        </w:rPr>
        <w:t xml:space="preserve"> Any person or entity purchasing or otherwise acquiring or obtaining any interest in any capital stock of the Corporation shall be deemed to have notice and to have consented to the provisions of this Article THIRTEEN.</w:t>
      </w:r>
    </w:p>
    <w:p>
      <w:pPr>
        <w:spacing w:after="0" w:line="355" w:lineRule="exact"/>
        <w:rPr>
          <w:sz w:val="20"/>
          <w:szCs w:val="20"/>
          <w:color w:val="auto"/>
        </w:rPr>
      </w:pPr>
    </w:p>
    <w:p>
      <w:pPr>
        <w:ind w:right="400" w:firstLine="316"/>
        <w:spacing w:after="0" w:line="309"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i w:val="1"/>
          <w:iCs w:val="1"/>
          <w:color w:val="auto"/>
        </w:rPr>
        <w:t>Severability.</w:t>
      </w:r>
      <w:r>
        <w:rPr>
          <w:rFonts w:ascii="Arial" w:cs="Arial" w:eastAsia="Arial" w:hAnsi="Arial"/>
          <w:sz w:val="15"/>
          <w:szCs w:val="15"/>
          <w:color w:val="auto"/>
        </w:rPr>
        <w:t xml:space="preserve"> The invalidity or unenforceability of any particular provision, or part of any provision, of this Article THIRTEEN shall not affect the other provisions or parts hereof, and this Article THIRTEEN shall be construed in all respects as if such invalid or unenforceable provisions or parts were omitted.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FOURTEEN</w:t>
      </w:r>
    </w:p>
    <w:p>
      <w:pPr>
        <w:spacing w:after="0" w:line="208" w:lineRule="exact"/>
        <w:rPr>
          <w:sz w:val="20"/>
          <w:szCs w:val="20"/>
          <w:color w:val="auto"/>
        </w:rPr>
      </w:pPr>
    </w:p>
    <w:p>
      <w:pPr>
        <w:ind w:right="200" w:firstLine="316"/>
        <w:spacing w:after="0" w:line="294" w:lineRule="auto"/>
        <w:rPr>
          <w:sz w:val="20"/>
          <w:szCs w:val="20"/>
          <w:color w:val="auto"/>
        </w:rPr>
      </w:pPr>
      <w:r>
        <w:rPr>
          <w:rFonts w:ascii="Arial" w:cs="Arial" w:eastAsia="Arial" w:hAnsi="Arial"/>
          <w:sz w:val="14"/>
          <w:szCs w:val="14"/>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w:t>
      </w:r>
    </w:p>
    <w:p>
      <w:pPr>
        <w:ind w:right="160"/>
        <w:spacing w:after="0" w:line="229" w:lineRule="auto"/>
        <w:rPr>
          <w:sz w:val="20"/>
          <w:szCs w:val="20"/>
          <w:color w:val="auto"/>
        </w:rPr>
      </w:pPr>
      <w:r>
        <w:rPr>
          <w:rFonts w:ascii="Arial" w:cs="Arial" w:eastAsia="Arial" w:hAnsi="Arial"/>
          <w:sz w:val="16"/>
          <w:szCs w:val="16"/>
          <w:color w:val="auto"/>
        </w:rPr>
        <w:t>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all of the then outstanding shares of the Corporation eligible to be cast in the election of directors generally voting as a single class shall be required to alter, amend or repeal Section 1 of ARTICLE FOUR hereof, ARTICLE EIGHT hereof, ARTICLE NINE hereof, Section 4 of ARTICLE SEVEN hereof, ARTICLES TWELVE and THIRTEEN hereof, this ARTICLE FOURTEEN, or ARTICLE FIFTEEN hereof or any provision thereof or 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FIFTEEN</w:t>
      </w:r>
    </w:p>
    <w:p>
      <w:pPr>
        <w:spacing w:after="0" w:line="208" w:lineRule="exact"/>
        <w:rPr>
          <w:sz w:val="20"/>
          <w:szCs w:val="20"/>
          <w:color w:val="auto"/>
        </w:rPr>
      </w:pPr>
    </w:p>
    <w:p>
      <w:pPr>
        <w:ind w:firstLine="313"/>
        <w:spacing w:after="0" w:line="260" w:lineRule="auto"/>
        <w:rPr>
          <w:sz w:val="20"/>
          <w:szCs w:val="20"/>
          <w:color w:val="auto"/>
        </w:rPr>
      </w:pPr>
      <w:r>
        <w:rPr>
          <w:rFonts w:ascii="Arial" w:cs="Arial" w:eastAsia="Arial" w:hAnsi="Arial"/>
          <w:sz w:val="16"/>
          <w:szCs w:val="16"/>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SIXTEEN</w:t>
      </w:r>
    </w:p>
    <w:p>
      <w:pPr>
        <w:spacing w:after="0" w:line="208" w:lineRule="exact"/>
        <w:rPr>
          <w:sz w:val="20"/>
          <w:szCs w:val="20"/>
          <w:color w:val="auto"/>
        </w:rPr>
      </w:pPr>
    </w:p>
    <w:p>
      <w:pPr>
        <w:ind w:firstLine="313"/>
        <w:spacing w:after="0" w:line="294" w:lineRule="auto"/>
        <w:rPr>
          <w:sz w:val="20"/>
          <w:szCs w:val="20"/>
          <w:color w:val="auto"/>
        </w:rPr>
      </w:pPr>
      <w:r>
        <w:rPr>
          <w:rFonts w:ascii="Arial" w:cs="Arial" w:eastAsia="Arial" w:hAnsi="Arial"/>
          <w:sz w:val="14"/>
          <w:szCs w:val="14"/>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 (including, without limitation, each portion of any sentence of this Article SIXTEEN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SIXTEEN.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SEVENTEEN</w:t>
      </w:r>
    </w:p>
    <w:p>
      <w:pPr>
        <w:spacing w:after="0" w:line="208" w:lineRule="exact"/>
        <w:rPr>
          <w:sz w:val="20"/>
          <w:szCs w:val="20"/>
          <w:color w:val="auto"/>
        </w:rPr>
      </w:pPr>
    </w:p>
    <w:p>
      <w:pPr>
        <w:ind w:right="220" w:firstLine="316"/>
        <w:spacing w:after="0" w:line="309" w:lineRule="auto"/>
        <w:rPr>
          <w:sz w:val="20"/>
          <w:szCs w:val="20"/>
          <w:color w:val="auto"/>
        </w:rPr>
      </w:pPr>
      <w:r>
        <w:rPr>
          <w:rFonts w:ascii="Arial" w:cs="Arial" w:eastAsia="Arial" w:hAnsi="Arial"/>
          <w:sz w:val="15"/>
          <w:szCs w:val="15"/>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7" w:name="page88"/>
    <w:bookmarkEnd w:id="87"/>
    <w:p>
      <w:pPr>
        <w:ind w:left="3"/>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ind w:left="10403"/>
        <w:spacing w:after="0"/>
        <w:rPr>
          <w:sz w:val="20"/>
          <w:szCs w:val="20"/>
          <w:color w:val="auto"/>
        </w:rPr>
      </w:pPr>
      <w:r>
        <w:rPr>
          <w:rFonts w:ascii="Arial" w:cs="Arial" w:eastAsia="Arial" w:hAnsi="Arial"/>
          <w:sz w:val="14"/>
          <w:szCs w:val="14"/>
          <w:b w:val="1"/>
          <w:bCs w:val="1"/>
          <w:color w:val="auto"/>
        </w:rPr>
        <w:t>Appendix B</w:t>
      </w:r>
    </w:p>
    <w:p>
      <w:pPr>
        <w:spacing w:after="0" w:line="200" w:lineRule="exact"/>
        <w:rPr>
          <w:sz w:val="20"/>
          <w:szCs w:val="20"/>
          <w:color w:val="auto"/>
        </w:rPr>
      </w:pPr>
    </w:p>
    <w:p>
      <w:pPr>
        <w:spacing w:after="0" w:line="222" w:lineRule="exact"/>
        <w:rPr>
          <w:sz w:val="20"/>
          <w:szCs w:val="20"/>
          <w:color w:val="auto"/>
        </w:rPr>
      </w:pPr>
    </w:p>
    <w:p>
      <w:pPr>
        <w:jc w:val="center"/>
        <w:ind w:right="-42"/>
        <w:spacing w:after="0"/>
        <w:rPr>
          <w:sz w:val="20"/>
          <w:szCs w:val="20"/>
          <w:color w:val="auto"/>
        </w:rPr>
      </w:pPr>
      <w:r>
        <w:rPr>
          <w:rFonts w:ascii="Arial" w:cs="Arial" w:eastAsia="Arial" w:hAnsi="Arial"/>
          <w:sz w:val="16"/>
          <w:szCs w:val="16"/>
          <w:b w:val="1"/>
          <w:bCs w:val="1"/>
          <w:u w:val="single" w:color="auto"/>
          <w:color w:val="auto"/>
        </w:rPr>
        <w:t>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22225</wp:posOffset>
            </wp:positionV>
            <wp:extent cx="127190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1905" cy="7620"/>
                    </a:xfrm>
                    <a:prstGeom prst="rect">
                      <a:avLst/>
                    </a:prstGeom>
                    <a:noFill/>
                  </pic:spPr>
                </pic:pic>
              </a:graphicData>
            </a:graphic>
          </wp:anchor>
        </w:drawing>
      </w:r>
    </w:p>
    <w:p>
      <w:pPr>
        <w:spacing w:after="0" w:line="184" w:lineRule="exact"/>
        <w:rPr>
          <w:sz w:val="20"/>
          <w:szCs w:val="20"/>
          <w:color w:val="auto"/>
        </w:rPr>
      </w:pPr>
    </w:p>
    <w:p>
      <w:pPr>
        <w:jc w:val="center"/>
        <w:ind w:right="-42"/>
        <w:spacing w:after="0"/>
        <w:rPr>
          <w:sz w:val="20"/>
          <w:szCs w:val="20"/>
          <w:color w:val="auto"/>
        </w:rPr>
      </w:pPr>
      <w:r>
        <w:rPr>
          <w:rFonts w:ascii="Arial" w:cs="Arial" w:eastAsia="Arial" w:hAnsi="Arial"/>
          <w:sz w:val="16"/>
          <w:szCs w:val="16"/>
          <w:b w:val="1"/>
          <w:bCs w:val="1"/>
          <w:u w:val="single" w:color="auto"/>
          <w:color w:val="auto"/>
        </w:rPr>
        <w:t>AMENDED AND</w:t>
      </w:r>
      <w:r>
        <w:rPr>
          <w:rFonts w:ascii="Arial" w:cs="Arial" w:eastAsia="Arial" w:hAnsi="Arial"/>
          <w:sz w:val="16"/>
          <w:szCs w:val="16"/>
          <w:b w:val="1"/>
          <w:bCs w:val="1"/>
          <w:color w:val="auto"/>
        </w:rPr>
        <w:t xml:space="preserve">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22225</wp:posOffset>
            </wp:positionV>
            <wp:extent cx="76327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3270" cy="7620"/>
                    </a:xfrm>
                    <a:prstGeom prst="rect">
                      <a:avLst/>
                    </a:prstGeom>
                    <a:noFill/>
                  </pic:spPr>
                </pic:pic>
              </a:graphicData>
            </a:graphic>
          </wp:anchor>
        </w:drawing>
      </w:r>
    </w:p>
    <w:p>
      <w:pPr>
        <w:spacing w:after="0" w:line="184" w:lineRule="exact"/>
        <w:rPr>
          <w:sz w:val="20"/>
          <w:szCs w:val="20"/>
          <w:color w:val="auto"/>
        </w:rPr>
      </w:pPr>
    </w:p>
    <w:p>
      <w:pPr>
        <w:jc w:val="center"/>
        <w:ind w:right="-42"/>
        <w:spacing w:after="0"/>
        <w:rPr>
          <w:sz w:val="20"/>
          <w:szCs w:val="20"/>
          <w:color w:val="auto"/>
        </w:rPr>
      </w:pPr>
      <w:r>
        <w:rPr>
          <w:rFonts w:ascii="Arial" w:cs="Arial" w:eastAsia="Arial" w:hAnsi="Arial"/>
          <w:sz w:val="16"/>
          <w:szCs w:val="16"/>
          <w:b w:val="1"/>
          <w:bCs w:val="1"/>
          <w:color w:val="auto"/>
          <w:strike w:val="1"/>
        </w:rPr>
        <w:t>OF</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strike w:val="1"/>
        </w:rPr>
        <w:t>NRG YIELD, INC.</w:t>
      </w:r>
    </w:p>
    <w:p>
      <w:pPr>
        <w:spacing w:after="0" w:line="204" w:lineRule="exact"/>
        <w:rPr>
          <w:sz w:val="20"/>
          <w:szCs w:val="20"/>
          <w:color w:val="auto"/>
        </w:rPr>
      </w:pPr>
    </w:p>
    <w:p>
      <w:pPr>
        <w:ind w:left="5063"/>
        <w:spacing w:after="0"/>
        <w:rPr>
          <w:sz w:val="20"/>
          <w:szCs w:val="20"/>
          <w:color w:val="auto"/>
        </w:rPr>
      </w:pPr>
      <w:r>
        <w:rPr>
          <w:rFonts w:ascii="Arial" w:cs="Arial" w:eastAsia="Arial" w:hAnsi="Arial"/>
          <w:sz w:val="16"/>
          <w:szCs w:val="16"/>
          <w:b w:val="1"/>
          <w:bCs w:val="1"/>
          <w:color w:val="auto"/>
        </w:rPr>
        <w:t>ARTICLE ONE</w:t>
      </w:r>
    </w:p>
    <w:p>
      <w:pPr>
        <w:spacing w:after="0" w:line="208" w:lineRule="exact"/>
        <w:rPr>
          <w:sz w:val="20"/>
          <w:szCs w:val="20"/>
          <w:color w:val="auto"/>
        </w:rPr>
      </w:pPr>
    </w:p>
    <w:p>
      <w:pPr>
        <w:ind w:left="323"/>
        <w:spacing w:after="0"/>
        <w:rPr>
          <w:sz w:val="20"/>
          <w:szCs w:val="20"/>
          <w:color w:val="auto"/>
        </w:rPr>
      </w:pPr>
      <w:r>
        <w:rPr>
          <w:rFonts w:ascii="Arial" w:cs="Arial" w:eastAsia="Arial" w:hAnsi="Arial"/>
          <w:sz w:val="16"/>
          <w:szCs w:val="16"/>
          <w:color w:val="auto"/>
        </w:rPr>
        <w:t xml:space="preserve">The name of the corporation is </w:t>
      </w:r>
      <w:r>
        <w:rPr>
          <w:rFonts w:ascii="Arial" w:cs="Arial" w:eastAsia="Arial" w:hAnsi="Arial"/>
          <w:sz w:val="16"/>
          <w:szCs w:val="16"/>
          <w:color w:val="auto"/>
          <w:strike w:val="1"/>
        </w:rPr>
        <w:t>NRG Yield</w:t>
      </w:r>
      <w:r>
        <w:rPr>
          <w:rFonts w:ascii="Arial" w:cs="Arial" w:eastAsia="Arial" w:hAnsi="Arial"/>
          <w:sz w:val="16"/>
          <w:szCs w:val="16"/>
          <w:color w:val="auto"/>
        </w:rPr>
        <w:t xml:space="preserve"> </w:t>
      </w:r>
      <w:r>
        <w:rPr>
          <w:rFonts w:ascii="Arial" w:cs="Arial" w:eastAsia="Arial" w:hAnsi="Arial"/>
          <w:sz w:val="16"/>
          <w:szCs w:val="16"/>
          <w:u w:val="single" w:color="auto"/>
          <w:color w:val="auto"/>
        </w:rPr>
        <w:t>Clearway Energy</w:t>
      </w:r>
      <w:r>
        <w:rPr>
          <w:rFonts w:ascii="Arial" w:cs="Arial" w:eastAsia="Arial" w:hAnsi="Arial"/>
          <w:sz w:val="16"/>
          <w:szCs w:val="16"/>
          <w:color w:val="auto"/>
        </w:rPr>
        <w:t>, Inc.</w:t>
      </w:r>
      <w:r>
        <w:rPr>
          <w:rFonts w:ascii="Arial" w:cs="Arial" w:eastAsia="Arial" w:hAnsi="Arial"/>
          <w:sz w:val="16"/>
          <w:szCs w:val="16"/>
          <w:i w:val="1"/>
          <w:iCs w:val="1"/>
          <w:color w:val="auto"/>
        </w:rPr>
        <w:t>(the "Corporation").</w:t>
      </w:r>
    </w:p>
    <w:p>
      <w:pPr>
        <w:spacing w:after="0" w:line="39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ARTICLE TWO</w:t>
      </w:r>
    </w:p>
    <w:p>
      <w:pPr>
        <w:spacing w:after="0" w:line="208" w:lineRule="exact"/>
        <w:rPr>
          <w:sz w:val="20"/>
          <w:szCs w:val="20"/>
          <w:color w:val="auto"/>
        </w:rPr>
      </w:pPr>
    </w:p>
    <w:p>
      <w:pPr>
        <w:ind w:left="3" w:right="300" w:firstLine="313"/>
        <w:spacing w:after="0" w:line="275" w:lineRule="auto"/>
        <w:rPr>
          <w:sz w:val="20"/>
          <w:szCs w:val="20"/>
          <w:color w:val="auto"/>
        </w:rPr>
      </w:pPr>
      <w:r>
        <w:rPr>
          <w:rFonts w:ascii="Arial" w:cs="Arial" w:eastAsia="Arial" w:hAnsi="Arial"/>
          <w:sz w:val="16"/>
          <w:szCs w:val="16"/>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35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ARTICLE THREE</w:t>
      </w:r>
    </w:p>
    <w:p>
      <w:pPr>
        <w:spacing w:after="0" w:line="208" w:lineRule="exact"/>
        <w:rPr>
          <w:sz w:val="20"/>
          <w:szCs w:val="20"/>
          <w:color w:val="auto"/>
        </w:rPr>
      </w:pPr>
    </w:p>
    <w:p>
      <w:pPr>
        <w:ind w:left="3" w:right="320" w:firstLine="313"/>
        <w:spacing w:after="0" w:line="275" w:lineRule="auto"/>
        <w:rPr>
          <w:sz w:val="20"/>
          <w:szCs w:val="20"/>
          <w:color w:val="auto"/>
        </w:rPr>
      </w:pPr>
      <w:r>
        <w:rPr>
          <w:rFonts w:ascii="Arial" w:cs="Arial" w:eastAsia="Arial" w:hAnsi="Arial"/>
          <w:sz w:val="16"/>
          <w:szCs w:val="16"/>
          <w:color w:val="auto"/>
        </w:rPr>
        <w:t xml:space="preserve">The nature of the business or purposes to be conducted or promoted is to engage in any lawful act or activity for which corporations may be organized under the </w:t>
      </w:r>
      <w:r>
        <w:rPr>
          <w:rFonts w:ascii="Arial" w:cs="Arial" w:eastAsia="Arial" w:hAnsi="Arial"/>
          <w:sz w:val="16"/>
          <w:szCs w:val="16"/>
          <w:color w:val="auto"/>
          <w:strike w:val="1"/>
        </w:rPr>
        <w:t>DGCL</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General Corporation Law of the State of Delaware (the "DGCL")</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2128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21280" cy="7620"/>
                    </a:xfrm>
                    <a:prstGeom prst="rect">
                      <a:avLst/>
                    </a:prstGeom>
                    <a:noFill/>
                  </pic:spPr>
                </pic:pic>
              </a:graphicData>
            </a:graphic>
          </wp:anchor>
        </w:drawing>
      </w:r>
    </w:p>
    <w:p>
      <w:pPr>
        <w:spacing w:after="0" w:line="33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ARTICLE FOUR</w:t>
      </w:r>
    </w:p>
    <w:p>
      <w:pPr>
        <w:spacing w:after="0" w:line="208" w:lineRule="exact"/>
        <w:rPr>
          <w:sz w:val="20"/>
          <w:szCs w:val="20"/>
          <w:color w:val="auto"/>
        </w:rPr>
      </w:pPr>
    </w:p>
    <w:p>
      <w:pPr>
        <w:ind w:left="3" w:firstLine="316"/>
        <w:spacing w:after="0" w:line="291" w:lineRule="auto"/>
        <w:rPr>
          <w:sz w:val="20"/>
          <w:szCs w:val="20"/>
          <w:color w:val="auto"/>
        </w:rPr>
      </w:pPr>
      <w:r>
        <w:rPr>
          <w:rFonts w:ascii="Arial" w:cs="Arial" w:eastAsia="Arial" w:hAnsi="Arial"/>
          <w:sz w:val="14"/>
          <w:szCs w:val="14"/>
          <w:color w:val="auto"/>
          <w:strike w:val="1"/>
        </w:rPr>
        <w:t xml:space="preserve">Section 1. </w:t>
      </w:r>
      <w:r>
        <w:rPr>
          <w:rFonts w:ascii="Arial" w:cs="Arial" w:eastAsia="Arial" w:hAnsi="Arial"/>
          <w:sz w:val="14"/>
          <w:szCs w:val="14"/>
          <w:i w:val="1"/>
          <w:iCs w:val="1"/>
          <w:color w:val="auto"/>
          <w:strike w:val="1"/>
        </w:rPr>
        <w:t>Stock Split.</w:t>
      </w:r>
      <w:r>
        <w:rPr>
          <w:rFonts w:ascii="Arial" w:cs="Arial" w:eastAsia="Arial" w:hAnsi="Arial"/>
          <w:sz w:val="14"/>
          <w:szCs w:val="14"/>
          <w:color w:val="auto"/>
          <w:strike w:val="1"/>
        </w:rPr>
        <w:t xml:space="preserve"> Immediately upon the filing of the Second Amended and Restated Certificate of Incorporation with the Secretary of State of the State of Delaware, and without any further action on the part of the Corporation or any stockholder, a stock split of this Corporation's outstanding Class A Common Stock and Class B Common Stock (as defined below) shall be effected whereby (i) each share of issued and outstanding Class A Common Stock shall be reconstituted and become one share of Class A Common Stock and one share of Class C Common Stock and (ii) each share of issued and outstanding Class B Common Stock shall be reconstituted and become one share of Class B Common Stock and one share of Class D Common Stock (the "</w:t>
      </w:r>
      <w:r>
        <w:rPr>
          <w:rFonts w:ascii="Arial" w:cs="Arial" w:eastAsia="Arial" w:hAnsi="Arial"/>
          <w:sz w:val="14"/>
          <w:szCs w:val="14"/>
          <w:i w:val="1"/>
          <w:iCs w:val="1"/>
          <w:color w:val="auto"/>
          <w:strike w:val="1"/>
        </w:rPr>
        <w:t>Stock Split</w:t>
      </w:r>
      <w:r>
        <w:rPr>
          <w:rFonts w:ascii="Arial" w:cs="Arial" w:eastAsia="Arial" w:hAnsi="Arial"/>
          <w:sz w:val="14"/>
          <w:szCs w:val="14"/>
          <w:color w:val="auto"/>
          <w:strike w:val="1"/>
        </w:rPr>
        <w:t>"). Following the Stock Split, (i) each record holder of a certificate evidencing Class A Common Stock shall be deemed to be the holder of record of the number of shares of Class A Common Stock and Class C Common Stock as effected by the Stock Split and</w:t>
      </w:r>
    </w:p>
    <w:p>
      <w:pPr>
        <w:spacing w:after="0" w:line="1" w:lineRule="exact"/>
        <w:rPr>
          <w:sz w:val="20"/>
          <w:szCs w:val="20"/>
          <w:color w:val="auto"/>
        </w:rPr>
      </w:pPr>
    </w:p>
    <w:p>
      <w:pPr>
        <w:ind w:left="3" w:right="20" w:hanging="3"/>
        <w:spacing w:after="0" w:line="275" w:lineRule="auto"/>
        <w:tabs>
          <w:tab w:leader="none" w:pos="235" w:val="left"/>
        </w:tabs>
        <w:numPr>
          <w:ilvl w:val="0"/>
          <w:numId w:val="74"/>
        </w:numPr>
        <w:rPr>
          <w:rFonts w:ascii="Arial" w:cs="Arial" w:eastAsia="Arial" w:hAnsi="Arial"/>
          <w:sz w:val="15"/>
          <w:szCs w:val="15"/>
          <w:color w:val="auto"/>
          <w:strike w:val="1"/>
        </w:rPr>
      </w:pPr>
      <w:r>
        <w:rPr>
          <w:rFonts w:ascii="Arial" w:cs="Arial" w:eastAsia="Arial" w:hAnsi="Arial"/>
          <w:sz w:val="15"/>
          <w:szCs w:val="15"/>
          <w:color w:val="auto"/>
          <w:strike w:val="1"/>
        </w:rPr>
        <w:t>each record holder of a certificate evidencing Class B Common Stock shall be deemed to be the holder of record of the number of shares of Class B Common Stock and Class D Common Stock as effected by the Stock Split, notwithstanding that the certificates representing such shares of Class A Common Stock or Class B Common Stock, respectively, shall not have been surrendered at the office of the Corporation. The Corporation shall, upon request of each record holder of a certificate representing Class A Common Stock or Class B Common Stock, issue and deliver to such holder in exchange for such certificate a new certificate representing the number of shares of Class A Common Stock and Class C Common Stock or Class B Common Stock and Class D Common Stock, respectively, to which such holder is entitled after giving effect to the Stock Split. All further references to numbers of shares and all further amounts stated on a per share basis contained in the Second Amended and Restated Certificate of Incorporation are referenced and stated after giving effect to the Stock Split.</w:t>
      </w:r>
    </w:p>
    <w:p>
      <w:pPr>
        <w:spacing w:after="0" w:line="358" w:lineRule="exact"/>
        <w:rPr>
          <w:sz w:val="20"/>
          <w:szCs w:val="20"/>
          <w:color w:val="auto"/>
        </w:rPr>
      </w:pPr>
    </w:p>
    <w:p>
      <w:pPr>
        <w:ind w:left="323"/>
        <w:spacing w:after="0"/>
        <w:tabs>
          <w:tab w:leader="none" w:pos="1082" w:val="left"/>
          <w:tab w:leader="none" w:pos="3062" w:val="left"/>
        </w:tabs>
        <w:rPr>
          <w:sz w:val="20"/>
          <w:szCs w:val="20"/>
          <w:color w:val="auto"/>
        </w:rPr>
      </w:pPr>
      <w:r>
        <w:rPr>
          <w:rFonts w:ascii="Arial" w:cs="Arial" w:eastAsia="Arial" w:hAnsi="Arial"/>
          <w:sz w:val="16"/>
          <w:szCs w:val="16"/>
          <w:u w:val="single" w:color="auto"/>
          <w:color w:val="auto"/>
        </w:rPr>
        <w:t>Section 1.</w:t>
      </w:r>
      <w:r>
        <w:rPr>
          <w:sz w:val="20"/>
          <w:szCs w:val="20"/>
          <w:color w:val="auto"/>
        </w:rPr>
        <w:tab/>
      </w:r>
      <w:r>
        <w:rPr>
          <w:rFonts w:ascii="Arial" w:cs="Arial" w:eastAsia="Arial" w:hAnsi="Arial"/>
          <w:sz w:val="16"/>
          <w:szCs w:val="16"/>
          <w:color w:val="auto"/>
          <w:strike w:val="1"/>
        </w:rPr>
        <w:t>Section 2.</w:t>
      </w:r>
      <w:r>
        <w:rPr>
          <w:rFonts w:ascii="Arial" w:cs="Arial" w:eastAsia="Arial" w:hAnsi="Arial"/>
          <w:sz w:val="16"/>
          <w:szCs w:val="16"/>
          <w:i w:val="1"/>
          <w:iCs w:val="1"/>
          <w:color w:val="auto"/>
          <w:strike w:val="1"/>
        </w:rPr>
        <w:t>Authorized Shares.</w:t>
      </w:r>
      <w:r>
        <w:rPr>
          <w:sz w:val="20"/>
          <w:szCs w:val="20"/>
          <w:color w:val="auto"/>
        </w:rPr>
        <w:tab/>
      </w:r>
      <w:r>
        <w:rPr>
          <w:rFonts w:ascii="Arial" w:cs="Arial" w:eastAsia="Arial" w:hAnsi="Arial"/>
          <w:sz w:val="14"/>
          <w:szCs w:val="14"/>
          <w:color w:val="auto"/>
        </w:rPr>
        <w:t>The total number of shares of capital stock which the Corporation has authority to issue is 3,010,000,000 shares, consisting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19685</wp:posOffset>
            </wp:positionV>
            <wp:extent cx="40068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0685" cy="7620"/>
                    </a:xfrm>
                    <a:prstGeom prst="rect">
                      <a:avLst/>
                    </a:prstGeom>
                    <a:noFill/>
                  </pic:spPr>
                </pic:pic>
              </a:graphicData>
            </a:graphic>
          </wp:anchor>
        </w:drawing>
      </w:r>
    </w:p>
    <w:p>
      <w:pPr>
        <w:spacing w:after="0" w:line="184" w:lineRule="exact"/>
        <w:rPr>
          <w:sz w:val="20"/>
          <w:szCs w:val="20"/>
          <w:color w:val="auto"/>
        </w:rPr>
      </w:pPr>
    </w:p>
    <w:p>
      <w:pPr>
        <w:ind w:left="5503" w:right="4820" w:hanging="4702"/>
        <w:spacing w:after="0" w:line="579" w:lineRule="auto"/>
        <w:tabs>
          <w:tab w:leader="none" w:pos="1089" w:val="left"/>
        </w:tabs>
        <w:numPr>
          <w:ilvl w:val="0"/>
          <w:numId w:val="75"/>
        </w:numPr>
        <w:rPr>
          <w:rFonts w:ascii="Arial" w:cs="Arial" w:eastAsia="Arial" w:hAnsi="Arial"/>
          <w:sz w:val="15"/>
          <w:szCs w:val="15"/>
          <w:color w:val="auto"/>
        </w:rPr>
      </w:pPr>
      <w:r>
        <w:rPr>
          <w:rFonts w:ascii="Arial" w:cs="Arial" w:eastAsia="Arial" w:hAnsi="Arial"/>
          <w:sz w:val="15"/>
          <w:szCs w:val="15"/>
          <w:color w:val="auto"/>
        </w:rPr>
        <w:t>10,000,000 shares of Preferred Stock, par value $0.01 per share ("</w:t>
      </w:r>
      <w:r>
        <w:rPr>
          <w:rFonts w:ascii="Arial" w:cs="Arial" w:eastAsia="Arial" w:hAnsi="Arial"/>
          <w:sz w:val="15"/>
          <w:szCs w:val="15"/>
          <w:i w:val="1"/>
          <w:iCs w:val="1"/>
          <w:color w:val="auto"/>
        </w:rPr>
        <w:t>Preferred Stock</w:t>
      </w:r>
      <w:r>
        <w:rPr>
          <w:rFonts w:ascii="Arial" w:cs="Arial" w:eastAsia="Arial" w:hAnsi="Arial"/>
          <w:sz w:val="15"/>
          <w:szCs w:val="15"/>
          <w:color w:val="auto"/>
        </w:rPr>
        <w: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51370"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3"/>
          </w:cols>
          <w:pgMar w:left="317" w:top="130" w:right="3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100" w:hanging="302"/>
        <w:spacing w:after="0"/>
        <w:tabs>
          <w:tab w:leader="none" w:pos="11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500,000,000 shares of Class A Common Stock, par value $0.01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ind w:left="1100" w:hanging="302"/>
        <w:spacing w:after="0"/>
        <w:tabs>
          <w:tab w:leader="none" w:pos="11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500,000,000 shares of Class B Common Stock, par value $0.01 per share ("</w:t>
      </w:r>
      <w:r>
        <w:rPr>
          <w:rFonts w:ascii="Arial" w:cs="Arial" w:eastAsia="Arial" w:hAnsi="Arial"/>
          <w:sz w:val="16"/>
          <w:szCs w:val="16"/>
          <w:i w:val="1"/>
          <w:iCs w:val="1"/>
          <w:color w:val="auto"/>
        </w:rPr>
        <w:t>Class B Common Stock</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ind w:left="1100" w:hanging="302"/>
        <w:spacing w:after="0"/>
        <w:tabs>
          <w:tab w:leader="none" w:pos="11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1,000,000,000 shares of Class C Common Stock, par value $0.01 per share ("</w:t>
      </w:r>
      <w:r>
        <w:rPr>
          <w:rFonts w:ascii="Arial" w:cs="Arial" w:eastAsia="Arial" w:hAnsi="Arial"/>
          <w:sz w:val="16"/>
          <w:szCs w:val="16"/>
          <w:i w:val="1"/>
          <w:iCs w:val="1"/>
          <w:color w:val="auto"/>
        </w:rPr>
        <w:t>Class C Common Stock</w:t>
      </w:r>
      <w:r>
        <w:rPr>
          <w:rFonts w:ascii="Arial" w:cs="Arial" w:eastAsia="Arial" w:hAnsi="Arial"/>
          <w:sz w:val="16"/>
          <w:szCs w:val="16"/>
          <w:color w:val="auto"/>
        </w:rPr>
        <w:t>"); and</w:t>
      </w:r>
    </w:p>
    <w:p>
      <w:pPr>
        <w:spacing w:after="0" w:line="204" w:lineRule="exact"/>
        <w:rPr>
          <w:rFonts w:ascii="Arial" w:cs="Arial" w:eastAsia="Arial" w:hAnsi="Arial"/>
          <w:sz w:val="16"/>
          <w:szCs w:val="16"/>
          <w:color w:val="auto"/>
        </w:rPr>
      </w:pPr>
    </w:p>
    <w:p>
      <w:pPr>
        <w:ind w:left="480" w:right="440" w:firstLine="318"/>
        <w:spacing w:after="0" w:line="275" w:lineRule="auto"/>
        <w:tabs>
          <w:tab w:leader="none" w:pos="1089" w:val="left"/>
        </w:tabs>
        <w:numPr>
          <w:ilvl w:val="0"/>
          <w:numId w:val="76"/>
        </w:numPr>
        <w:rPr>
          <w:rFonts w:ascii="Arial" w:cs="Arial" w:eastAsia="Arial" w:hAnsi="Arial"/>
          <w:sz w:val="16"/>
          <w:szCs w:val="16"/>
          <w:color w:val="auto"/>
        </w:rPr>
      </w:pPr>
      <w:r>
        <w:rPr>
          <w:rFonts w:ascii="Arial" w:cs="Arial" w:eastAsia="Arial" w:hAnsi="Arial"/>
          <w:sz w:val="16"/>
          <w:szCs w:val="16"/>
          <w:color w:val="auto"/>
        </w:rPr>
        <w:t>1,000,000,000 shares of Class D Common Stock, par value $0.01 per share ("</w:t>
      </w:r>
      <w:r>
        <w:rPr>
          <w:rFonts w:ascii="Arial" w:cs="Arial" w:eastAsia="Arial" w:hAnsi="Arial"/>
          <w:sz w:val="16"/>
          <w:szCs w:val="16"/>
          <w:i w:val="1"/>
          <w:iCs w:val="1"/>
          <w:color w:val="auto"/>
        </w:rPr>
        <w:t>Class D Common Stock</w:t>
      </w:r>
      <w:r>
        <w:rPr>
          <w:rFonts w:ascii="Arial" w:cs="Arial" w:eastAsia="Arial" w:hAnsi="Arial"/>
          <w:sz w:val="16"/>
          <w:szCs w:val="16"/>
          <w:color w:val="auto"/>
        </w:rPr>
        <w:t>" and, together with the Class A Common Stock, the Class B Common Stock, and the Class C Common Stock, the "</w:t>
      </w:r>
      <w:r>
        <w:rPr>
          <w:rFonts w:ascii="Arial" w:cs="Arial" w:eastAsia="Arial" w:hAnsi="Arial"/>
          <w:sz w:val="16"/>
          <w:szCs w:val="16"/>
          <w:i w:val="1"/>
          <w:iCs w:val="1"/>
          <w:color w:val="auto"/>
        </w:rPr>
        <w:t>Common Stock</w:t>
      </w:r>
      <w:r>
        <w:rPr>
          <w:rFonts w:ascii="Arial" w:cs="Arial" w:eastAsia="Arial" w:hAnsi="Arial"/>
          <w:sz w:val="16"/>
          <w:szCs w:val="16"/>
          <w:color w:val="auto"/>
        </w:rPr>
        <w:t>").</w:t>
      </w:r>
    </w:p>
    <w:p>
      <w:pPr>
        <w:spacing w:after="0" w:line="355" w:lineRule="exact"/>
        <w:rPr>
          <w:sz w:val="20"/>
          <w:szCs w:val="20"/>
          <w:color w:val="auto"/>
        </w:rPr>
      </w:pPr>
    </w:p>
    <w:p>
      <w:pPr>
        <w:ind w:firstLine="316"/>
        <w:spacing w:after="0" w:line="294" w:lineRule="auto"/>
        <w:rPr>
          <w:sz w:val="20"/>
          <w:szCs w:val="20"/>
          <w:color w:val="auto"/>
        </w:rPr>
      </w:pP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w:t>
      </w:r>
      <w:r>
        <w:rPr>
          <w:rFonts w:ascii="Arial" w:cs="Arial" w:eastAsia="Arial" w:hAnsi="Arial"/>
          <w:sz w:val="14"/>
          <w:szCs w:val="14"/>
          <w:color w:val="auto"/>
          <w:strike w:val="1"/>
        </w:rPr>
        <w:t>Section 3.</w:t>
      </w:r>
      <w:r>
        <w:rPr>
          <w:rFonts w:ascii="Arial" w:cs="Arial" w:eastAsia="Arial" w:hAnsi="Arial"/>
          <w:sz w:val="14"/>
          <w:szCs w:val="14"/>
          <w:color w:val="auto"/>
        </w:rPr>
        <w:t xml:space="preserve"> </w:t>
      </w:r>
      <w:r>
        <w:rPr>
          <w:rFonts w:ascii="Arial" w:cs="Arial" w:eastAsia="Arial" w:hAnsi="Arial"/>
          <w:sz w:val="14"/>
          <w:szCs w:val="14"/>
          <w:i w:val="1"/>
          <w:iCs w:val="1"/>
          <w:color w:val="auto"/>
        </w:rPr>
        <w:t>Preferred Stock.</w:t>
      </w:r>
      <w:r>
        <w:rPr>
          <w:rFonts w:ascii="Arial" w:cs="Arial" w:eastAsia="Arial" w:hAnsi="Arial"/>
          <w:sz w:val="14"/>
          <w:szCs w:val="14"/>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Arial" w:cs="Arial" w:eastAsia="Arial" w:hAnsi="Arial"/>
          <w:sz w:val="14"/>
          <w:szCs w:val="14"/>
          <w:i w:val="1"/>
          <w:iCs w:val="1"/>
          <w:color w:val="auto"/>
        </w:rPr>
        <w:t>Board of Directors</w:t>
      </w:r>
      <w:r>
        <w:rPr>
          <w:rFonts w:ascii="Arial" w:cs="Arial" w:eastAsia="Arial" w:hAnsi="Arial"/>
          <w:sz w:val="14"/>
          <w:szCs w:val="14"/>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-1616075</wp:posOffset>
            </wp:positionV>
            <wp:extent cx="40068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0685" cy="7620"/>
                    </a:xfrm>
                    <a:prstGeom prst="rect">
                      <a:avLst/>
                    </a:prstGeom>
                    <a:noFill/>
                  </pic:spPr>
                </pic:pic>
              </a:graphicData>
            </a:graphic>
          </wp:anchor>
        </w:drawing>
      </w:r>
    </w:p>
    <w:p>
      <w:pPr>
        <w:spacing w:after="0" w:line="327"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6"/>
          <w:szCs w:val="16"/>
          <w:u w:val="single" w:color="auto"/>
          <w:color w:val="auto"/>
        </w:rPr>
        <w:t>Section 3.</w:t>
      </w:r>
      <w:r>
        <w:rPr>
          <w:sz w:val="20"/>
          <w:szCs w:val="20"/>
          <w:color w:val="auto"/>
        </w:rPr>
        <w:tab/>
      </w:r>
      <w:r>
        <w:rPr>
          <w:rFonts w:ascii="Arial" w:cs="Arial" w:eastAsia="Arial" w:hAnsi="Arial"/>
          <w:sz w:val="14"/>
          <w:szCs w:val="14"/>
          <w:color w:val="auto"/>
          <w:strike w:val="1"/>
        </w:rPr>
        <w:t xml:space="preserve">Section 4. </w:t>
      </w:r>
      <w:r>
        <w:rPr>
          <w:rFonts w:ascii="Arial" w:cs="Arial" w:eastAsia="Arial" w:hAnsi="Arial"/>
          <w:sz w:val="14"/>
          <w:szCs w:val="14"/>
          <w:i w:val="1"/>
          <w:iCs w:val="1"/>
          <w:color w:val="auto"/>
          <w:strike w:val="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19685</wp:posOffset>
            </wp:positionV>
            <wp:extent cx="40068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0685" cy="7620"/>
                    </a:xfrm>
                    <a:prstGeom prst="rect">
                      <a:avLst/>
                    </a:prstGeom>
                    <a:noFill/>
                  </pic:spPr>
                </pic:pic>
              </a:graphicData>
            </a:graphic>
          </wp:anchor>
        </w:drawing>
      </w:r>
    </w:p>
    <w:p>
      <w:pPr>
        <w:spacing w:after="0" w:line="184" w:lineRule="exact"/>
        <w:rPr>
          <w:sz w:val="20"/>
          <w:szCs w:val="20"/>
          <w:color w:val="auto"/>
        </w:rPr>
      </w:pPr>
    </w:p>
    <w:p>
      <w:pPr>
        <w:jc w:val="both"/>
        <w:ind w:left="480" w:right="20" w:firstLine="318"/>
        <w:spacing w:after="0" w:line="291" w:lineRule="auto"/>
        <w:tabs>
          <w:tab w:leader="none" w:pos="1128" w:val="left"/>
        </w:tabs>
        <w:numPr>
          <w:ilvl w:val="0"/>
          <w:numId w:val="77"/>
        </w:numPr>
        <w:rPr>
          <w:rFonts w:ascii="Arial" w:cs="Arial" w:eastAsia="Arial" w:hAnsi="Arial"/>
          <w:sz w:val="14"/>
          <w:szCs w:val="14"/>
          <w:color w:val="auto"/>
        </w:rPr>
      </w:pPr>
      <w:r>
        <w:rPr>
          <w:rFonts w:ascii="Arial" w:cs="Arial" w:eastAsia="Arial" w:hAnsi="Arial"/>
          <w:sz w:val="14"/>
          <w:szCs w:val="14"/>
          <w:i w:val="1"/>
          <w:iCs w:val="1"/>
          <w:color w:val="auto"/>
        </w:rPr>
        <w:t xml:space="preserve">Voting Rights. </w:t>
      </w:r>
      <w:r>
        <w:rPr>
          <w:rFonts w:ascii="Arial" w:cs="Arial" w:eastAsia="Arial" w:hAnsi="Arial"/>
          <w:sz w:val="14"/>
          <w:szCs w:val="14"/>
          <w:color w:val="auto"/>
        </w:rPr>
        <w:t>Except as otherwise provided by the DGCL or this Certificate, and subject to the rights of holders of any series of Preferred Stock, all of the</w:t>
      </w:r>
      <w:r>
        <w:rPr>
          <w:rFonts w:ascii="Arial" w:cs="Arial" w:eastAsia="Arial" w:hAnsi="Arial"/>
          <w:sz w:val="14"/>
          <w:szCs w:val="14"/>
          <w:i w:val="1"/>
          <w:iCs w:val="1"/>
          <w:color w:val="auto"/>
        </w:rPr>
        <w:t xml:space="preserve"> </w:t>
      </w:r>
      <w:r>
        <w:rPr>
          <w:rFonts w:ascii="Arial" w:cs="Arial" w:eastAsia="Arial" w:hAnsi="Arial"/>
          <w:sz w:val="14"/>
          <w:szCs w:val="14"/>
          <w:color w:val="auto"/>
        </w:rPr>
        <w:t>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w:t>
      </w:r>
    </w:p>
    <w:p>
      <w:pPr>
        <w:spacing w:after="0" w:line="3" w:lineRule="exact"/>
        <w:rPr>
          <w:sz w:val="20"/>
          <w:szCs w:val="20"/>
          <w:color w:val="auto"/>
        </w:rPr>
      </w:pPr>
    </w:p>
    <w:p>
      <w:pPr>
        <w:ind w:left="480" w:right="20"/>
        <w:spacing w:after="0" w:line="211" w:lineRule="auto"/>
        <w:rPr>
          <w:sz w:val="20"/>
          <w:szCs w:val="20"/>
          <w:color w:val="auto"/>
        </w:rPr>
      </w:pPr>
      <w:r>
        <w:rPr>
          <w:rFonts w:ascii="Arial" w:cs="Arial" w:eastAsia="Arial" w:hAnsi="Arial"/>
          <w:sz w:val="16"/>
          <w:szCs w:val="16"/>
          <w:color w:val="auto"/>
        </w:rPr>
        <w:t>stockholders of the Corporation. Each holder of Class C Common Stock and Class D Common Stock shall have 1/100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one vote for each share held by such holder on all matters voted upon by the stockholders of the Corporation.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1140" w:hanging="342"/>
        <w:spacing w:after="0"/>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Dividends and Other Distributions.</w:t>
      </w:r>
    </w:p>
    <w:p>
      <w:pPr>
        <w:spacing w:after="0" w:line="204" w:lineRule="exact"/>
        <w:rPr>
          <w:sz w:val="20"/>
          <w:szCs w:val="20"/>
          <w:color w:val="auto"/>
        </w:rPr>
      </w:pPr>
    </w:p>
    <w:p>
      <w:pPr>
        <w:ind w:left="480" w:right="220" w:firstLine="318"/>
        <w:spacing w:after="0" w:line="264" w:lineRule="auto"/>
        <w:tabs>
          <w:tab w:leader="none" w:pos="1102" w:val="left"/>
        </w:tabs>
        <w:numPr>
          <w:ilvl w:val="0"/>
          <w:numId w:val="79"/>
        </w:numPr>
        <w:rPr>
          <w:rFonts w:ascii="Arial" w:cs="Arial" w:eastAsia="Arial" w:hAnsi="Arial"/>
          <w:sz w:val="16"/>
          <w:szCs w:val="16"/>
          <w:color w:val="auto"/>
        </w:rPr>
      </w:pPr>
      <w:r>
        <w:rPr>
          <w:rFonts w:ascii="Arial" w:cs="Arial" w:eastAsia="Arial" w:hAnsi="Arial"/>
          <w:sz w:val="16"/>
          <w:szCs w:val="16"/>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69" w:lineRule="exact"/>
        <w:rPr>
          <w:rFonts w:ascii="Arial" w:cs="Arial" w:eastAsia="Arial" w:hAnsi="Arial"/>
          <w:sz w:val="16"/>
          <w:szCs w:val="16"/>
          <w:color w:val="auto"/>
        </w:rPr>
      </w:pPr>
    </w:p>
    <w:p>
      <w:pPr>
        <w:ind w:left="480" w:right="60" w:firstLine="318"/>
        <w:spacing w:after="0" w:line="275" w:lineRule="auto"/>
        <w:tabs>
          <w:tab w:leader="none" w:pos="11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as provided in clause (b)(iii) below with respect to stock dividends, dividends and other distributions of cash or property may not be declared or paid on the Class B Common Stock or Class D Common Stock.</w:t>
      </w:r>
    </w:p>
    <w:p>
      <w:pPr>
        <w:spacing w:after="0" w:line="161" w:lineRule="exact"/>
        <w:rPr>
          <w:rFonts w:ascii="Arial" w:cs="Arial" w:eastAsia="Arial" w:hAnsi="Arial"/>
          <w:sz w:val="16"/>
          <w:szCs w:val="16"/>
          <w:color w:val="auto"/>
        </w:rPr>
      </w:pPr>
    </w:p>
    <w:p>
      <w:pPr>
        <w:ind w:left="480" w:firstLine="318"/>
        <w:spacing w:after="0" w:line="258" w:lineRule="auto"/>
        <w:tabs>
          <w:tab w:leader="none" w:pos="1111"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77" w:lineRule="exact"/>
        <w:rPr>
          <w:sz w:val="20"/>
          <w:szCs w:val="20"/>
          <w:color w:val="auto"/>
        </w:rPr>
      </w:pPr>
    </w:p>
    <w:p>
      <w:pPr>
        <w:ind w:left="480" w:firstLine="318"/>
        <w:spacing w:after="0" w:line="276" w:lineRule="auto"/>
        <w:tabs>
          <w:tab w:leader="none" w:pos="1128"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Liquidation, Dissolution or Winding Up. </w:t>
      </w:r>
      <w:r>
        <w:rPr>
          <w:rFonts w:ascii="Arial" w:cs="Arial" w:eastAsia="Arial" w:hAnsi="Arial"/>
          <w:sz w:val="15"/>
          <w:szCs w:val="15"/>
          <w:color w:val="auto"/>
        </w:rPr>
        <w:t>In the event of any voluntary or involuntary liquidation, dissolution or winding up of the affairs of the Corporation,</w:t>
      </w:r>
      <w:r>
        <w:rPr>
          <w:rFonts w:ascii="Arial" w:cs="Arial" w:eastAsia="Arial" w:hAnsi="Arial"/>
          <w:sz w:val="15"/>
          <w:szCs w:val="15"/>
          <w:i w:val="1"/>
          <w:iCs w:val="1"/>
          <w:color w:val="auto"/>
        </w:rPr>
        <w:t xml:space="preserve"> </w:t>
      </w:r>
      <w:r>
        <w:rPr>
          <w:rFonts w:ascii="Arial" w:cs="Arial" w:eastAsia="Arial" w:hAnsi="Arial"/>
          <w:sz w:val="15"/>
          <w:szCs w:val="15"/>
          <w:color w:val="auto"/>
        </w:rPr>
        <w:t>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65" w:lineRule="exact"/>
        <w:rPr>
          <w:rFonts w:ascii="Arial" w:cs="Arial" w:eastAsia="Arial" w:hAnsi="Arial"/>
          <w:sz w:val="15"/>
          <w:szCs w:val="15"/>
          <w:color w:val="auto"/>
        </w:rPr>
      </w:pPr>
    </w:p>
    <w:p>
      <w:pPr>
        <w:ind w:left="480" w:right="120" w:firstLine="318"/>
        <w:spacing w:after="0" w:line="291" w:lineRule="auto"/>
        <w:tabs>
          <w:tab w:leader="none" w:pos="1137" w:val="left"/>
        </w:tabs>
        <w:numPr>
          <w:ilvl w:val="0"/>
          <w:numId w:val="80"/>
        </w:numPr>
        <w:rPr>
          <w:rFonts w:ascii="Arial" w:cs="Arial" w:eastAsia="Arial" w:hAnsi="Arial"/>
          <w:sz w:val="14"/>
          <w:szCs w:val="14"/>
          <w:color w:val="auto"/>
        </w:rPr>
      </w:pPr>
      <w:r>
        <w:rPr>
          <w:rFonts w:ascii="Arial" w:cs="Arial" w:eastAsia="Arial" w:hAnsi="Arial"/>
          <w:sz w:val="14"/>
          <w:szCs w:val="14"/>
          <w:i w:val="1"/>
          <w:iCs w:val="1"/>
          <w:color w:val="auto"/>
        </w:rPr>
        <w:t xml:space="preserve">Retirement of Class B Common Stock and Class D Common Stock. </w:t>
      </w:r>
      <w:r>
        <w:rPr>
          <w:rFonts w:ascii="Arial" w:cs="Arial" w:eastAsia="Arial" w:hAnsi="Arial"/>
          <w:sz w:val="14"/>
          <w:szCs w:val="14"/>
          <w:color w:val="auto"/>
        </w:rPr>
        <w:t>In the event that, pursuant to that certain Amended and Restated Exchange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dated as of </w:t>
      </w:r>
      <w:r>
        <w:rPr>
          <w:rFonts w:ascii="Arial" w:cs="Arial" w:eastAsia="Arial" w:hAnsi="Arial"/>
          <w:sz w:val="14"/>
          <w:szCs w:val="14"/>
          <w:color w:val="auto"/>
          <w:strike w:val="1"/>
        </w:rPr>
        <w:t>the date hereof</w:t>
      </w:r>
      <w:r>
        <w:rPr>
          <w:rFonts w:ascii="Arial" w:cs="Arial" w:eastAsia="Arial" w:hAnsi="Arial"/>
          <w:sz w:val="14"/>
          <w:szCs w:val="14"/>
          <w:color w:val="auto"/>
        </w:rPr>
        <w:t xml:space="preserve"> </w:t>
      </w:r>
      <w:r>
        <w:rPr>
          <w:rFonts w:ascii="Arial" w:cs="Arial" w:eastAsia="Arial" w:hAnsi="Arial"/>
          <w:sz w:val="14"/>
          <w:szCs w:val="14"/>
          <w:u w:val="single" w:color="auto"/>
          <w:color w:val="auto"/>
        </w:rPr>
        <w:t>May 14, 2015, and as assigned on August 31, 2018</w:t>
      </w:r>
      <w:r>
        <w:rPr>
          <w:rFonts w:ascii="Arial" w:cs="Arial" w:eastAsia="Arial" w:hAnsi="Arial"/>
          <w:sz w:val="14"/>
          <w:szCs w:val="14"/>
          <w:color w:val="auto"/>
        </w:rPr>
        <w:t xml:space="preserve"> (the "</w:t>
      </w:r>
      <w:r>
        <w:rPr>
          <w:rFonts w:ascii="Arial" w:cs="Arial" w:eastAsia="Arial" w:hAnsi="Arial"/>
          <w:sz w:val="14"/>
          <w:szCs w:val="14"/>
          <w:i w:val="1"/>
          <w:iCs w:val="1"/>
          <w:color w:val="auto"/>
        </w:rPr>
        <w:t>Exchange Agreement</w:t>
      </w:r>
      <w:r>
        <w:rPr>
          <w:rFonts w:ascii="Arial" w:cs="Arial" w:eastAsia="Arial" w:hAnsi="Arial"/>
          <w:sz w:val="14"/>
          <w:szCs w:val="14"/>
          <w:color w:val="auto"/>
        </w:rPr>
        <w:t xml:space="preserve">"), by and among </w:t>
      </w:r>
      <w:r>
        <w:rPr>
          <w:rFonts w:ascii="Arial" w:cs="Arial" w:eastAsia="Arial" w:hAnsi="Arial"/>
          <w:sz w:val="14"/>
          <w:szCs w:val="14"/>
          <w:color w:val="auto"/>
          <w:strike w:val="1"/>
        </w:rPr>
        <w:t>NRG</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w:t>
      </w:r>
      <w:r>
        <w:rPr>
          <w:rFonts w:ascii="Arial" w:cs="Arial" w:eastAsia="Arial" w:hAnsi="Arial"/>
          <w:sz w:val="14"/>
          <w:szCs w:val="14"/>
          <w:color w:val="auto"/>
        </w:rPr>
        <w:t xml:space="preserve"> Energy</w:t>
      </w:r>
      <w:r>
        <w:rPr>
          <w:rFonts w:ascii="Arial" w:cs="Arial" w:eastAsia="Arial" w:hAnsi="Arial"/>
          <w:sz w:val="14"/>
          <w:szCs w:val="14"/>
          <w:color w:val="auto"/>
          <w:strike w:val="1"/>
        </w:rPr>
        <w:t>, Inc.</w:t>
      </w:r>
      <w:r>
        <w:rPr>
          <w:rFonts w:ascii="Arial" w:cs="Arial" w:eastAsia="Arial" w:hAnsi="Arial"/>
          <w:sz w:val="14"/>
          <w:szCs w:val="14"/>
          <w:color w:val="auto"/>
        </w:rPr>
        <w:t xml:space="preserve"> </w:t>
      </w:r>
      <w:r>
        <w:rPr>
          <w:rFonts w:ascii="Arial" w:cs="Arial" w:eastAsia="Arial" w:hAnsi="Arial"/>
          <w:sz w:val="14"/>
          <w:szCs w:val="14"/>
          <w:u w:val="single" w:color="auto"/>
          <w:color w:val="auto"/>
        </w:rPr>
        <w:t>Group LLC</w:t>
      </w:r>
      <w:r>
        <w:rPr>
          <w:rFonts w:ascii="Arial" w:cs="Arial" w:eastAsia="Arial" w:hAnsi="Arial"/>
          <w:sz w:val="14"/>
          <w:szCs w:val="14"/>
          <w:color w:val="auto"/>
        </w:rPr>
        <w:t xml:space="preserve"> </w:t>
      </w:r>
      <w:r>
        <w:rPr>
          <w:rFonts w:ascii="Arial" w:cs="Arial" w:eastAsia="Arial" w:hAnsi="Arial"/>
          <w:sz w:val="14"/>
          <w:szCs w:val="14"/>
          <w:u w:val="single" w:color="auto"/>
          <w:color w:val="auto"/>
        </w:rPr>
        <w:t>(formerly Zephyr Renewables LLC)</w:t>
      </w:r>
      <w:r>
        <w:rPr>
          <w:rFonts w:ascii="Arial" w:cs="Arial" w:eastAsia="Arial" w:hAnsi="Arial"/>
          <w:sz w:val="14"/>
          <w:szCs w:val="14"/>
          <w:color w:val="auto"/>
        </w:rPr>
        <w:t xml:space="preserve">, a Delaware </w:t>
      </w:r>
      <w:r>
        <w:rPr>
          <w:rFonts w:ascii="Arial" w:cs="Arial" w:eastAsia="Arial" w:hAnsi="Arial"/>
          <w:sz w:val="14"/>
          <w:szCs w:val="14"/>
          <w:color w:val="auto"/>
          <w:strike w:val="1"/>
        </w:rPr>
        <w:t>corporation ("</w:t>
      </w:r>
      <w:r>
        <w:rPr>
          <w:rFonts w:ascii="Arial" w:cs="Arial" w:eastAsia="Arial" w:hAnsi="Arial"/>
          <w:sz w:val="14"/>
          <w:szCs w:val="14"/>
          <w:i w:val="1"/>
          <w:iCs w:val="1"/>
          <w:color w:val="auto"/>
          <w:strike w:val="1"/>
        </w:rPr>
        <w:t>NRG</w:t>
      </w:r>
      <w:r>
        <w:rPr>
          <w:rFonts w:ascii="Arial" w:cs="Arial" w:eastAsia="Arial" w:hAnsi="Arial"/>
          <w:sz w:val="14"/>
          <w:szCs w:val="14"/>
          <w:color w:val="auto"/>
        </w:rPr>
        <w:t xml:space="preserve"> </w:t>
      </w:r>
      <w:r>
        <w:rPr>
          <w:rFonts w:ascii="Arial" w:cs="Arial" w:eastAsia="Arial" w:hAnsi="Arial"/>
          <w:sz w:val="14"/>
          <w:szCs w:val="14"/>
          <w:u w:val="single" w:color="auto"/>
          <w:color w:val="auto"/>
        </w:rPr>
        <w:t>limited liability company ("CEG</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 Energy LLC (formerly</w:t>
      </w:r>
      <w:r>
        <w:rPr>
          <w:rFonts w:ascii="Arial" w:cs="Arial" w:eastAsia="Arial" w:hAnsi="Arial"/>
          <w:sz w:val="14"/>
          <w:szCs w:val="14"/>
          <w:color w:val="auto"/>
        </w:rPr>
        <w:t xml:space="preserve"> NRG Yield LLC</w:t>
      </w:r>
      <w:r>
        <w:rPr>
          <w:rFonts w:ascii="Arial" w:cs="Arial" w:eastAsia="Arial" w:hAnsi="Arial"/>
          <w:sz w:val="14"/>
          <w:szCs w:val="14"/>
          <w:u w:val="single" w:color="auto"/>
          <w:color w:val="auto"/>
        </w:rPr>
        <w:t>)</w:t>
      </w:r>
      <w:r>
        <w:rPr>
          <w:rFonts w:ascii="Arial" w:cs="Arial" w:eastAsia="Arial" w:hAnsi="Arial"/>
          <w:sz w:val="14"/>
          <w:szCs w:val="14"/>
          <w:color w:val="auto"/>
        </w:rPr>
        <w:t>, a Delaware limited liability company ("</w:t>
      </w:r>
      <w:r>
        <w:rPr>
          <w:rFonts w:ascii="Arial" w:cs="Arial" w:eastAsia="Arial" w:hAnsi="Arial"/>
          <w:sz w:val="14"/>
          <w:szCs w:val="14"/>
          <w:i w:val="1"/>
          <w:iCs w:val="1"/>
          <w:color w:val="auto"/>
          <w:strike w:val="1"/>
        </w:rPr>
        <w:t>Yield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Clearway</w:t>
      </w:r>
      <w:r>
        <w:rPr>
          <w:rFonts w:ascii="Arial" w:cs="Arial" w:eastAsia="Arial" w:hAnsi="Arial"/>
          <w:sz w:val="14"/>
          <w:szCs w:val="14"/>
          <w:color w:val="auto"/>
        </w:rPr>
        <w:t xml:space="preserve"> </w:t>
      </w:r>
      <w:r>
        <w:rPr>
          <w:rFonts w:ascii="Arial" w:cs="Arial" w:eastAsia="Arial" w:hAnsi="Arial"/>
          <w:sz w:val="14"/>
          <w:szCs w:val="14"/>
          <w:i w:val="1"/>
          <w:iCs w:val="1"/>
          <w:color w:val="auto"/>
        </w:rPr>
        <w:t>LLC</w:t>
      </w:r>
      <w:r>
        <w:rPr>
          <w:rFonts w:ascii="Arial" w:cs="Arial" w:eastAsia="Arial" w:hAnsi="Arial"/>
          <w:sz w:val="14"/>
          <w:szCs w:val="14"/>
          <w:color w:val="auto"/>
        </w:rPr>
        <w:t xml:space="preserve">") and the Corporation, </w:t>
      </w:r>
      <w:r>
        <w:rPr>
          <w:rFonts w:ascii="Arial" w:cs="Arial" w:eastAsia="Arial" w:hAnsi="Arial"/>
          <w:sz w:val="14"/>
          <w:szCs w:val="14"/>
          <w:color w:val="auto"/>
          <w:strike w:val="1"/>
        </w:rPr>
        <w:t>NRG</w:t>
      </w:r>
      <w:r>
        <w:rPr>
          <w:rFonts w:ascii="Arial" w:cs="Arial" w:eastAsia="Arial" w:hAnsi="Arial"/>
          <w:sz w:val="14"/>
          <w:szCs w:val="14"/>
          <w:color w:val="auto"/>
        </w:rPr>
        <w:t xml:space="preserve"> </w:t>
      </w:r>
      <w:r>
        <w:rPr>
          <w:rFonts w:ascii="Arial" w:cs="Arial" w:eastAsia="Arial" w:hAnsi="Arial"/>
          <w:sz w:val="14"/>
          <w:szCs w:val="14"/>
          <w:u w:val="single" w:color="auto"/>
          <w:color w:val="auto"/>
        </w:rPr>
        <w:t>CEG</w:t>
      </w:r>
      <w:r>
        <w:rPr>
          <w:rFonts w:ascii="Arial" w:cs="Arial" w:eastAsia="Arial" w:hAnsi="Arial"/>
          <w:sz w:val="14"/>
          <w:szCs w:val="14"/>
          <w:color w:val="auto"/>
        </w:rPr>
        <w:t xml:space="preserve"> or its permitted transferees or assignees exchange a Class B unit of </w:t>
      </w:r>
      <w:r>
        <w:rPr>
          <w:rFonts w:ascii="Arial" w:cs="Arial" w:eastAsia="Arial" w:hAnsi="Arial"/>
          <w:sz w:val="14"/>
          <w:szCs w:val="14"/>
          <w:color w:val="auto"/>
          <w:strike w:val="1"/>
        </w:rPr>
        <w:t>Yield</w:t>
      </w:r>
    </w:p>
    <w:p>
      <w:pPr>
        <w:spacing w:after="0" w:line="2" w:lineRule="exact"/>
        <w:rPr>
          <w:rFonts w:ascii="Arial" w:cs="Arial" w:eastAsia="Arial" w:hAnsi="Arial"/>
          <w:sz w:val="14"/>
          <w:szCs w:val="14"/>
          <w:color w:val="auto"/>
        </w:rPr>
      </w:pPr>
    </w:p>
    <w:p>
      <w:pPr>
        <w:ind w:left="480" w:right="40"/>
        <w:spacing w:after="0" w:line="257" w:lineRule="auto"/>
        <w:rPr>
          <w:rFonts w:ascii="Arial" w:cs="Arial" w:eastAsia="Arial" w:hAnsi="Arial"/>
          <w:sz w:val="14"/>
          <w:szCs w:val="14"/>
          <w:color w:val="auto"/>
        </w:rPr>
      </w:pPr>
      <w:r>
        <w:rPr>
          <w:rFonts w:ascii="Arial" w:cs="Arial" w:eastAsia="Arial" w:hAnsi="Arial"/>
          <w:sz w:val="16"/>
          <w:szCs w:val="16"/>
          <w:u w:val="single" w:color="auto"/>
          <w:color w:val="auto"/>
        </w:rPr>
        <w:t>Clearway</w:t>
      </w:r>
      <w:r>
        <w:rPr>
          <w:rFonts w:ascii="Arial" w:cs="Arial" w:eastAsia="Arial" w:hAnsi="Arial"/>
          <w:sz w:val="16"/>
          <w:szCs w:val="16"/>
          <w:color w:val="auto"/>
        </w:rPr>
        <w:t xml:space="preserve"> LLC for a share of Class A Common Stock or Class D unit of </w:t>
      </w:r>
      <w:r>
        <w:rPr>
          <w:rFonts w:ascii="Arial" w:cs="Arial" w:eastAsia="Arial" w:hAnsi="Arial"/>
          <w:sz w:val="16"/>
          <w:szCs w:val="16"/>
          <w:color w:val="auto"/>
          <w:strike w:val="1"/>
        </w:rPr>
        <w:t>Yield</w:t>
      </w:r>
      <w:r>
        <w:rPr>
          <w:rFonts w:ascii="Arial" w:cs="Arial" w:eastAsia="Arial" w:hAnsi="Arial"/>
          <w:sz w:val="16"/>
          <w:szCs w:val="16"/>
          <w:color w:val="auto"/>
        </w:rPr>
        <w:t xml:space="preserve"> </w:t>
      </w:r>
      <w:r>
        <w:rPr>
          <w:rFonts w:ascii="Arial" w:cs="Arial" w:eastAsia="Arial" w:hAnsi="Arial"/>
          <w:sz w:val="16"/>
          <w:szCs w:val="16"/>
          <w:u w:val="single" w:color="auto"/>
          <w:color w:val="auto"/>
        </w:rPr>
        <w:t>Clearway</w:t>
      </w:r>
      <w:r>
        <w:rPr>
          <w:rFonts w:ascii="Arial" w:cs="Arial" w:eastAsia="Arial" w:hAnsi="Arial"/>
          <w:sz w:val="16"/>
          <w:szCs w:val="16"/>
          <w:color w:val="auto"/>
        </w:rPr>
        <w:t xml:space="preserve">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76" w:lineRule="exact"/>
        <w:rPr>
          <w:rFonts w:ascii="Arial" w:cs="Arial" w:eastAsia="Arial" w:hAnsi="Arial"/>
          <w:sz w:val="14"/>
          <w:szCs w:val="14"/>
          <w:color w:val="auto"/>
        </w:rPr>
      </w:pPr>
    </w:p>
    <w:p>
      <w:pPr>
        <w:jc w:val="both"/>
        <w:ind w:left="480" w:right="80" w:firstLine="318"/>
        <w:spacing w:after="0" w:line="264" w:lineRule="auto"/>
        <w:tabs>
          <w:tab w:leader="none" w:pos="112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Preemptive Rights. </w:t>
      </w:r>
      <w:r>
        <w:rPr>
          <w:rFonts w:ascii="Arial" w:cs="Arial" w:eastAsia="Arial" w:hAnsi="Arial"/>
          <w:sz w:val="16"/>
          <w:szCs w:val="16"/>
          <w:color w:val="auto"/>
        </w:rPr>
        <w:t>Except as otherwise provided in this Article FOUR, no holder of Common Stock shall have any preemptive, conversion or other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subscribe for additional shares with respect to the Common Stock or any other securities of the Corporation, or to any obligations convertible (directly or indirectly) into securities of the Corporation, whether now or hereafter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-1235075</wp:posOffset>
            </wp:positionV>
            <wp:extent cx="205041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0415" cy="7620"/>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-1235075</wp:posOffset>
            </wp:positionV>
            <wp:extent cx="38544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5445" cy="7620"/>
                    </a:xfrm>
                    <a:prstGeom prst="rect">
                      <a:avLst/>
                    </a:prstGeom>
                    <a:noFill/>
                  </pic:spPr>
                </pic:pic>
              </a:graphicData>
            </a:graphic>
          </wp:anchor>
        </w:drawing>
        <w:drawing>
          <wp:anchor simplePos="0" relativeHeight="251657728" behindDoc="1" locked="0" layoutInCell="0" allowOverlap="1">
            <wp:simplePos x="0" y="0"/>
            <wp:positionH relativeFrom="column">
              <wp:posOffset>6412230</wp:posOffset>
            </wp:positionH>
            <wp:positionV relativeFrom="paragraph">
              <wp:posOffset>-1235075</wp:posOffset>
            </wp:positionV>
            <wp:extent cx="47053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0535" cy="762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-1111885</wp:posOffset>
            </wp:positionV>
            <wp:extent cx="145669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56690" cy="762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-1111885</wp:posOffset>
            </wp:positionV>
            <wp:extent cx="348424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84245" cy="762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-988060</wp:posOffset>
            </wp:positionV>
            <wp:extent cx="38544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5445" cy="7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-988060</wp:posOffset>
            </wp:positionV>
            <wp:extent cx="2006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0660" cy="762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-864870</wp:posOffset>
            </wp:positionV>
            <wp:extent cx="38544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5445" cy="762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-864870</wp:posOffset>
            </wp:positionV>
            <wp:extent cx="38544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5445" cy="7620"/>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80" w:right="20" w:firstLine="318"/>
        <w:spacing w:after="0" w:line="294" w:lineRule="auto"/>
        <w:tabs>
          <w:tab w:leader="none" w:pos="1111" w:val="left"/>
        </w:tabs>
        <w:numPr>
          <w:ilvl w:val="0"/>
          <w:numId w:val="81"/>
        </w:numPr>
        <w:rPr>
          <w:rFonts w:ascii="Arial" w:cs="Arial" w:eastAsia="Arial" w:hAnsi="Arial"/>
          <w:sz w:val="14"/>
          <w:szCs w:val="14"/>
          <w:color w:val="auto"/>
        </w:rPr>
      </w:pPr>
      <w:r>
        <w:rPr>
          <w:rFonts w:ascii="Arial" w:cs="Arial" w:eastAsia="Arial" w:hAnsi="Arial"/>
          <w:sz w:val="14"/>
          <w:szCs w:val="14"/>
          <w:i w:val="1"/>
          <w:iCs w:val="1"/>
          <w:color w:val="auto"/>
        </w:rPr>
        <w:t xml:space="preserve">Equal Status. </w:t>
      </w:r>
      <w:r>
        <w:rPr>
          <w:rFonts w:ascii="Arial" w:cs="Arial" w:eastAsia="Arial" w:hAnsi="Arial"/>
          <w:sz w:val="14"/>
          <w:szCs w:val="14"/>
          <w:color w:val="auto"/>
        </w:rPr>
        <w:t>Except as expressly provided in this Article FOUR, Class C Common Stock shall have the same rights and privileges and rank equally, share</w:t>
      </w:r>
      <w:r>
        <w:rPr>
          <w:rFonts w:ascii="Arial" w:cs="Arial" w:eastAsia="Arial" w:hAnsi="Arial"/>
          <w:sz w:val="14"/>
          <w:szCs w:val="14"/>
          <w:i w:val="1"/>
          <w:iCs w:val="1"/>
          <w:color w:val="auto"/>
        </w:rPr>
        <w:t xml:space="preserve"> </w:t>
      </w:r>
      <w:r>
        <w:rPr>
          <w:rFonts w:ascii="Arial" w:cs="Arial" w:eastAsia="Arial" w:hAnsi="Arial"/>
          <w:sz w:val="14"/>
          <w:szCs w:val="14"/>
          <w:color w:val="auto"/>
        </w:rPr>
        <w:t>ratably and be 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Capital Stock shall be entitled to make the same election as to their shares of Class C Capital Stock).</w:t>
      </w:r>
    </w:p>
    <w:p>
      <w:pPr>
        <w:spacing w:after="0" w:line="350"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6"/>
          <w:szCs w:val="16"/>
          <w:u w:val="single" w:color="auto"/>
          <w:color w:val="auto"/>
        </w:rPr>
        <w:t>Section 4.</w:t>
      </w:r>
      <w:r>
        <w:rPr>
          <w:sz w:val="20"/>
          <w:szCs w:val="20"/>
          <w:color w:val="auto"/>
        </w:rPr>
        <w:tab/>
      </w:r>
      <w:r>
        <w:rPr>
          <w:rFonts w:ascii="Arial" w:cs="Arial" w:eastAsia="Arial" w:hAnsi="Arial"/>
          <w:sz w:val="14"/>
          <w:szCs w:val="14"/>
          <w:color w:val="auto"/>
          <w:strike w:val="1"/>
        </w:rPr>
        <w:t xml:space="preserve">Section 5. </w:t>
      </w:r>
      <w:r>
        <w:rPr>
          <w:rFonts w:ascii="Arial" w:cs="Arial" w:eastAsia="Arial" w:hAnsi="Arial"/>
          <w:sz w:val="14"/>
          <w:szCs w:val="14"/>
          <w:i w:val="1"/>
          <w:iCs w:val="1"/>
          <w:color w:val="auto"/>
          <w:strike w:val="1"/>
        </w:rPr>
        <w:t>Restrictions on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19685</wp:posOffset>
            </wp:positionV>
            <wp:extent cx="40068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0685" cy="7620"/>
                    </a:xfrm>
                    <a:prstGeom prst="rect">
                      <a:avLst/>
                    </a:prstGeom>
                    <a:noFill/>
                  </pic:spPr>
                </pic:pic>
              </a:graphicData>
            </a:graphic>
          </wp:anchor>
        </w:drawing>
      </w:r>
    </w:p>
    <w:p>
      <w:pPr>
        <w:spacing w:after="0" w:line="184" w:lineRule="exact"/>
        <w:rPr>
          <w:sz w:val="20"/>
          <w:szCs w:val="20"/>
          <w:color w:val="auto"/>
        </w:rPr>
      </w:pPr>
    </w:p>
    <w:p>
      <w:pPr>
        <w:ind w:left="480" w:right="60" w:firstLine="318"/>
        <w:spacing w:after="0" w:line="304" w:lineRule="auto"/>
        <w:tabs>
          <w:tab w:leader="none" w:pos="1128" w:val="left"/>
        </w:tabs>
        <w:numPr>
          <w:ilvl w:val="0"/>
          <w:numId w:val="82"/>
        </w:numPr>
        <w:rPr>
          <w:rFonts w:ascii="Arial" w:cs="Arial" w:eastAsia="Arial" w:hAnsi="Arial"/>
          <w:sz w:val="14"/>
          <w:szCs w:val="14"/>
          <w:color w:val="auto"/>
        </w:rPr>
      </w:pPr>
      <w:r>
        <w:rPr>
          <w:rFonts w:ascii="Arial" w:cs="Arial" w:eastAsia="Arial" w:hAnsi="Arial"/>
          <w:sz w:val="14"/>
          <w:szCs w:val="14"/>
          <w:i w:val="1"/>
          <w:iCs w:val="1"/>
          <w:color w:val="auto"/>
        </w:rPr>
        <w:t xml:space="preserve">Restricted Transfers. </w:t>
      </w:r>
      <w:r>
        <w:rPr>
          <w:rFonts w:ascii="Arial" w:cs="Arial" w:eastAsia="Arial" w:hAnsi="Arial"/>
          <w:sz w:val="14"/>
          <w:szCs w:val="14"/>
          <w:color w:val="auto"/>
        </w:rPr>
        <w:t>Except through a Secondary Market Transaction, no person shall purchase or otherwise acquire (whether through the conversion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 of 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Arial" w:cs="Arial" w:eastAsia="Arial" w:hAnsi="Arial"/>
          <w:sz w:val="14"/>
          <w:szCs w:val="14"/>
          <w:i w:val="1"/>
          <w:iCs w:val="1"/>
          <w:color w:val="auto"/>
        </w:rPr>
        <w:t>Restricted</w:t>
      </w:r>
      <w:r>
        <w:rPr>
          <w:rFonts w:ascii="Arial" w:cs="Arial" w:eastAsia="Arial" w:hAnsi="Arial"/>
          <w:sz w:val="14"/>
          <w:szCs w:val="14"/>
          <w:color w:val="auto"/>
        </w:rPr>
        <w:t xml:space="preserve"> </w:t>
      </w:r>
      <w:r>
        <w:rPr>
          <w:rFonts w:ascii="Arial" w:cs="Arial" w:eastAsia="Arial" w:hAnsi="Arial"/>
          <w:sz w:val="14"/>
          <w:szCs w:val="14"/>
          <w:i w:val="1"/>
          <w:iCs w:val="1"/>
          <w:color w:val="auto"/>
        </w:rPr>
        <w:t>Transfer</w:t>
      </w:r>
      <w:r>
        <w:rPr>
          <w:rFonts w:ascii="Arial" w:cs="Arial" w:eastAsia="Arial" w:hAnsi="Arial"/>
          <w:sz w:val="14"/>
          <w:szCs w:val="14"/>
          <w:color w:val="auto"/>
        </w:rPr>
        <w:t>"), the</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holdings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transferee, together with</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those of</w:t>
      </w:r>
      <w:r>
        <w:rPr>
          <w:rFonts w:ascii="Arial" w:cs="Arial" w:eastAsia="Arial" w:hAnsi="Arial"/>
          <w:sz w:val="14"/>
          <w:szCs w:val="14"/>
          <w:i w:val="1"/>
          <w:iCs w:val="1"/>
          <w:color w:val="auto"/>
        </w:rPr>
        <w:t xml:space="preserve"> </w:t>
      </w:r>
      <w:r>
        <w:rPr>
          <w:rFonts w:ascii="Arial" w:cs="Arial" w:eastAsia="Arial" w:hAnsi="Arial"/>
          <w:sz w:val="14"/>
          <w:szCs w:val="14"/>
          <w:color w:val="auto"/>
        </w:rPr>
        <w:t>its</w:t>
      </w:r>
      <w:r>
        <w:rPr>
          <w:rFonts w:ascii="Arial" w:cs="Arial" w:eastAsia="Arial" w:hAnsi="Arial"/>
          <w:sz w:val="14"/>
          <w:szCs w:val="14"/>
          <w:i w:val="1"/>
          <w:iCs w:val="1"/>
          <w:color w:val="auto"/>
        </w:rPr>
        <w:t xml:space="preserve"> </w:t>
      </w:r>
      <w:r>
        <w:rPr>
          <w:rFonts w:ascii="Arial" w:cs="Arial" w:eastAsia="Arial" w:hAnsi="Arial"/>
          <w:sz w:val="14"/>
          <w:szCs w:val="14"/>
          <w:color w:val="auto"/>
          <w:strike w:val="1"/>
        </w:rPr>
        <w:t>PUHCA</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FERC</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would</w:t>
      </w:r>
      <w:r>
        <w:rPr>
          <w:rFonts w:ascii="Arial" w:cs="Arial" w:eastAsia="Arial" w:hAnsi="Arial"/>
          <w:sz w:val="14"/>
          <w:szCs w:val="14"/>
          <w:i w:val="1"/>
          <w:iCs w:val="1"/>
          <w:color w:val="auto"/>
        </w:rPr>
        <w:t xml:space="preserve"> </w:t>
      </w:r>
      <w:r>
        <w:rPr>
          <w:rFonts w:ascii="Arial" w:cs="Arial" w:eastAsia="Arial" w:hAnsi="Arial"/>
          <w:sz w:val="14"/>
          <w:szCs w:val="14"/>
          <w:color w:val="auto"/>
          <w:strike w:val="1"/>
        </w:rPr>
        <w:t>beneficially own, control and/or hold with power to vote sufficient</w:t>
      </w:r>
      <w:r>
        <w:rPr>
          <w:rFonts w:ascii="Arial" w:cs="Arial" w:eastAsia="Arial" w:hAnsi="Arial"/>
          <w:sz w:val="14"/>
          <w:szCs w:val="14"/>
          <w:i w:val="1"/>
          <w:iCs w:val="1"/>
          <w:color w:val="auto"/>
        </w:rPr>
        <w:t xml:space="preserve"> </w:t>
      </w:r>
      <w:r>
        <w:rPr>
          <w:rFonts w:ascii="Arial" w:cs="Arial" w:eastAsia="Arial" w:hAnsi="Arial"/>
          <w:sz w:val="14"/>
          <w:szCs w:val="14"/>
          <w:color w:val="auto"/>
          <w:strike w:val="1"/>
        </w:rPr>
        <w:t>Class A Common Stock and Class C Common Stock to convey</w:t>
      </w:r>
      <w:r>
        <w:rPr>
          <w:rFonts w:ascii="Arial" w:cs="Arial" w:eastAsia="Arial" w:hAnsi="Arial"/>
          <w:sz w:val="14"/>
          <w:szCs w:val="14"/>
          <w:color w:val="auto"/>
        </w:rPr>
        <w:t xml:space="preserve"> </w:t>
      </w:r>
      <w:r>
        <w:rPr>
          <w:rFonts w:ascii="Arial" w:cs="Arial" w:eastAsia="Arial" w:hAnsi="Arial"/>
          <w:sz w:val="14"/>
          <w:szCs w:val="14"/>
          <w:u w:val="single" w:color="auto"/>
          <w:color w:val="auto"/>
        </w:rPr>
        <w:t>equal or exceed the</w:t>
      </w:r>
      <w:r>
        <w:rPr>
          <w:rFonts w:ascii="Arial" w:cs="Arial" w:eastAsia="Arial" w:hAnsi="Arial"/>
          <w:sz w:val="14"/>
          <w:szCs w:val="14"/>
          <w:color w:val="auto"/>
        </w:rPr>
        <w:t xml:space="preserve"> Utility Control </w:t>
      </w:r>
      <w:r>
        <w:rPr>
          <w:rFonts w:ascii="Arial" w:cs="Arial" w:eastAsia="Arial" w:hAnsi="Arial"/>
          <w:sz w:val="14"/>
          <w:szCs w:val="14"/>
          <w:u w:val="single" w:color="auto"/>
          <w:color w:val="auto"/>
        </w:rPr>
        <w:t>Threshold</w:t>
      </w:r>
      <w:r>
        <w:rPr>
          <w:rFonts w:ascii="Arial" w:cs="Arial" w:eastAsia="Arial" w:hAnsi="Arial"/>
          <w:sz w:val="14"/>
          <w:szCs w:val="14"/>
          <w:color w:val="auto"/>
        </w:rPr>
        <w:t xml:space="preserve"> without the prior written consent of the Board of Directors.</w:t>
      </w:r>
    </w:p>
    <w:p>
      <w:pPr>
        <w:spacing w:after="0" w:line="145" w:lineRule="exact"/>
        <w:rPr>
          <w:rFonts w:ascii="Arial" w:cs="Arial" w:eastAsia="Arial" w:hAnsi="Arial"/>
          <w:sz w:val="14"/>
          <w:szCs w:val="14"/>
          <w:color w:val="auto"/>
        </w:rPr>
      </w:pPr>
    </w:p>
    <w:p>
      <w:pPr>
        <w:jc w:val="both"/>
        <w:ind w:left="480" w:firstLine="318"/>
        <w:spacing w:after="0" w:line="283" w:lineRule="auto"/>
        <w:tabs>
          <w:tab w:leader="none" w:pos="1137"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Purported Transfer in Violation of Restrictions. </w:t>
      </w:r>
      <w:r>
        <w:rPr>
          <w:rFonts w:ascii="Arial" w:cs="Arial" w:eastAsia="Arial" w:hAnsi="Arial"/>
          <w:sz w:val="15"/>
          <w:szCs w:val="15"/>
          <w:color w:val="auto"/>
        </w:rPr>
        <w:t>Unless the approval of the Board of Directors is obtained with respect to a Restricted Transfer, such purported</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57" w:lineRule="exact"/>
        <w:rPr>
          <w:rFonts w:ascii="Arial" w:cs="Arial" w:eastAsia="Arial" w:hAnsi="Arial"/>
          <w:sz w:val="15"/>
          <w:szCs w:val="15"/>
          <w:color w:val="auto"/>
        </w:rPr>
      </w:pPr>
    </w:p>
    <w:p>
      <w:pPr>
        <w:ind w:left="1140" w:hanging="342"/>
        <w:spacing w:after="0"/>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Certain Definitions.  </w:t>
      </w:r>
      <w:r>
        <w:rPr>
          <w:rFonts w:ascii="Arial" w:cs="Arial" w:eastAsia="Arial" w:hAnsi="Arial"/>
          <w:sz w:val="16"/>
          <w:szCs w:val="16"/>
          <w:color w:val="auto"/>
        </w:rPr>
        <w:t>For purposes of this Section</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5</w:t>
      </w:r>
      <w:r>
        <w:rPr>
          <w:rFonts w:ascii="Arial" w:cs="Arial" w:eastAsia="Arial" w:hAnsi="Arial"/>
          <w:sz w:val="16"/>
          <w:szCs w:val="16"/>
          <w:u w:val="single" w:color="auto"/>
          <w:color w:val="auto"/>
        </w:rPr>
        <w:t>4</w:t>
      </w:r>
      <w:r>
        <w:rPr>
          <w:rFonts w:ascii="Arial" w:cs="Arial" w:eastAsia="Arial" w:hAnsi="Arial"/>
          <w:sz w:val="16"/>
          <w:szCs w:val="16"/>
          <w:i w:val="1"/>
          <w:iCs w:val="1"/>
          <w:color w:val="auto"/>
        </w:rPr>
        <w:t xml:space="preserve"> </w:t>
      </w:r>
      <w:r>
        <w:rPr>
          <w:rFonts w:ascii="Arial" w:cs="Arial" w:eastAsia="Arial" w:hAnsi="Arial"/>
          <w:sz w:val="16"/>
          <w:szCs w:val="16"/>
          <w:color w:val="auto"/>
        </w:rPr>
        <w:t>of Article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-966470</wp:posOffset>
            </wp:positionV>
            <wp:extent cx="60134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1345" cy="762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-966470</wp:posOffset>
            </wp:positionV>
            <wp:extent cx="31623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6230" cy="762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-966470</wp:posOffset>
            </wp:positionV>
            <wp:extent cx="25463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4635" cy="7620"/>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-842645</wp:posOffset>
            </wp:positionV>
            <wp:extent cx="7785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8510" cy="762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-842645</wp:posOffset>
            </wp:positionV>
            <wp:extent cx="40830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08305" cy="762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19685</wp:posOffset>
            </wp:positionV>
            <wp:extent cx="5397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975" cy="7620"/>
                    </a:xfrm>
                    <a:prstGeom prst="rect">
                      <a:avLst/>
                    </a:prstGeom>
                    <a:noFill/>
                  </pic:spPr>
                </pic:pic>
              </a:graphicData>
            </a:graphic>
          </wp:anchor>
        </w:drawing>
      </w:r>
    </w:p>
    <w:p>
      <w:pPr>
        <w:spacing w:after="0" w:line="184" w:lineRule="exact"/>
        <w:rPr>
          <w:sz w:val="20"/>
          <w:szCs w:val="20"/>
          <w:color w:val="auto"/>
        </w:rPr>
      </w:pPr>
    </w:p>
    <w:p>
      <w:pPr>
        <w:ind w:right="280" w:firstLine="316"/>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strike w:val="1"/>
        </w:rPr>
        <w:t>PUHCA</w:t>
      </w:r>
      <w:r>
        <w:rPr>
          <w:rFonts w:ascii="Arial" w:cs="Arial" w:eastAsia="Arial" w:hAnsi="Arial"/>
          <w:sz w:val="16"/>
          <w:szCs w:val="16"/>
          <w:i w:val="1"/>
          <w:iCs w:val="1"/>
          <w:u w:val="single" w:color="auto"/>
          <w:color w:val="auto"/>
        </w:rPr>
        <w:t>Clearway Public Utility</w:t>
      </w:r>
      <w:r>
        <w:rPr>
          <w:rFonts w:ascii="Arial" w:cs="Arial" w:eastAsia="Arial" w:hAnsi="Arial"/>
          <w:sz w:val="16"/>
          <w:szCs w:val="16"/>
          <w:u w:val="single" w:color="auto"/>
          <w:color w:val="auto"/>
        </w:rPr>
        <w:t>" means any direct or indirect subsidiary of Clearway Energy LLC that is a "public utility" (as that term is defined in the Federal Power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-130175</wp:posOffset>
            </wp:positionV>
            <wp:extent cx="638302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8302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wp:posOffset>
            </wp:positionV>
            <wp:extent cx="2006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0660" cy="7620"/>
                    </a:xfrm>
                    <a:prstGeom prst="rect">
                      <a:avLst/>
                    </a:prstGeom>
                    <a:noFill/>
                  </pic:spPr>
                </pic:pic>
              </a:graphicData>
            </a:graphic>
          </wp:anchor>
        </w:drawing>
      </w:r>
    </w:p>
    <w:p>
      <w:pPr>
        <w:spacing w:after="0" w:line="141" w:lineRule="exact"/>
        <w:rPr>
          <w:sz w:val="20"/>
          <w:szCs w:val="20"/>
          <w:color w:val="auto"/>
        </w:rPr>
      </w:pPr>
    </w:p>
    <w:p>
      <w:pPr>
        <w:ind w:right="380" w:firstLine="316"/>
        <w:spacing w:after="0" w:line="275" w:lineRule="auto"/>
        <w:rPr>
          <w:sz w:val="20"/>
          <w:szCs w:val="20"/>
          <w:color w:val="auto"/>
        </w:rPr>
      </w:pPr>
      <w:r>
        <w:rPr>
          <w:rFonts w:ascii="Arial" w:cs="Arial" w:eastAsia="Arial" w:hAnsi="Arial"/>
          <w:sz w:val="16"/>
          <w:szCs w:val="16"/>
          <w:i w:val="1"/>
          <w:iCs w:val="1"/>
          <w:u w:val="single" w:color="auto"/>
          <w:color w:val="auto"/>
        </w:rPr>
        <w:t>"FERC</w:t>
      </w:r>
      <w:r>
        <w:rPr>
          <w:rFonts w:ascii="Arial" w:cs="Arial" w:eastAsia="Arial" w:hAnsi="Arial"/>
          <w:sz w:val="16"/>
          <w:szCs w:val="16"/>
          <w:i w:val="1"/>
          <w:iCs w:val="1"/>
          <w:color w:val="auto"/>
        </w:rPr>
        <w:t>Affiliate</w:t>
      </w:r>
      <w:r>
        <w:rPr>
          <w:rFonts w:ascii="Arial" w:cs="Arial" w:eastAsia="Arial" w:hAnsi="Arial"/>
          <w:sz w:val="16"/>
          <w:szCs w:val="16"/>
          <w:color w:val="auto"/>
        </w:rPr>
        <w:t>" means any person that is an "affiliate</w:t>
      </w:r>
      <w:r>
        <w:rPr>
          <w:rFonts w:ascii="Arial" w:cs="Arial" w:eastAsia="Arial" w:hAnsi="Arial"/>
          <w:sz w:val="16"/>
          <w:szCs w:val="16"/>
          <w:color w:val="auto"/>
          <w:strike w:val="1"/>
        </w:rPr>
        <w:t>"or "associate company</w:t>
      </w:r>
      <w:r>
        <w:rPr>
          <w:rFonts w:ascii="Arial" w:cs="Arial" w:eastAsia="Arial" w:hAnsi="Arial"/>
          <w:sz w:val="16"/>
          <w:szCs w:val="16"/>
          <w:color w:val="auto"/>
        </w:rPr>
        <w:t>"(as such</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terms are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term is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the Public Utility Holding Company Act of 2005 or</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regulations thereunder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18 C.F.R. § 35.36(a)(9)</w:t>
      </w:r>
      <w:r>
        <w:rPr>
          <w:rFonts w:ascii="Arial" w:cs="Arial" w:eastAsia="Arial" w:hAnsi="Arial"/>
          <w:sz w:val="16"/>
          <w:szCs w:val="16"/>
          <w:color w:val="auto"/>
        </w:rPr>
        <w:t xml:space="preserve">) of another person </w:t>
      </w:r>
      <w:r>
        <w:rPr>
          <w:rFonts w:ascii="Arial" w:cs="Arial" w:eastAsia="Arial" w:hAnsi="Arial"/>
          <w:sz w:val="16"/>
          <w:szCs w:val="16"/>
          <w:u w:val="single" w:color="auto"/>
          <w:color w:val="auto"/>
        </w:rPr>
        <w:t>prior to the effective date of the Restricted Transfer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-130175</wp:posOffset>
            </wp:positionV>
            <wp:extent cx="29273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2735" cy="7620"/>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-130175</wp:posOffset>
            </wp:positionV>
            <wp:extent cx="27749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7495" cy="7620"/>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-6985</wp:posOffset>
            </wp:positionV>
            <wp:extent cx="377761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777615" cy="762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0" w:firstLine="316"/>
        <w:spacing w:after="0" w:line="30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Secondary Market Transaction</w:t>
      </w:r>
      <w:r>
        <w:rPr>
          <w:rFonts w:ascii="Arial" w:cs="Arial" w:eastAsia="Arial" w:hAnsi="Arial"/>
          <w:sz w:val="14"/>
          <w:szCs w:val="14"/>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42" w:lineRule="exact"/>
        <w:rPr>
          <w:sz w:val="20"/>
          <w:szCs w:val="20"/>
          <w:color w:val="auto"/>
        </w:rPr>
      </w:pPr>
    </w:p>
    <w:p>
      <w:pPr>
        <w:ind w:right="20" w:firstLine="316"/>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Utility Control</w:t>
      </w:r>
      <w:r>
        <w:rPr>
          <w:rFonts w:ascii="Arial" w:cs="Arial" w:eastAsia="Arial" w:hAnsi="Arial"/>
          <w:sz w:val="14"/>
          <w:szCs w:val="14"/>
          <w:i w:val="1"/>
          <w:iCs w:val="1"/>
          <w:u w:val="single" w:color="auto"/>
          <w:color w:val="auto"/>
        </w:rPr>
        <w:t>Threshold</w:t>
      </w:r>
      <w:r>
        <w:rPr>
          <w:rFonts w:ascii="Arial" w:cs="Arial" w:eastAsia="Arial" w:hAnsi="Arial"/>
          <w:sz w:val="14"/>
          <w:szCs w:val="14"/>
          <w:u w:val="single" w:color="auto"/>
          <w:color w:val="auto"/>
        </w:rPr>
        <w:t>" means holdings such that: (i) a person, collectively with its FERC Affiliates, directly and/or indirectly owns, controls and/or holds with power to</w:t>
      </w:r>
      <w:r>
        <w:rPr>
          <w:rFonts w:ascii="Arial" w:cs="Arial" w:eastAsia="Arial" w:hAnsi="Arial"/>
          <w:sz w:val="14"/>
          <w:szCs w:val="14"/>
          <w:color w:val="auto"/>
        </w:rPr>
        <w:t xml:space="preserve"> </w:t>
      </w:r>
      <w:r>
        <w:rPr>
          <w:rFonts w:ascii="Arial" w:cs="Arial" w:eastAsia="Arial" w:hAnsi="Arial"/>
          <w:sz w:val="14"/>
          <w:szCs w:val="14"/>
          <w:u w:val="single" w:color="auto"/>
          <w:color w:val="auto"/>
        </w:rPr>
        <w:t xml:space="preserve">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 </w:t>
      </w:r>
      <w:r>
        <w:rPr>
          <w:rFonts w:ascii="Arial" w:cs="Arial" w:eastAsia="Arial" w:hAnsi="Arial"/>
          <w:sz w:val="14"/>
          <w:szCs w:val="14"/>
          <w:color w:val="auto"/>
          <w:strike w:val="1"/>
        </w:rPr>
        <w:t>means the power to direct or cause the direction of the management and policies of a Yield Public Utility and shall be deemed to exist if a</w:t>
      </w:r>
      <w:r>
        <w:rPr>
          <w:rFonts w:ascii="Arial" w:cs="Arial" w:eastAsia="Arial" w:hAnsi="Arial"/>
          <w:sz w:val="14"/>
          <w:szCs w:val="14"/>
          <w:u w:val="single" w:color="auto"/>
          <w:color w:val="auto"/>
        </w:rPr>
        <w:t xml:space="preserve"> </w:t>
      </w:r>
      <w:r>
        <w:rPr>
          <w:rFonts w:ascii="Arial" w:cs="Arial" w:eastAsia="Arial" w:hAnsi="Arial"/>
          <w:sz w:val="14"/>
          <w:szCs w:val="14"/>
          <w:color w:val="auto"/>
          <w:strike w:val="1"/>
        </w:rPr>
        <w:t xml:space="preserve">person and its PUHCA Affiliates directly and/or indirectly own, control and/or hold with power to vote 10% or more of the outstanding voting securities of such Yield Public Utility. The percentage of voting securities of a Yield Public Utility directly and/or indirectly owned, controlled and/or held with power to vote by a person and its PUHCA Affiliates shall be equal to the sum of: (i) the number of shares of Class A Common Stock and one one-hundredth (1/100th) of the number of shares of Class C Common Stock owned, controlled and/or held with power to vote by such person and its PUHCA Affiliates divided by the total number of shares of Class A Common Stock and Class B Common Stock then outstanding </w:t>
      </w:r>
      <w:r>
        <w:rPr>
          <w:rFonts w:ascii="Arial" w:cs="Arial" w:eastAsia="Arial" w:hAnsi="Arial"/>
          <w:sz w:val="14"/>
          <w:szCs w:val="14"/>
          <w:i w:val="1"/>
          <w:iCs w:val="1"/>
          <w:color w:val="auto"/>
          <w:strike w:val="1"/>
        </w:rPr>
        <w:t>plus</w:t>
      </w:r>
      <w:r>
        <w:rPr>
          <w:rFonts w:ascii="Arial" w:cs="Arial" w:eastAsia="Arial" w:hAnsi="Arial"/>
          <w:sz w:val="14"/>
          <w:szCs w:val="14"/>
          <w:color w:val="auto"/>
          <w:strike w:val="1"/>
        </w:rPr>
        <w:t xml:space="preserve"> one one-hundredth (1/100th) of the total number of shares of Class C Common Stock and Class D Common Stock then outstanding multiplied by the percentage interest in the Yield Public Utility directly and/or indirectly owned, controlled and/or held with power to vote by the Corporation, </w:t>
      </w:r>
      <w:r>
        <w:rPr>
          <w:rFonts w:ascii="Arial" w:cs="Arial" w:eastAsia="Arial" w:hAnsi="Arial"/>
          <w:sz w:val="14"/>
          <w:szCs w:val="14"/>
          <w:i w:val="1"/>
          <w:iCs w:val="1"/>
          <w:color w:val="auto"/>
          <w:strike w:val="1"/>
        </w:rPr>
        <w:t>plus</w:t>
      </w:r>
      <w:r>
        <w:rPr>
          <w:rFonts w:ascii="Arial" w:cs="Arial" w:eastAsia="Arial" w:hAnsi="Arial"/>
          <w:sz w:val="14"/>
          <w:szCs w:val="14"/>
          <w:color w:val="auto"/>
          <w:strike w:val="1"/>
        </w:rPr>
        <w:t xml:space="preserve"> (ii) the aggregate percentage of outstanding NRG voting securities owned, controlled or held with power to vote by such person and its PUHCA Affiliates multiplied by the percentage interest in the Yield Public Utility directly or indirectly owned, controlled and/or held with power to vote by NRG (including, but not limited to, those held through its voting interests in the Corporation), </w:t>
      </w:r>
      <w:r>
        <w:rPr>
          <w:rFonts w:ascii="Arial" w:cs="Arial" w:eastAsia="Arial" w:hAnsi="Arial"/>
          <w:sz w:val="14"/>
          <w:szCs w:val="14"/>
          <w:i w:val="1"/>
          <w:iCs w:val="1"/>
          <w:color w:val="auto"/>
          <w:strike w:val="1"/>
        </w:rPr>
        <w:t>plus</w:t>
      </w:r>
      <w:r>
        <w:rPr>
          <w:rFonts w:ascii="Arial" w:cs="Arial" w:eastAsia="Arial" w:hAnsi="Arial"/>
          <w:sz w:val="14"/>
          <w:szCs w:val="14"/>
          <w:color w:val="auto"/>
          <w:strike w:val="1"/>
        </w:rPr>
        <w:t xml:space="preserve"> (iii) the percentage of the Yield Public Utility's outstanding voting securities owned, controlled and/or held with power to vote by such person and its PUHCA Affiliates other than through ownership interests in the Corporation or NRG. The calculation is expressed in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-1984375</wp:posOffset>
            </wp:positionV>
            <wp:extent cx="626745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6745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-1861185</wp:posOffset>
            </wp:positionV>
            <wp:extent cx="708469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8469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-1737360</wp:posOffset>
            </wp:positionV>
            <wp:extent cx="703072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3072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-1614170</wp:posOffset>
            </wp:positionV>
            <wp:extent cx="704596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4596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-1490980</wp:posOffset>
            </wp:positionV>
            <wp:extent cx="707644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7644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-1367790</wp:posOffset>
            </wp:positionV>
            <wp:extent cx="693039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303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-1244600</wp:posOffset>
            </wp:positionV>
            <wp:extent cx="158813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88135" cy="7620"/>
                    </a:xfrm>
                    <a:prstGeom prst="rect">
                      <a:avLst/>
                    </a:prstGeom>
                    <a:noFill/>
                  </pic:spPr>
                </pic:pic>
              </a:graphicData>
            </a:graphic>
          </wp:anchor>
        </w:drawing>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strike w:val="1"/>
        </w:rPr>
        <w:t>[(AC</w:t>
      </w:r>
      <w:r>
        <w:rPr>
          <w:rFonts w:ascii="Arial" w:cs="Arial" w:eastAsia="Arial" w:hAnsi="Arial"/>
          <w:sz w:val="26"/>
          <w:szCs w:val="26"/>
          <w:b w:val="1"/>
          <w:bCs w:val="1"/>
          <w:color w:val="auto"/>
          <w:strike w:val="1"/>
          <w:vertAlign w:val="subscript"/>
        </w:rPr>
        <w:t>P</w:t>
      </w:r>
      <w:r>
        <w:rPr>
          <w:rFonts w:ascii="Arial" w:cs="Arial" w:eastAsia="Arial" w:hAnsi="Arial"/>
          <w:sz w:val="16"/>
          <w:szCs w:val="16"/>
          <w:b w:val="1"/>
          <w:bCs w:val="1"/>
          <w:color w:val="auto"/>
        </w:rPr>
        <w:t xml:space="preserve"> / A</w:t>
      </w:r>
      <w:r>
        <w:rPr>
          <w:rFonts w:ascii="Arial" w:cs="Arial" w:eastAsia="Arial" w:hAnsi="Arial"/>
          <w:sz w:val="26"/>
          <w:szCs w:val="26"/>
          <w:b w:val="1"/>
          <w:bCs w:val="1"/>
          <w:color w:val="auto"/>
          <w:strike w:val="1"/>
          <w:vertAlign w:val="subscript"/>
        </w:rPr>
        <w:t>Total</w:t>
      </w:r>
      <w:r>
        <w:rPr>
          <w:rFonts w:ascii="Arial" w:cs="Arial" w:eastAsia="Arial" w:hAnsi="Arial"/>
          <w:sz w:val="16"/>
          <w:szCs w:val="16"/>
          <w:b w:val="1"/>
          <w:bCs w:val="1"/>
          <w:color w:val="auto"/>
        </w:rPr>
        <w:t xml:space="preserve"> + B</w:t>
      </w:r>
      <w:r>
        <w:rPr>
          <w:rFonts w:ascii="Arial" w:cs="Arial" w:eastAsia="Arial" w:hAnsi="Arial"/>
          <w:sz w:val="26"/>
          <w:szCs w:val="26"/>
          <w:b w:val="1"/>
          <w:bCs w:val="1"/>
          <w:color w:val="auto"/>
          <w:strike w:val="1"/>
          <w:vertAlign w:val="subscript"/>
        </w:rPr>
        <w:t>Total</w:t>
      </w:r>
      <w:r>
        <w:rPr>
          <w:rFonts w:ascii="Arial" w:cs="Arial" w:eastAsia="Arial" w:hAnsi="Arial"/>
          <w:sz w:val="16"/>
          <w:szCs w:val="16"/>
          <w:b w:val="1"/>
          <w:bCs w:val="1"/>
          <w:color w:val="auto"/>
        </w:rPr>
        <w:t xml:space="preserve"> + C</w:t>
      </w:r>
      <w:r>
        <w:rPr>
          <w:rFonts w:ascii="Arial" w:cs="Arial" w:eastAsia="Arial" w:hAnsi="Arial"/>
          <w:sz w:val="26"/>
          <w:szCs w:val="26"/>
          <w:b w:val="1"/>
          <w:bCs w:val="1"/>
          <w:color w:val="auto"/>
          <w:strike w:val="1"/>
          <w:vertAlign w:val="subscript"/>
        </w:rPr>
        <w:t>Total</w:t>
      </w:r>
      <w:r>
        <w:rPr>
          <w:rFonts w:ascii="Arial" w:cs="Arial" w:eastAsia="Arial" w:hAnsi="Arial"/>
          <w:sz w:val="16"/>
          <w:szCs w:val="16"/>
          <w:b w:val="1"/>
          <w:bCs w:val="1"/>
          <w:color w:val="auto"/>
        </w:rPr>
        <w:t xml:space="preserve"> + D</w:t>
      </w:r>
      <w:r>
        <w:rPr>
          <w:rFonts w:ascii="Arial" w:cs="Arial" w:eastAsia="Arial" w:hAnsi="Arial"/>
          <w:sz w:val="26"/>
          <w:szCs w:val="26"/>
          <w:b w:val="1"/>
          <w:bCs w:val="1"/>
          <w:color w:val="auto"/>
          <w:strike w:val="1"/>
          <w:vertAlign w:val="subscript"/>
        </w:rPr>
        <w:t>Total</w:t>
      </w:r>
      <w:r>
        <w:rPr>
          <w:rFonts w:ascii="Arial" w:cs="Arial" w:eastAsia="Arial" w:hAnsi="Arial"/>
          <w:sz w:val="16"/>
          <w:szCs w:val="16"/>
          <w:b w:val="1"/>
          <w:bCs w:val="1"/>
          <w:color w:val="auto"/>
          <w:strike w:val="1"/>
        </w:rPr>
        <w:t>) * YPU</w:t>
      </w:r>
      <w:r>
        <w:rPr>
          <w:rFonts w:ascii="Arial" w:cs="Arial" w:eastAsia="Arial" w:hAnsi="Arial"/>
          <w:sz w:val="26"/>
          <w:szCs w:val="26"/>
          <w:b w:val="1"/>
          <w:bCs w:val="1"/>
          <w:color w:val="auto"/>
          <w:strike w:val="1"/>
          <w:vertAlign w:val="subscript"/>
        </w:rPr>
        <w:t>Y</w:t>
      </w:r>
      <w:r>
        <w:rPr>
          <w:rFonts w:ascii="Arial" w:cs="Arial" w:eastAsia="Arial" w:hAnsi="Arial"/>
          <w:sz w:val="16"/>
          <w:szCs w:val="16"/>
          <w:b w:val="1"/>
          <w:bCs w:val="1"/>
          <w:color w:val="auto"/>
          <w:strike w:val="1"/>
        </w:rPr>
        <w:t>] + [(NRG</w:t>
      </w:r>
      <w:r>
        <w:rPr>
          <w:rFonts w:ascii="Arial" w:cs="Arial" w:eastAsia="Arial" w:hAnsi="Arial"/>
          <w:sz w:val="26"/>
          <w:szCs w:val="26"/>
          <w:b w:val="1"/>
          <w:bCs w:val="1"/>
          <w:color w:val="auto"/>
          <w:strike w:val="1"/>
          <w:vertAlign w:val="subscript"/>
        </w:rPr>
        <w:t>P</w:t>
      </w:r>
      <w:r>
        <w:rPr>
          <w:rFonts w:ascii="Arial" w:cs="Arial" w:eastAsia="Arial" w:hAnsi="Arial"/>
          <w:sz w:val="16"/>
          <w:szCs w:val="16"/>
          <w:b w:val="1"/>
          <w:bCs w:val="1"/>
          <w:color w:val="auto"/>
        </w:rPr>
        <w:t xml:space="preserve"> / NRG</w:t>
      </w:r>
      <w:r>
        <w:rPr>
          <w:rFonts w:ascii="Arial" w:cs="Arial" w:eastAsia="Arial" w:hAnsi="Arial"/>
          <w:sz w:val="26"/>
          <w:szCs w:val="26"/>
          <w:b w:val="1"/>
          <w:bCs w:val="1"/>
          <w:color w:val="auto"/>
          <w:strike w:val="1"/>
          <w:vertAlign w:val="subscript"/>
        </w:rPr>
        <w:t>Total</w:t>
      </w:r>
      <w:r>
        <w:rPr>
          <w:rFonts w:ascii="Arial" w:cs="Arial" w:eastAsia="Arial" w:hAnsi="Arial"/>
          <w:sz w:val="16"/>
          <w:szCs w:val="16"/>
          <w:b w:val="1"/>
          <w:bCs w:val="1"/>
          <w:color w:val="auto"/>
          <w:strike w:val="1"/>
        </w:rPr>
        <w:t>) * YPU</w:t>
      </w:r>
      <w:r>
        <w:rPr>
          <w:rFonts w:ascii="Arial" w:cs="Arial" w:eastAsia="Arial" w:hAnsi="Arial"/>
          <w:sz w:val="26"/>
          <w:szCs w:val="26"/>
          <w:b w:val="1"/>
          <w:bCs w:val="1"/>
          <w:color w:val="auto"/>
          <w:strike w:val="1"/>
          <w:vertAlign w:val="subscript"/>
        </w:rPr>
        <w:t>NRG</w:t>
      </w:r>
      <w:r>
        <w:rPr>
          <w:rFonts w:ascii="Arial" w:cs="Arial" w:eastAsia="Arial" w:hAnsi="Arial"/>
          <w:sz w:val="16"/>
          <w:szCs w:val="16"/>
          <w:b w:val="1"/>
          <w:bCs w:val="1"/>
          <w:color w:val="auto"/>
          <w:strike w:val="1"/>
        </w:rPr>
        <w:t>] + YPU</w:t>
      </w:r>
      <w:r>
        <w:rPr>
          <w:rFonts w:ascii="Arial" w:cs="Arial" w:eastAsia="Arial" w:hAnsi="Arial"/>
          <w:sz w:val="26"/>
          <w:szCs w:val="26"/>
          <w:b w:val="1"/>
          <w:bCs w:val="1"/>
          <w:color w:val="auto"/>
          <w:strike w:val="1"/>
          <w:vertAlign w:val="subscript"/>
        </w:rPr>
        <w: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-48260</wp:posOffset>
            </wp:positionV>
            <wp:extent cx="14478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4780" cy="762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-48260</wp:posOffset>
            </wp:positionV>
            <wp:extent cx="17399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3990" cy="7620"/>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-48260</wp:posOffset>
            </wp:positionV>
            <wp:extent cx="17970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9705" cy="762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-48260</wp:posOffset>
            </wp:positionV>
            <wp:extent cx="17970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9705" cy="762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-48260</wp:posOffset>
            </wp:positionV>
            <wp:extent cx="30035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0355" cy="7620"/>
                    </a:xfrm>
                    <a:prstGeom prst="rect">
                      <a:avLst/>
                    </a:prstGeom>
                    <a:noFill/>
                  </pic:spPr>
                </pic:pic>
              </a:graphicData>
            </a:graphic>
          </wp:anchor>
        </w:drawing>
      </w:r>
    </w:p>
    <w:p>
      <w:pPr>
        <w:spacing w:after="0" w:line="86" w:lineRule="exact"/>
        <w:rPr>
          <w:sz w:val="20"/>
          <w:szCs w:val="20"/>
          <w:color w:val="auto"/>
        </w:rPr>
      </w:pPr>
    </w:p>
    <w:p>
      <w:pPr>
        <w:ind w:firstLine="316"/>
        <w:spacing w:after="0" w:line="262" w:lineRule="auto"/>
        <w:rPr>
          <w:sz w:val="20"/>
          <w:szCs w:val="20"/>
          <w:color w:val="auto"/>
        </w:rPr>
      </w:pPr>
      <w:r>
        <w:rPr>
          <w:rFonts w:ascii="Arial" w:cs="Arial" w:eastAsia="Arial" w:hAnsi="Arial"/>
          <w:sz w:val="16"/>
          <w:szCs w:val="16"/>
          <w:b w:val="1"/>
          <w:bCs w:val="1"/>
          <w:color w:val="auto"/>
          <w:strike w:val="1"/>
        </w:rPr>
        <w:t>WHERE:</w:t>
      </w:r>
      <w:r>
        <w:rPr>
          <w:rFonts w:ascii="Arial" w:cs="Arial" w:eastAsia="Arial" w:hAnsi="Arial"/>
          <w:sz w:val="16"/>
          <w:szCs w:val="16"/>
          <w:color w:val="auto"/>
          <w:strike w:val="1"/>
        </w:rPr>
        <w:t>AC</w:t>
      </w:r>
      <w:r>
        <w:rPr>
          <w:rFonts w:ascii="Arial" w:cs="Arial" w:eastAsia="Arial" w:hAnsi="Arial"/>
          <w:sz w:val="26"/>
          <w:szCs w:val="26"/>
          <w:color w:val="auto"/>
          <w:strike w:val="1"/>
          <w:vertAlign w:val="subscript"/>
        </w:rPr>
        <w:t>P</w:t>
      </w:r>
      <w:r>
        <w:rPr>
          <w:rFonts w:ascii="Arial" w:cs="Arial" w:eastAsia="Arial" w:hAnsi="Arial"/>
          <w:sz w:val="16"/>
          <w:szCs w:val="16"/>
          <w:b w:val="1"/>
          <w:bCs w:val="1"/>
          <w:color w:val="auto"/>
        </w:rPr>
        <w:t xml:space="preserve"> </w:t>
      </w:r>
      <w:r>
        <w:rPr>
          <w:rFonts w:ascii="Arial" w:cs="Arial" w:eastAsia="Arial" w:hAnsi="Arial"/>
          <w:sz w:val="16"/>
          <w:szCs w:val="16"/>
          <w:color w:val="auto"/>
        </w:rPr>
        <w:t>= the sum of (i) the number of shares of Class A Common Stock owned, controlled and/or held with power to vote by such person and its PUHCA Affiliates,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strike w:val="1"/>
        </w:rPr>
        <w:t xml:space="preserve">plus </w:t>
      </w:r>
      <w:r>
        <w:rPr>
          <w:rFonts w:ascii="Arial" w:cs="Arial" w:eastAsia="Arial" w:hAnsi="Arial"/>
          <w:sz w:val="16"/>
          <w:szCs w:val="16"/>
          <w:color w:val="auto"/>
          <w:strike w:val="1"/>
        </w:rPr>
        <w:t>(ii) the number of shares of Class C Common Stock owned, controlled and/or held with power to vote by such person and its PUHCA Affiliates divided by one hundred</w:t>
      </w:r>
      <w:r>
        <w:rPr>
          <w:rFonts w:ascii="Arial" w:cs="Arial" w:eastAsia="Arial" w:hAnsi="Arial"/>
          <w:sz w:val="16"/>
          <w:szCs w:val="16"/>
          <w:i w:val="1"/>
          <w:iCs w:val="1"/>
          <w:color w:val="auto"/>
          <w:strike w:val="1"/>
        </w:rPr>
        <w:t xml:space="preserve"> </w:t>
      </w:r>
      <w:r>
        <w:rPr>
          <w:rFonts w:ascii="Arial" w:cs="Arial" w:eastAsia="Arial" w:hAnsi="Arial"/>
          <w:sz w:val="16"/>
          <w:szCs w:val="16"/>
          <w:color w:val="auto"/>
          <w:strike w:val="1"/>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-323215</wp:posOffset>
            </wp:positionV>
            <wp:extent cx="632015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20155" cy="7620"/>
                    </a:xfrm>
                    <a:prstGeom prst="rect">
                      <a:avLst/>
                    </a:prstGeom>
                    <a:noFill/>
                  </pic:spPr>
                </pic:pic>
              </a:graphicData>
            </a:graphic>
          </wp:anchor>
        </w:drawing>
      </w:r>
    </w:p>
    <w:p>
      <w:pPr>
        <w:spacing w:after="0" w:line="41" w:lineRule="exact"/>
        <w:rPr>
          <w:sz w:val="20"/>
          <w:szCs w:val="20"/>
          <w:color w:val="auto"/>
        </w:rPr>
      </w:pPr>
    </w:p>
    <w:p>
      <w:pPr>
        <w:ind w:left="480"/>
        <w:spacing w:after="0"/>
        <w:rPr>
          <w:sz w:val="20"/>
          <w:szCs w:val="20"/>
          <w:color w:val="auto"/>
        </w:rPr>
      </w:pPr>
      <w:r>
        <w:rPr>
          <w:rFonts w:ascii="Arial" w:cs="Arial" w:eastAsia="Arial" w:hAnsi="Arial"/>
          <w:sz w:val="16"/>
          <w:szCs w:val="16"/>
          <w:color w:val="auto"/>
          <w:strike w:val="1"/>
        </w:rPr>
        <w:t>A</w:t>
      </w:r>
      <w:r>
        <w:rPr>
          <w:rFonts w:ascii="Arial" w:cs="Arial" w:eastAsia="Arial" w:hAnsi="Arial"/>
          <w:sz w:val="26"/>
          <w:szCs w:val="26"/>
          <w:color w:val="auto"/>
          <w:strike w:val="1"/>
          <w:vertAlign w:val="subscript"/>
        </w:rPr>
        <w:t>Total</w:t>
      </w:r>
      <w:r>
        <w:rPr>
          <w:rFonts w:ascii="Arial" w:cs="Arial" w:eastAsia="Arial" w:hAnsi="Arial"/>
          <w:sz w:val="16"/>
          <w:szCs w:val="16"/>
          <w:color w:val="auto"/>
        </w:rPr>
        <w:t xml:space="preserve"> = the total number of shares of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-50800</wp:posOffset>
            </wp:positionV>
            <wp:extent cx="275907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6"/>
          <w:szCs w:val="16"/>
          <w:color w:val="auto"/>
          <w:strike w:val="1"/>
        </w:rPr>
        <w:t>B</w:t>
      </w:r>
      <w:r>
        <w:rPr>
          <w:rFonts w:ascii="Arial" w:cs="Arial" w:eastAsia="Arial" w:hAnsi="Arial"/>
          <w:sz w:val="26"/>
          <w:szCs w:val="26"/>
          <w:color w:val="auto"/>
          <w:strike w:val="1"/>
          <w:vertAlign w:val="subscript"/>
        </w:rPr>
        <w:t>Total</w:t>
      </w:r>
      <w:r>
        <w:rPr>
          <w:rFonts w:ascii="Arial" w:cs="Arial" w:eastAsia="Arial" w:hAnsi="Arial"/>
          <w:sz w:val="16"/>
          <w:szCs w:val="16"/>
          <w:color w:val="auto"/>
        </w:rPr>
        <w:t xml:space="preserve"> = the total number of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-50800</wp:posOffset>
            </wp:positionV>
            <wp:extent cx="275907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59075" cy="7620"/>
                    </a:xfrm>
                    <a:prstGeom prst="rect">
                      <a:avLst/>
                    </a:prstGeom>
                    <a:noFill/>
                  </pic:spPr>
                </pic:pic>
              </a:graphicData>
            </a:graphic>
          </wp:anchor>
        </w:drawing>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6"/>
          <w:szCs w:val="16"/>
          <w:color w:val="auto"/>
          <w:strike w:val="1"/>
        </w:rPr>
        <w:t>C</w:t>
      </w:r>
      <w:r>
        <w:rPr>
          <w:rFonts w:ascii="Arial" w:cs="Arial" w:eastAsia="Arial" w:hAnsi="Arial"/>
          <w:sz w:val="26"/>
          <w:szCs w:val="26"/>
          <w:color w:val="auto"/>
          <w:strike w:val="1"/>
          <w:vertAlign w:val="subscript"/>
        </w:rPr>
        <w:t>Total</w:t>
      </w:r>
      <w:r>
        <w:rPr>
          <w:rFonts w:ascii="Arial" w:cs="Arial" w:eastAsia="Arial" w:hAnsi="Arial"/>
          <w:sz w:val="16"/>
          <w:szCs w:val="16"/>
          <w:color w:val="auto"/>
        </w:rPr>
        <w:t xml:space="preserve"> = the total number of shares of Class C Common Stock outstanding divided by one hundred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-50800</wp:posOffset>
            </wp:positionV>
            <wp:extent cx="397573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975735" cy="7620"/>
                    </a:xfrm>
                    <a:prstGeom prst="rect">
                      <a:avLst/>
                    </a:prstGeom>
                    <a:noFill/>
                  </pic:spPr>
                </pic:pic>
              </a:graphicData>
            </a:graphic>
          </wp:anchor>
        </w:drawing>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93" w:lineRule="exact"/>
        <w:rPr>
          <w:sz w:val="20"/>
          <w:szCs w:val="20"/>
          <w:color w:val="auto"/>
        </w:rPr>
      </w:pPr>
    </w:p>
    <w:p>
      <w:pPr>
        <w:ind w:left="480" w:right="140"/>
        <w:spacing w:after="0" w:line="286" w:lineRule="auto"/>
        <w:rPr>
          <w:sz w:val="20"/>
          <w:szCs w:val="20"/>
          <w:color w:val="auto"/>
        </w:rPr>
      </w:pPr>
      <w:r>
        <w:rPr>
          <w:rFonts w:ascii="Arial" w:cs="Arial" w:eastAsia="Arial" w:hAnsi="Arial"/>
          <w:sz w:val="16"/>
          <w:szCs w:val="16"/>
          <w:color w:val="auto"/>
          <w:strike w:val="1"/>
        </w:rPr>
        <w:t>D</w:t>
      </w:r>
      <w:r>
        <w:rPr>
          <w:rFonts w:ascii="Arial" w:cs="Arial" w:eastAsia="Arial" w:hAnsi="Arial"/>
          <w:sz w:val="26"/>
          <w:szCs w:val="26"/>
          <w:color w:val="auto"/>
          <w:strike w:val="1"/>
          <w:vertAlign w:val="subscript"/>
        </w:rPr>
        <w:t>Total</w:t>
      </w:r>
      <w:r>
        <w:rPr>
          <w:rFonts w:ascii="Arial" w:cs="Arial" w:eastAsia="Arial" w:hAnsi="Arial"/>
          <w:sz w:val="16"/>
          <w:szCs w:val="16"/>
          <w:color w:val="auto"/>
        </w:rPr>
        <w:t xml:space="preserve"> = the total number of shares of Class D Common Stock outstanding divided by one hundred (100).NRG</w:t>
      </w:r>
      <w:r>
        <w:rPr>
          <w:rFonts w:ascii="Arial" w:cs="Arial" w:eastAsia="Arial" w:hAnsi="Arial"/>
          <w:sz w:val="26"/>
          <w:szCs w:val="26"/>
          <w:color w:val="auto"/>
          <w:strike w:val="1"/>
          <w:vertAlign w:val="subscript"/>
        </w:rPr>
        <w:t>P</w:t>
      </w:r>
      <w:r>
        <w:rPr>
          <w:rFonts w:ascii="Arial" w:cs="Arial" w:eastAsia="Arial" w:hAnsi="Arial"/>
          <w:sz w:val="16"/>
          <w:szCs w:val="16"/>
          <w:color w:val="auto"/>
        </w:rPr>
        <w:t xml:space="preserve"> = the number of voting shares owned, controlled and/or </w:t>
      </w:r>
      <w:r>
        <w:rPr>
          <w:rFonts w:ascii="Arial" w:cs="Arial" w:eastAsia="Arial" w:hAnsi="Arial"/>
          <w:sz w:val="16"/>
          <w:szCs w:val="16"/>
          <w:color w:val="auto"/>
          <w:strike w:val="1"/>
        </w:rPr>
        <w:t>held with power to vote by such person and its PUHCA Affiliates in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-226695</wp:posOffset>
            </wp:positionV>
            <wp:extent cx="649414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94145" cy="762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strike w:val="1"/>
        </w:rPr>
        <w:t>NRG</w:t>
      </w:r>
      <w:r>
        <w:rPr>
          <w:rFonts w:ascii="Arial" w:cs="Arial" w:eastAsia="Arial" w:hAnsi="Arial"/>
          <w:sz w:val="26"/>
          <w:szCs w:val="26"/>
          <w:color w:val="auto"/>
          <w:strike w:val="1"/>
          <w:vertAlign w:val="subscript"/>
        </w:rPr>
        <w:t>Total</w:t>
      </w:r>
      <w:r>
        <w:rPr>
          <w:rFonts w:ascii="Arial" w:cs="Arial" w:eastAsia="Arial" w:hAnsi="Arial"/>
          <w:sz w:val="16"/>
          <w:szCs w:val="16"/>
          <w:color w:val="auto"/>
        </w:rPr>
        <w:t xml:space="preserve"> = the total number of voting shares of NRG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-50800</wp:posOffset>
            </wp:positionV>
            <wp:extent cx="229171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91715" cy="7620"/>
                    </a:xfrm>
                    <a:prstGeom prst="rect">
                      <a:avLst/>
                    </a:prstGeom>
                    <a:noFill/>
                  </pic:spPr>
                </pic:pic>
              </a:graphicData>
            </a:graphic>
          </wp:anchor>
        </w:drawing>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4"/>
          <w:szCs w:val="14"/>
          <w:color w:val="auto"/>
          <w:strike w:val="1"/>
        </w:rPr>
        <w:t>YPU</w:t>
      </w:r>
      <w:r>
        <w:rPr>
          <w:rFonts w:ascii="Arial" w:cs="Arial" w:eastAsia="Arial" w:hAnsi="Arial"/>
          <w:sz w:val="23"/>
          <w:szCs w:val="23"/>
          <w:color w:val="auto"/>
          <w:strike w:val="1"/>
          <w:vertAlign w:val="subscript"/>
        </w:rPr>
        <w:t>Y</w:t>
      </w:r>
      <w:r>
        <w:rPr>
          <w:rFonts w:ascii="Arial" w:cs="Arial" w:eastAsia="Arial" w:hAnsi="Arial"/>
          <w:sz w:val="14"/>
          <w:szCs w:val="14"/>
          <w:color w:val="auto"/>
        </w:rPr>
        <w:t xml:space="preserve"> = the percentage of the voting interests of a Yield Public Utility directly and/or indirectly owned, controlled and/or held with power to vote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-29210</wp:posOffset>
            </wp:positionV>
            <wp:extent cx="640715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07150" cy="7620"/>
                    </a:xfrm>
                    <a:prstGeom prst="rect">
                      <a:avLst/>
                    </a:prstGeom>
                    <a:noFill/>
                  </pic:spPr>
                </pic:pic>
              </a:graphicData>
            </a:graphic>
          </wp:anchor>
        </w:drawing>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5"/>
          <w:szCs w:val="15"/>
          <w:color w:val="auto"/>
          <w:strike w:val="1"/>
        </w:rPr>
        <w:t>YPU</w:t>
      </w:r>
      <w:r>
        <w:rPr>
          <w:rFonts w:ascii="Arial" w:cs="Arial" w:eastAsia="Arial" w:hAnsi="Arial"/>
          <w:sz w:val="25"/>
          <w:szCs w:val="25"/>
          <w:color w:val="auto"/>
          <w:strike w:val="1"/>
          <w:vertAlign w:val="subscript"/>
        </w:rPr>
        <w:t>NRG</w:t>
      </w:r>
      <w:r>
        <w:rPr>
          <w:rFonts w:ascii="Arial" w:cs="Arial" w:eastAsia="Arial" w:hAnsi="Arial"/>
          <w:sz w:val="15"/>
          <w:szCs w:val="15"/>
          <w:color w:val="auto"/>
        </w:rPr>
        <w:t xml:space="preserve"> = the percentage of the voting interests of a Yield Public Utility directly and/or indirectly owned, controlled and/or held with power to vote by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-43815</wp:posOffset>
            </wp:positionV>
            <wp:extent cx="598741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87415" cy="7620"/>
                    </a:xfrm>
                    <a:prstGeom prst="rect">
                      <a:avLst/>
                    </a:prstGeom>
                    <a:noFill/>
                  </pic:spPr>
                </pic:pic>
              </a:graphicData>
            </a:graphic>
          </wp:anchor>
        </w:drawing>
      </w:r>
    </w:p>
    <w:p>
      <w:pPr>
        <w:spacing w:after="0" w:line="93" w:lineRule="exact"/>
        <w:rPr>
          <w:sz w:val="20"/>
          <w:szCs w:val="20"/>
          <w:color w:val="auto"/>
        </w:rPr>
      </w:pPr>
    </w:p>
    <w:p>
      <w:pPr>
        <w:ind w:left="480" w:right="200"/>
        <w:spacing w:after="0" w:line="286" w:lineRule="auto"/>
        <w:rPr>
          <w:sz w:val="20"/>
          <w:szCs w:val="20"/>
          <w:color w:val="auto"/>
        </w:rPr>
      </w:pPr>
      <w:r>
        <w:rPr>
          <w:rFonts w:ascii="Arial" w:cs="Arial" w:eastAsia="Arial" w:hAnsi="Arial"/>
          <w:sz w:val="16"/>
          <w:szCs w:val="16"/>
          <w:color w:val="auto"/>
          <w:strike w:val="1"/>
        </w:rPr>
        <w:t>YPU</w:t>
      </w:r>
      <w:r>
        <w:rPr>
          <w:rFonts w:ascii="Arial" w:cs="Arial" w:eastAsia="Arial" w:hAnsi="Arial"/>
          <w:sz w:val="26"/>
          <w:szCs w:val="26"/>
          <w:color w:val="auto"/>
          <w:strike w:val="1"/>
          <w:vertAlign w:val="subscript"/>
        </w:rPr>
        <w:t>P</w:t>
      </w:r>
      <w:r>
        <w:rPr>
          <w:rFonts w:ascii="Arial" w:cs="Arial" w:eastAsia="Arial" w:hAnsi="Arial"/>
          <w:sz w:val="16"/>
          <w:szCs w:val="16"/>
          <w:color w:val="auto"/>
        </w:rPr>
        <w:t xml:space="preserve"> = the percentage of the voting interests of a Yield Public Utility directly and/or indirectly owned, controlled and/or held with power to vote by such person other </w:t>
      </w:r>
      <w:r>
        <w:rPr>
          <w:rFonts w:ascii="Arial" w:cs="Arial" w:eastAsia="Arial" w:hAnsi="Arial"/>
          <w:sz w:val="16"/>
          <w:szCs w:val="16"/>
          <w:color w:val="auto"/>
          <w:strike w:val="1"/>
        </w:rPr>
        <w:t>than through interests in the Corporation or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-226695</wp:posOffset>
            </wp:positionV>
            <wp:extent cx="645731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57315" cy="7620"/>
                    </a:xfrm>
                    <a:prstGeom prst="rect">
                      <a:avLst/>
                    </a:prstGeom>
                    <a:noFill/>
                  </pic:spPr>
                </pic:pic>
              </a:graphicData>
            </a:graphic>
          </wp:anchor>
        </w:drawing>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6"/>
          <w:szCs w:val="16"/>
          <w:color w:val="auto"/>
          <w:strike w:val="1"/>
        </w:rPr>
        <w:t>"</w:t>
      </w:r>
      <w:r>
        <w:rPr>
          <w:rFonts w:ascii="Arial" w:cs="Arial" w:eastAsia="Arial" w:hAnsi="Arial"/>
          <w:sz w:val="16"/>
          <w:szCs w:val="16"/>
          <w:i w:val="1"/>
          <w:iCs w:val="1"/>
          <w:color w:val="auto"/>
          <w:strike w:val="1"/>
        </w:rPr>
        <w:t>Yield Public Utility</w:t>
      </w:r>
      <w:r>
        <w:rPr>
          <w:rFonts w:ascii="Arial" w:cs="Arial" w:eastAsia="Arial" w:hAnsi="Arial"/>
          <w:sz w:val="16"/>
          <w:szCs w:val="16"/>
          <w:color w:val="auto"/>
          <w:strike w:val="1"/>
        </w:rPr>
        <w:t>" means any direct or indirect subsidiary of Yield LLC that is a "public utility" (as that term is defined in the Federal Power Act).</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FIVE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Corporation is to have perpetual existence.</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SIX</w:t>
      </w:r>
    </w:p>
    <w:p>
      <w:pPr>
        <w:spacing w:after="0" w:line="208" w:lineRule="exact"/>
        <w:rPr>
          <w:sz w:val="20"/>
          <w:szCs w:val="20"/>
          <w:color w:val="auto"/>
        </w:rPr>
      </w:pPr>
    </w:p>
    <w:p>
      <w:pPr>
        <w:ind w:right="120" w:firstLine="316"/>
        <w:spacing w:after="0" w:line="264" w:lineRule="auto"/>
        <w:rPr>
          <w:sz w:val="20"/>
          <w:szCs w:val="20"/>
          <w:color w:val="auto"/>
        </w:rPr>
      </w:pPr>
      <w:r>
        <w:rPr>
          <w:rFonts w:ascii="Arial" w:cs="Arial" w:eastAsia="Arial" w:hAnsi="Arial"/>
          <w:sz w:val="16"/>
          <w:szCs w:val="16"/>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SEVEN</w:t>
      </w:r>
    </w:p>
    <w:p>
      <w:pPr>
        <w:spacing w:after="0" w:line="208" w:lineRule="exact"/>
        <w:rPr>
          <w:sz w:val="20"/>
          <w:szCs w:val="20"/>
          <w:color w:val="auto"/>
        </w:rPr>
      </w:pPr>
    </w:p>
    <w:p>
      <w:pPr>
        <w:ind w:right="140" w:firstLine="316"/>
        <w:spacing w:after="0" w:line="289"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i w:val="1"/>
          <w:iCs w:val="1"/>
          <w:color w:val="auto"/>
        </w:rPr>
        <w:t>Board of Directors.</w:t>
      </w:r>
      <w:r>
        <w:rPr>
          <w:rFonts w:ascii="Arial" w:cs="Arial" w:eastAsia="Arial" w:hAnsi="Arial"/>
          <w:sz w:val="15"/>
          <w:szCs w:val="15"/>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Arial" w:cs="Arial" w:eastAsia="Arial" w:hAnsi="Arial"/>
          <w:sz w:val="15"/>
          <w:szCs w:val="15"/>
          <w:i w:val="1"/>
          <w:iCs w:val="1"/>
          <w:color w:val="auto"/>
        </w:rPr>
        <w:t>Bylaws</w:t>
      </w:r>
      <w:r>
        <w:rPr>
          <w:rFonts w:ascii="Arial" w:cs="Arial" w:eastAsia="Arial" w:hAnsi="Arial"/>
          <w:sz w:val="15"/>
          <w:szCs w:val="15"/>
          <w:color w:val="auto"/>
        </w:rPr>
        <w:t>"), the directors are hereby empowered to exercise all such powers and do all such acts and things as may be exercised or done by the Corporation.</w:t>
      </w:r>
    </w:p>
    <w:p>
      <w:pPr>
        <w:spacing w:after="0" w:line="348" w:lineRule="exact"/>
        <w:rPr>
          <w:sz w:val="20"/>
          <w:szCs w:val="20"/>
          <w:color w:val="auto"/>
        </w:rPr>
      </w:pPr>
    </w:p>
    <w:p>
      <w:pPr>
        <w:ind w:firstLine="316"/>
        <w:spacing w:after="0" w:line="276"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i w:val="1"/>
          <w:iCs w:val="1"/>
          <w:color w:val="auto"/>
        </w:rPr>
        <w:t>Number of Directors.</w:t>
      </w:r>
      <w:r>
        <w:rPr>
          <w:rFonts w:ascii="Arial" w:cs="Arial" w:eastAsia="Arial" w:hAnsi="Arial"/>
          <w:sz w:val="15"/>
          <w:szCs w:val="15"/>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Subject to the rights of the holders of any series of Preferred Stock, newly created directorships resulting from an increase in the size of the Board of Directors may be filled by the affirmative vote of a majority of the total number of directors then in office, although less than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360" w:lineRule="exact"/>
        <w:rPr>
          <w:sz w:val="20"/>
          <w:szCs w:val="20"/>
          <w:color w:val="auto"/>
        </w:rPr>
      </w:pPr>
    </w:p>
    <w:p>
      <w:pPr>
        <w:ind w:right="20" w:firstLine="316"/>
        <w:spacing w:after="0" w:line="26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Removal of Directors.</w:t>
      </w:r>
      <w:r>
        <w:rPr>
          <w:rFonts w:ascii="Arial" w:cs="Arial" w:eastAsia="Arial" w:hAnsi="Arial"/>
          <w:sz w:val="16"/>
          <w:szCs w:val="16"/>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368" w:lineRule="exact"/>
        <w:rPr>
          <w:sz w:val="20"/>
          <w:szCs w:val="20"/>
          <w:color w:val="auto"/>
        </w:rPr>
      </w:pPr>
    </w:p>
    <w:p>
      <w:pPr>
        <w:ind w:right="40" w:firstLine="316"/>
        <w:spacing w:after="0" w:line="280"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i w:val="1"/>
          <w:iCs w:val="1"/>
          <w:color w:val="auto"/>
        </w:rPr>
        <w:t>Vacancies in the Board of Directors.</w:t>
      </w:r>
      <w:r>
        <w:rPr>
          <w:rFonts w:ascii="Arial" w:cs="Arial" w:eastAsia="Arial" w:hAnsi="Arial"/>
          <w:sz w:val="15"/>
          <w:szCs w:val="15"/>
          <w:color w:val="auto"/>
        </w:rPr>
        <w:t xml:space="preserve"> Subject to the rights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EIGHT</w:t>
      </w:r>
    </w:p>
    <w:p>
      <w:pPr>
        <w:spacing w:after="0" w:line="208" w:lineRule="exact"/>
        <w:rPr>
          <w:sz w:val="20"/>
          <w:szCs w:val="20"/>
          <w:color w:val="auto"/>
        </w:rPr>
      </w:pPr>
    </w:p>
    <w:p>
      <w:pPr>
        <w:ind w:right="360" w:firstLine="316"/>
        <w:spacing w:after="0" w:line="275" w:lineRule="auto"/>
        <w:rPr>
          <w:sz w:val="20"/>
          <w:szCs w:val="20"/>
          <w:color w:val="auto"/>
        </w:rPr>
      </w:pPr>
      <w:r>
        <w:rPr>
          <w:rFonts w:ascii="Arial" w:cs="Arial" w:eastAsia="Arial" w:hAnsi="Arial"/>
          <w:sz w:val="16"/>
          <w:szCs w:val="16"/>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NINE</w:t>
      </w:r>
    </w:p>
    <w:p>
      <w:pPr>
        <w:spacing w:after="0" w:line="208"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5"/>
          <w:szCs w:val="15"/>
          <w:i w:val="1"/>
          <w:iCs w:val="1"/>
          <w:color w:val="auto"/>
        </w:rPr>
        <w:t>Indemnification; Limitation of Liability.</w:t>
      </w:r>
    </w:p>
    <w:p>
      <w:pPr>
        <w:spacing w:after="0" w:line="204" w:lineRule="exact"/>
        <w:rPr>
          <w:sz w:val="20"/>
          <w:szCs w:val="20"/>
          <w:color w:val="auto"/>
        </w:rPr>
      </w:pPr>
    </w:p>
    <w:p>
      <w:pPr>
        <w:ind w:left="480" w:firstLine="318"/>
        <w:spacing w:after="0" w:line="264" w:lineRule="auto"/>
        <w:tabs>
          <w:tab w:leader="none" w:pos="1086"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69" w:lineRule="exact"/>
        <w:rPr>
          <w:rFonts w:ascii="Arial" w:cs="Arial" w:eastAsia="Arial" w:hAnsi="Arial"/>
          <w:sz w:val="16"/>
          <w:szCs w:val="16"/>
          <w:color w:val="auto"/>
        </w:rPr>
      </w:pPr>
    </w:p>
    <w:p>
      <w:pPr>
        <w:ind w:left="480" w:right="160" w:firstLine="318"/>
        <w:spacing w:after="0" w:line="348" w:lineRule="auto"/>
        <w:tabs>
          <w:tab w:leader="none" w:pos="1089" w:val="left"/>
        </w:tabs>
        <w:numPr>
          <w:ilvl w:val="0"/>
          <w:numId w:val="83"/>
        </w:numPr>
        <w:rPr>
          <w:rFonts w:ascii="Arial" w:cs="Arial" w:eastAsia="Arial" w:hAnsi="Arial"/>
          <w:sz w:val="14"/>
          <w:szCs w:val="14"/>
          <w:color w:val="auto"/>
        </w:rPr>
      </w:pPr>
      <w:r>
        <w:rPr>
          <w:rFonts w:ascii="Arial" w:cs="Arial" w:eastAsia="Arial" w:hAnsi="Arial"/>
          <w:sz w:val="14"/>
          <w:szCs w:val="14"/>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ARTICLE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22225</wp:posOffset>
            </wp:positionV>
            <wp:extent cx="67818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88" w:lineRule="exact"/>
        <w:rPr>
          <w:sz w:val="20"/>
          <w:szCs w:val="20"/>
          <w:color w:val="auto"/>
        </w:rPr>
      </w:pPr>
    </w:p>
    <w:p>
      <w:pPr>
        <w:ind w:right="180" w:firstLine="316"/>
        <w:spacing w:after="0" w:line="264" w:lineRule="auto"/>
        <w:rPr>
          <w:sz w:val="20"/>
          <w:szCs w:val="20"/>
          <w:color w:val="auto"/>
        </w:rPr>
      </w:pPr>
      <w:r>
        <w:rPr>
          <w:rFonts w:ascii="Arial" w:cs="Arial" w:eastAsia="Arial" w:hAnsi="Arial"/>
          <w:sz w:val="16"/>
          <w:szCs w:val="16"/>
          <w:u w:val="single" w:color="auto"/>
          <w:color w:val="auto"/>
        </w:rPr>
        <w:t>For purposes of this Amended and Restated Certificate of Incorporation, "Affiliated Company" means (i) Global Infrastructure Investors III, LLC ("GIP") and (ii) 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-248285</wp:posOffset>
            </wp:positionV>
            <wp:extent cx="666051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6051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-125095</wp:posOffset>
            </wp:positionV>
            <wp:extent cx="701484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1484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wp:posOffset>
            </wp:positionV>
            <wp:extent cx="392366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23665" cy="762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ELEVEN</w:t>
      </w:r>
    </w:p>
    <w:p>
      <w:pPr>
        <w:spacing w:after="0" w:line="208" w:lineRule="exact"/>
        <w:rPr>
          <w:sz w:val="20"/>
          <w:szCs w:val="20"/>
          <w:color w:val="auto"/>
        </w:rPr>
      </w:pPr>
    </w:p>
    <w:p>
      <w:pPr>
        <w:ind w:right="220" w:firstLine="316"/>
        <w:spacing w:after="0" w:line="348" w:lineRule="auto"/>
        <w:rPr>
          <w:sz w:val="20"/>
          <w:szCs w:val="20"/>
          <w:color w:val="auto"/>
        </w:rPr>
      </w:pPr>
      <w:r>
        <w:rPr>
          <w:rFonts w:ascii="Arial" w:cs="Arial" w:eastAsia="Arial" w:hAnsi="Arial"/>
          <w:sz w:val="14"/>
          <w:szCs w:val="14"/>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TWELVE</w:t>
      </w:r>
    </w:p>
    <w:p>
      <w:pPr>
        <w:spacing w:after="0" w:line="208" w:lineRule="exact"/>
        <w:rPr>
          <w:sz w:val="20"/>
          <w:szCs w:val="20"/>
          <w:color w:val="auto"/>
        </w:rPr>
      </w:pPr>
    </w:p>
    <w:p>
      <w:pPr>
        <w:ind w:right="20" w:firstLine="316"/>
        <w:spacing w:after="0" w:line="258" w:lineRule="auto"/>
        <w:rPr>
          <w:sz w:val="20"/>
          <w:szCs w:val="20"/>
          <w:color w:val="auto"/>
        </w:rPr>
      </w:pPr>
      <w:r>
        <w:rPr>
          <w:rFonts w:ascii="Arial" w:cs="Arial" w:eastAsia="Arial" w:hAnsi="Arial"/>
          <w:sz w:val="16"/>
          <w:szCs w:val="16"/>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THIRTEEN</w:t>
      </w:r>
    </w:p>
    <w:p>
      <w:pPr>
        <w:spacing w:after="0" w:line="208" w:lineRule="exact"/>
        <w:rPr>
          <w:sz w:val="20"/>
          <w:szCs w:val="20"/>
          <w:color w:val="auto"/>
        </w:rPr>
      </w:pPr>
    </w:p>
    <w:p>
      <w:pPr>
        <w:ind w:right="100" w:firstLine="316"/>
        <w:spacing w:after="0" w:line="26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Competition and Corporate Opportunities.</w:t>
      </w:r>
      <w:r>
        <w:rPr>
          <w:rFonts w:ascii="Arial" w:cs="Arial" w:eastAsia="Arial" w:hAnsi="Arial"/>
          <w:sz w:val="16"/>
          <w:szCs w:val="16"/>
          <w:color w:val="auto"/>
        </w:rPr>
        <w:t xml:space="preserve"> To the extent provided in the following paragraphs, the Corporation renounces any interest or expectancy of the Corporation or any </w:t>
      </w:r>
      <w:r>
        <w:rPr>
          <w:rFonts w:ascii="Arial" w:cs="Arial" w:eastAsia="Arial" w:hAnsi="Arial"/>
          <w:sz w:val="16"/>
          <w:szCs w:val="16"/>
          <w:color w:val="auto"/>
          <w:strike w:val="1"/>
        </w:rPr>
        <w:t>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Controlled Company</w:t>
      </w:r>
      <w:r>
        <w:rPr>
          <w:rFonts w:ascii="Arial" w:cs="Arial" w:eastAsia="Arial" w:hAnsi="Arial"/>
          <w:sz w:val="16"/>
          <w:szCs w:val="16"/>
          <w:color w:val="auto"/>
        </w:rPr>
        <w:t xml:space="preserve"> in, or in being offered an opportunity to participate in, any Dual Opportunity presented to </w:t>
      </w:r>
      <w:r>
        <w:rPr>
          <w:rFonts w:ascii="Arial" w:cs="Arial" w:eastAsia="Arial" w:hAnsi="Arial"/>
          <w:sz w:val="16"/>
          <w:szCs w:val="16"/>
          <w:color w:val="auto"/>
          <w:strike w:val="1"/>
        </w:rPr>
        <w:t>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Entities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 any Controlled Company</w:t>
      </w:r>
      <w:r>
        <w:rPr>
          <w:rFonts w:ascii="Arial" w:cs="Arial" w:eastAsia="Arial" w:hAnsi="Arial"/>
          <w:sz w:val="16"/>
          <w:szCs w:val="16"/>
          <w:color w:val="auto"/>
        </w:rPr>
        <w:t xml:space="preserve"> or to a Dual Role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-125095</wp:posOffset>
            </wp:positionV>
            <wp:extent cx="84772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47725" cy="7620"/>
                    </a:xfrm>
                    <a:prstGeom prst="rect">
                      <a:avLst/>
                    </a:prstGeom>
                    <a:noFill/>
                  </pic:spPr>
                </pic:pic>
              </a:graphicData>
            </a:graphic>
          </wp:anchor>
        </w:drawing>
        <w:drawing>
          <wp:anchor simplePos="0" relativeHeight="251657728" behindDoc="1" locked="0" layoutInCell="0" allowOverlap="1">
            <wp:simplePos x="0" y="0"/>
            <wp:positionH relativeFrom="column">
              <wp:posOffset>6835775</wp:posOffset>
            </wp:positionH>
            <wp:positionV relativeFrom="paragraph">
              <wp:posOffset>-125095</wp:posOffset>
            </wp:positionV>
            <wp:extent cx="12319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3190" cy="7620"/>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-1270</wp:posOffset>
            </wp:positionV>
            <wp:extent cx="14414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41450" cy="7620"/>
                    </a:xfrm>
                    <a:prstGeom prst="rect">
                      <a:avLst/>
                    </a:prstGeom>
                    <a:noFill/>
                  </pic:spPr>
                </pic:pic>
              </a:graphicData>
            </a:graphic>
          </wp:anchor>
        </w:drawing>
      </w:r>
    </w:p>
    <w:p>
      <w:pPr>
        <w:spacing w:after="0" w:line="150" w:lineRule="exact"/>
        <w:rPr>
          <w:sz w:val="20"/>
          <w:szCs w:val="20"/>
          <w:color w:val="auto"/>
        </w:rPr>
      </w:pPr>
    </w:p>
    <w:p>
      <w:pPr>
        <w:ind w:left="480" w:right="180" w:firstLine="318"/>
        <w:spacing w:after="0" w:line="258" w:lineRule="auto"/>
        <w:tabs>
          <w:tab w:leader="none" w:pos="1089"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In the event that </w:t>
      </w:r>
      <w:r>
        <w:rPr>
          <w:rFonts w:ascii="Arial" w:cs="Arial" w:eastAsia="Arial" w:hAnsi="Arial"/>
          <w:sz w:val="16"/>
          <w:szCs w:val="16"/>
          <w:color w:val="auto"/>
          <w:strike w:val="1"/>
        </w:rPr>
        <w:t>NRG and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acquire</w:t>
      </w:r>
      <w:r>
        <w:rPr>
          <w:rFonts w:ascii="Arial" w:cs="Arial" w:eastAsia="Arial" w:hAnsi="Arial"/>
          <w:sz w:val="16"/>
          <w:szCs w:val="16"/>
          <w:u w:val="single" w:color="auto"/>
          <w:color w:val="auto"/>
        </w:rPr>
        <w:t>s</w:t>
      </w:r>
      <w:r>
        <w:rPr>
          <w:rFonts w:ascii="Arial" w:cs="Arial" w:eastAsia="Arial" w:hAnsi="Arial"/>
          <w:sz w:val="16"/>
          <w:szCs w:val="16"/>
          <w:color w:val="auto"/>
        </w:rPr>
        <w:t xml:space="preserve"> knowledge of a potential transaction or matter which may be a Dual Opportunity, </w:t>
      </w:r>
      <w:r>
        <w:rPr>
          <w:rFonts w:ascii="Arial" w:cs="Arial" w:eastAsia="Arial" w:hAnsi="Arial"/>
          <w:sz w:val="16"/>
          <w:szCs w:val="16"/>
          <w:color w:val="auto"/>
          <w:strike w:val="1"/>
        </w:rPr>
        <w:t>neither</w:t>
      </w:r>
      <w:r>
        <w:rPr>
          <w:rFonts w:ascii="Arial" w:cs="Arial" w:eastAsia="Arial" w:hAnsi="Arial"/>
          <w:sz w:val="16"/>
          <w:szCs w:val="16"/>
          <w:color w:val="auto"/>
        </w:rPr>
        <w:t xml:space="preserve"> the Corporation </w:t>
      </w:r>
      <w:r>
        <w:rPr>
          <w:rFonts w:ascii="Arial" w:cs="Arial" w:eastAsia="Arial" w:hAnsi="Arial"/>
          <w:sz w:val="16"/>
          <w:szCs w:val="16"/>
          <w:color w:val="auto"/>
          <w:strike w:val="1"/>
        </w:rPr>
        <w:t>nor any 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any Controlled Company</w:t>
      </w:r>
      <w:r>
        <w:rPr>
          <w:rFonts w:ascii="Arial" w:cs="Arial" w:eastAsia="Arial" w:hAnsi="Arial"/>
          <w:sz w:val="16"/>
          <w:szCs w:val="16"/>
          <w:color w:val="auto"/>
        </w:rPr>
        <w:t xml:space="preserv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to the fullest extent permitted by law, have any expectancy in such Dual Opportunity. </w:t>
      </w:r>
      <w:r>
        <w:rPr>
          <w:rFonts w:ascii="Arial" w:cs="Arial" w:eastAsia="Arial" w:hAnsi="Arial"/>
          <w:sz w:val="16"/>
          <w:szCs w:val="16"/>
          <w:color w:val="auto"/>
          <w:strike w:val="1"/>
        </w:rPr>
        <w:t>NRG and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shall not have </w:t>
      </w:r>
      <w:r>
        <w:rPr>
          <w:rFonts w:ascii="Arial" w:cs="Arial" w:eastAsia="Arial" w:hAnsi="Arial"/>
          <w:sz w:val="16"/>
          <w:szCs w:val="16"/>
          <w:color w:val="auto"/>
          <w:strike w:val="1"/>
        </w:rPr>
        <w:t>no</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duty to communicate or offer to the Corporation or any </w:t>
      </w:r>
      <w:r>
        <w:rPr>
          <w:rFonts w:ascii="Arial" w:cs="Arial" w:eastAsia="Arial" w:hAnsi="Arial"/>
          <w:sz w:val="16"/>
          <w:szCs w:val="16"/>
          <w:color w:val="auto"/>
          <w:strike w:val="1"/>
        </w:rPr>
        <w:t>of its Affiliated</w:t>
      </w:r>
      <w:r>
        <w:rPr>
          <w:rFonts w:ascii="Arial" w:cs="Arial" w:eastAsia="Arial" w:hAnsi="Arial"/>
          <w:sz w:val="16"/>
          <w:szCs w:val="16"/>
          <w:color w:val="auto"/>
        </w:rPr>
        <w:t xml:space="preserve">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Controlled Company</w:t>
      </w:r>
      <w:r>
        <w:rPr>
          <w:rFonts w:ascii="Arial" w:cs="Arial" w:eastAsia="Arial" w:hAnsi="Arial"/>
          <w:sz w:val="16"/>
          <w:szCs w:val="16"/>
          <w:color w:val="auto"/>
        </w:rPr>
        <w:t>, or refrain from engaging directly or indirectly in, any Dual Opportunity, and may pursue or acquire such Dual Opportunity for themselves or direct such Dual Opportunity to another Person.</w:t>
      </w:r>
    </w:p>
    <w:p>
      <w:pPr>
        <w:spacing w:after="0" w:line="176" w:lineRule="exact"/>
        <w:rPr>
          <w:rFonts w:ascii="Arial" w:cs="Arial" w:eastAsia="Arial" w:hAnsi="Arial"/>
          <w:sz w:val="16"/>
          <w:szCs w:val="16"/>
          <w:color w:val="auto"/>
        </w:rPr>
      </w:pPr>
    </w:p>
    <w:p>
      <w:pPr>
        <w:ind w:left="480" w:firstLine="318"/>
        <w:spacing w:after="0" w:line="257" w:lineRule="auto"/>
        <w:tabs>
          <w:tab w:leader="none" w:pos="1089"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A Dual Role Person (i) shall have no duty to communicate or offer to the Corporation </w:t>
      </w:r>
      <w:r>
        <w:rPr>
          <w:rFonts w:ascii="Arial" w:cs="Arial" w:eastAsia="Arial" w:hAnsi="Arial"/>
          <w:sz w:val="16"/>
          <w:szCs w:val="16"/>
          <w:color w:val="auto"/>
          <w:strike w:val="1"/>
        </w:rPr>
        <w:t>or any 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or any Controlled Company</w:t>
      </w:r>
      <w:r>
        <w:rPr>
          <w:rFonts w:ascii="Arial" w:cs="Arial" w:eastAsia="Arial" w:hAnsi="Arial"/>
          <w:sz w:val="16"/>
          <w:szCs w:val="16"/>
          <w:color w:val="auto"/>
        </w:rPr>
        <w:t xml:space="preserve"> any Dual Opportunity that such Dual Role Person has communicated or offered to </w:t>
      </w:r>
      <w:r>
        <w:rPr>
          <w:rFonts w:ascii="Arial" w:cs="Arial" w:eastAsia="Arial" w:hAnsi="Arial"/>
          <w:sz w:val="16"/>
          <w:szCs w:val="16"/>
          <w:color w:val="auto"/>
          <w:strike w:val="1"/>
        </w:rPr>
        <w:t>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(ii) shall not be prohibited from communicating or offering any Dual Opportunity to </w:t>
      </w:r>
      <w:r>
        <w:rPr>
          <w:rFonts w:ascii="Arial" w:cs="Arial" w:eastAsia="Arial" w:hAnsi="Arial"/>
          <w:sz w:val="16"/>
          <w:szCs w:val="16"/>
          <w:color w:val="auto"/>
          <w:strike w:val="1"/>
        </w:rPr>
        <w:t>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(iii) shall not be liable to the Corporation or its stockholders for breach of any fiduciary duty as a stockholder, director or officer of the Corporation, as the case may be, resulting from (x) the failure to communicate or offer to the Corporation or any </w:t>
      </w:r>
      <w:r>
        <w:rPr>
          <w:rFonts w:ascii="Arial" w:cs="Arial" w:eastAsia="Arial" w:hAnsi="Arial"/>
          <w:sz w:val="16"/>
          <w:szCs w:val="16"/>
          <w:color w:val="auto"/>
          <w:strike w:val="1"/>
        </w:rPr>
        <w:t>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Controlled Company</w:t>
      </w:r>
      <w:r>
        <w:rPr>
          <w:rFonts w:ascii="Arial" w:cs="Arial" w:eastAsia="Arial" w:hAnsi="Arial"/>
          <w:sz w:val="16"/>
          <w:szCs w:val="16"/>
          <w:color w:val="auto"/>
        </w:rPr>
        <w:t xml:space="preserve"> any Dual Opportunity that such Dual Role Person has communicated or offered to </w:t>
      </w:r>
      <w:r>
        <w:rPr>
          <w:rFonts w:ascii="Arial" w:cs="Arial" w:eastAsia="Arial" w:hAnsi="Arial"/>
          <w:sz w:val="16"/>
          <w:szCs w:val="16"/>
          <w:color w:val="auto"/>
          <w:strike w:val="1"/>
        </w:rPr>
        <w:t>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color w:val="auto"/>
          <w:strike w:val="1"/>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-1353185</wp:posOffset>
            </wp:positionV>
            <wp:extent cx="12319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190" cy="762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-1353185</wp:posOffset>
            </wp:positionV>
            <wp:extent cx="39306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3065" cy="762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-1353185</wp:posOffset>
            </wp:positionV>
            <wp:extent cx="3873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762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-1229995</wp:posOffset>
            </wp:positionV>
            <wp:extent cx="15494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9400" cy="7620"/>
                    </a:xfrm>
                    <a:prstGeom prst="rect">
                      <a:avLst/>
                    </a:prstGeom>
                    <a:noFill/>
                  </pic:spPr>
                </pic:pic>
              </a:graphicData>
            </a:graphic>
          </wp:anchor>
        </w:drawing>
        <w:drawing>
          <wp:anchor simplePos="0" relativeHeight="251657728" behindDoc="1" locked="0" layoutInCell="0" allowOverlap="1">
            <wp:simplePos x="0" y="0"/>
            <wp:positionH relativeFrom="column">
              <wp:posOffset>1586230</wp:posOffset>
            </wp:positionH>
            <wp:positionV relativeFrom="paragraph">
              <wp:posOffset>-1106805</wp:posOffset>
            </wp:positionV>
            <wp:extent cx="15430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4305" cy="7620"/>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-1106805</wp:posOffset>
            </wp:positionV>
            <wp:extent cx="38544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5445" cy="762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-1106805</wp:posOffset>
            </wp:positionV>
            <wp:extent cx="4635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355" cy="7620"/>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-983615</wp:posOffset>
            </wp:positionV>
            <wp:extent cx="84010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40105" cy="762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-613410</wp:posOffset>
            </wp:positionV>
            <wp:extent cx="112522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25220" cy="762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-490220</wp:posOffset>
            </wp:positionV>
            <wp:extent cx="12319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3190" cy="762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-490220</wp:posOffset>
            </wp:positionV>
            <wp:extent cx="38544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5445" cy="762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-366395</wp:posOffset>
            </wp:positionV>
            <wp:extent cx="12319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3190" cy="7620"/>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-366395</wp:posOffset>
            </wp:positionV>
            <wp:extent cx="39306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3065" cy="7620"/>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-120015</wp:posOffset>
            </wp:positionV>
            <wp:extent cx="84010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40105" cy="762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-120015</wp:posOffset>
            </wp:positionV>
            <wp:extent cx="12319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3190" cy="7620"/>
                    </a:xfrm>
                    <a:prstGeom prst="rect">
                      <a:avLst/>
                    </a:prstGeom>
                    <a:noFill/>
                  </pic:spPr>
                </pic:pic>
              </a:graphicData>
            </a:graphic>
          </wp:anchor>
        </w:drawing>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ind w:left="480" w:right="140"/>
        <w:spacing w:after="0" w:line="275" w:lineRule="auto"/>
        <w:rPr>
          <w:sz w:val="20"/>
          <w:szCs w:val="20"/>
          <w:color w:val="auto"/>
        </w:rPr>
      </w:pP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(y) the communication or offer </w:t>
      </w:r>
      <w:r>
        <w:rPr>
          <w:rFonts w:ascii="Arial" w:cs="Arial" w:eastAsia="Arial" w:hAnsi="Arial"/>
          <w:sz w:val="16"/>
          <w:szCs w:val="16"/>
          <w:color w:val="auto"/>
          <w:strike w:val="1"/>
        </w:rPr>
        <w:t>to 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of any Dual Opportunity, in each case, so long as the Dual Opportunity was not expressly offered in writing to the Dual Role Person solely in his or her capacity as a director or officer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-130175</wp:posOffset>
            </wp:positionV>
            <wp:extent cx="39306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93065" cy="762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-130175</wp:posOffset>
            </wp:positionV>
            <wp:extent cx="12319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3190" cy="762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-130175</wp:posOffset>
            </wp:positionV>
            <wp:extent cx="38544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5445" cy="7620"/>
                    </a:xfrm>
                    <a:prstGeom prst="rect">
                      <a:avLst/>
                    </a:prstGeom>
                    <a:noFill/>
                  </pic:spPr>
                </pic:pic>
              </a:graphicData>
            </a:graphic>
          </wp:anchor>
        </w:drawing>
      </w:r>
    </w:p>
    <w:p>
      <w:pPr>
        <w:spacing w:after="0" w:line="335" w:lineRule="exact"/>
        <w:rPr>
          <w:sz w:val="20"/>
          <w:szCs w:val="20"/>
          <w:color w:val="auto"/>
        </w:rPr>
      </w:pPr>
    </w:p>
    <w:p>
      <w:pPr>
        <w:ind w:right="100" w:firstLine="316"/>
        <w:spacing w:after="0" w:line="25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Certain Matters Deemed not Corporate Opportunities.</w:t>
      </w:r>
      <w:r>
        <w:rPr>
          <w:rFonts w:ascii="Arial" w:cs="Arial" w:eastAsia="Arial" w:hAnsi="Arial"/>
          <w:sz w:val="16"/>
          <w:szCs w:val="16"/>
          <w:color w:val="auto"/>
        </w:rPr>
        <w:t xml:space="preserve"> In addition to and notwithstanding the foregoing provisions of this Article THIRTEEN,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THIRTEEN shall amend or modify in any respect any written contractual agreement between </w:t>
      </w:r>
      <w:r>
        <w:rPr>
          <w:rFonts w:ascii="Arial" w:cs="Arial" w:eastAsia="Arial" w:hAnsi="Arial"/>
          <w:sz w:val="16"/>
          <w:szCs w:val="16"/>
          <w:color w:val="auto"/>
          <w:strike w:val="1"/>
        </w:rPr>
        <w:t>NRG or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on the one hand, and the Corporation or any of its Affiliated Companies,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-120015</wp:posOffset>
            </wp:positionV>
            <wp:extent cx="1155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5570" cy="762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-120015</wp:posOffset>
            </wp:positionV>
            <wp:extent cx="39306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93065" cy="7620"/>
                    </a:xfrm>
                    <a:prstGeom prst="rect">
                      <a:avLst/>
                    </a:prstGeom>
                    <a:noFill/>
                  </pic:spPr>
                </pic:pic>
              </a:graphicData>
            </a:graphic>
          </wp:anchor>
        </w:drawing>
      </w:r>
    </w:p>
    <w:p>
      <w:pPr>
        <w:spacing w:after="0" w:line="352" w:lineRule="exact"/>
        <w:rPr>
          <w:sz w:val="20"/>
          <w:szCs w:val="20"/>
          <w:color w:val="auto"/>
        </w:rPr>
      </w:pPr>
    </w:p>
    <w:p>
      <w:pPr>
        <w:ind w:left="320"/>
        <w:spacing w:after="0"/>
        <w:tabs>
          <w:tab w:leader="none" w:pos="1080" w:val="left"/>
          <w:tab w:leader="none" w:pos="254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6"/>
          <w:szCs w:val="16"/>
          <w:i w:val="1"/>
          <w:iCs w:val="1"/>
          <w:color w:val="auto"/>
        </w:rPr>
        <w:t>Certain Definitions.</w:t>
      </w:r>
      <w:r>
        <w:rPr>
          <w:sz w:val="20"/>
          <w:szCs w:val="20"/>
          <w:color w:val="auto"/>
        </w:rPr>
        <w:tab/>
      </w:r>
      <w:r>
        <w:rPr>
          <w:rFonts w:ascii="Arial" w:cs="Arial" w:eastAsia="Arial" w:hAnsi="Arial"/>
          <w:sz w:val="14"/>
          <w:szCs w:val="14"/>
          <w:color w:val="auto"/>
        </w:rPr>
        <w:t>For purposes of this Article THIRTEEN and Article FIFTEEN:</w:t>
      </w:r>
    </w:p>
    <w:p>
      <w:pPr>
        <w:spacing w:after="0" w:line="204" w:lineRule="exact"/>
        <w:rPr>
          <w:sz w:val="20"/>
          <w:szCs w:val="20"/>
          <w:color w:val="auto"/>
        </w:rPr>
      </w:pPr>
    </w:p>
    <w:p>
      <w:pPr>
        <w:ind w:right="100" w:firstLine="316"/>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strike w:val="1"/>
        </w:rPr>
        <w:t>Affiliated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Controlled</w:t>
      </w:r>
      <w:r>
        <w:rPr>
          <w:rFonts w:ascii="Arial" w:cs="Arial" w:eastAsia="Arial" w:hAnsi="Arial"/>
          <w:sz w:val="16"/>
          <w:szCs w:val="16"/>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means </w:t>
      </w:r>
      <w:r>
        <w:rPr>
          <w:rFonts w:ascii="Arial" w:cs="Arial" w:eastAsia="Arial" w:hAnsi="Arial"/>
          <w:sz w:val="16"/>
          <w:szCs w:val="16"/>
          <w:color w:val="auto"/>
          <w:strike w:val="1"/>
        </w:rPr>
        <w:t>(i) with respect to the Corporation,</w:t>
      </w:r>
      <w:r>
        <w:rPr>
          <w:rFonts w:ascii="Arial" w:cs="Arial" w:eastAsia="Arial" w:hAnsi="Arial"/>
          <w:sz w:val="16"/>
          <w:szCs w:val="16"/>
          <w:color w:val="auto"/>
        </w:rPr>
        <w:t xml:space="preserve"> any Person controlled by the Corporation</w:t>
      </w:r>
      <w:r>
        <w:rPr>
          <w:rFonts w:ascii="Arial" w:cs="Arial" w:eastAsia="Arial" w:hAnsi="Arial"/>
          <w:sz w:val="16"/>
          <w:szCs w:val="16"/>
          <w:color w:val="auto"/>
          <w:strike w:val="1"/>
        </w:rPr>
        <w:t>, (ii) with respect to NRG, any Person controlled by</w:t>
      </w:r>
      <w:r>
        <w:rPr>
          <w:rFonts w:ascii="Arial" w:cs="Arial" w:eastAsia="Arial" w:hAnsi="Arial"/>
          <w:sz w:val="16"/>
          <w:szCs w:val="16"/>
          <w:color w:val="auto"/>
        </w:rPr>
        <w:t xml:space="preserve"> </w:t>
      </w:r>
      <w:r>
        <w:rPr>
          <w:rFonts w:ascii="Arial" w:cs="Arial" w:eastAsia="Arial" w:hAnsi="Arial"/>
          <w:sz w:val="16"/>
          <w:szCs w:val="16"/>
          <w:color w:val="auto"/>
          <w:strike w:val="1"/>
        </w:rPr>
        <w:t>NRG, other than the Corporation.</w:t>
      </w:r>
      <w:r>
        <w:rPr>
          <w:rFonts w:ascii="Arial" w:cs="Arial" w:eastAsia="Arial" w:hAnsi="Arial"/>
          <w:sz w:val="16"/>
          <w:szCs w:val="16"/>
          <w:color w:val="auto"/>
        </w:rPr>
        <w:t xml:space="preserve"> For purposes of this definition "is controlled by" means the power to direct or cause the direction of the management and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-248285</wp:posOffset>
            </wp:positionV>
            <wp:extent cx="4318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0" cy="7620"/>
                    </a:xfrm>
                    <a:prstGeom prst="rect">
                      <a:avLst/>
                    </a:prstGeom>
                    <a:noFill/>
                  </pic:spPr>
                </pic:pic>
              </a:graphicData>
            </a:graphic>
          </wp:anchor>
        </w:drawing>
      </w:r>
    </w:p>
    <w:p>
      <w:pPr>
        <w:spacing w:after="0" w:line="150" w:lineRule="exact"/>
        <w:rPr>
          <w:sz w:val="20"/>
          <w:szCs w:val="20"/>
          <w:color w:val="auto"/>
        </w:rPr>
      </w:pPr>
    </w:p>
    <w:p>
      <w:pPr>
        <w:jc w:val="both"/>
        <w:ind w:right="80" w:firstLine="316"/>
        <w:spacing w:after="0" w:line="26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Dual Opportunity</w:t>
      </w:r>
      <w:r>
        <w:rPr>
          <w:rFonts w:ascii="Arial" w:cs="Arial" w:eastAsia="Arial" w:hAnsi="Arial"/>
          <w:sz w:val="16"/>
          <w:szCs w:val="16"/>
          <w:color w:val="auto"/>
        </w:rPr>
        <w:t xml:space="preserve">" means any potential transaction or matter within the same or similar business activities or related lines of business as those in which the Corporation or any </w:t>
      </w:r>
      <w:r>
        <w:rPr>
          <w:rFonts w:ascii="Arial" w:cs="Arial" w:eastAsia="Arial" w:hAnsi="Arial"/>
          <w:sz w:val="16"/>
          <w:szCs w:val="16"/>
          <w:color w:val="auto"/>
          <w:strike w:val="1"/>
        </w:rPr>
        <w:t>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Controlled Company</w:t>
      </w:r>
      <w:r>
        <w:rPr>
          <w:rFonts w:ascii="Arial" w:cs="Arial" w:eastAsia="Arial" w:hAnsi="Arial"/>
          <w:sz w:val="16"/>
          <w:szCs w:val="16"/>
          <w:color w:val="auto"/>
        </w:rPr>
        <w:t xml:space="preserve"> may engage, and/or other business activities that overlap with or compete with those in which the Corporation, directly or indirectly, participates or which may be a corporate opportunity for the Corporation or any </w:t>
      </w:r>
      <w:r>
        <w:rPr>
          <w:rFonts w:ascii="Arial" w:cs="Arial" w:eastAsia="Arial" w:hAnsi="Arial"/>
          <w:sz w:val="16"/>
          <w:szCs w:val="16"/>
          <w:color w:val="auto"/>
          <w:strike w:val="1"/>
        </w:rPr>
        <w:t>of 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Controlled Company</w:t>
      </w:r>
      <w:r>
        <w:rPr>
          <w:rFonts w:ascii="Arial" w:cs="Arial" w:eastAsia="Arial" w:hAnsi="Arial"/>
          <w:sz w:val="16"/>
          <w:szCs w:val="16"/>
          <w:color w:val="auto"/>
        </w:rPr>
        <w:t xml:space="preserve">, on the one hand, and for </w:t>
      </w:r>
      <w:r>
        <w:rPr>
          <w:rFonts w:ascii="Arial" w:cs="Arial" w:eastAsia="Arial" w:hAnsi="Arial"/>
          <w:sz w:val="16"/>
          <w:szCs w:val="16"/>
          <w:color w:val="auto"/>
          <w:strike w:val="1"/>
        </w:rPr>
        <w:t>NRG and</w:t>
      </w:r>
      <w:r>
        <w:rPr>
          <w:rFonts w:ascii="Arial" w:cs="Arial" w:eastAsia="Arial" w:hAnsi="Arial"/>
          <w:sz w:val="16"/>
          <w:szCs w:val="16"/>
          <w:color w:val="auto"/>
        </w:rPr>
        <w:t xml:space="preserve"> </w:t>
      </w:r>
      <w:r>
        <w:rPr>
          <w:rFonts w:ascii="Arial" w:cs="Arial" w:eastAsia="Arial" w:hAnsi="Arial"/>
          <w:sz w:val="16"/>
          <w:szCs w:val="16"/>
          <w:color w:val="auto"/>
          <w:strike w:val="1"/>
        </w:rPr>
        <w:t>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-245745</wp:posOffset>
            </wp:positionV>
            <wp:extent cx="84010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40105" cy="7620"/>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-121920</wp:posOffset>
            </wp:positionV>
            <wp:extent cx="84010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40105" cy="762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635</wp:posOffset>
            </wp:positionV>
            <wp:extent cx="11557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5570" cy="762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635</wp:posOffset>
            </wp:positionV>
            <wp:extent cx="38544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5445" cy="7620"/>
                    </a:xfrm>
                    <a:prstGeom prst="rect">
                      <a:avLst/>
                    </a:prstGeom>
                    <a:noFill/>
                  </pic:spPr>
                </pic:pic>
              </a:graphicData>
            </a:graphic>
          </wp:anchor>
        </w:drawing>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Dual Role Person</w:t>
      </w:r>
      <w:r>
        <w:rPr>
          <w:rFonts w:ascii="Arial" w:cs="Arial" w:eastAsia="Arial" w:hAnsi="Arial"/>
          <w:sz w:val="16"/>
          <w:szCs w:val="16"/>
          <w:color w:val="auto"/>
        </w:rPr>
        <w:t xml:space="preserve">" means any individual who is an officer or director of both the Corporation and </w:t>
      </w:r>
      <w:r>
        <w:rPr>
          <w:rFonts w:ascii="Arial" w:cs="Arial" w:eastAsia="Arial" w:hAnsi="Arial"/>
          <w:sz w:val="16"/>
          <w:szCs w:val="16"/>
          <w:color w:val="auto"/>
          <w:strike w:val="1"/>
        </w:rPr>
        <w:t>NRG</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Affiliated Company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19685</wp:posOffset>
            </wp:positionV>
            <wp:extent cx="94805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8055" cy="7620"/>
                    </a:xfrm>
                    <a:prstGeom prst="rect">
                      <a:avLst/>
                    </a:prstGeom>
                    <a:noFill/>
                  </pic:spPr>
                </pic:pic>
              </a:graphicData>
            </a:graphic>
          </wp:anchor>
        </w:drawing>
      </w:r>
    </w:p>
    <w:p>
      <w:pPr>
        <w:spacing w:after="0" w:line="184" w:lineRule="exact"/>
        <w:rPr>
          <w:sz w:val="20"/>
          <w:szCs w:val="20"/>
          <w:color w:val="auto"/>
        </w:rPr>
      </w:pPr>
    </w:p>
    <w:p>
      <w:pPr>
        <w:ind w:right="320" w:firstLine="316"/>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355" w:lineRule="exact"/>
        <w:rPr>
          <w:sz w:val="20"/>
          <w:szCs w:val="20"/>
          <w:color w:val="auto"/>
        </w:rPr>
      </w:pPr>
    </w:p>
    <w:p>
      <w:pPr>
        <w:ind w:firstLine="316"/>
        <w:spacing w:after="0" w:line="25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The provisions of this Article THIRTEEN shall have no further force or effect at such time as (i) the Corporation and </w:t>
      </w:r>
      <w:r>
        <w:rPr>
          <w:rFonts w:ascii="Arial" w:cs="Arial" w:eastAsia="Arial" w:hAnsi="Arial"/>
          <w:sz w:val="16"/>
          <w:szCs w:val="16"/>
          <w:color w:val="auto"/>
          <w:strike w:val="1"/>
        </w:rPr>
        <w:t>NRG</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Affiliated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are no longer affiliates of each other and (ii) none of the directors and/or officers of </w:t>
      </w:r>
      <w:r>
        <w:rPr>
          <w:rFonts w:ascii="Arial" w:cs="Arial" w:eastAsia="Arial" w:hAnsi="Arial"/>
          <w:sz w:val="16"/>
          <w:szCs w:val="16"/>
          <w:color w:val="auto"/>
          <w:strike w:val="1"/>
        </w:rPr>
        <w:t>NRG</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Affiliated Company</w:t>
      </w:r>
      <w:r>
        <w:rPr>
          <w:rFonts w:ascii="Arial" w:cs="Arial" w:eastAsia="Arial" w:hAnsi="Arial"/>
          <w:sz w:val="16"/>
          <w:szCs w:val="16"/>
          <w:color w:val="auto"/>
        </w:rPr>
        <w:t xml:space="preserve"> serve as directors and/or officers of the Corporation and </w:t>
      </w:r>
      <w:r>
        <w:rPr>
          <w:rFonts w:ascii="Arial" w:cs="Arial" w:eastAsia="Arial" w:hAnsi="Arial"/>
          <w:sz w:val="16"/>
          <w:szCs w:val="16"/>
          <w:color w:val="auto"/>
          <w:strike w:val="1"/>
        </w:rPr>
        <w:t>its Affiliated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any Controlled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termination shall not terminate the effect of such provisions with respect to any agreement, arrangement or other understanding between the Corporation or </w:t>
      </w:r>
      <w:r>
        <w:rPr>
          <w:rFonts w:ascii="Arial" w:cs="Arial" w:eastAsia="Arial" w:hAnsi="Arial"/>
          <w:sz w:val="16"/>
          <w:szCs w:val="16"/>
          <w:color w:val="auto"/>
          <w:strike w:val="1"/>
        </w:rPr>
        <w:t>an Affiliated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 Controlled</w:t>
      </w:r>
      <w:r>
        <w:rPr>
          <w:rFonts w:ascii="Arial" w:cs="Arial" w:eastAsia="Arial" w:hAnsi="Arial"/>
          <w:sz w:val="16"/>
          <w:szCs w:val="16"/>
          <w:color w:val="auto"/>
        </w:rPr>
        <w:t xml:space="preserve"> Company thereof, on the one hand, and </w:t>
      </w:r>
      <w:r>
        <w:rPr>
          <w:rFonts w:ascii="Arial" w:cs="Arial" w:eastAsia="Arial" w:hAnsi="Arial"/>
          <w:sz w:val="16"/>
          <w:szCs w:val="16"/>
          <w:color w:val="auto"/>
          <w:strike w:val="1"/>
        </w:rPr>
        <w:t>NRG or an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Company </w:t>
      </w:r>
      <w:r>
        <w:rPr>
          <w:rFonts w:ascii="Arial" w:cs="Arial" w:eastAsia="Arial" w:hAnsi="Arial"/>
          <w:sz w:val="16"/>
          <w:szCs w:val="16"/>
          <w:color w:val="auto"/>
          <w:strike w:val="1"/>
        </w:rPr>
        <w:t>thereof</w:t>
      </w:r>
      <w:r>
        <w:rPr>
          <w:rFonts w:ascii="Arial" w:cs="Arial" w:eastAsia="Arial" w:hAnsi="Arial"/>
          <w:sz w:val="16"/>
          <w:szCs w:val="16"/>
          <w:color w:val="auto"/>
        </w:rPr>
        <w:t>, on the other hand, that was entered into before such time or any transaction entered into in the performance of such agreement, arrangement or other understanding, whether entered into before or after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-613410</wp:posOffset>
            </wp:positionV>
            <wp:extent cx="53975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975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-490220</wp:posOffset>
            </wp:positionV>
            <wp:extent cx="39306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3065" cy="762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-490220</wp:posOffset>
            </wp:positionV>
            <wp:extent cx="94805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8055" cy="762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-366395</wp:posOffset>
            </wp:positionV>
            <wp:extent cx="100965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0965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-243205</wp:posOffset>
            </wp:positionV>
            <wp:extent cx="49339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3395" cy="762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-243205</wp:posOffset>
            </wp:positionV>
            <wp:extent cx="12319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3190" cy="7620"/>
                    </a:xfrm>
                    <a:prstGeom prst="rect">
                      <a:avLst/>
                    </a:prstGeom>
                    <a:noFill/>
                  </pic:spPr>
                </pic:pic>
              </a:graphicData>
            </a:graphic>
          </wp:anchor>
        </w:drawing>
      </w:r>
    </w:p>
    <w:p>
      <w:pPr>
        <w:spacing w:after="0" w:line="352" w:lineRule="exact"/>
        <w:rPr>
          <w:sz w:val="20"/>
          <w:szCs w:val="20"/>
          <w:color w:val="auto"/>
        </w:rPr>
      </w:pPr>
    </w:p>
    <w:p>
      <w:pPr>
        <w:ind w:right="160" w:firstLine="316"/>
        <w:spacing w:after="0" w:line="27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Deemed Notice.</w:t>
      </w:r>
      <w:r>
        <w:rPr>
          <w:rFonts w:ascii="Arial" w:cs="Arial" w:eastAsia="Arial" w:hAnsi="Arial"/>
          <w:sz w:val="16"/>
          <w:szCs w:val="16"/>
          <w:color w:val="auto"/>
        </w:rPr>
        <w:t xml:space="preserve"> Any person or entity purchasing or otherwise acquiring or obtaining any interest in any capital stock of the Corporation shall be deemed to have notice and to have consented to the provisions of this Article THIRTEEN.</w:t>
      </w:r>
    </w:p>
    <w:p>
      <w:pPr>
        <w:spacing w:after="0" w:line="355" w:lineRule="exact"/>
        <w:rPr>
          <w:sz w:val="20"/>
          <w:szCs w:val="20"/>
          <w:color w:val="auto"/>
        </w:rPr>
      </w:pPr>
    </w:p>
    <w:p>
      <w:pPr>
        <w:ind w:right="400" w:firstLine="316"/>
        <w:spacing w:after="0" w:line="275"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The invalidity or unenforceability of any particular provision, or part of any provision, of this Article THIRTEEN shall not affect the other provisions or parts hereof, and this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Article THIRTEEN shall be construed in all respects as if such invalid or unenforceable provisions or parts were omitted.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FOURTEEN</w:t>
      </w:r>
    </w:p>
    <w:p>
      <w:pPr>
        <w:spacing w:after="0" w:line="208" w:lineRule="exact"/>
        <w:rPr>
          <w:sz w:val="20"/>
          <w:szCs w:val="20"/>
          <w:color w:val="auto"/>
        </w:rPr>
      </w:pPr>
    </w:p>
    <w:p>
      <w:pPr>
        <w:ind w:right="200" w:firstLine="316"/>
        <w:spacing w:after="0" w:line="294" w:lineRule="auto"/>
        <w:rPr>
          <w:sz w:val="20"/>
          <w:szCs w:val="20"/>
          <w:color w:val="auto"/>
        </w:rPr>
      </w:pPr>
      <w:r>
        <w:rPr>
          <w:rFonts w:ascii="Arial" w:cs="Arial" w:eastAsia="Arial" w:hAnsi="Arial"/>
          <w:sz w:val="14"/>
          <w:szCs w:val="14"/>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w:t>
      </w:r>
    </w:p>
    <w:p>
      <w:pPr>
        <w:ind w:right="100"/>
        <w:spacing w:after="0" w:line="229" w:lineRule="auto"/>
        <w:rPr>
          <w:sz w:val="20"/>
          <w:szCs w:val="20"/>
          <w:color w:val="auto"/>
        </w:rPr>
      </w:pPr>
      <w:r>
        <w:rPr>
          <w:rFonts w:ascii="Arial" w:cs="Arial" w:eastAsia="Arial" w:hAnsi="Arial"/>
          <w:sz w:val="16"/>
          <w:szCs w:val="16"/>
          <w:color w:val="auto"/>
        </w:rPr>
        <w:t>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of the combined voting power of all of the then outstanding shares of the Corporation eligible to be cast in the election of directors generally voting as a single class shall be required to alter, amend or repeal Section </w:t>
      </w:r>
      <w:r>
        <w:rPr>
          <w:rFonts w:ascii="Arial" w:cs="Arial" w:eastAsia="Arial" w:hAnsi="Arial"/>
          <w:sz w:val="16"/>
          <w:szCs w:val="16"/>
          <w:color w:val="auto"/>
          <w:strike w:val="1"/>
        </w:rPr>
        <w:t>2</w:t>
      </w:r>
      <w:r>
        <w:rPr>
          <w:rFonts w:ascii="Arial" w:cs="Arial" w:eastAsia="Arial" w:hAnsi="Arial"/>
          <w:sz w:val="16"/>
          <w:szCs w:val="16"/>
          <w:u w:val="single" w:color="auto"/>
          <w:color w:val="auto"/>
        </w:rPr>
        <w:t>1</w:t>
      </w:r>
      <w:r>
        <w:rPr>
          <w:rFonts w:ascii="Arial" w:cs="Arial" w:eastAsia="Arial" w:hAnsi="Arial"/>
          <w:sz w:val="16"/>
          <w:szCs w:val="16"/>
          <w:color w:val="auto"/>
        </w:rPr>
        <w:t xml:space="preserve"> of ARTICLE FOUR hereof, ARTICLE EIGHT hereof, ARTICLE NINE hereof, Section </w:t>
      </w:r>
      <w:r>
        <w:rPr>
          <w:rFonts w:ascii="Arial" w:cs="Arial" w:eastAsia="Arial" w:hAnsi="Arial"/>
          <w:sz w:val="16"/>
          <w:szCs w:val="16"/>
          <w:color w:val="auto"/>
          <w:strike w:val="1"/>
        </w:rPr>
        <w:t>2</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ARTICLE </w:t>
      </w:r>
      <w:r>
        <w:rPr>
          <w:rFonts w:ascii="Arial" w:cs="Arial" w:eastAsia="Arial" w:hAnsi="Arial"/>
          <w:sz w:val="16"/>
          <w:szCs w:val="16"/>
          <w:color w:val="auto"/>
          <w:strike w:val="1"/>
        </w:rPr>
        <w:t>TEN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SEVEN</w:t>
      </w:r>
      <w:r>
        <w:rPr>
          <w:rFonts w:ascii="Arial" w:cs="Arial" w:eastAsia="Arial" w:hAnsi="Arial"/>
          <w:sz w:val="16"/>
          <w:szCs w:val="16"/>
          <w:color w:val="auto"/>
        </w:rPr>
        <w:t xml:space="preserve"> hereof, ARTICLES TWELVE and THIRTEEN hereof, this ARTICLE FOURTEEN, or ARTICLE FIFTEEN hereof or any provision thereof or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-235585</wp:posOffset>
            </wp:positionV>
            <wp:extent cx="4635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6355" cy="7620"/>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-112395</wp:posOffset>
            </wp:positionV>
            <wp:extent cx="4635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6355" cy="7620"/>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-112395</wp:posOffset>
            </wp:positionV>
            <wp:extent cx="32385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3850" cy="7620"/>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FIFTEEN</w:t>
      </w:r>
    </w:p>
    <w:p>
      <w:pPr>
        <w:spacing w:after="0" w:line="208" w:lineRule="exact"/>
        <w:rPr>
          <w:sz w:val="20"/>
          <w:szCs w:val="20"/>
          <w:color w:val="auto"/>
        </w:rPr>
      </w:pPr>
    </w:p>
    <w:p>
      <w:pPr>
        <w:ind w:right="160" w:firstLine="313"/>
        <w:spacing w:after="0" w:line="260" w:lineRule="auto"/>
        <w:rPr>
          <w:sz w:val="20"/>
          <w:szCs w:val="20"/>
          <w:color w:val="auto"/>
        </w:rPr>
      </w:pPr>
      <w:r>
        <w:rPr>
          <w:rFonts w:ascii="Arial" w:cs="Arial" w:eastAsia="Arial" w:hAnsi="Arial"/>
          <w:sz w:val="16"/>
          <w:szCs w:val="16"/>
          <w:color w:val="auto"/>
        </w:rPr>
        <w:t xml:space="preserve">The Corporation hereby elects not to be governed by Section 203 of the DGCL until such time as </w:t>
      </w:r>
      <w:r>
        <w:rPr>
          <w:rFonts w:ascii="Arial" w:cs="Arial" w:eastAsia="Arial" w:hAnsi="Arial"/>
          <w:sz w:val="16"/>
          <w:szCs w:val="16"/>
          <w:color w:val="auto"/>
          <w:strike w:val="1"/>
        </w:rPr>
        <w:t>NRG and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Affiliated </w:t>
      </w:r>
      <w:r>
        <w:rPr>
          <w:rFonts w:ascii="Arial" w:cs="Arial" w:eastAsia="Arial" w:hAnsi="Arial"/>
          <w:sz w:val="16"/>
          <w:szCs w:val="16"/>
          <w:color w:val="auto"/>
          <w:strike w:val="1"/>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cease</w:t>
      </w:r>
      <w:r>
        <w:rPr>
          <w:rFonts w:ascii="Arial" w:cs="Arial" w:eastAsia="Arial" w:hAnsi="Arial"/>
          <w:sz w:val="16"/>
          <w:szCs w:val="16"/>
          <w:u w:val="single" w:color="auto"/>
          <w:color w:val="auto"/>
        </w:rPr>
        <w:t>s</w:t>
      </w:r>
      <w:r>
        <w:rPr>
          <w:rFonts w:ascii="Arial" w:cs="Arial" w:eastAsia="Arial" w:hAnsi="Arial"/>
          <w:sz w:val="16"/>
          <w:szCs w:val="16"/>
          <w:color w:val="auto"/>
        </w:rPr>
        <w:t xml:space="preserve">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-368935</wp:posOffset>
            </wp:positionV>
            <wp:extent cx="12319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3190" cy="7620"/>
                    </a:xfrm>
                    <a:prstGeom prst="rect">
                      <a:avLst/>
                    </a:prstGeom>
                    <a:noFill/>
                  </pic:spPr>
                </pic:pic>
              </a:graphicData>
            </a:graphic>
          </wp:anchor>
        </w:drawing>
        <w:drawing>
          <wp:anchor simplePos="0" relativeHeight="251657728" behindDoc="1" locked="0" layoutInCell="0" allowOverlap="1">
            <wp:simplePos x="0" y="0"/>
            <wp:positionH relativeFrom="column">
              <wp:posOffset>5679440</wp:posOffset>
            </wp:positionH>
            <wp:positionV relativeFrom="paragraph">
              <wp:posOffset>-368935</wp:posOffset>
            </wp:positionV>
            <wp:extent cx="39306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3065" cy="7620"/>
                    </a:xfrm>
                    <a:prstGeom prst="rect">
                      <a:avLst/>
                    </a:prstGeom>
                    <a:noFill/>
                  </pic:spPr>
                </pic:pic>
              </a:graphicData>
            </a:graphic>
          </wp:anchor>
        </w:drawing>
        <w:drawing>
          <wp:anchor simplePos="0" relativeHeight="251657728" behindDoc="1" locked="0" layoutInCell="0" allowOverlap="1">
            <wp:simplePos x="0" y="0"/>
            <wp:positionH relativeFrom="column">
              <wp:posOffset>6311900</wp:posOffset>
            </wp:positionH>
            <wp:positionV relativeFrom="paragraph">
              <wp:posOffset>-368935</wp:posOffset>
            </wp:positionV>
            <wp:extent cx="3873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762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SIXTEEN</w:t>
      </w:r>
    </w:p>
    <w:p>
      <w:pPr>
        <w:spacing w:after="0" w:line="208" w:lineRule="exact"/>
        <w:rPr>
          <w:sz w:val="20"/>
          <w:szCs w:val="20"/>
          <w:color w:val="auto"/>
        </w:rPr>
      </w:pPr>
    </w:p>
    <w:p>
      <w:pPr>
        <w:ind w:firstLine="313"/>
        <w:spacing w:after="0" w:line="294" w:lineRule="auto"/>
        <w:rPr>
          <w:sz w:val="20"/>
          <w:szCs w:val="20"/>
          <w:color w:val="auto"/>
        </w:rPr>
      </w:pPr>
      <w:r>
        <w:rPr>
          <w:rFonts w:ascii="Arial" w:cs="Arial" w:eastAsia="Arial" w:hAnsi="Arial"/>
          <w:sz w:val="14"/>
          <w:szCs w:val="14"/>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 (including, without limitation, each portion of any sentence of this Article SIXTEEN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SIXTEEN.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ARTICLE SEVENTEEN</w:t>
      </w:r>
    </w:p>
    <w:p>
      <w:pPr>
        <w:spacing w:after="0" w:line="208" w:lineRule="exact"/>
        <w:rPr>
          <w:sz w:val="20"/>
          <w:szCs w:val="20"/>
          <w:color w:val="auto"/>
        </w:rPr>
      </w:pPr>
    </w:p>
    <w:p>
      <w:pPr>
        <w:ind w:firstLine="316"/>
        <w:spacing w:after="0" w:line="309" w:lineRule="auto"/>
        <w:rPr>
          <w:sz w:val="20"/>
          <w:szCs w:val="20"/>
          <w:color w:val="auto"/>
        </w:rPr>
      </w:pPr>
      <w:r>
        <w:rPr>
          <w:rFonts w:ascii="Arial" w:cs="Arial" w:eastAsia="Arial" w:hAnsi="Arial"/>
          <w:sz w:val="15"/>
          <w:szCs w:val="15"/>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1370"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000"/>
          </w:cols>
          <w:pgMar w:left="320" w:top="130" w:right="57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219710</wp:posOffset>
            </wp:positionV>
            <wp:extent cx="7202805" cy="93198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202805" cy="9319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96520</wp:posOffset>
            </wp:positionV>
            <wp:extent cx="7202805" cy="93198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202805" cy="9319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o"/>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o"/>
      <w:numFmt w:val="bullet"/>
      <w:start w:val="1"/>
    </w:lvl>
    <w:lvl w:ilvl="1">
      <w:lvlJc w:val="left"/>
      <w:lvlText w:val="(%2)"/>
      <w:numFmt w:val="decimal"/>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3"/>
    </w:lvl>
  </w:abstractNum>
  <w:abstractNum w:abstractNumId="5">
    <w:nsid w:val="57E4CCAF"/>
    <w:multiLevelType w:val="hybridMultilevel"/>
    <w:lvl w:ilvl="0">
      <w:lvlJc w:val="left"/>
      <w:lvlText w:val="%1."/>
      <w:numFmt w:val="decimal"/>
      <w:start w:val="5"/>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decimal"/>
      <w:start w:val="9"/>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3"/>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5"/>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lowerLetter"/>
      <w:start w:val="2"/>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3"/>
    </w:lvl>
  </w:abstractNum>
  <w:abstractNum w:abstractNumId="25">
    <w:nsid w:val="23F9C13C"/>
    <w:multiLevelType w:val="hybridMultilevel"/>
    <w:lvl w:ilvl="0">
      <w:lvlJc w:val="left"/>
      <w:lvlText w:val="(%1)"/>
      <w:numFmt w:val="decimal"/>
      <w:start w:val="9"/>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4"/>
    </w:lvl>
  </w:abstractNum>
  <w:abstractNum w:abstractNumId="29">
    <w:nsid w:val="1CF10FD8"/>
    <w:multiLevelType w:val="hybridMultilevel"/>
    <w:lvl w:ilvl="0">
      <w:lvlJc w:val="left"/>
      <w:lvlText w:val="(%1)"/>
      <w:numFmt w:val="decimal"/>
      <w:start w:val="12"/>
    </w:lvl>
  </w:abstractNum>
  <w:abstractNum w:abstractNumId="30">
    <w:nsid w:val="180115BE"/>
    <w:multiLevelType w:val="hybridMultilevel"/>
    <w:lvl w:ilvl="0">
      <w:lvlJc w:val="left"/>
      <w:lvlText w:val="(%1)"/>
      <w:numFmt w:val="lowerLetter"/>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
      <w:numFmt w:val="bullet"/>
      <w:start w:val="1"/>
    </w:lvl>
    <w:lvl w:ilvl="1">
      <w:lvlJc w:val="left"/>
      <w:lvlText w:val="(%2)"/>
      <w:numFmt w:val="decimal"/>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5"/>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1)"/>
      <w:numFmt w:val="lowerLetter"/>
      <w:start w:val="3"/>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decimal"/>
      <w:start w:val="2"/>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1)"/>
      <w:numFmt w:val="lowerLetter"/>
      <w:start w:val="1"/>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2"/>
    </w:lvl>
  </w:abstractNum>
  <w:abstractNum w:abstractNumId="65">
    <w:nsid w:val="7BD3EE7B"/>
    <w:multiLevelType w:val="hybridMultilevel"/>
    <w:lvl w:ilvl="0">
      <w:lvlJc w:val="left"/>
      <w:lvlText w:val="(%1)"/>
      <w:numFmt w:val="lowerRoman"/>
      <w:start w:val="1"/>
    </w:lvl>
  </w:abstractNum>
  <w:abstractNum w:abstractNumId="66">
    <w:nsid w:val="51D9C564"/>
    <w:multiLevelType w:val="hybridMultilevel"/>
    <w:lvl w:ilvl="0">
      <w:lvlJc w:val="left"/>
      <w:lvlText w:val="(%1)"/>
      <w:numFmt w:val="lowerLetter"/>
      <w:start w:val="3"/>
    </w:lvl>
  </w:abstractNum>
  <w:abstractNum w:abstractNumId="67">
    <w:nsid w:val="613EFDC5"/>
    <w:multiLevelType w:val="hybridMultilevel"/>
    <w:lvl w:ilvl="0">
      <w:lvlJc w:val="left"/>
      <w:lvlText w:val="(%1)"/>
      <w:numFmt w:val="lowerLetter"/>
      <w:start w:val="4"/>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lowerLetter"/>
      <w:start w:val="2"/>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2"/>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Roman"/>
      <w:start w:val="2"/>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Letter"/>
      <w:start w:val="2"/>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lowerLetter"/>
      <w:start w:val="2"/>
    </w:lvl>
  </w:abstractNum>
  <w:abstractNum w:abstractNumId="78">
    <w:nsid w:val="6A5EE64"/>
    <w:multiLevelType w:val="hybridMultilevel"/>
    <w:lvl w:ilvl="0">
      <w:lvlJc w:val="left"/>
      <w:lvlText w:val="(%1)"/>
      <w:numFmt w:val="lowerRoman"/>
      <w:start w:val="1"/>
    </w:lvl>
  </w:abstractNum>
  <w:abstractNum w:abstractNumId="79">
    <w:nsid w:val="14330624"/>
    <w:multiLevelType w:val="hybridMultilevel"/>
    <w:lvl w:ilvl="0">
      <w:lvlJc w:val="left"/>
      <w:lvlText w:val="(%1)"/>
      <w:numFmt w:val="lowerLetter"/>
      <w:start w:val="3"/>
    </w:lvl>
  </w:abstractNum>
  <w:abstractNum w:abstractNumId="80">
    <w:nsid w:val="7FFFCA11"/>
    <w:multiLevelType w:val="hybridMultilevel"/>
    <w:lvl w:ilvl="0">
      <w:lvlJc w:val="left"/>
      <w:lvlText w:val="(%1)"/>
      <w:numFmt w:val="lowerLetter"/>
      <w:start w:val="6"/>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lowerLetter"/>
      <w:start w:val="1"/>
    </w:lvl>
  </w:abstractNum>
  <w:abstractNum w:abstractNumId="83">
    <w:nsid w:val="100F59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2020-03-17T06:34:51Z</dcterms:created>
  <dcterms:modified xsi:type="dcterms:W3CDTF">2020-03-17T06:34:51Z</dcterms:modified>
</cp:coreProperties>
</file>