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345" w:before="0" w:after="120"/>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20" w:after="283"/>
        <w:jc w:val="center"/>
        <w:rPr>
          <w:rFonts w:ascii="Times New Roman;sans-serif" w:hAnsi="Times New Roman;sans-serif"/>
          <w:b/>
          <w:color w:val="231F20"/>
          <w:sz w:val="20"/>
        </w:rPr>
      </w:pPr>
      <w:r>
        <w:rPr>
          <w:rFonts w:ascii="Times New Roman;sans-serif" w:hAnsi="Times New Roman;sans-serif"/>
          <w:b/>
          <w:color w:val="231F20"/>
          <w:sz w:val="20"/>
        </w:rPr>
        <w:t>Pursuant to Section 13 OR 15(d) of The Securities Exchange Act of 1934</w:t>
      </w:r>
    </w:p>
    <w:p>
      <w:pPr>
        <w:pStyle w:val="TextBody"/>
        <w:bidi w:val="0"/>
        <w:spacing w:lineRule="auto" w:line="288" w:before="0" w:after="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August 1, 2024</w:t>
      </w:r>
      <w:r>
        <w:rPr>
          <w:color w:val="000000"/>
        </w:rPr>
        <w:t xml:space="preserve"> </w:t>
      </w:r>
    </w:p>
    <w:p>
      <w:pPr>
        <w:pStyle w:val="TextBody"/>
        <w:bidi w:val="0"/>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CLEARWAY ENERGY, INC. </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2"/>
        <w:gridCol w:w="1577"/>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001-36002</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46-1777204</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300 Carnegie Center, Suite 300, Princeton, New Jersey 08540 </w:t>
      </w:r>
    </w:p>
    <w:p>
      <w:pPr>
        <w:pStyle w:val="TextBody"/>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(609) 608-1525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N/A</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909" w:type="dxa"/>
        <w:jc w:val="left"/>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CWEN.A</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 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On August 1, 2024, Clearway Energy, Inc. issued a press release announcing its financial results for the quarter ended June 30, 2024.  A copy of the press release is furnished as Exhibit 99.1 to this report on Form 8-K and is hereby incorporated by reference. </w:t>
      </w:r>
      <w:r>
        <w:rPr>
          <w:rFonts w:ascii="Times New Roman;sans-serif" w:hAnsi="Times New Roman;sans-serif"/>
          <w:b w:val="false"/>
          <w:color w:val="212529"/>
          <w:sz w:val="20"/>
        </w:rPr>
        <w:t>In accordance with General Instruction B.2 of Form 8-K, the information set forth in this Item 2.02 and in the attached exhibit are deemed to be furnished and shall not be deemed to be “filed” for purposes of Section 18 of the Securities Exchange Act of 1934, as amended (the “Exchange Act”).</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(d)Exhibits</w:t>
      </w:r>
    </w:p>
    <w:p>
      <w:pPr>
        <w:pStyle w:val="TextBody"/>
        <w:bidi w:val="0"/>
        <w:spacing w:before="0" w:after="0"/>
        <w:jc w:val="both"/>
        <w:rPr/>
      </w:pPr>
      <w:r>
        <w:rPr/>
      </w:r>
    </w:p>
    <w:p>
      <w:pPr>
        <w:pStyle w:val="TextBody"/>
        <w:bidi w:val="0"/>
        <w:spacing w:lineRule="auto" w:line="288" w:before="0" w:after="14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In accordance with General Instruction B.2 of Form 8-K, the information set forth in the attached exhibit is deemed to be furnished and shall not be deemed to be “filed” for purposes of Section 18 of the Exchange Act. </w:t>
      </w:r>
    </w:p>
    <w:tbl>
      <w:tblPr>
        <w:tblW w:w="8593"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179"/>
        <w:gridCol w:w="2179"/>
        <w:gridCol w:w="309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Document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clearwayenergyi.htm">
              <w:r>
                <w:rPr>
                  <w:rStyle w:val="InternetLink"/>
                  <w:rFonts w:ascii="Times New Roman;sans-serif" w:hAnsi="Times New Roman;sans-serif"/>
                  <w:b w:val="false"/>
                  <w:color w:val="000080"/>
                  <w:sz w:val="20"/>
                  <w:u w:val="single"/>
                </w:rPr>
                <w:t>Press Release, dated</w:t>
              </w:r>
            </w:hyperlink>
            <w:hyperlink w:anchor="exhibit991-clearwayenergyi.htm">
              <w:r>
                <w:rPr>
                  <w:rStyle w:val="InternetLink"/>
                  <w:rFonts w:ascii="Times New Roman;sans-serif" w:hAnsi="Times New Roman;sans-serif"/>
                  <w:b w:val="false"/>
                  <w:color w:val="000080"/>
                  <w:sz w:val="20"/>
                  <w:u w:val="single"/>
                </w:rPr>
                <w:t xml:space="preserve"> August 1,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6344" w:type="dxa"/>
        <w:jc w:val="left"/>
        <w:tblInd w:w="0" w:type="dxa"/>
        <w:tblLayout w:type="fixed"/>
        <w:tblCellMar>
          <w:top w:w="28" w:type="dxa"/>
          <w:left w:w="28" w:type="dxa"/>
          <w:bottom w:w="28" w:type="dxa"/>
          <w:right w:w="28" w:type="dxa"/>
        </w:tblCellMar>
      </w:tblPr>
      <w:tblGrid>
        <w:gridCol w:w="705"/>
        <w:gridCol w:w="619"/>
        <w:gridCol w:w="625"/>
        <w:gridCol w:w="300"/>
        <w:gridCol w:w="300"/>
        <w:gridCol w:w="300"/>
        <w:gridCol w:w="1013"/>
        <w:gridCol w:w="1013"/>
        <w:gridCol w:w="1469"/>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P. Malcarney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Malcarney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1, 2024</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00"/>
        <w:jc w:val="left"/>
        <w:rPr/>
      </w:pPr>
      <w:r>
        <w:rPr/>
      </w:r>
    </w:p>
    <w:p>
      <w:pPr>
        <w:pStyle w:val="TextBody"/>
        <w:bidi w:val="0"/>
        <w:spacing w:before="0" w:after="0"/>
        <w:ind w:left="0" w:right="0" w:firstLine="1440"/>
        <w:jc w:val="right"/>
        <w:rPr/>
      </w:pPr>
      <w:r>
        <w:rPr/>
      </w:r>
    </w:p>
    <w:p>
      <w:pPr>
        <w:pStyle w:val="TextBody"/>
        <w:bidi w:val="0"/>
        <w:spacing w:before="0" w:after="20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2714625"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14625" cy="361950"/>
                    </a:xfrm>
                    <a:prstGeom prst="rect">
                      <a:avLst/>
                    </a:prstGeom>
                  </pic:spPr>
                </pic:pic>
              </a:graphicData>
            </a:graphic>
          </wp:inline>
        </w:drawing>
      </w:r>
      <w:r>
        <w:rPr>
          <w:color w:val="000000"/>
        </w:rPr>
        <w:t xml:space="preserve">                                     </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Clearway Energy, Inc. Reports Second Quarter 2024 Financial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Signed agreement with Clearway Group to commit to invest in 314 MW of solar plus storage projects</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Received offer from Clearway Group to invest in a 500 MW solar plus storage project</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Entered into new Resource Adequacy contract for Marsh Landing</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Reaffirming 2024 financial guidance</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Increasing the quarterly dividend by 1.7% to $0.4171</w:t>
      </w:r>
      <w:r>
        <w:rPr>
          <w:color w:val="000000"/>
        </w:rPr>
        <w:t xml:space="preserve"> </w:t>
      </w:r>
      <w:r>
        <w:rPr>
          <w:rFonts w:ascii="Times New Roman;sans-serif" w:hAnsi="Times New Roman;sans-serif"/>
          <w:b/>
          <w:color w:val="000000"/>
          <w:sz w:val="20"/>
        </w:rPr>
        <w:t>per share in the third quarter of 20</w:t>
      </w:r>
      <w:r>
        <w:rPr>
          <w:rFonts w:ascii="Times New Roman;sans-serif" w:hAnsi="Times New Roman;sans-serif"/>
          <w:b/>
          <w:color w:val="242424"/>
          <w:sz w:val="20"/>
        </w:rPr>
        <w:t>24,</w:t>
      </w:r>
      <w:r>
        <w:rPr>
          <w:color w:val="000000"/>
        </w:rPr>
        <w:t xml:space="preserve"> </w:t>
      </w:r>
      <w:r>
        <w:rPr>
          <w:rFonts w:ascii="Times New Roman;sans-serif" w:hAnsi="Times New Roman;sans-serif"/>
          <w:b/>
          <w:color w:val="000000"/>
          <w:sz w:val="20"/>
        </w:rPr>
        <w:t>or $1.6684 per share annualized</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Continue to target annual dividend per share growth in the upper range of 5% to 8% through 2026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PRINCETON, NJ </w:t>
      </w:r>
      <w:r>
        <w:rPr>
          <w:color w:val="000000"/>
        </w:rPr>
        <w:t xml:space="preserve">— </w:t>
      </w:r>
      <w:r>
        <w:rPr>
          <w:rFonts w:ascii="Times New Roman;sans-serif" w:hAnsi="Times New Roman;sans-serif"/>
          <w:b/>
          <w:color w:val="000000"/>
          <w:sz w:val="20"/>
        </w:rPr>
        <w:t>August 1, 2024</w:t>
      </w:r>
      <w:r>
        <w:rPr>
          <w:color w:val="000000"/>
        </w:rPr>
        <w:t xml:space="preserve">— </w:t>
      </w:r>
      <w:r>
        <w:rPr>
          <w:rFonts w:ascii="Times New Roman;sans-serif" w:hAnsi="Times New Roman;sans-serif"/>
          <w:b w:val="false"/>
          <w:color w:val="000000"/>
          <w:sz w:val="20"/>
        </w:rPr>
        <w:t>Clearway Energy, Inc. (NYSE: CWEN, CWEN.A) today reported second quarter 2024 financial results, including Net Income of $4 million, Adjusted EBITDA of $353 million, Cash from Operating Activities of $196 million, and Cash Available for Distribution (CAFD) of $187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another solid quarter that benefited from our operating fleet's diversification, Clearway remains well positioned to achieve its 2024 financial objectives,” said Craig Cornelius, Clearway Energy, Inc.’s President and Chief Executive Officer. “With the upsized growth investment commitment to the Luna Valley and Daggett 1 projects, we have now committed to deploying all of the excess proceeds received from the sale of our district thermal business and established our path to achieve the financial objectives we had set through 2026. We are also pleased to be continuing our path towards realizing CAFD per share growth contributions from our natural gas assets with the announcement of our latest resource adequacy contract for Marsh Landing. As we look further ahead, we have in view a number of levers for increased long-term CAFD per share growth. Among these are potential future growth investments in the Pine Forest and Honeycomb project complexes and targeted 3rd party M&amp;A opportunities – each of which can be funded accretively with current liquidity and organic cash flow received from our portfolio over time.”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and Cash Available for Distribution used in this press release are non-GAAP measures and are explained in greater detail under “Non-GAAP Financial Information”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 of Financial and Operating Results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Segment Results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Table 1: Net Income/(Loss)</w:t>
      </w:r>
    </w:p>
    <w:tbl>
      <w:tblPr>
        <w:tblW w:w="6122"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274"/>
        <w:gridCol w:w="334"/>
        <w:gridCol w:w="142"/>
        <w:gridCol w:w="129"/>
        <w:gridCol w:w="129"/>
        <w:gridCol w:w="129"/>
        <w:gridCol w:w="249"/>
        <w:gridCol w:w="427"/>
        <w:gridCol w:w="129"/>
        <w:gridCol w:w="109"/>
        <w:gridCol w:w="109"/>
        <w:gridCol w:w="109"/>
        <w:gridCol w:w="211"/>
        <w:gridCol w:w="436"/>
        <w:gridCol w:w="109"/>
        <w:gridCol w:w="109"/>
        <w:gridCol w:w="109"/>
        <w:gridCol w:w="109"/>
        <w:gridCol w:w="231"/>
        <w:gridCol w:w="395"/>
        <w:gridCol w:w="168"/>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2: Adjusted EBITDA</w:t>
      </w:r>
    </w:p>
    <w:tbl>
      <w:tblPr>
        <w:tblW w:w="6146"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2740"/>
                <wp:effectExtent l="0" t="0" r="0" b="0"/>
                <wp:wrapNone/>
                <wp:docPr id="5" name="Frame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3: Cash from Operating Activities and Cash Available for Distribution (CAFD)</w:t>
      </w:r>
    </w:p>
    <w:tbl>
      <w:tblPr>
        <w:tblW w:w="7841" w:type="dxa"/>
        <w:jc w:val="left"/>
        <w:tblInd w:w="0" w:type="dxa"/>
        <w:tblLayout w:type="fixed"/>
        <w:tblCellMar>
          <w:top w:w="28" w:type="dxa"/>
          <w:left w:w="28" w:type="dxa"/>
          <w:bottom w:w="28" w:type="dxa"/>
          <w:right w:w="28" w:type="dxa"/>
        </w:tblCellMar>
      </w:tblPr>
      <w:tblGrid>
        <w:gridCol w:w="1210"/>
        <w:gridCol w:w="1064"/>
        <w:gridCol w:w="1070"/>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6/30/24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6/30/24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6/30/23</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Available for Distribution (CAFD)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second quarter of 2024, the Company reported Net Income of $4 million, Adjusted EBITDA of $353 million, Cash from Operating Activities of $196 million, and CAFD of $187 million. Net Income decreased versus 2023 primarily due to non-cash impacts from the mark to market impact of economic hedges. Adjusted EBITDA results in the second quarter were higher than 2023 primarily due to higher renewable production at certain facilities and the contribution of growth investments. CAFD results in the second quarter of 2024 were higher than 2023 primarily due to higher EBITDA and lower debt service in the Conventional fleet coinciding with the expiration of the tolling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Operational Performance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Table 4: Selected Operating Results</w:t>
      </w:r>
      <w:r>
        <w:rPr>
          <w:rFonts w:ascii="Times New Roman;sans-serif" w:hAnsi="Times New Roman;sans-serif"/>
          <w:b/>
          <w:color w:val="000000"/>
          <w:sz w:val="13"/>
        </w:rPr>
        <w:t>1</w:t>
      </w:r>
      <w:r>
        <w:rPr>
          <w:color w:val="000000"/>
        </w:rPr>
        <w:t xml:space="preserve"> </w:t>
      </w:r>
    </w:p>
    <w:tbl>
      <w:tblPr>
        <w:tblW w:w="9070" w:type="dxa"/>
        <w:jc w:val="left"/>
        <w:tblInd w:w="0" w:type="dxa"/>
        <w:tblLayout w:type="fixed"/>
        <w:tblCellMar>
          <w:top w:w="28" w:type="dxa"/>
          <w:left w:w="28" w:type="dxa"/>
          <w:bottom w:w="28" w:type="dxa"/>
          <w:right w:w="28" w:type="dxa"/>
        </w:tblCellMar>
      </w:tblPr>
      <w:tblGrid>
        <w:gridCol w:w="1370"/>
        <w:gridCol w:w="1203"/>
        <w:gridCol w:w="1207"/>
        <w:gridCol w:w="109"/>
        <w:gridCol w:w="109"/>
        <w:gridCol w:w="109"/>
        <w:gridCol w:w="255"/>
        <w:gridCol w:w="256"/>
        <w:gridCol w:w="416"/>
        <w:gridCol w:w="156"/>
        <w:gridCol w:w="156"/>
        <w:gridCol w:w="156"/>
        <w:gridCol w:w="255"/>
        <w:gridCol w:w="256"/>
        <w:gridCol w:w="416"/>
        <w:gridCol w:w="109"/>
        <w:gridCol w:w="109"/>
        <w:gridCol w:w="109"/>
        <w:gridCol w:w="255"/>
        <w:gridCol w:w="256"/>
        <w:gridCol w:w="416"/>
        <w:gridCol w:w="135"/>
        <w:gridCol w:w="135"/>
        <w:gridCol w:w="135"/>
        <w:gridCol w:w="255"/>
        <w:gridCol w:w="256"/>
        <w:gridCol w:w="471"/>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(MWh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6/30/24</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Equivalent Availability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MWh generated/sold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 MWh generated/sold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w:t>
            </w:r>
          </w:p>
        </w:tc>
      </w:tr>
      <w:tr>
        <w:trPr/>
        <w:tc>
          <w:tcPr>
            <w:tcW w:w="3780"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generated/sold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the second quarter of 2024, availability at the Conventional segment was higher than the second quarter of 2023 primarily due to longer planned maintenance in 2023 and strong operational performance in 2024. Generation in the Renewables segment during the second quarter of 2024 was 40% higher than the second quarter of 2023 primarily due to the contribution of growth investments as well as higher wind resource at certain facilities</w:t>
      </w:r>
      <w:r>
        <w:rPr>
          <w:rFonts w:ascii="Times New Roman;sans-serif" w:hAnsi="Times New Roman;sans-serif"/>
          <w:b w:val="false"/>
          <w:color w:val="EE2724"/>
          <w:sz w:val="20"/>
        </w:rPr>
        <w:t>.</w:t>
      </w:r>
      <w:r>
        <w:rPr>
          <w:color w:val="000000"/>
        </w:rPr>
        <w:t xml:space="preserve">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Table 5: Liquidity</w:t>
      </w:r>
      <w:r>
        <w:rPr>
          <w:color w:val="000000"/>
        </w:rPr>
        <w:t xml:space="preserve"> </w:t>
      </w:r>
    </w:p>
    <w:tbl>
      <w:tblPr>
        <w:tblW w:w="9604" w:type="dxa"/>
        <w:jc w:val="left"/>
        <w:tblInd w:w="0" w:type="dxa"/>
        <w:tblLayout w:type="fixed"/>
        <w:tblCellMar>
          <w:top w:w="28" w:type="dxa"/>
          <w:left w:w="28" w:type="dxa"/>
          <w:bottom w:w="28" w:type="dxa"/>
          <w:right w:w="28" w:type="dxa"/>
        </w:tblCellMar>
      </w:tblPr>
      <w:tblGrid>
        <w:gridCol w:w="2372"/>
        <w:gridCol w:w="2084"/>
        <w:gridCol w:w="2098"/>
        <w:gridCol w:w="109"/>
        <w:gridCol w:w="109"/>
        <w:gridCol w:w="109"/>
        <w:gridCol w:w="216"/>
        <w:gridCol w:w="632"/>
        <w:gridCol w:w="111"/>
        <w:gridCol w:w="109"/>
        <w:gridCol w:w="109"/>
        <w:gridCol w:w="109"/>
        <w:gridCol w:w="240"/>
        <w:gridCol w:w="701"/>
        <w:gridCol w:w="124"/>
        <w:gridCol w:w="109"/>
        <w:gridCol w:w="109"/>
        <w:gridCol w:w="154"/>
      </w:tblGrid>
      <w:tr>
        <w:trPr/>
        <w:tc>
          <w:tcPr>
            <w:tcW w:w="2372"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Inc. and 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Reserves, including debt service, distributions, performance obligations and other reserves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liquidity as of June 30, 2024, was $1,065 million, which was $440 million lower than as of December 31, 2023, primarily due to the execution of growth investments including payments for Cedar Creek, Victory Pass, Arica and the Rosie BESS assets.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Excludes equity method investments</w:t>
      </w:r>
    </w:p>
    <w:p>
      <w:pPr>
        <w:pStyle w:val="TextBody"/>
        <w:bidi w:val="0"/>
        <w:spacing w:lineRule="auto" w:line="288"/>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Generation sold excludes MWh that are reimbursable for economic curtailment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the Company's liquidity included </w:t>
      </w:r>
      <w:r>
        <w:rPr>
          <w:rFonts w:ascii="Times New Roman;sans-serif" w:hAnsi="Times New Roman;sans-serif"/>
          <w:b w:val="false"/>
          <w:color w:val="000000"/>
          <w:sz w:val="20"/>
        </w:rPr>
        <w:t>$344 million</w:t>
      </w:r>
      <w:r>
        <w:rPr>
          <w:color w:val="231F20"/>
        </w:rPr>
        <w:t xml:space="preserve"> </w:t>
      </w:r>
      <w:r>
        <w:rPr>
          <w:rFonts w:ascii="Times New Roman;sans-serif" w:hAnsi="Times New Roman;sans-serif"/>
          <w:b w:val="false"/>
          <w:color w:val="231F20"/>
          <w:sz w:val="20"/>
        </w:rPr>
        <w:t xml:space="preserve">of restricted cash. Restricted cash consists primarily of funds to satisfy the requirements of certain debt arrangements and funds held within the Company's projects that are restricted in their use. As </w:t>
      </w:r>
      <w:r>
        <w:rPr>
          <w:rFonts w:ascii="Times New Roman;sans-serif" w:hAnsi="Times New Roman;sans-serif"/>
          <w:b w:val="false"/>
          <w:color w:val="000000"/>
          <w:sz w:val="20"/>
        </w:rPr>
        <w:t>of June 30, 2024, these restricted funds were comprised of $169 million designated to fund operating expenses, approximately $42 million designated for current debt service payments, and $89 million of reserves for debt service, performance obligations and other items including capital expenditures.</w:t>
      </w:r>
      <w:r>
        <w:rPr>
          <w:color w:val="FF0000"/>
        </w:rPr>
        <w:t xml:space="preserve"> </w:t>
      </w:r>
      <w:r>
        <w:rPr>
          <w:rFonts w:ascii="Times New Roman;sans-serif" w:hAnsi="Times New Roman;sans-serif"/>
          <w:b w:val="false"/>
          <w:color w:val="000000"/>
          <w:sz w:val="20"/>
        </w:rPr>
        <w:t xml:space="preserve">The remaining $44 million is held in distribution reserve accounts.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Potential future sources of liquidity include excess operating cash flow, availability under the revolving credit facility</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asset dispositions, and, subject to market conditions, new corporate debt and equity financings.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Growth Investments and Strategic Announcements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Resource Adequacy Agreement at Marsh Landing</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31, 2024, the Company contracted with a load serving entity to sell approximately 195 MW of Marsh Landing’s RA commencing in October 2026 and ending in December 2028. Marsh Landing is now contracted for approximately 99% of its capacity through 2027 at terms providing for higher project level CAFD in 2027 relative to current run-rate expectations.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Pine Forest Offer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19, 2024, Clearway Group offered the Company the opportunity to enter into partnership arrangements to own cash equity interests in a 500 MW solar plus storage project that is expected to reach commercial operations in 2025. The potential corporate capital commitment for the investment is expected to be approximately $155 million. The investment is subject to negotiation both with Clearway Group, and the review and approval by the Company’s Independent Directors.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Luna Valley and Daggett 1 Storage</w:t>
      </w:r>
    </w:p>
    <w:p>
      <w:pPr>
        <w:pStyle w:val="TextBody"/>
        <w:bidi w:val="0"/>
        <w:spacing w:before="0" w:after="0"/>
        <w:jc w:val="both"/>
        <w:rPr/>
      </w:pPr>
      <w:r>
        <w:rPr/>
      </w:r>
    </w:p>
    <w:p>
      <w:pPr>
        <w:pStyle w:val="TextBody"/>
        <w:bidi w:val="0"/>
        <w:spacing w:lineRule="auto" w:line="288" w:before="0" w:after="170"/>
        <w:jc w:val="both"/>
        <w:rPr/>
      </w:pPr>
      <w:r>
        <w:rPr>
          <w:rFonts w:ascii="Times New Roman;sans-serif" w:hAnsi="Times New Roman;sans-serif"/>
          <w:b w:val="false"/>
          <w:color w:val="000000"/>
          <w:sz w:val="20"/>
          <w:shd w:fill="FFFFFF" w:val="clear"/>
        </w:rPr>
        <w:t xml:space="preserve">On June 27, 2024, the Company, through an indirect subsidiary, entered into an agreement to acquire cash equity interests in Luna Valley, a </w:t>
      </w:r>
      <w:r>
        <w:rPr>
          <w:rFonts w:ascii="Times New Roman;sans-serif" w:hAnsi="Times New Roman;sans-serif"/>
          <w:b w:val="false"/>
          <w:color w:val="000000"/>
          <w:sz w:val="20"/>
        </w:rPr>
        <w:t>200</w:t>
      </w:r>
      <w:r>
        <w:rPr>
          <w:color w:val="000000"/>
          <w:shd w:fill="FFFFFF" w:val="clear"/>
        </w:rPr>
        <w:t xml:space="preserve"> </w:t>
      </w:r>
      <w:r>
        <w:rPr>
          <w:rFonts w:ascii="Times New Roman;sans-serif" w:hAnsi="Times New Roman;sans-serif"/>
          <w:b w:val="false"/>
          <w:color w:val="000000"/>
          <w:sz w:val="20"/>
          <w:shd w:fill="FFFFFF" w:val="clear"/>
        </w:rPr>
        <w:t xml:space="preserve">MW solar facility currently under construction in Fresno County, California, and Daggett 1, a </w:t>
      </w:r>
      <w:r>
        <w:rPr>
          <w:rFonts w:ascii="Times New Roman;sans-serif" w:hAnsi="Times New Roman;sans-serif"/>
          <w:b w:val="false"/>
          <w:color w:val="000000"/>
          <w:sz w:val="20"/>
        </w:rPr>
        <w:t>114</w:t>
      </w:r>
      <w:r>
        <w:rPr>
          <w:color w:val="000000"/>
          <w:shd w:fill="FFFFFF" w:val="clear"/>
        </w:rPr>
        <w:t xml:space="preserve"> </w:t>
      </w:r>
      <w:r>
        <w:rPr>
          <w:rFonts w:ascii="Times New Roman;sans-serif" w:hAnsi="Times New Roman;sans-serif"/>
          <w:b w:val="false"/>
          <w:color w:val="000000"/>
          <w:sz w:val="20"/>
          <w:shd w:fill="FFFFFF" w:val="clear"/>
        </w:rPr>
        <w:t>MW BESS facility currently under construction in San Bernardino, California, for $143 million in cash consideration, subject to closing adjustments. Upon achieving commercial operations, the projects are underpinned by power purchase agreements with creditworthy counterparties with a weighted average contract duration of over 16 years. The consummation of the transaction is subject to customary closing conditions and certain third-party approvals and is expected in the second half of 2025. The Company expects the projects to contribute asset CAFD on a five-year average annual basis of approximately $14 million beginning January</w:t>
      </w:r>
      <w:r>
        <w:rPr>
          <w:color w:val="000000"/>
        </w:rPr>
        <w:t xml:space="preserve"> </w:t>
      </w:r>
      <w:r>
        <w:rPr>
          <w:rFonts w:ascii="Times New Roman;sans-serif" w:hAnsi="Times New Roman;sans-serif"/>
          <w:b w:val="false"/>
          <w:color w:val="000000"/>
          <w:sz w:val="20"/>
        </w:rPr>
        <w:t>1, 2026.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Financing Update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NIMH Solar Refinancing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11, 2024, NIMH Solar LLC refinanced the amended and restated credit agreement, which included the issuance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a $137 million term loan facility, as well as $17 million in letters of credit in support of debt service and facility obligations. The obligations under the financing arrangement are supported by the Company’s interests in the Alpine, Blythe and Roadrunner solar facilities. The Company utilized the proceeds from the term loan and existing sources of liquidity to pay off the existing debt in the amount of $146 million. The refinancing resulted in no material change to the Company's run-rate CAFD expectations for the underlying projects.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Natural Gas CA Holdco LLC LC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2024, the Company, through its indirect subsidiary, Natural Gas CA Holdco LLC, entered into a financing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 that provides for a $200 million letter of credit facility, which will be utilized to support the collateral needs of the Company’s merchant conventional facilities and will free up capacity on the Company’s corporate revolving credit facility. </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2740"/>
                <wp:effectExtent l="0" t="0" r="0" b="0"/>
                <wp:wrapNone/>
                <wp:docPr id="7" name="Frame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Quarterly Dividend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August 1, 2024, Clearway Energy, Inc.’s Board of Directors declared a quarterly dividend on Class A and Class C common stoc</w:t>
      </w:r>
      <w:r>
        <w:rPr>
          <w:rFonts w:ascii="Times New Roman;sans-serif" w:hAnsi="Times New Roman;sans-serif"/>
          <w:b w:val="false"/>
          <w:color w:val="242424"/>
          <w:sz w:val="20"/>
        </w:rPr>
        <w:t>k</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$0.4171 pe</w:t>
      </w:r>
      <w:r>
        <w:rPr>
          <w:rFonts w:ascii="Times New Roman;sans-serif" w:hAnsi="Times New Roman;sans-serif"/>
          <w:b w:val="false"/>
          <w:color w:val="242424"/>
          <w:sz w:val="20"/>
        </w:rPr>
        <w:t>r</w:t>
      </w:r>
      <w:r>
        <w:rPr>
          <w:color w:val="000000"/>
        </w:rPr>
        <w:t xml:space="preserve"> </w:t>
      </w:r>
      <w:r>
        <w:rPr>
          <w:rFonts w:ascii="Times New Roman;sans-serif" w:hAnsi="Times New Roman;sans-serif"/>
          <w:b w:val="false"/>
          <w:color w:val="000000"/>
          <w:sz w:val="20"/>
        </w:rPr>
        <w:t xml:space="preserve">share payable on September 16, 2024, to stockholders of record as of September 3, 2024.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Inc.’s quarterly operating results are impacted by seasonal factors, as well as weather variability which can impact renewable energy resource throughout the year.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Higher summer capacity and energy prices from conventional assets;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Higher solar insolation during the summer months;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Higher wind resources during the spring and summer months;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Renewable energy resource throughout the year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Debt service payments which are made either quarterly or semi-annually;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Timing of maintenance capital expenditures and the impact of both unforced and forced outages;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Timing of distributions from unconsolidated affiliates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takes into consideration the timing of these factors to ensure sufficient funds are available for distributions and operating activities on a quarterly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Guidance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reaffirming its 2024 full year CAFD guidance of $395 million. The Company's 2024 financial guidance factors in the contribution of committed growth investments based on current expected closing timelines and estimates for merchant energy gross margin at the conventional fleet. 2024 CAFD guidance does not factor in the timing of when CAFD is realized from new growth investments pursuant to 5-year averages beyond 2024. Financial guidance is based on median renewable energy production estimates for the full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Earnings Conference Call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 2024,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Clearway Energy,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is one of the largest owners of clean energy generation assets in the US. The Company's fleet comprises approximately 9,000 MW of net owned generating capacity in 26 states, including over 6,500 MW of wind, solar, and energy storage assets, and approximately 2,500 MW of environmentally-sound, highly efficient natural gas generation facilities. Through this environmentally-sound diversified and primarily contracted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Safe Harbor Disclosure</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statements regarding the anticipated consummation of the transactions described above, the anticipated benefits, opportunities, and results with respect to the transactions, including the Company’s future relationship and arrangements with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2740"/>
                <wp:effectExtent l="0" t="0" r="0" b="0"/>
                <wp:wrapNone/>
                <wp:docPr id="8" name="Frame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Global Infrastructure Partners, TotalEnergies,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impacts related to COVID-19 (including any variant of the virus) or any other pandemic, risks relating to the Company's relationships with its sponsors, the failure to identify, execute or successfully implement acquisitions or dispositions (including receipt of third party consents and regulatory approvals), the Company's ability to acquire assets from its sponsors, the Company’s ability to borrow additional funds and access capital markets due to its indebtedness, corporate structure, market conditions or otherwise, hazards customary in the power industry, weather conditions, including wind and solar 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new contracts as existing contracts expire, changes in government regulations, operating and financial restrictions placed on the Company that are contained in the project-level debt facilities and other agreements of the Company and its subsidiaries, and cyber terrorism and inadequate cybersecurity. Furthermore, any dividends are subject to available capital, market conditions, and compliance with associated laws and regulations.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undertakes no obligation to update or revise any forward-looking statements, whether as a result of new information, future events or otherwise. The Cash Available for Distribution are estimates as of today’s date, August 1, 2024,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Investors:                Media:</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Akil Marsh                Zadie Oleksiw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investor.relations@clearwayenergy.com    media@clearwayenergy.com</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609-608-1500                202-836-5754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2740"/>
                <wp:effectExtent l="0" t="0" r="0" b="0"/>
                <wp:wrapNone/>
                <wp:docPr id="9" name="Frame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24"/>
        <w:gridCol w:w="1488"/>
        <w:gridCol w:w="150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02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interests and redeemable noncontrolling interests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Attributable to Clearway Energy,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Clearway Energy, Inc. Class A and Class C Common Stockholders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 - basic and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C common shares outstanding - basic and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Weighted Average Class A and Class C Common Share - Basic and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A Common Share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0.7563 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C Common Share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0.8135 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0.7563 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2740"/>
                <wp:effectExtent l="0" t="0" r="0" b="0"/>
                <wp:wrapNone/>
                <wp:docPr id="10" name="Frame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92"/>
        <w:gridCol w:w="1822"/>
        <w:gridCol w:w="1728"/>
        <w:gridCol w:w="236"/>
        <w:gridCol w:w="398"/>
        <w:gridCol w:w="131"/>
        <w:gridCol w:w="131"/>
        <w:gridCol w:w="131"/>
        <w:gridCol w:w="131"/>
        <w:gridCol w:w="236"/>
        <w:gridCol w:w="398"/>
        <w:gridCol w:w="131"/>
        <w:gridCol w:w="109"/>
        <w:gridCol w:w="109"/>
        <w:gridCol w:w="109"/>
        <w:gridCol w:w="217"/>
        <w:gridCol w:w="422"/>
        <w:gridCol w:w="120"/>
        <w:gridCol w:w="120"/>
        <w:gridCol w:w="120"/>
        <w:gridCol w:w="120"/>
        <w:gridCol w:w="217"/>
        <w:gridCol w:w="367"/>
        <w:gridCol w:w="120"/>
        <w:gridCol w:w="109"/>
        <w:gridCol w:w="109"/>
        <w:gridCol w:w="109"/>
        <w:gridCol w:w="163"/>
      </w:tblGrid>
      <w:tr>
        <w:trPr/>
        <w:tc>
          <w:tcPr>
            <w:tcW w:w="209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tcPr>
          <w:p>
            <w:pPr>
              <w:pStyle w:val="TableContents"/>
              <w:bidi w:val="0"/>
              <w:spacing w:before="0" w:after="283"/>
              <w:jc w:val="left"/>
              <w:rPr>
                <w:sz w:val="4"/>
                <w:szCs w:val="4"/>
              </w:rPr>
            </w:pPr>
            <w:r>
              <w:rPr>
                <w:sz w:val="4"/>
                <w:szCs w:val="4"/>
              </w:rPr>
            </w:r>
          </w:p>
        </w:tc>
      </w:tr>
      <w:tr>
        <w:trPr/>
        <w:tc>
          <w:tcPr>
            <w:tcW w:w="5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 and changes in accumulated OCI, net of income tax benefit, of $—, $1, $—, and $—</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(Loss)</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income attributable to noncontrolling interests and redeemable noncontrolling interests</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Attributable to Clearway Energy, Inc.</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2740"/>
                <wp:effectExtent l="0" t="0" r="0" b="0"/>
                <wp:wrapNone/>
                <wp:docPr id="11" name="Frame1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3334"/>
        <w:gridCol w:w="2222"/>
        <w:gridCol w:w="2244"/>
        <w:gridCol w:w="202"/>
        <w:gridCol w:w="667"/>
        <w:gridCol w:w="112"/>
        <w:gridCol w:w="109"/>
        <w:gridCol w:w="109"/>
        <w:gridCol w:w="109"/>
        <w:gridCol w:w="215"/>
        <w:gridCol w:w="709"/>
        <w:gridCol w:w="173"/>
      </w:tblGrid>
      <w:tr>
        <w:trPr/>
        <w:tc>
          <w:tcPr>
            <w:tcW w:w="3334"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shares)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cash </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trade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affiliates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affiliate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Property, plant and equipment, net </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Assets</w:t>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for power purchase agreements, net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intangible assets, net </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net</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trade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Redeemable noncontrolling interest in subsidiaries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Preferred stock, $0.01 par value; 10,000,000 shares authorized; none issued </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Class B, Class C and Class D common stock, $0.01 par value; 3,000,000,000 shares authorized (Class A 500,000,000, Class B 500,000,000, Class C 1,000,000,000, Class D 1,000,000,000); 202,143,697 shares issued and outstanding (Class A 34,613,853, Class B 42,738,750, Class C 82,829,344, Class D 41,961,750) at June 30, 2024 and 202,080,794 shares issued and outstanding (Class A 34,613,853, Class B 42,738,750, Class C 82,391,441, Class D 42,336,750) at December 31, 2023</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14,701 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2740"/>
                <wp:effectExtent l="0" t="0" r="0" b="0"/>
                <wp:wrapNone/>
                <wp:docPr id="12" name="Frame1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305" w:type="dxa"/>
        <w:jc w:val="left"/>
        <w:tblInd w:w="0" w:type="dxa"/>
        <w:tblLayout w:type="fixed"/>
        <w:tblCellMar>
          <w:top w:w="28" w:type="dxa"/>
          <w:left w:w="28" w:type="dxa"/>
          <w:bottom w:w="28" w:type="dxa"/>
          <w:right w:w="28" w:type="dxa"/>
        </w:tblCellMar>
      </w:tblPr>
      <w:tblGrid>
        <w:gridCol w:w="2263"/>
        <w:gridCol w:w="1985"/>
        <w:gridCol w:w="1991"/>
        <w:gridCol w:w="222"/>
        <w:gridCol w:w="478"/>
        <w:gridCol w:w="123"/>
        <w:gridCol w:w="123"/>
        <w:gridCol w:w="123"/>
        <w:gridCol w:w="123"/>
        <w:gridCol w:w="222"/>
        <w:gridCol w:w="478"/>
        <w:gridCol w:w="174"/>
      </w:tblGrid>
      <w:tr>
        <w:trPr/>
        <w:tc>
          <w:tcPr>
            <w:tcW w:w="2263"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(Loss) Income </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to net cash provided by operating activities:</w:t>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Equity in earnings of unconsolidated affiliates </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unconsolidated affiliates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financing costs and debt discounts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debt extinguishment </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in carrying amount of right-of-use assets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deferred income taxes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derivative instruments and amortization of accumulated OCI</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changes in other working capital:</w:t>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Changes in prepaid and accrued liabilities for tolling agreements </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working capital</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Drop Down Assets, net of cash acquired</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 from unconsolidated affiliates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note receivable — affiliate</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dividends and distributions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Tax-related distributions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the issuance of long-term debt </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long-term debt</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 Cash, Cash Equivalents and Restricted Cash</w:t>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2740"/>
                <wp:effectExtent l="0" t="0" r="0" b="0"/>
                <wp:wrapNone/>
                <wp:docPr id="13" name="Frame1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For the Six Months Ended June 30, 2024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24"/>
        <w:gridCol w:w="593"/>
        <w:gridCol w:w="584"/>
        <w:gridCol w:w="211"/>
        <w:gridCol w:w="438"/>
        <w:gridCol w:w="117"/>
        <w:gridCol w:w="109"/>
        <w:gridCol w:w="109"/>
        <w:gridCol w:w="109"/>
        <w:gridCol w:w="249"/>
        <w:gridCol w:w="306"/>
        <w:gridCol w:w="140"/>
        <w:gridCol w:w="109"/>
        <w:gridCol w:w="109"/>
        <w:gridCol w:w="109"/>
        <w:gridCol w:w="196"/>
        <w:gridCol w:w="556"/>
        <w:gridCol w:w="109"/>
        <w:gridCol w:w="109"/>
        <w:gridCol w:w="109"/>
        <w:gridCol w:w="109"/>
        <w:gridCol w:w="219"/>
        <w:gridCol w:w="472"/>
        <w:gridCol w:w="122"/>
        <w:gridCol w:w="109"/>
        <w:gridCol w:w="109"/>
        <w:gridCol w:w="109"/>
        <w:gridCol w:w="396"/>
        <w:gridCol w:w="486"/>
        <w:gridCol w:w="221"/>
        <w:gridCol w:w="109"/>
        <w:gridCol w:w="109"/>
        <w:gridCol w:w="109"/>
        <w:gridCol w:w="232"/>
        <w:gridCol w:w="659"/>
        <w:gridCol w:w="130"/>
        <w:gridCol w:w="109"/>
        <w:gridCol w:w="109"/>
        <w:gridCol w:w="109"/>
        <w:gridCol w:w="211"/>
        <w:gridCol w:w="598"/>
        <w:gridCol w:w="174"/>
      </w:tblGrid>
      <w:tr>
        <w:trPr/>
        <w:tc>
          <w:tcPr>
            <w:tcW w:w="82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derivatives and changes in accumulated OCI, net of tax</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2024</w:t>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OCI, net of tax</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CEG, net of distributions, 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 of contributions, non-cash</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2740"/>
                <wp:effectExtent l="0" t="0" r="0" b="0"/>
                <wp:wrapNone/>
                <wp:docPr id="14" name="Frame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p>
                      <w:pPr>
                        <w:pStyle w:val="TextBody"/>
                        <w:bidi w:val="0"/>
                        <w:spacing w:before="0" w:after="0"/>
                        <w:jc w:val="left"/>
                        <w:rPr/>
                      </w:pPr>
                      <w:r>
                        <w:rPr/>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For the Six Months Ended June 30, 2023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11"/>
        <w:gridCol w:w="584"/>
        <w:gridCol w:w="575"/>
        <w:gridCol w:w="212"/>
        <w:gridCol w:w="440"/>
        <w:gridCol w:w="118"/>
        <w:gridCol w:w="109"/>
        <w:gridCol w:w="109"/>
        <w:gridCol w:w="109"/>
        <w:gridCol w:w="250"/>
        <w:gridCol w:w="308"/>
        <w:gridCol w:w="140"/>
        <w:gridCol w:w="109"/>
        <w:gridCol w:w="109"/>
        <w:gridCol w:w="109"/>
        <w:gridCol w:w="196"/>
        <w:gridCol w:w="556"/>
        <w:gridCol w:w="109"/>
        <w:gridCol w:w="109"/>
        <w:gridCol w:w="109"/>
        <w:gridCol w:w="109"/>
        <w:gridCol w:w="224"/>
        <w:gridCol w:w="482"/>
        <w:gridCol w:w="124"/>
        <w:gridCol w:w="109"/>
        <w:gridCol w:w="109"/>
        <w:gridCol w:w="109"/>
        <w:gridCol w:w="398"/>
        <w:gridCol w:w="489"/>
        <w:gridCol w:w="222"/>
        <w:gridCol w:w="109"/>
        <w:gridCol w:w="109"/>
        <w:gridCol w:w="109"/>
        <w:gridCol w:w="232"/>
        <w:gridCol w:w="659"/>
        <w:gridCol w:w="130"/>
        <w:gridCol w:w="109"/>
        <w:gridCol w:w="109"/>
        <w:gridCol w:w="109"/>
        <w:gridCol w:w="211"/>
        <w:gridCol w:w="598"/>
        <w:gridCol w:w="175"/>
      </w:tblGrid>
      <w:tr>
        <w:trPr/>
        <w:tc>
          <w:tcPr>
            <w:tcW w:w="81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derivatives and changes in accumulated OCI, net of tax</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CEG, net of distributions, cash</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OCI, net of tax</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 of contributions, cash</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Tax-related distribution</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9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2740"/>
                <wp:effectExtent l="0" t="0" r="0" b="0"/>
                <wp:wrapNone/>
                <wp:docPr id="15" name="Frame1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A-1: Three Months Ended June 30, 2024, Segment Adjusted EBITDA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948"/>
        <w:gridCol w:w="1501"/>
        <w:gridCol w:w="1484"/>
        <w:gridCol w:w="109"/>
        <w:gridCol w:w="109"/>
        <w:gridCol w:w="109"/>
        <w:gridCol w:w="327"/>
        <w:gridCol w:w="583"/>
        <w:gridCol w:w="171"/>
        <w:gridCol w:w="109"/>
        <w:gridCol w:w="109"/>
        <w:gridCol w:w="109"/>
        <w:gridCol w:w="249"/>
        <w:gridCol w:w="568"/>
        <w:gridCol w:w="129"/>
        <w:gridCol w:w="109"/>
        <w:gridCol w:w="109"/>
        <w:gridCol w:w="109"/>
        <w:gridCol w:w="109"/>
        <w:gridCol w:w="109"/>
        <w:gridCol w:w="264"/>
        <w:gridCol w:w="470"/>
        <w:gridCol w:w="137"/>
        <w:gridCol w:w="109"/>
        <w:gridCol w:w="109"/>
        <w:gridCol w:w="109"/>
        <w:gridCol w:w="211"/>
        <w:gridCol w:w="481"/>
        <w:gridCol w:w="156"/>
      </w:tblGrid>
      <w:tr>
        <w:trPr/>
        <w:tc>
          <w:tcPr>
            <w:tcW w:w="1948"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93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3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Losses on 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306</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353</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A-2: Three Months Ended June 30, 2023, Segment Adjusted EBITDA Reconciliation</w:t>
      </w:r>
    </w:p>
    <w:p>
      <w:pPr>
        <w:pStyle w:val="TextBody"/>
        <w:bidi w:val="0"/>
        <w:spacing w:lineRule="auto" w:line="288" w:before="0" w:after="0"/>
        <w:jc w:val="left"/>
        <w:rPr/>
      </w:pPr>
      <w:r>
        <w:rPr>
          <w:rFonts w:ascii="Times New Roman;sans-serif" w:hAnsi="Times New Roman;sans-serif"/>
          <w:b w:val="false"/>
          <w:color w:val="000000"/>
          <w:sz w:val="22"/>
        </w:rPr>
        <w:t>The following table summarizes the calculation of Adjusted EBITDA and provides a reconciliation to Net Income/(Loss):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891"/>
        <w:gridCol w:w="1529"/>
        <w:gridCol w:w="1513"/>
        <w:gridCol w:w="109"/>
        <w:gridCol w:w="109"/>
        <w:gridCol w:w="109"/>
        <w:gridCol w:w="327"/>
        <w:gridCol w:w="583"/>
        <w:gridCol w:w="171"/>
        <w:gridCol w:w="109"/>
        <w:gridCol w:w="109"/>
        <w:gridCol w:w="109"/>
        <w:gridCol w:w="249"/>
        <w:gridCol w:w="568"/>
        <w:gridCol w:w="129"/>
        <w:gridCol w:w="109"/>
        <w:gridCol w:w="109"/>
        <w:gridCol w:w="109"/>
        <w:gridCol w:w="109"/>
        <w:gridCol w:w="109"/>
        <w:gridCol w:w="264"/>
        <w:gridCol w:w="470"/>
        <w:gridCol w:w="137"/>
        <w:gridCol w:w="109"/>
        <w:gridCol w:w="109"/>
        <w:gridCol w:w="109"/>
        <w:gridCol w:w="211"/>
        <w:gridCol w:w="481"/>
        <w:gridCol w:w="156"/>
      </w:tblGrid>
      <w:tr>
        <w:trPr/>
        <w:tc>
          <w:tcPr>
            <w:tcW w:w="1891"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93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3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Gains on economic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316</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2740"/>
                <wp:effectExtent l="0" t="0" r="0" b="0"/>
                <wp:wrapNone/>
                <wp:docPr id="16" name="Frame1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Appendix Table A-3: Six Months Ended June 30, 2024, Segment Adjusted EBITDA Reconciliation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899"/>
        <w:gridCol w:w="1528"/>
        <w:gridCol w:w="1507"/>
        <w:gridCol w:w="109"/>
        <w:gridCol w:w="109"/>
        <w:gridCol w:w="109"/>
        <w:gridCol w:w="284"/>
        <w:gridCol w:w="649"/>
        <w:gridCol w:w="148"/>
        <w:gridCol w:w="109"/>
        <w:gridCol w:w="109"/>
        <w:gridCol w:w="109"/>
        <w:gridCol w:w="249"/>
        <w:gridCol w:w="568"/>
        <w:gridCol w:w="129"/>
        <w:gridCol w:w="109"/>
        <w:gridCol w:w="109"/>
        <w:gridCol w:w="109"/>
        <w:gridCol w:w="109"/>
        <w:gridCol w:w="109"/>
        <w:gridCol w:w="264"/>
        <w:gridCol w:w="470"/>
        <w:gridCol w:w="137"/>
        <w:gridCol w:w="109"/>
        <w:gridCol w:w="109"/>
        <w:gridCol w:w="109"/>
        <w:gridCol w:w="211"/>
        <w:gridCol w:w="481"/>
        <w:gridCol w:w="155"/>
      </w:tblGrid>
      <w:tr>
        <w:trPr/>
        <w:tc>
          <w:tcPr>
            <w:tcW w:w="189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9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8"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37"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(Gain)/Loss on 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475</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564</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A-4: Six Months Ended June 30, 2023, Segment Adjusted EBITDA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901"/>
        <w:gridCol w:w="1525"/>
        <w:gridCol w:w="1508"/>
        <w:gridCol w:w="109"/>
        <w:gridCol w:w="109"/>
        <w:gridCol w:w="109"/>
        <w:gridCol w:w="284"/>
        <w:gridCol w:w="649"/>
        <w:gridCol w:w="148"/>
        <w:gridCol w:w="109"/>
        <w:gridCol w:w="109"/>
        <w:gridCol w:w="109"/>
        <w:gridCol w:w="249"/>
        <w:gridCol w:w="568"/>
        <w:gridCol w:w="129"/>
        <w:gridCol w:w="109"/>
        <w:gridCol w:w="109"/>
        <w:gridCol w:w="109"/>
        <w:gridCol w:w="109"/>
        <w:gridCol w:w="109"/>
        <w:gridCol w:w="264"/>
        <w:gridCol w:w="470"/>
        <w:gridCol w:w="137"/>
        <w:gridCol w:w="109"/>
        <w:gridCol w:w="109"/>
        <w:gridCol w:w="109"/>
        <w:gridCol w:w="211"/>
        <w:gridCol w:w="481"/>
        <w:gridCol w:w="155"/>
      </w:tblGrid>
      <w:tr>
        <w:trPr/>
        <w:tc>
          <w:tcPr>
            <w:tcW w:w="190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9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48"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37"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(Gain)/Loss on economic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399</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534</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2740"/>
                <wp:effectExtent l="0" t="0" r="0" b="0"/>
                <wp:wrapNone/>
                <wp:docPr id="17" name="Frame1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A-5: Cash Available for Distribution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calculation of Cash Available for Distribution and provides a reconciliation to Cash from Operating Activities: </w:t>
      </w:r>
    </w:p>
    <w:tbl>
      <w:tblPr>
        <w:tblW w:w="10205" w:type="dxa"/>
        <w:jc w:val="left"/>
        <w:tblInd w:w="0" w:type="dxa"/>
        <w:tblLayout w:type="fixed"/>
        <w:tblCellMar>
          <w:top w:w="28" w:type="dxa"/>
          <w:left w:w="28" w:type="dxa"/>
          <w:bottom w:w="28" w:type="dxa"/>
          <w:right w:w="28" w:type="dxa"/>
        </w:tblCellMar>
      </w:tblPr>
      <w:tblGrid>
        <w:gridCol w:w="2077"/>
        <w:gridCol w:w="1778"/>
        <w:gridCol w:w="1791"/>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56"/>
      </w:tblGrid>
      <w:tr>
        <w:trPr/>
        <w:tc>
          <w:tcPr>
            <w:tcW w:w="207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sale-type leases and payments for lease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and other</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 from unconsolidated affiliates</w:t>
            </w:r>
            <w:r>
              <w:rPr>
                <w:rFonts w:ascii="Times New Roman;sans-serif" w:hAnsi="Times New Roman;sans-serif"/>
                <w:b w:val="false"/>
                <w:color w:val="000000"/>
                <w:sz w:val="13"/>
              </w:rPr>
              <w:t>3</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contributions (to)/from non-controlling interest</w:t>
            </w:r>
            <w:r>
              <w:rPr>
                <w:rFonts w:ascii="Times New Roman;sans-serif" w:hAnsi="Times New Roman;sans-serif"/>
                <w:b w:val="false"/>
                <w:color w:val="000000"/>
                <w:sz w:val="13"/>
              </w:rPr>
              <w:t>4</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amortization of indebtedness</w:t>
            </w:r>
            <w:r>
              <w:rPr>
                <w:rFonts w:ascii="Times New Roman;sans-serif" w:hAnsi="Times New Roman;sans-serif"/>
                <w:b w:val="false"/>
                <w:color w:val="000000"/>
                <w:sz w:val="13"/>
              </w:rPr>
              <w:t>5</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 before Adjustments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2024 Net Impact of drop downs from timing of construction debt service </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r>
              <w:rPr>
                <w:rFonts w:ascii="Times New Roman;sans-serif" w:hAnsi="Times New Roman;sans-serif"/>
                <w:b/>
                <w:color w:val="000000"/>
                <w:sz w:val="13"/>
              </w:rPr>
              <w:t>6</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6"/>
        </w:rPr>
        <w:t>2024 excludes $28 million related to Rosamond Central BESS return of capital at substantial completion funding</w:t>
      </w:r>
    </w:p>
    <w:p>
      <w:pPr>
        <w:pStyle w:val="TextBody"/>
        <w:bidi w:val="0"/>
        <w:spacing w:lineRule="auto" w:line="288"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16"/>
        </w:rPr>
        <w:t>2024 excludes $1,230 million of contributions related to the funding of Texas Solar Nova 2, Rosamond Central Battery Storage, Victory Pass, Arica &amp; Cedar Creek; 2023 excludes $229 million of contributions related to the funding of Rosamond Central Battery Storage, Waiawa, and Daggett</w:t>
      </w:r>
    </w:p>
    <w:p>
      <w:pPr>
        <w:pStyle w:val="TextBody"/>
        <w:bidi w:val="0"/>
        <w:spacing w:lineRule="auto" w:line="288" w:before="0" w:after="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16"/>
        </w:rPr>
        <w:t>2024 excludes $2,545 million for the repayment of bridge loans in connection with Texas Solar Nova 2, Victory Pass, Arica &amp; Cedar Creek and $137 million due to repayment of NIMH balloon; 2023 excludes $130 million for the repayment of construction loans in connection with Waiawa and Daggett, and $24 million for the repayment of balloon at Walnut Creek Holdings;</w:t>
      </w:r>
    </w:p>
    <w:p>
      <w:pPr>
        <w:pStyle w:val="TextBody"/>
        <w:bidi w:val="0"/>
        <w:spacing w:lineRule="auto" w:line="288"/>
        <w:jc w:val="left"/>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16"/>
        </w:rPr>
        <w:t>Excludes income tax payments related to Thermal sale</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2740"/>
                <wp:effectExtent l="0" t="0" r="0" b="0"/>
                <wp:wrapNone/>
                <wp:docPr id="18" name="Frame1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A-6: Six Months Ended June 30, 2024, Sources and Uses of Liquidity</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sources and uses of liquidity in 2024:</w:t>
      </w:r>
    </w:p>
    <w:p>
      <w:pPr>
        <w:pStyle w:val="TextBody"/>
        <w:bidi w:val="0"/>
        <w:spacing w:before="0" w:after="0"/>
        <w:jc w:val="left"/>
        <w:rPr/>
      </w:pPr>
      <w:r>
        <w:rPr/>
      </w:r>
    </w:p>
    <w:tbl>
      <w:tblPr>
        <w:tblW w:w="6626" w:type="dxa"/>
        <w:jc w:val="left"/>
        <w:tblInd w:w="0" w:type="dxa"/>
        <w:tblLayout w:type="fixed"/>
        <w:tblCellMar>
          <w:top w:w="28" w:type="dxa"/>
          <w:left w:w="28" w:type="dxa"/>
          <w:bottom w:w="28" w:type="dxa"/>
          <w:right w:w="28" w:type="dxa"/>
        </w:tblCellMar>
      </w:tblPr>
      <w:tblGrid>
        <w:gridCol w:w="1673"/>
        <w:gridCol w:w="1468"/>
        <w:gridCol w:w="1479"/>
        <w:gridCol w:w="109"/>
        <w:gridCol w:w="109"/>
        <w:gridCol w:w="109"/>
        <w:gridCol w:w="389"/>
        <w:gridCol w:w="985"/>
        <w:gridCol w:w="305"/>
      </w:tblGrid>
      <w:tr>
        <w:trPr/>
        <w:tc>
          <w:tcPr>
            <w:tcW w:w="167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6/30/24</w:t>
            </w:r>
          </w:p>
        </w:tc>
      </w:tr>
      <w:tr>
        <w:trPr/>
        <w:tc>
          <w:tcPr>
            <w:tcW w:w="4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note receivable —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investments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 cash inflows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Payments for long-term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Drop Down Assets,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Payments of dividends and distributions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85"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(481)</w:t>
            </w:r>
          </w:p>
        </w:tc>
        <w:tc>
          <w:tcPr>
            <w:tcW w:w="305"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2740"/>
                <wp:effectExtent l="0" t="0" r="0" b="0"/>
                <wp:wrapNone/>
                <wp:docPr id="19" name="Frame1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Appendix Table A-7: Adjusted EBITDA and Cash Available for Distribution Guidance</w:t>
      </w:r>
    </w:p>
    <w:tbl>
      <w:tblPr>
        <w:tblW w:w="9362" w:type="dxa"/>
        <w:jc w:val="left"/>
        <w:tblInd w:w="0" w:type="dxa"/>
        <w:tblLayout w:type="fixed"/>
        <w:tblCellMar>
          <w:top w:w="28" w:type="dxa"/>
          <w:left w:w="28" w:type="dxa"/>
          <w:bottom w:w="28" w:type="dxa"/>
          <w:right w:w="28" w:type="dxa"/>
        </w:tblCellMar>
      </w:tblPr>
      <w:tblGrid>
        <w:gridCol w:w="2526"/>
        <w:gridCol w:w="2214"/>
        <w:gridCol w:w="2234"/>
        <w:gridCol w:w="109"/>
        <w:gridCol w:w="666"/>
        <w:gridCol w:w="666"/>
        <w:gridCol w:w="947"/>
      </w:tblGrid>
      <w:tr>
        <w:trPr/>
        <w:tc>
          <w:tcPr>
            <w:tcW w:w="252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Full Year Guidance</w:t>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90</w:t>
            </w:r>
            <w:r>
              <w:rPr>
                <w:color w:val="000000"/>
              </w:rPr>
              <w:t>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 Expense</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94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 to reflect CWEN share of Adjusted EBITDA in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94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1,175</w:t>
            </w:r>
            <w:r>
              <w:rPr>
                <w:color w:val="000000"/>
              </w:rPr>
              <w:t>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94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Adjustments to reflect sale-type leases and payments for lease expenses</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94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from unconsolidated affiliates</w:t>
            </w:r>
            <w:r>
              <w:rPr>
                <w:rFonts w:ascii="Times New Roman;sans-serif" w:hAnsi="Times New Roman;sans-serif"/>
                <w:b w:val="false"/>
                <w:color w:val="000000"/>
                <w:sz w:val="13"/>
              </w:rPr>
              <w:t>7</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830</w:t>
            </w:r>
            <w:r>
              <w:rPr>
                <w:color w:val="000000"/>
              </w:rPr>
              <w:t>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 non-controlling interest</w:t>
            </w:r>
            <w:r>
              <w:rPr>
                <w:rFonts w:ascii="Times New Roman;sans-serif" w:hAnsi="Times New Roman;sans-serif"/>
                <w:b w:val="false"/>
                <w:color w:val="000000"/>
                <w:sz w:val="13"/>
              </w:rPr>
              <w:t>8</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Principal amortization of indebtedness</w:t>
            </w:r>
            <w:r>
              <w:rPr>
                <w:rFonts w:ascii="Times New Roman;sans-serif" w:hAnsi="Times New Roman;sans-serif"/>
                <w:b w:val="false"/>
                <w:color w:val="000000"/>
                <w:sz w:val="13"/>
              </w:rPr>
              <w:t>9</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p>
        </w:tc>
        <w:tc>
          <w:tcPr>
            <w:tcW w:w="109" w:type="dxa"/>
            <w:tcBorders/>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395</w:t>
            </w:r>
            <w:r>
              <w:rPr>
                <w:color w:val="000000"/>
              </w:rPr>
              <w:t> </w:t>
            </w:r>
          </w:p>
        </w:tc>
        <w:tc>
          <w:tcPr>
            <w:tcW w:w="9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A-8: Adjusted EBITDA and Cash Available for Distribution Growth Projects</w:t>
      </w:r>
    </w:p>
    <w:tbl>
      <w:tblPr>
        <w:tblW w:w="9152" w:type="dxa"/>
        <w:jc w:val="left"/>
        <w:tblInd w:w="0" w:type="dxa"/>
        <w:tblLayout w:type="fixed"/>
        <w:tblCellMar>
          <w:top w:w="28" w:type="dxa"/>
          <w:left w:w="28" w:type="dxa"/>
          <w:bottom w:w="28" w:type="dxa"/>
          <w:right w:w="28" w:type="dxa"/>
        </w:tblCellMar>
      </w:tblPr>
      <w:tblGrid>
        <w:gridCol w:w="1532"/>
        <w:gridCol w:w="1344"/>
        <w:gridCol w:w="135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706"/>
        <w:gridCol w:w="706"/>
        <w:gridCol w:w="1003"/>
      </w:tblGrid>
      <w:tr>
        <w:trPr/>
        <w:tc>
          <w:tcPr>
            <w:tcW w:w="153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Luna Valley and Daggett 1</w:t>
              <w:br/>
              <w:t>5 Year Ave. 2026-2030</w:t>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w:t>
            </w:r>
            <w:r>
              <w:rPr>
                <w:color w:val="000000"/>
              </w:rPr>
              <w:t> </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w:t>
            </w:r>
            <w:r>
              <w:rPr>
                <w:color w:val="000000"/>
              </w:rPr>
              <w:t> </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w:t>
            </w:r>
            <w:r>
              <w:rPr>
                <w:color w:val="000000"/>
              </w:rPr>
              <w:t> </w:t>
            </w:r>
          </w:p>
        </w:tc>
        <w:tc>
          <w:tcPr>
            <w:tcW w:w="10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(to)/from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Upgrade Reimbursements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amortization of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Estimated Cash Available for Distribution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w:t>
            </w:r>
            <w:r>
              <w:rPr>
                <w:color w:val="000000"/>
              </w:rPr>
              <w:t> </w:t>
            </w:r>
          </w:p>
        </w:tc>
        <w:tc>
          <w:tcPr>
            <w:tcW w:w="10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16"/>
        </w:rPr>
        <w:t>Distribution from unconsolidated affiliates can be classified as Return of Investment on Unconsolidated Affiliates when actuals are reported. This is below cash from operating activities</w:t>
      </w:r>
    </w:p>
    <w:p>
      <w:pPr>
        <w:pStyle w:val="TextBody"/>
        <w:bidi w:val="0"/>
        <w:spacing w:lineRule="auto" w:line="288" w:before="0" w:after="0"/>
        <w:jc w:val="left"/>
        <w:rPr/>
      </w:pP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16"/>
        </w:rPr>
        <w:t>Includes tax equity proceeds and distributions to tax equity partners</w:t>
      </w:r>
    </w:p>
    <w:p>
      <w:pPr>
        <w:pStyle w:val="TextBody"/>
        <w:bidi w:val="0"/>
        <w:spacing w:lineRule="auto" w:line="288"/>
        <w:jc w:val="left"/>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16"/>
        </w:rPr>
        <w:t xml:space="preserve">2024 excludes maturities assumed to be refinanced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2740"/>
                <wp:effectExtent l="0" t="0" r="0" b="0"/>
                <wp:wrapNone/>
                <wp:docPr id="20" name="Frame1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color w:val="000000"/>
          <w:sz w:val="22"/>
        </w:rPr>
      </w:pPr>
      <w:r>
        <w:rPr>
          <w:rFonts w:ascii="Times New Roman;sans-serif" w:hAnsi="Times New Roman;sans-serif"/>
          <w:b/>
          <w:color w:val="000000"/>
          <w:sz w:val="22"/>
        </w:rPr>
        <w:t>Non-GAAP Financial Information</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cash expenditures, or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changes in, or cash requirements for, working capital needs;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the significant interest expense, or the cash requirements necessary to service interest or principal payments, on debt or cash income tax payments;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EBITDA does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companies in this industry may calculate EBITDA differently than Clearway Energy does, limiting its usefulness as a comparative measure.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2740"/>
                <wp:effectExtent l="0" t="0" r="0" b="0"/>
                <wp:wrapNone/>
                <wp:docPr id="21" name="Frame2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Cash Available for Distribution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Cash Available for Distribution is defined as of June 30, 2024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pStyle w:val="TextBody"/>
        <w:bidi w:val="0"/>
        <w:spacing w:before="0" w:after="0"/>
        <w:jc w:val="both"/>
        <w:rPr/>
      </w:pPr>
      <w:r>
        <w:rPr/>
      </w:r>
    </w:p>
    <w:p>
      <w:pPr>
        <w:pStyle w:val="TextBody"/>
        <w:bidi w:val="0"/>
        <w:spacing w:before="4320" w:after="283"/>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2740"/>
                <wp:effectExtent l="0" t="0" r="0" b="0"/>
                <wp:wrapNone/>
                <wp:docPr id="22" name="Frame2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6723</Words>
  <Characters>37711</Characters>
  <CharactersWithSpaces>43937</CharactersWithSpaces>
  <Paragraphs>1643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