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345" w:before="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20" w:after="283"/>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April 30, 2025</w:t>
      </w:r>
      <w:r>
        <w:rPr>
          <w:color w:val="000000"/>
        </w:rPr>
        <w:t xml:space="preserve">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CLEARWAY ENERGY, INC. </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001-36002</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46-1777204</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Princeton, New Jersey 08540 </w:t>
      </w:r>
    </w:p>
    <w:p>
      <w:pPr>
        <w:pStyle w:val="TextBody"/>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(609) 608-1525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N/A</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CWEN.A</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On April 30, 2025, Clearway Energy, Inc. issued a press release announcing its financial results for the quarter ended March 31, 2025.  A copy of the press release is furnished as Exhibit 99.1 to this report on Form 8-K and is hereby incorporated by reference. </w:t>
      </w:r>
      <w:r>
        <w:rPr>
          <w:rFonts w:ascii="Times New Roman;sans-serif" w:hAnsi="Times New Roman;sans-serif"/>
          <w:b w:val="false"/>
          <w:color w:val="212529"/>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p>
      <w:pPr>
        <w:pStyle w:val="TextBody"/>
        <w:bidi w:val="0"/>
        <w:spacing w:before="0" w:after="0"/>
        <w:jc w:val="both"/>
        <w:rPr/>
      </w:pPr>
      <w:r>
        <w:rPr/>
      </w:r>
    </w:p>
    <w:p>
      <w:pPr>
        <w:pStyle w:val="TextBody"/>
        <w:bidi w:val="0"/>
        <w:spacing w:lineRule="auto" w:line="288" w:before="0" w:after="14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In accordance with General Instruction B.2 of Form 8-K, the information set forth in the attached exhibit is deemed to be furnished and shall not be deemed to be “filed” for purposes of Section 18 of the Exchange Act. </w:t>
      </w:r>
    </w:p>
    <w:tbl>
      <w:tblPr>
        <w:tblW w:w="859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179"/>
        <w:gridCol w:w="2179"/>
        <w:gridCol w:w="309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clearwayenergyi.htm">
              <w:r>
                <w:rPr>
                  <w:rStyle w:val="InternetLink"/>
                  <w:rFonts w:ascii="Times New Roman;sans-serif" w:hAnsi="Times New Roman;sans-serif"/>
                  <w:b w:val="false"/>
                  <w:color w:val="0000FF"/>
                  <w:sz w:val="20"/>
                  <w:u w:val="single"/>
                </w:rPr>
                <w:t>Press Release, dated April 30,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6284" w:type="dxa"/>
        <w:jc w:val="left"/>
        <w:tblInd w:w="0" w:type="dxa"/>
        <w:tblLayout w:type="fixed"/>
        <w:tblCellMar>
          <w:top w:w="28" w:type="dxa"/>
          <w:left w:w="28" w:type="dxa"/>
          <w:bottom w:w="28" w:type="dxa"/>
          <w:right w:w="28" w:type="dxa"/>
        </w:tblCellMar>
      </w:tblPr>
      <w:tblGrid>
        <w:gridCol w:w="683"/>
        <w:gridCol w:w="600"/>
        <w:gridCol w:w="606"/>
        <w:gridCol w:w="300"/>
        <w:gridCol w:w="300"/>
        <w:gridCol w:w="300"/>
        <w:gridCol w:w="1013"/>
        <w:gridCol w:w="1013"/>
        <w:gridCol w:w="146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P. Malcarney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30, 2025</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00"/>
        <w:jc w:val="left"/>
        <w:rPr/>
      </w:pPr>
      <w:r>
        <w:rPr/>
      </w:r>
    </w:p>
    <w:p>
      <w:pPr>
        <w:pStyle w:val="TextBody"/>
        <w:bidi w:val="0"/>
        <w:spacing w:before="0" w:after="0"/>
        <w:ind w:left="0" w:right="0" w:firstLine="1440"/>
        <w:jc w:val="right"/>
        <w:rPr/>
      </w:pPr>
      <w:r>
        <w:rPr/>
      </w:r>
    </w:p>
    <w:p>
      <w:pPr>
        <w:pStyle w:val="TextBody"/>
        <w:bidi w:val="0"/>
        <w:spacing w:before="0" w:after="20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71462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olor w:val="000000"/>
        </w:rPr>
        <w:t xml:space="preserve">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8"/>
        </w:rPr>
        <w:t>Clearway Energy, Inc. Reports</w:t>
      </w:r>
      <w:r>
        <w:rPr>
          <w:color w:val="EE2724"/>
        </w:rPr>
        <w:t xml:space="preserve"> </w:t>
      </w:r>
      <w:r>
        <w:rPr>
          <w:rFonts w:ascii="Times New Roman;sans-serif" w:hAnsi="Times New Roman;sans-serif"/>
          <w:b/>
          <w:color w:val="000000"/>
          <w:sz w:val="28"/>
        </w:rPr>
        <w:t>First</w:t>
      </w:r>
      <w:r>
        <w:rPr>
          <w:color w:val="EE2724"/>
        </w:rPr>
        <w:t xml:space="preserve"> </w:t>
      </w:r>
      <w:r>
        <w:rPr>
          <w:rFonts w:ascii="Times New Roman;sans-serif" w:hAnsi="Times New Roman;sans-serif"/>
          <w:b/>
          <w:color w:val="000000"/>
          <w:sz w:val="28"/>
        </w:rPr>
        <w:t>Quarter 2025 Financial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Strong quarterly operational performance with availability and capacity factors up YoY in all segments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Repowering program accelerating with PPA signed at Mt. Storm and awarded PPA at Goat Mountain</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Sponsor-enabled growth continuing forward with 2025 projects initially funded and 2026 projects on track</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Progressed growth by M&amp;A also with Tuolumne closed and signed acquisition of California solar project</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Reaffirming 2025 financial guidance</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Increasing quarterly dividend by 1.7% to $0.4384</w:t>
      </w:r>
      <w:r>
        <w:rPr>
          <w:color w:val="000000"/>
        </w:rPr>
        <w:t xml:space="preserve"> </w:t>
      </w:r>
      <w:r>
        <w:rPr>
          <w:rFonts w:ascii="Times New Roman;sans-serif" w:hAnsi="Times New Roman;sans-serif"/>
          <w:b/>
          <w:color w:val="000000"/>
          <w:sz w:val="20"/>
        </w:rPr>
        <w:t>per share in Q2 2025, or $1.75 per share annualized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PRINCETON, NJ </w:t>
      </w:r>
      <w:r>
        <w:rPr>
          <w:color w:val="000000"/>
        </w:rPr>
        <w:t xml:space="preserve">— </w:t>
      </w:r>
      <w:r>
        <w:rPr>
          <w:rFonts w:ascii="Times New Roman;sans-serif" w:hAnsi="Times New Roman;sans-serif"/>
          <w:b/>
          <w:color w:val="000000"/>
          <w:sz w:val="20"/>
        </w:rPr>
        <w:t>April 30, 2025</w:t>
      </w:r>
      <w:r>
        <w:rPr>
          <w:color w:val="000000"/>
        </w:rPr>
        <w:t xml:space="preserve">— </w:t>
      </w:r>
      <w:r>
        <w:rPr>
          <w:rFonts w:ascii="Times New Roman;sans-serif" w:hAnsi="Times New Roman;sans-serif"/>
          <w:b w:val="false"/>
          <w:color w:val="000000"/>
          <w:sz w:val="20"/>
        </w:rPr>
        <w:t>Clearway Energy, Inc. (NYSE: CWEN, CWEN.A) today reported first quarter 2025 financial results, including Net Loss of $104 million, Adjusted EBITDA of $252 million, Cash from Operating Activities of $95 million, and Cash Available for Distribution (CAFD) of $77 million.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0"/>
        </w:rPr>
        <w:t>Clearway reported another solid set of results in the first quarter of 2025 and remains on track to fulfill its financial guidance for the year. We continue to advance towards our long-term financial objectives through progress across each of our core growth pathways, including fleet enhancements and repowerings, sponsor-offered dropdowns, and asset-centered M&amp;A. Further reinforced by the announced acquisition of the operational solar project, these redundant growth pathways put us on a solid path to deliver at the top end of the $2.40 to $2.60 in CAFD per share target we set for 2027, and for our long-term financial targets beyond 2027,” said Craig Cornelius, Clearway Energy, Inc.’s President and Chief Executive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and Cash Available for Distribution used in this press release are non-GAAP measures and are explained in greater detail under “Non-GAAP Financial Information”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 of Financial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Segment Results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Table 1: Net Income/(Loss) </w:t>
      </w:r>
    </w:p>
    <w:tbl>
      <w:tblPr>
        <w:tblW w:w="5277" w:type="dxa"/>
        <w:jc w:val="left"/>
        <w:tblInd w:w="0" w:type="dxa"/>
        <w:tblLayout w:type="fixed"/>
        <w:tblCellMar>
          <w:top w:w="28" w:type="dxa"/>
          <w:left w:w="28" w:type="dxa"/>
          <w:bottom w:w="28" w:type="dxa"/>
          <w:right w:w="28" w:type="dxa"/>
        </w:tblCellMar>
      </w:tblPr>
      <w:tblGrid>
        <w:gridCol w:w="706"/>
        <w:gridCol w:w="620"/>
        <w:gridCol w:w="624"/>
        <w:gridCol w:w="109"/>
        <w:gridCol w:w="109"/>
        <w:gridCol w:w="109"/>
        <w:gridCol w:w="157"/>
        <w:gridCol w:w="157"/>
        <w:gridCol w:w="157"/>
        <w:gridCol w:w="157"/>
        <w:gridCol w:w="305"/>
        <w:gridCol w:w="782"/>
        <w:gridCol w:w="157"/>
        <w:gridCol w:w="109"/>
        <w:gridCol w:w="109"/>
        <w:gridCol w:w="109"/>
        <w:gridCol w:w="211"/>
        <w:gridCol w:w="43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28"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3/31/24</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Flexible Generation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Table 2: Adjusted EBITDA </w:t>
      </w:r>
    </w:p>
    <w:tbl>
      <w:tblPr>
        <w:tblW w:w="5308" w:type="dxa"/>
        <w:jc w:val="left"/>
        <w:tblInd w:w="0" w:type="dxa"/>
        <w:tblLayout w:type="fixed"/>
        <w:tblCellMar>
          <w:top w:w="28" w:type="dxa"/>
          <w:left w:w="28" w:type="dxa"/>
          <w:bottom w:w="28" w:type="dxa"/>
          <w:right w:w="28" w:type="dxa"/>
        </w:tblCellMar>
      </w:tblPr>
      <w:tblGrid>
        <w:gridCol w:w="706"/>
        <w:gridCol w:w="620"/>
        <w:gridCol w:w="624"/>
        <w:gridCol w:w="109"/>
        <w:gridCol w:w="109"/>
        <w:gridCol w:w="109"/>
        <w:gridCol w:w="236"/>
        <w:gridCol w:w="236"/>
        <w:gridCol w:w="236"/>
        <w:gridCol w:w="236"/>
        <w:gridCol w:w="457"/>
        <w:gridCol w:w="236"/>
        <w:gridCol w:w="236"/>
        <w:gridCol w:w="109"/>
        <w:gridCol w:w="109"/>
        <w:gridCol w:w="109"/>
        <w:gridCol w:w="211"/>
        <w:gridCol w:w="46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58"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3/31/24</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Flexible Generation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Table 3: Cash from Operating Activities and Cash Available for Distribution (CAFD) </w:t>
      </w:r>
    </w:p>
    <w:tbl>
      <w:tblPr>
        <w:tblW w:w="6667" w:type="dxa"/>
        <w:jc w:val="left"/>
        <w:tblInd w:w="0" w:type="dxa"/>
        <w:tblLayout w:type="fixed"/>
        <w:tblCellMar>
          <w:top w:w="28" w:type="dxa"/>
          <w:left w:w="28" w:type="dxa"/>
          <w:bottom w:w="28" w:type="dxa"/>
          <w:right w:w="28" w:type="dxa"/>
        </w:tblCellMar>
      </w:tblPr>
      <w:tblGrid>
        <w:gridCol w:w="1210"/>
        <w:gridCol w:w="1064"/>
        <w:gridCol w:w="1070"/>
        <w:gridCol w:w="109"/>
        <w:gridCol w:w="109"/>
        <w:gridCol w:w="109"/>
        <w:gridCol w:w="183"/>
        <w:gridCol w:w="183"/>
        <w:gridCol w:w="183"/>
        <w:gridCol w:w="183"/>
        <w:gridCol w:w="354"/>
        <w:gridCol w:w="606"/>
        <w:gridCol w:w="183"/>
        <w:gridCol w:w="109"/>
        <w:gridCol w:w="109"/>
        <w:gridCol w:w="109"/>
        <w:gridCol w:w="231"/>
        <w:gridCol w:w="395"/>
        <w:gridCol w:w="168"/>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21" w:type="dxa"/>
            <w:gridSpan w:val="6"/>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3/31/24</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Available for Distribution (CAFD)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For the first quarter of 2025, the Company reported Net Loss of $104 million, Adjusted EBITDA of $252 million, Cash from Operating Activities of $95 million, and CAFD of $77 million. Net Loss increased versus 2024 primarily due to higher interest expense related to interest rate swaps. Adjusted EBITDA and CAFD results in the first quarter of 2025 were higher than 2024 primarily due to the contribution from growth investments.</w:t>
      </w:r>
      <w:r>
        <w:rPr>
          <w:color w:val="EE2724"/>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Operational Performance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4: Selected Operating Results</w:t>
      </w:r>
      <w:r>
        <w:rPr>
          <w:rFonts w:ascii="Times New Roman;sans-serif" w:hAnsi="Times New Roman;sans-serif"/>
          <w:b/>
          <w:color w:val="000000"/>
          <w:sz w:val="13"/>
        </w:rPr>
        <w:t>1</w:t>
      </w:r>
    </w:p>
    <w:p>
      <w:pPr>
        <w:pStyle w:val="TextBody"/>
        <w:bidi w:val="0"/>
        <w:spacing w:before="0" w:after="0"/>
        <w:jc w:val="both"/>
        <w:rPr/>
      </w:pPr>
      <w:r>
        <w:rPr/>
      </w:r>
    </w:p>
    <w:tbl>
      <w:tblPr>
        <w:tblW w:w="8003" w:type="dxa"/>
        <w:jc w:val="left"/>
        <w:tblInd w:w="0" w:type="dxa"/>
        <w:tblLayout w:type="fixed"/>
        <w:tblCellMar>
          <w:top w:w="28" w:type="dxa"/>
          <w:left w:w="28" w:type="dxa"/>
          <w:bottom w:w="28" w:type="dxa"/>
          <w:right w:w="28" w:type="dxa"/>
        </w:tblCellMar>
      </w:tblPr>
      <w:tblGrid>
        <w:gridCol w:w="1549"/>
        <w:gridCol w:w="1360"/>
        <w:gridCol w:w="1365"/>
        <w:gridCol w:w="109"/>
        <w:gridCol w:w="109"/>
        <w:gridCol w:w="109"/>
        <w:gridCol w:w="109"/>
        <w:gridCol w:w="109"/>
        <w:gridCol w:w="288"/>
        <w:gridCol w:w="288"/>
        <w:gridCol w:w="288"/>
        <w:gridCol w:w="288"/>
        <w:gridCol w:w="723"/>
        <w:gridCol w:w="109"/>
        <w:gridCol w:w="109"/>
        <w:gridCol w:w="109"/>
        <w:gridCol w:w="255"/>
        <w:gridCol w:w="256"/>
        <w:gridCol w:w="471"/>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(MWh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09" w:type="dxa"/>
            <w:gridSpan w:val="6"/>
            <w:tcBorders/>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3/31/24</w:t>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Flexible Generation Equivalent Availability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MWh generated/sold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MWh generated/sold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w:t>
            </w:r>
          </w:p>
        </w:tc>
      </w:tr>
      <w:tr>
        <w:trPr/>
        <w:tc>
          <w:tcPr>
            <w:tcW w:w="4274"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&amp; Storage generated/sold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2025, availability at the Flexible Generation segment was higher than the first quarter of 2024 primarily due to the timing and duration of spring outages. Generation in the Renewables &amp; Storage segment during the first quarter of 2025 was 13% higher than the first quarter of 2024 primarily due to the contribution of growth investments.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5: Liquidity</w:t>
      </w:r>
      <w:r>
        <w:rPr>
          <w:color w:val="000000"/>
        </w:rPr>
        <w:t xml:space="preserve"> </w:t>
      </w:r>
    </w:p>
    <w:tbl>
      <w:tblPr>
        <w:tblW w:w="9604" w:type="dxa"/>
        <w:jc w:val="left"/>
        <w:tblInd w:w="0" w:type="dxa"/>
        <w:tblLayout w:type="fixed"/>
        <w:tblCellMar>
          <w:top w:w="28" w:type="dxa"/>
          <w:left w:w="28" w:type="dxa"/>
          <w:bottom w:w="28" w:type="dxa"/>
          <w:right w:w="28" w:type="dxa"/>
        </w:tblCellMar>
      </w:tblPr>
      <w:tblGrid>
        <w:gridCol w:w="2372"/>
        <w:gridCol w:w="2084"/>
        <w:gridCol w:w="2098"/>
        <w:gridCol w:w="109"/>
        <w:gridCol w:w="109"/>
        <w:gridCol w:w="109"/>
        <w:gridCol w:w="216"/>
        <w:gridCol w:w="632"/>
        <w:gridCol w:w="111"/>
        <w:gridCol w:w="109"/>
        <w:gridCol w:w="109"/>
        <w:gridCol w:w="109"/>
        <w:gridCol w:w="240"/>
        <w:gridCol w:w="701"/>
        <w:gridCol w:w="124"/>
        <w:gridCol w:w="109"/>
        <w:gridCol w:w="109"/>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liquidity as of March 31, 2025, was $1,325 million, which was $5 million lower than as of December 31,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March 31, 2025</w:t>
      </w:r>
      <w:r>
        <w:rPr>
          <w:rFonts w:ascii="Times New Roman;sans-serif" w:hAnsi="Times New Roman;sans-serif"/>
          <w:b w:val="false"/>
          <w:color w:val="231F20"/>
          <w:sz w:val="20"/>
        </w:rPr>
        <w:t xml:space="preserve">, the Company's liquidity included $414 million of restricted cash. Restricted cash consists primarily of funds to satisfy the requirements of certain debt arrangements and funds held within the Company's projects that are restricted in their use. As </w:t>
      </w:r>
      <w:r>
        <w:rPr>
          <w:rFonts w:ascii="Times New Roman;sans-serif" w:hAnsi="Times New Roman;sans-serif"/>
          <w:b w:val="false"/>
          <w:color w:val="000000"/>
          <w:sz w:val="20"/>
        </w:rPr>
        <w:t xml:space="preserve">of March 31, 2025, these restricted funds were comprised of $166 million designated to fund operating expenses, approximately $133 million designated for current debt service payments, and $83 million of reserves for debt </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Excludes equity method investments</w:t>
      </w:r>
    </w:p>
    <w:p>
      <w:pPr>
        <w:pStyle w:val="TextBody"/>
        <w:bidi w:val="0"/>
        <w:spacing w:lineRule="auto" w:line="288"/>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Generation sold excludes MWh that are reimbursable for economic curtailment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service, performance obligations and other items including capital expenditures.</w:t>
      </w:r>
      <w:r>
        <w:rPr>
          <w:color w:val="FF0000"/>
        </w:rPr>
        <w:t xml:space="preserve"> </w:t>
      </w:r>
      <w:r>
        <w:rPr>
          <w:rFonts w:ascii="Times New Roman;sans-serif" w:hAnsi="Times New Roman;sans-serif"/>
          <w:b w:val="false"/>
          <w:color w:val="000000"/>
          <w:sz w:val="20"/>
        </w:rPr>
        <w:t xml:space="preserve">The remaining $32 million is held in distribution reserve accounts.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Potential future sources of liquidity include excess operating cash flow, availability under the revolving credit facility</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asset dispositions, and, subject to market conditions, new corporate debt and equity financings.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Growth Investments and Strategic Updates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3rd Party Acquisition of Operational Solar Project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2025, the Company entered into a binding agreement to acquire an approximately 100 MW operating solar project located in California from a third-party. The Company expects its corporate capital commitment to acquire the facility to be between $120 million and $125 million. The project reached commercial operations in 2013 and has a revenue contract with an investment-grade utility through 2038. The consummation of the transaction is subject to customary closing conditions and certain third-party approvals and is expected in the second half of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Tuolumne Wind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29, 2025, the Company closed the acquisition of Tuolumne Wind, a 137 MW wind project located in Klickitat County, Washington from Turlock Irrigation District. The project has a PPA with Turlock Irrigation District, an investment-grade regulated entity, with an initial contract term of 15 years to 2040. In conjunction with the acquisition, the Company received from Turlock Irrigation District a contractual extension option to enable a potential future repowering of the project. After factoring in closing adjustments and new non-recourse project-level debt, the Company's corporate capital commitment to acquire the project was $61 million. The Company expects the project to contribute asset CAFD on a five-year average annual basis of approximately $9 million beginning January 1,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Mt. Storm Repowering Update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12, 2025, the Company entered into agreements with Clearway Group to repower the Mt. Storm Wind project located in Grant County, West Virginia. Upon achieving repowering commercial operations in 2026 and 2027, the project is expected to sell power to Microsoft for 20 years under an awarded power purchase agreement. The Company will have the option to invest approximately $220-230 million in long-term corporate capital, subject to closing adjustments, and Clearway Group achieving certain repowering development milestones. The repowering is estimated to contribute incremental asset CAFD on a five-year average annual basis of approximately $26-28 million beginning January 1, 2028.</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Goat Mountain Potential Repowering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During the second quarter of 2025</w:t>
      </w:r>
      <w:r>
        <w:rPr>
          <w:rFonts w:ascii="Times New Roman;sans-serif" w:hAnsi="Times New Roman;sans-serif"/>
          <w:b w:val="false"/>
          <w:color w:val="000000"/>
          <w:sz w:val="20"/>
        </w:rPr>
        <w:t>, Goat Mountain, a wind project located in Sterling, Texas, was an awarded a PPA and is finalizing the terms of the contract. The awarded PPA would underpin a repowering targeted in 2027. The potential investment is subject to negotiation both with Clearway Group, and the review and approval by the Company’s Independent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San Juan Mesa Potential Repowering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During the second quarter of 2025</w:t>
      </w:r>
      <w:r>
        <w:rPr>
          <w:rFonts w:ascii="Times New Roman;sans-serif" w:hAnsi="Times New Roman;sans-serif"/>
          <w:b w:val="false"/>
          <w:color w:val="000000"/>
          <w:sz w:val="20"/>
        </w:rPr>
        <w:t>, San Juan Mesa, a wind project located in Elida, New Mexico, executed a PPA extension through 2026 with its existing offtaker. The extension would serve as a bridge to a repowering targeted in 2027. The potential investment is subject to negotiation both with Clearway Group, and the review and approval by the Company’s Independent Directors.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Quarterly Dividend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April 29, 2025, Clearway Energy, Inc.’s Board of Directors declared a quarterly dividend on Class A and Class C common stoc</w:t>
      </w:r>
      <w:r>
        <w:rPr>
          <w:rFonts w:ascii="Times New Roman;sans-serif" w:hAnsi="Times New Roman;sans-serif"/>
          <w:b w:val="false"/>
          <w:color w:val="242424"/>
          <w:sz w:val="20"/>
        </w:rPr>
        <w:t>k</w:t>
      </w:r>
      <w:r>
        <w:rPr>
          <w:color w:val="000000"/>
        </w:rPr>
        <w:t xml:space="preserve"> </w:t>
      </w:r>
      <w:r>
        <w:rPr>
          <w:rFonts w:ascii="Times New Roman;sans-serif" w:hAnsi="Times New Roman;sans-serif"/>
          <w:b w:val="false"/>
          <w:color w:val="000000"/>
          <w:sz w:val="20"/>
        </w:rPr>
        <w:t>of $0.4384 pe</w:t>
      </w:r>
      <w:r>
        <w:rPr>
          <w:rFonts w:ascii="Times New Roman;sans-serif" w:hAnsi="Times New Roman;sans-serif"/>
          <w:b w:val="false"/>
          <w:color w:val="242424"/>
          <w:sz w:val="20"/>
        </w:rPr>
        <w:t>r</w:t>
      </w:r>
      <w:r>
        <w:rPr>
          <w:color w:val="000000"/>
        </w:rPr>
        <w:t xml:space="preserve"> </w:t>
      </w:r>
      <w:r>
        <w:rPr>
          <w:rFonts w:ascii="Times New Roman;sans-serif" w:hAnsi="Times New Roman;sans-serif"/>
          <w:b w:val="false"/>
          <w:color w:val="000000"/>
          <w:sz w:val="20"/>
        </w:rPr>
        <w:t xml:space="preserve">share payable on June 16, 2025, to stockholders of record as of June 2, 2025.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summer capacity and energy prices from flexible generation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solar insolation during the summer months;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wind resources during the spring and summer months;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Renewable energy resource throughout the 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Debt service payments which are made either quarterly or semi-annually;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maintenance capital expenditures and the impact of both unforced and forced outages;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distributions from unconsolidated affiliates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takes into consideration the timing of these factors to ensure sufficient funds are available for distributions and operating activities on a quarterly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Guidance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is reaffirming its 2025 full year CAFD guidance range of $400 million to $440 million. The midpoint of the 2025 financial guidance range is based on median renewable energy production estimates for the full year, while the range reflects a potential distribution of outcomes on resource and performance in the fiscal year. The guidance range also factors in completing committed growth investments on currently forecasted schedules.</w:t>
      </w:r>
      <w:r>
        <w:rPr>
          <w:color w:val="EE2724"/>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Earnings Conference Call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2025, Clearway Energy, Inc. will host a conference call at 5:00 p.m.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Clearway Energy,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is one of the largest owners of clean energy generation assets in the U.S. and is leading the transition to a world powered by clean energy. Our portfolio comprises approximately 11.8 GW of gross capacity in 26 states, including approximately 9 GW of wind, solar and battery energy storage systems and approximately 2.8 GW of flexible dispatchable power generation providing critical grid reliability services. Through our diversified and primarily contracted clean energy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Safe Harbor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statements regarding the anticipated consummation of the transactions described above, the anticipated benefits, opportunities, and results with respect to the transactions, including the Company’s future relationship and arrangements with 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Clearway Energy, Inc. believes that the expectations are reasonable, it can give no assurance that these expectations will prove to be correct, and actual results may vary materially. Factors that could cause actual results to differ materially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undertakes no obligation to update or revise any forward-looking statements, whether as a result of new information, future events or otherwise. The Cash Available for Distribution are estimates as of today’s date, April 30, 2025,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Investors:                Media:</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Akil Marsh                Zadie Oleksiw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investor.relations@clearwayenergy.com    media@clearwayenergy.com</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609-608-1500                202-836-5754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04"/>
        <w:gridCol w:w="2002"/>
        <w:gridCol w:w="2019"/>
        <w:gridCol w:w="109"/>
        <w:gridCol w:w="109"/>
        <w:gridCol w:w="150"/>
        <w:gridCol w:w="150"/>
        <w:gridCol w:w="150"/>
        <w:gridCol w:w="150"/>
        <w:gridCol w:w="292"/>
        <w:gridCol w:w="1001"/>
        <w:gridCol w:w="150"/>
        <w:gridCol w:w="109"/>
        <w:gridCol w:w="109"/>
        <w:gridCol w:w="109"/>
        <w:gridCol w:w="211"/>
        <w:gridCol w:w="721"/>
        <w:gridCol w:w="160"/>
      </w:tblGrid>
      <w:tr>
        <w:trPr/>
        <w:tc>
          <w:tcPr>
            <w:tcW w:w="250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9" w:type="dxa"/>
            <w:gridSpan w:val="6"/>
            <w:tcBorders/>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 and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Clearway Energy,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Share Attributable to Clearway Energy, Inc. Class A and Class C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C common shares outstanding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Weighted Average Class A and Class C Common Share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A Common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0.4312 </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C Common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0.4312 </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03"/>
        <w:gridCol w:w="2194"/>
        <w:gridCol w:w="2209"/>
        <w:gridCol w:w="109"/>
        <w:gridCol w:w="109"/>
        <w:gridCol w:w="174"/>
        <w:gridCol w:w="174"/>
        <w:gridCol w:w="174"/>
        <w:gridCol w:w="174"/>
        <w:gridCol w:w="339"/>
        <w:gridCol w:w="856"/>
        <w:gridCol w:w="174"/>
        <w:gridCol w:w="109"/>
        <w:gridCol w:w="109"/>
        <w:gridCol w:w="109"/>
        <w:gridCol w:w="211"/>
        <w:gridCol w:w="315"/>
        <w:gridCol w:w="163"/>
      </w:tblGrid>
      <w:tr>
        <w:trPr/>
        <w:tc>
          <w:tcPr>
            <w:tcW w:w="2503"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16" w:type="dxa"/>
            <w:gridSpan w:val="6"/>
            <w:tcBorders/>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 and changes in accumulated OCI, net of income tax benefit of $(1), and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Comprehensive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 and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Clearway Energy,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3328"/>
        <w:gridCol w:w="2216"/>
        <w:gridCol w:w="2234"/>
        <w:gridCol w:w="207"/>
        <w:gridCol w:w="683"/>
        <w:gridCol w:w="115"/>
        <w:gridCol w:w="109"/>
        <w:gridCol w:w="109"/>
        <w:gridCol w:w="109"/>
        <w:gridCol w:w="215"/>
        <w:gridCol w:w="709"/>
        <w:gridCol w:w="171"/>
      </w:tblGrid>
      <w:tr>
        <w:trPr/>
        <w:tc>
          <w:tcPr>
            <w:tcW w:w="3328"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shares)</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Property, plant and equipment, net </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intangible assets, net </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$0.01 par value; 10,000,000 shares authorized; none issued </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Class B, Class C and Class D common stock, $0.01 par value; 3,000,000,000 shares authorized (Class A 500,000,000, Class B 500,000,000, Class C 1,000,000,000, Class D 1,000,000,000); 202,147,579 shares issued and outstanding (Class A 34,613,853, Class B 42,738,750, Class C 83,218,834, Class D 41,576,142) at March 31, 2025 and 202,147,579 shares issued and outstanding (Class A 34,613,853, Class B 42,738,750, Class C 82,833,226, Class D 41,961,750) at December 31, 2024</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240"/>
        <w:jc w:val="both"/>
        <w:rPr/>
      </w:pPr>
      <w:r>
        <w:rPr/>
      </w:r>
    </w:p>
    <w:tbl>
      <w:tblPr>
        <w:tblW w:w="8831" w:type="dxa"/>
        <w:jc w:val="center"/>
        <w:tblInd w:w="0" w:type="dxa"/>
        <w:tblLayout w:type="fixed"/>
        <w:tblCellMar>
          <w:top w:w="28" w:type="dxa"/>
          <w:left w:w="28" w:type="dxa"/>
          <w:bottom w:w="28" w:type="dxa"/>
          <w:right w:w="28" w:type="dxa"/>
        </w:tblCellMar>
      </w:tblPr>
      <w:tblGrid>
        <w:gridCol w:w="2331"/>
        <w:gridCol w:w="2046"/>
        <w:gridCol w:w="2058"/>
        <w:gridCol w:w="250"/>
        <w:gridCol w:w="643"/>
        <w:gridCol w:w="129"/>
        <w:gridCol w:w="129"/>
        <w:gridCol w:w="129"/>
        <w:gridCol w:w="129"/>
        <w:gridCol w:w="250"/>
        <w:gridCol w:w="554"/>
        <w:gridCol w:w="183"/>
      </w:tblGrid>
      <w:tr>
        <w:trPr/>
        <w:tc>
          <w:tcPr>
            <w:tcW w:w="23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earnings of unconsolidated affiliates </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 and debt discounts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debt extinguishment </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carrying amount of right-of-use assets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deferred income taxes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derivative instruments and amortization of accumulated OCI</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other working capital</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Drop Down Assets, net of cash acquired</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 net of distributions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and distributions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the issuance of long-term debt </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long-term debt</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814"/>
        <w:gridCol w:w="587"/>
        <w:gridCol w:w="578"/>
        <w:gridCol w:w="212"/>
        <w:gridCol w:w="440"/>
        <w:gridCol w:w="118"/>
        <w:gridCol w:w="109"/>
        <w:gridCol w:w="109"/>
        <w:gridCol w:w="109"/>
        <w:gridCol w:w="251"/>
        <w:gridCol w:w="308"/>
        <w:gridCol w:w="141"/>
        <w:gridCol w:w="109"/>
        <w:gridCol w:w="109"/>
        <w:gridCol w:w="109"/>
        <w:gridCol w:w="196"/>
        <w:gridCol w:w="556"/>
        <w:gridCol w:w="109"/>
        <w:gridCol w:w="109"/>
        <w:gridCol w:w="109"/>
        <w:gridCol w:w="109"/>
        <w:gridCol w:w="221"/>
        <w:gridCol w:w="476"/>
        <w:gridCol w:w="123"/>
        <w:gridCol w:w="109"/>
        <w:gridCol w:w="109"/>
        <w:gridCol w:w="109"/>
        <w:gridCol w:w="305"/>
        <w:gridCol w:w="634"/>
        <w:gridCol w:w="170"/>
        <w:gridCol w:w="109"/>
        <w:gridCol w:w="109"/>
        <w:gridCol w:w="109"/>
        <w:gridCol w:w="232"/>
        <w:gridCol w:w="659"/>
        <w:gridCol w:w="130"/>
        <w:gridCol w:w="109"/>
        <w:gridCol w:w="109"/>
        <w:gridCol w:w="109"/>
        <w:gridCol w:w="211"/>
        <w:gridCol w:w="598"/>
        <w:gridCol w:w="174"/>
      </w:tblGrid>
      <w:tr>
        <w:trPr/>
        <w:tc>
          <w:tcPr>
            <w:tcW w:w="8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2024</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derivatives and changes in accumulated OCI, net of tax</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non-cash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2025</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821"/>
        <w:gridCol w:w="591"/>
        <w:gridCol w:w="581"/>
        <w:gridCol w:w="211"/>
        <w:gridCol w:w="437"/>
        <w:gridCol w:w="117"/>
        <w:gridCol w:w="109"/>
        <w:gridCol w:w="109"/>
        <w:gridCol w:w="109"/>
        <w:gridCol w:w="248"/>
        <w:gridCol w:w="306"/>
        <w:gridCol w:w="139"/>
        <w:gridCol w:w="109"/>
        <w:gridCol w:w="109"/>
        <w:gridCol w:w="109"/>
        <w:gridCol w:w="196"/>
        <w:gridCol w:w="556"/>
        <w:gridCol w:w="109"/>
        <w:gridCol w:w="109"/>
        <w:gridCol w:w="109"/>
        <w:gridCol w:w="109"/>
        <w:gridCol w:w="222"/>
        <w:gridCol w:w="478"/>
        <w:gridCol w:w="123"/>
        <w:gridCol w:w="109"/>
        <w:gridCol w:w="109"/>
        <w:gridCol w:w="109"/>
        <w:gridCol w:w="395"/>
        <w:gridCol w:w="486"/>
        <w:gridCol w:w="221"/>
        <w:gridCol w:w="109"/>
        <w:gridCol w:w="109"/>
        <w:gridCol w:w="109"/>
        <w:gridCol w:w="232"/>
        <w:gridCol w:w="659"/>
        <w:gridCol w:w="130"/>
        <w:gridCol w:w="109"/>
        <w:gridCol w:w="109"/>
        <w:gridCol w:w="109"/>
        <w:gridCol w:w="211"/>
        <w:gridCol w:w="598"/>
        <w:gridCol w:w="176"/>
      </w:tblGrid>
      <w:tr>
        <w:trPr/>
        <w:tc>
          <w:tcPr>
            <w:tcW w:w="8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derivatives and changes in accumulated OCI, net of tax</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A-1: Three Months Ended March 31, 2025,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4"/>
        <w:gridCol w:w="1417"/>
        <w:gridCol w:w="1393"/>
        <w:gridCol w:w="109"/>
        <w:gridCol w:w="109"/>
        <w:gridCol w:w="109"/>
        <w:gridCol w:w="373"/>
        <w:gridCol w:w="663"/>
        <w:gridCol w:w="194"/>
        <w:gridCol w:w="109"/>
        <w:gridCol w:w="109"/>
        <w:gridCol w:w="109"/>
        <w:gridCol w:w="351"/>
        <w:gridCol w:w="801"/>
        <w:gridCol w:w="181"/>
        <w:gridCol w:w="109"/>
        <w:gridCol w:w="109"/>
        <w:gridCol w:w="109"/>
        <w:gridCol w:w="264"/>
        <w:gridCol w:w="470"/>
        <w:gridCol w:w="137"/>
        <w:gridCol w:w="109"/>
        <w:gridCol w:w="109"/>
        <w:gridCol w:w="109"/>
        <w:gridCol w:w="211"/>
        <w:gridCol w:w="510"/>
        <w:gridCol w:w="158"/>
      </w:tblGrid>
      <w:tr>
        <w:trPr/>
        <w:tc>
          <w:tcPr>
            <w:tcW w:w="177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8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8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4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Losses/(Gains)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45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w:t>
            </w: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219</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252</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4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A-2: Three Months Ended March 31, 2024,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28"/>
        <w:gridCol w:w="1363"/>
        <w:gridCol w:w="1337"/>
        <w:gridCol w:w="109"/>
        <w:gridCol w:w="109"/>
        <w:gridCol w:w="109"/>
        <w:gridCol w:w="368"/>
        <w:gridCol w:w="656"/>
        <w:gridCol w:w="192"/>
        <w:gridCol w:w="109"/>
        <w:gridCol w:w="109"/>
        <w:gridCol w:w="109"/>
        <w:gridCol w:w="346"/>
        <w:gridCol w:w="790"/>
        <w:gridCol w:w="179"/>
        <w:gridCol w:w="109"/>
        <w:gridCol w:w="109"/>
        <w:gridCol w:w="109"/>
        <w:gridCol w:w="109"/>
        <w:gridCol w:w="109"/>
        <w:gridCol w:w="264"/>
        <w:gridCol w:w="470"/>
        <w:gridCol w:w="137"/>
        <w:gridCol w:w="109"/>
        <w:gridCol w:w="109"/>
        <w:gridCol w:w="109"/>
        <w:gridCol w:w="211"/>
        <w:gridCol w:w="481"/>
        <w:gridCol w:w="157"/>
      </w:tblGrid>
      <w:tr>
        <w:trPr/>
        <w:tc>
          <w:tcPr>
            <w:tcW w:w="172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2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Losses/(Gains)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w:t>
            </w: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A-3: Cash Available for Distribution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calculation of Cash Available for Distribution and provides a reconciliation to Cash from Operating Activities: </w:t>
      </w:r>
    </w:p>
    <w:tbl>
      <w:tblPr>
        <w:tblW w:w="9561" w:type="dxa"/>
        <w:jc w:val="left"/>
        <w:tblInd w:w="0" w:type="dxa"/>
        <w:tblLayout w:type="fixed"/>
        <w:tblCellMar>
          <w:top w:w="28" w:type="dxa"/>
          <w:left w:w="28" w:type="dxa"/>
          <w:bottom w:w="28" w:type="dxa"/>
          <w:right w:w="28" w:type="dxa"/>
        </w:tblCellMar>
      </w:tblPr>
      <w:tblGrid>
        <w:gridCol w:w="2162"/>
        <w:gridCol w:w="1897"/>
        <w:gridCol w:w="1911"/>
        <w:gridCol w:w="109"/>
        <w:gridCol w:w="109"/>
        <w:gridCol w:w="200"/>
        <w:gridCol w:w="200"/>
        <w:gridCol w:w="388"/>
        <w:gridCol w:w="885"/>
        <w:gridCol w:w="200"/>
        <w:gridCol w:w="109"/>
        <w:gridCol w:w="109"/>
        <w:gridCol w:w="109"/>
        <w:gridCol w:w="211"/>
        <w:gridCol w:w="481"/>
        <w:gridCol w:w="109"/>
        <w:gridCol w:w="109"/>
        <w:gridCol w:w="109"/>
        <w:gridCol w:w="154"/>
      </w:tblGrid>
      <w:tr>
        <w:trPr/>
        <w:tc>
          <w:tcPr>
            <w:tcW w:w="216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252</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sale-type leases and payments for lease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w:t>
            </w: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(to)/from non-controlling interest</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notes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 before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Net impact of drop downs from timing of construction debt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w:t>
            </w:r>
            <w:r>
              <w:rPr>
                <w:color w:val="000000"/>
              </w:rPr>
              <w:t> </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A-4: Three Months Ended March 31, 2025, Sources and Uses of Liquidity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sources and uses of liquidity in 2025:</w:t>
      </w:r>
    </w:p>
    <w:p>
      <w:pPr>
        <w:pStyle w:val="TextBody"/>
        <w:bidi w:val="0"/>
        <w:spacing w:before="0" w:after="0"/>
        <w:jc w:val="left"/>
        <w:rPr/>
      </w:pPr>
      <w:r>
        <w:rPr/>
      </w:r>
    </w:p>
    <w:tbl>
      <w:tblPr>
        <w:tblW w:w="6867" w:type="dxa"/>
        <w:jc w:val="left"/>
        <w:tblInd w:w="0" w:type="dxa"/>
        <w:tblLayout w:type="fixed"/>
        <w:tblCellMar>
          <w:top w:w="28" w:type="dxa"/>
          <w:left w:w="28" w:type="dxa"/>
          <w:bottom w:w="28" w:type="dxa"/>
          <w:right w:w="28" w:type="dxa"/>
        </w:tblCellMar>
      </w:tblPr>
      <w:tblGrid>
        <w:gridCol w:w="1673"/>
        <w:gridCol w:w="1468"/>
        <w:gridCol w:w="1479"/>
        <w:gridCol w:w="109"/>
        <w:gridCol w:w="109"/>
        <w:gridCol w:w="109"/>
        <w:gridCol w:w="526"/>
        <w:gridCol w:w="976"/>
        <w:gridCol w:w="418"/>
      </w:tblGrid>
      <w:tr>
        <w:trPr/>
        <w:tc>
          <w:tcPr>
            <w:tcW w:w="167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3/31/25</w:t>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issuance of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 cash inflows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dividends and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Drop Down Assets,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w:t>
            </w:r>
          </w:p>
        </w:tc>
        <w:tc>
          <w:tcPr>
            <w:tcW w:w="418"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2025 excludes $64 million of contributions related to Rosamond South I; 2024 excludes $224 million of contributions related to Texas Solar Nova 2</w:t>
      </w:r>
    </w:p>
    <w:p>
      <w:pPr>
        <w:pStyle w:val="TextBody"/>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6"/>
        </w:rPr>
        <w:t>2025 excludes $6 million for the repayment of bridge loans in connection with Rosamond South I; 2024 excludes $115 for the repayment of bridge loans in connection with Texas Solar Nova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A-5: Adjusted EBITDA and Cash Available for Distribution Guidance</w:t>
      </w:r>
    </w:p>
    <w:tbl>
      <w:tblPr>
        <w:tblW w:w="9948" w:type="dxa"/>
        <w:jc w:val="left"/>
        <w:tblInd w:w="0" w:type="dxa"/>
        <w:tblLayout w:type="fixed"/>
        <w:tblCellMar>
          <w:top w:w="28" w:type="dxa"/>
          <w:left w:w="28" w:type="dxa"/>
          <w:bottom w:w="28" w:type="dxa"/>
          <w:right w:w="28" w:type="dxa"/>
        </w:tblCellMar>
      </w:tblPr>
      <w:tblGrid>
        <w:gridCol w:w="2526"/>
        <w:gridCol w:w="2214"/>
        <w:gridCol w:w="2234"/>
        <w:gridCol w:w="109"/>
        <w:gridCol w:w="838"/>
        <w:gridCol w:w="838"/>
        <w:gridCol w:w="1189"/>
      </w:tblGrid>
      <w:tr>
        <w:trPr/>
        <w:tc>
          <w:tcPr>
            <w:tcW w:w="252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 Full Year Guidance Range</w:t>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(40) - 0</w:t>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 to reflect CWEN share of Adjusted EBITDA in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1,195 - 1,235</w:t>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reflect sale-type leases and payments for lease expenses</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from unconsolidated affiliates</w:t>
            </w:r>
            <w:r>
              <w:rPr>
                <w:rFonts w:ascii="Times New Roman;sans-serif" w:hAnsi="Times New Roman;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Tax Payments</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844 - 884</w:t>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 non-controlling interest</w:t>
            </w:r>
            <w:r>
              <w:rPr>
                <w:rFonts w:ascii="Times New Roman;sans-serif" w:hAnsi="Times New Roman;sans-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notes receivable</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400 - 440</w:t>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A-6: Adjusted EBITDA and Cash Available for Distribution Growth Projects</w:t>
      </w:r>
    </w:p>
    <w:tbl>
      <w:tblPr>
        <w:tblW w:w="10205" w:type="dxa"/>
        <w:jc w:val="left"/>
        <w:tblInd w:w="0" w:type="dxa"/>
        <w:tblLayout w:type="fixed"/>
        <w:tblCellMar>
          <w:top w:w="28" w:type="dxa"/>
          <w:left w:w="28" w:type="dxa"/>
          <w:bottom w:w="28" w:type="dxa"/>
          <w:right w:w="28" w:type="dxa"/>
        </w:tblCellMar>
      </w:tblPr>
      <w:tblGrid>
        <w:gridCol w:w="1376"/>
        <w:gridCol w:w="1109"/>
        <w:gridCol w:w="110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598"/>
        <w:gridCol w:w="598"/>
        <w:gridCol w:w="600"/>
        <w:gridCol w:w="109"/>
        <w:gridCol w:w="609"/>
        <w:gridCol w:w="609"/>
        <w:gridCol w:w="611"/>
        <w:gridCol w:w="159"/>
      </w:tblGrid>
      <w:tr>
        <w:trPr/>
        <w:tc>
          <w:tcPr>
            <w:tcW w:w="137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Tuolumne wind</w:t>
              <w:br/>
              <w:t>5 Year Ave. 2026-2030</w:t>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Mt Storm Repowering</w:t>
              <w:br/>
              <w:t>5 Year Ave. 2028-2032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r>
              <w:rPr>
                <w:rFonts w:ascii="Times New Roman;sans-serif" w:hAnsi="Times New Roman;sans-serif"/>
                <w:b/>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w:t>
            </w:r>
            <w:r>
              <w:rPr>
                <w:color w:val="000000"/>
              </w:rPr>
              <w:t>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19-21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w:t>
            </w:r>
            <w:r>
              <w:rPr>
                <w:color w:val="000000"/>
              </w:rPr>
              <w:t>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41-43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w:t>
            </w:r>
            <w:r>
              <w:rPr>
                <w:color w:val="000000"/>
              </w:rPr>
              <w:t>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24-26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Cash Available for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w:t>
            </w:r>
            <w:r>
              <w:rPr>
                <w:color w:val="000000"/>
              </w:rPr>
              <w:t> </w:t>
            </w:r>
          </w:p>
        </w:tc>
        <w:tc>
          <w:tcPr>
            <w:tcW w:w="6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26-28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16"/>
        </w:rPr>
        <w:t>Distribution from unconsolidated affiliates can be classified as Return of Investment on Unconsolidated Affiliates when actuals are reported. This is below cash from operating activities</w:t>
      </w:r>
    </w:p>
    <w:p>
      <w:pPr>
        <w:pStyle w:val="TextBody"/>
        <w:bidi w:val="0"/>
        <w:spacing w:lineRule="auto" w:line="288" w:before="0" w:after="0"/>
        <w:jc w:val="left"/>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16"/>
        </w:rPr>
        <w:t>Includes tax equity proceeds and distributions to tax equity partners</w:t>
      </w:r>
    </w:p>
    <w:p>
      <w:pPr>
        <w:pStyle w:val="TextBody"/>
        <w:bidi w:val="0"/>
        <w:spacing w:lineRule="auto" w:line="288" w:before="0" w:after="0"/>
        <w:jc w:val="left"/>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16"/>
        </w:rPr>
        <w:t xml:space="preserve">2025 excludes maturities assumed to be refinanced </w:t>
      </w:r>
    </w:p>
    <w:p>
      <w:pPr>
        <w:pStyle w:val="TextBody"/>
        <w:bidi w:val="0"/>
        <w:spacing w:lineRule="auto" w:line="288"/>
        <w:jc w:val="left"/>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16"/>
        </w:rPr>
        <w:t>3rd Party Solar M&amp;A excludes purchase accounting adjustments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color w:val="000000"/>
          <w:sz w:val="22"/>
        </w:rPr>
      </w:pPr>
      <w:r>
        <w:rPr>
          <w:rFonts w:ascii="Times New Roman;sans-serif" w:hAnsi="Times New Roman;sans-serif"/>
          <w:b/>
          <w:color w:val="000000"/>
          <w:sz w:val="22"/>
        </w:rPr>
        <w:t>Non-GAAP Financial Information</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cash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changes in, or cash requirements for,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the significant interest expense, or the cash requirements necessary to service interest or principal payments, on debt or cash income tax payments;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EBITDA does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this industry may calculate EBITDA differently than Clearway Energy does, limiting its usefulness as a comparative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Cash Available for Distribution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March 31, 2025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pStyle w:val="TextBody"/>
        <w:bidi w:val="0"/>
        <w:spacing w:before="0" w:after="0"/>
        <w:jc w:val="both"/>
        <w:rPr/>
      </w:pPr>
      <w:r>
        <w:rPr/>
      </w:r>
    </w:p>
    <w:p>
      <w:pPr>
        <w:pStyle w:val="TextBody"/>
        <w:bidi w:val="0"/>
        <w:spacing w:before="432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5877</Words>
  <Characters>33519</Characters>
  <CharactersWithSpaces>38950</CharactersWithSpaces>
  <Paragraphs>1151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