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4"/>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24"/>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64"/>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3, 2018</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64"/>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85"/>
          </w:cols>
          <w:pgMar w:left="275" w:top="10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75"/>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5"/>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4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85" w:space="720"/>
            <w:col w:w="2680" w:space="720"/>
            <w:col w:w="3080"/>
          </w:cols>
          <w:pgMar w:left="275" w:top="1067" w:right="339" w:bottom="1440" w:gutter="0" w:footer="0" w:header="0"/>
          <w:type w:val="continuous"/>
        </w:sectPr>
      </w:pPr>
    </w:p>
    <w:p>
      <w:pPr>
        <w:spacing w:after="0" w:line="397" w:lineRule="exact"/>
        <w:rPr>
          <w:sz w:val="24"/>
          <w:szCs w:val="24"/>
          <w:color w:val="auto"/>
        </w:rPr>
      </w:pPr>
    </w:p>
    <w:p>
      <w:pPr>
        <w:ind w:left="3725"/>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545"/>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line="207" w:lineRule="exact"/>
        <w:rPr>
          <w:sz w:val="20"/>
          <w:szCs w:val="20"/>
          <w:color w:val="auto"/>
        </w:rPr>
      </w:pPr>
      <w:r>
        <w:rPr>
          <w:rFonts w:ascii="Arial" w:cs="Arial" w:eastAsia="Arial" w:hAnsi="Arial"/>
          <w:sz w:val="18"/>
          <w:szCs w:val="18"/>
          <w:b w:val="1"/>
          <w:bCs w:val="1"/>
          <w:color w:val="auto"/>
        </w:rPr>
        <w:t>(609) 524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4500</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5"/>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left="5" w:right="5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185"/>
        <w:spacing w:after="0"/>
        <w:tabs>
          <w:tab w:leader="none" w:pos="7365"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left="5"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5"/>
          </w:cols>
          <w:pgMar w:left="275" w:top="1067"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3, 2018, NRG Yield, Inc. issued a press release announcing its financial results for the quarter ended March 31, 2018. A copy of the press release is furnished as Exhibit 99.1 to this report on Form 8-K and is hereby incorporated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660"/>
              <w:spacing w:after="0"/>
              <w:rPr>
                <w:sz w:val="20"/>
                <w:szCs w:val="20"/>
                <w:color w:val="auto"/>
              </w:rPr>
            </w:pPr>
            <w:r>
              <w:rPr>
                <w:rFonts w:ascii="Arial" w:cs="Arial" w:eastAsia="Arial" w:hAnsi="Arial"/>
                <w:sz w:val="18"/>
                <w:szCs w:val="18"/>
                <w:color w:val="auto"/>
              </w:rPr>
              <w:t>(d)</w:t>
            </w:r>
          </w:p>
        </w:tc>
        <w:tc>
          <w:tcPr>
            <w:tcW w:w="6800" w:type="dxa"/>
            <w:vAlign w:val="bottom"/>
            <w:gridSpan w:val="5"/>
          </w:tcPr>
          <w:p>
            <w:pPr>
              <w:ind w:left="60"/>
              <w:spacing w:after="0"/>
              <w:rPr>
                <w:sz w:val="20"/>
                <w:szCs w:val="20"/>
                <w:color w:val="auto"/>
              </w:rPr>
            </w:pPr>
            <w:r>
              <w:rPr>
                <w:rFonts w:ascii="Arial" w:cs="Arial" w:eastAsia="Arial" w:hAnsi="Arial"/>
                <w:sz w:val="18"/>
                <w:szCs w:val="18"/>
                <w:color w:val="auto"/>
              </w:rPr>
              <w:t>Exhibits</w:t>
            </w:r>
          </w:p>
        </w:tc>
      </w:tr>
      <w:tr>
        <w:trPr>
          <w:trHeight w:val="360"/>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ind w:left="220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99.1</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May 3, 2018</w:t>
              </w:r>
            </w:hyperlink>
          </w:p>
        </w:tc>
        <w:tc>
          <w:tcPr>
            <w:tcW w:w="27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580"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NRG Yield, Inc.</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Brian E. Curci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09395"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93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NRG Yield, Inc. Reports First Quarter 2018 Financial Results</w:t>
      </w:r>
    </w:p>
    <w:p>
      <w:pPr>
        <w:spacing w:after="0" w:line="3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Closed the Drop Down acquisition of Buckthorn Solar from NRG Energy, Inc. (NYSE: NRG)</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Maintaining 2018 financial guidance</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Refinanced the $495 million Revolving Credit Facility; extended maturity and improved cost of borrowing</w:t>
      </w:r>
    </w:p>
    <w:p>
      <w:pPr>
        <w:spacing w:after="0" w:line="63"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Declared 3.7% quarterly dividend increase to $0.309 per share in second quarter 2018; continue to target annualized dividend per share growth of 15% through 2018</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with Global Infrastructure Partners (GIP) remains on track to close in the second half of 2018</w:t>
      </w:r>
    </w:p>
    <w:p>
      <w:pPr>
        <w:spacing w:after="0" w:line="2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May 3, 2018 </w:t>
      </w:r>
      <w:r>
        <w:rPr>
          <w:rFonts w:ascii="Arial" w:cs="Arial" w:eastAsia="Arial" w:hAnsi="Arial"/>
          <w:sz w:val="18"/>
          <w:szCs w:val="18"/>
          <w:color w:val="auto"/>
        </w:rPr>
        <w:t>— NRG Yield, Inc. (NYSE: NYLD, NYLD.A) today reported first quarter 2018 financial results including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EBITDA of $189 million, Cash from Operating Activities of $65 million, and Cash Available for Distribution (CAFD) of $(4) million.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GIP transaction remaining on schedule to close in the second half of the year, we continue to execute across the Company through ongoing growth with the closing of both the Buckthorn Solar and City of Tulare fuel cell acquisitions and the refinancing of NRG Yield's revolving credit facility," said Christopher Sotos, NRG Yield's President and Chief Executive Officer. “Despite lower than expected wind resource during the first quarter, the Company's results were in line with seasonal expectations and we are pleased to announce an increase in the quarterly dividend leaving NRG Yield on track to deliver 15% dividend per share growth through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31"/>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r>
              <w:rPr>
                <w:rFonts w:ascii="Arial" w:cs="Arial" w:eastAsia="Arial" w:hAnsi="Arial"/>
                <w:sz w:val="25"/>
                <w:szCs w:val="25"/>
                <w:b w:val="1"/>
                <w:bCs w:val="1"/>
                <w:color w:val="auto"/>
                <w:vertAlign w:val="superscript"/>
              </w:rPr>
              <w:t>1</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Table 1: Net (Loss)/Income</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2040" w:type="dxa"/>
            <w:vAlign w:val="bottom"/>
          </w:tcPr>
          <w:p>
            <w:pPr>
              <w:spacing w:after="0"/>
              <w:rPr>
                <w:sz w:val="24"/>
                <w:szCs w:val="24"/>
                <w:color w:val="auto"/>
              </w:rPr>
            </w:pPr>
          </w:p>
        </w:tc>
        <w:tc>
          <w:tcPr>
            <w:tcW w:w="4540" w:type="dxa"/>
            <w:vAlign w:val="bottom"/>
            <w:gridSpan w:val="2"/>
          </w:tcPr>
          <w:p>
            <w:pPr>
              <w:ind w:left="40"/>
              <w:spacing w:after="0"/>
              <w:rPr>
                <w:sz w:val="20"/>
                <w:szCs w:val="20"/>
                <w:color w:val="auto"/>
              </w:rPr>
            </w:pPr>
            <w:r>
              <w:rPr>
                <w:rFonts w:ascii="Arial" w:cs="Arial" w:eastAsia="Arial" w:hAnsi="Arial"/>
                <w:sz w:val="18"/>
                <w:szCs w:val="18"/>
                <w:i w:val="1"/>
                <w:iCs w:val="1"/>
                <w:color w:val="auto"/>
              </w:rPr>
              <w:t>($ millions)</w:t>
            </w:r>
          </w:p>
        </w:tc>
        <w:tc>
          <w:tcPr>
            <w:tcW w:w="28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2040" w:type="dxa"/>
            <w:vAlign w:val="bottom"/>
          </w:tcPr>
          <w:p>
            <w:pPr>
              <w:spacing w:after="0"/>
              <w:rPr>
                <w:sz w:val="23"/>
                <w:szCs w:val="23"/>
                <w:color w:val="auto"/>
              </w:rPr>
            </w:pPr>
          </w:p>
        </w:tc>
        <w:tc>
          <w:tcPr>
            <w:tcW w:w="454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w:t>
            </w: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3/31/18</w:t>
            </w:r>
          </w:p>
        </w:tc>
        <w:tc>
          <w:tcPr>
            <w:tcW w:w="140" w:type="dxa"/>
            <w:vAlign w:val="bottom"/>
          </w:tcPr>
          <w:p>
            <w:pPr>
              <w:spacing w:after="0"/>
              <w:rPr>
                <w:sz w:val="23"/>
                <w:szCs w:val="23"/>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3/31/17</w:t>
            </w:r>
          </w:p>
        </w:tc>
      </w:tr>
      <w:tr>
        <w:trPr>
          <w:trHeight w:val="27"/>
        </w:trPr>
        <w:tc>
          <w:tcPr>
            <w:tcW w:w="204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Conventional</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2040" w:type="dxa"/>
            <w:vAlign w:val="bottom"/>
          </w:tcPr>
          <w:p>
            <w:pPr>
              <w:spacing w:after="0"/>
              <w:rPr>
                <w:sz w:val="21"/>
                <w:szCs w:val="21"/>
                <w:color w:val="auto"/>
              </w:rPr>
            </w:pPr>
          </w:p>
        </w:tc>
        <w:tc>
          <w:tcPr>
            <w:tcW w:w="4540" w:type="dxa"/>
            <w:vAlign w:val="bottom"/>
            <w:gridSpan w:val="2"/>
          </w:tcPr>
          <w:p>
            <w:pPr>
              <w:ind w:left="40"/>
              <w:spacing w:after="0"/>
              <w:rPr>
                <w:sz w:val="20"/>
                <w:szCs w:val="20"/>
                <w:color w:val="auto"/>
              </w:rPr>
            </w:pPr>
            <w:r>
              <w:rPr>
                <w:rFonts w:ascii="Arial" w:cs="Arial" w:eastAsia="Arial" w:hAnsi="Arial"/>
                <w:sz w:val="18"/>
                <w:szCs w:val="18"/>
                <w:color w:val="auto"/>
              </w:rPr>
              <w:t>Renewables</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0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Thermal</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2040" w:type="dxa"/>
            <w:vAlign w:val="bottom"/>
          </w:tcPr>
          <w:p>
            <w:pPr>
              <w:spacing w:after="0"/>
              <w:rPr>
                <w:sz w:val="21"/>
                <w:szCs w:val="21"/>
                <w:color w:val="auto"/>
              </w:rPr>
            </w:pPr>
          </w:p>
        </w:tc>
        <w:tc>
          <w:tcPr>
            <w:tcW w:w="4540" w:type="dxa"/>
            <w:vAlign w:val="bottom"/>
            <w:gridSpan w:val="2"/>
          </w:tcPr>
          <w:p>
            <w:pPr>
              <w:ind w:left="40"/>
              <w:spacing w:after="0"/>
              <w:rPr>
                <w:sz w:val="20"/>
                <w:szCs w:val="20"/>
                <w:color w:val="auto"/>
              </w:rPr>
            </w:pPr>
            <w:r>
              <w:rPr>
                <w:rFonts w:ascii="Arial" w:cs="Arial" w:eastAsia="Arial" w:hAnsi="Arial"/>
                <w:sz w:val="18"/>
                <w:szCs w:val="18"/>
                <w:color w:val="auto"/>
              </w:rPr>
              <w:t>Corporate</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04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040" w:type="dxa"/>
            <w:vAlign w:val="bottom"/>
          </w:tcPr>
          <w:p>
            <w:pPr>
              <w:spacing w:after="0"/>
              <w:rPr>
                <w:sz w:val="22"/>
                <w:szCs w:val="22"/>
                <w:color w:val="auto"/>
              </w:rPr>
            </w:pPr>
          </w:p>
        </w:tc>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Net Loss</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40" w:type="dxa"/>
            <w:vAlign w:val="bottom"/>
          </w:tcPr>
          <w:p>
            <w:pPr>
              <w:spacing w:after="0" w:line="20" w:lineRule="exact"/>
              <w:rPr>
                <w:sz w:val="1"/>
                <w:szCs w:val="1"/>
                <w:color w:val="auto"/>
              </w:rPr>
            </w:pPr>
          </w:p>
        </w:tc>
        <w:tc>
          <w:tcPr>
            <w:tcW w:w="44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2040" w:type="dxa"/>
            <w:vAlign w:val="bottom"/>
          </w:tcPr>
          <w:p>
            <w:pPr>
              <w:spacing w:after="0"/>
              <w:rPr>
                <w:sz w:val="24"/>
                <w:szCs w:val="24"/>
                <w:color w:val="auto"/>
              </w:rPr>
            </w:pPr>
          </w:p>
        </w:tc>
        <w:tc>
          <w:tcPr>
            <w:tcW w:w="4540" w:type="dxa"/>
            <w:vAlign w:val="bottom"/>
            <w:gridSpan w:val="2"/>
          </w:tcPr>
          <w:p>
            <w:pPr>
              <w:ind w:left="40"/>
              <w:spacing w:after="0"/>
              <w:rPr>
                <w:sz w:val="20"/>
                <w:szCs w:val="20"/>
                <w:color w:val="auto"/>
              </w:rPr>
            </w:pPr>
            <w:r>
              <w:rPr>
                <w:rFonts w:ascii="Arial" w:cs="Arial" w:eastAsia="Arial" w:hAnsi="Arial"/>
                <w:sz w:val="18"/>
                <w:szCs w:val="18"/>
                <w:i w:val="1"/>
                <w:iCs w:val="1"/>
                <w:color w:val="auto"/>
              </w:rPr>
              <w:t>($ millions)</w:t>
            </w:r>
          </w:p>
        </w:tc>
        <w:tc>
          <w:tcPr>
            <w:tcW w:w="28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2040" w:type="dxa"/>
            <w:vAlign w:val="bottom"/>
          </w:tcPr>
          <w:p>
            <w:pPr>
              <w:spacing w:after="0"/>
              <w:rPr>
                <w:sz w:val="23"/>
                <w:szCs w:val="23"/>
                <w:color w:val="auto"/>
              </w:rPr>
            </w:pPr>
          </w:p>
        </w:tc>
        <w:tc>
          <w:tcPr>
            <w:tcW w:w="454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w:t>
            </w: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3/31/18</w:t>
            </w:r>
          </w:p>
        </w:tc>
        <w:tc>
          <w:tcPr>
            <w:tcW w:w="140" w:type="dxa"/>
            <w:vAlign w:val="bottom"/>
          </w:tcPr>
          <w:p>
            <w:pPr>
              <w:spacing w:after="0"/>
              <w:rPr>
                <w:sz w:val="23"/>
                <w:szCs w:val="23"/>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3/31/17</w:t>
            </w:r>
          </w:p>
        </w:tc>
      </w:tr>
      <w:tr>
        <w:trPr>
          <w:trHeight w:val="27"/>
        </w:trPr>
        <w:tc>
          <w:tcPr>
            <w:tcW w:w="204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Conventional</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2040" w:type="dxa"/>
            <w:vAlign w:val="bottom"/>
          </w:tcPr>
          <w:p>
            <w:pPr>
              <w:spacing w:after="0"/>
              <w:rPr>
                <w:sz w:val="21"/>
                <w:szCs w:val="21"/>
                <w:color w:val="auto"/>
              </w:rPr>
            </w:pPr>
          </w:p>
        </w:tc>
        <w:tc>
          <w:tcPr>
            <w:tcW w:w="4540" w:type="dxa"/>
            <w:vAlign w:val="bottom"/>
            <w:gridSpan w:val="2"/>
          </w:tcPr>
          <w:p>
            <w:pPr>
              <w:ind w:left="40"/>
              <w:spacing w:after="0"/>
              <w:rPr>
                <w:sz w:val="20"/>
                <w:szCs w:val="20"/>
                <w:color w:val="auto"/>
              </w:rPr>
            </w:pPr>
            <w:r>
              <w:rPr>
                <w:rFonts w:ascii="Arial" w:cs="Arial" w:eastAsia="Arial" w:hAnsi="Arial"/>
                <w:sz w:val="18"/>
                <w:szCs w:val="18"/>
                <w:color w:val="auto"/>
              </w:rPr>
              <w:t>Renewables</w:t>
            </w:r>
          </w:p>
        </w:tc>
        <w:tc>
          <w:tcPr>
            <w:tcW w:w="132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2040" w:type="dxa"/>
            <w:vAlign w:val="bottom"/>
          </w:tcPr>
          <w:p>
            <w:pPr>
              <w:spacing w:after="0"/>
              <w:rPr>
                <w:sz w:val="2"/>
                <w:szCs w:val="2"/>
                <w:color w:val="auto"/>
              </w:rPr>
            </w:pPr>
          </w:p>
        </w:tc>
        <w:tc>
          <w:tcPr>
            <w:tcW w:w="45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Thermal</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2040" w:type="dxa"/>
            <w:vAlign w:val="bottom"/>
          </w:tcPr>
          <w:p>
            <w:pPr>
              <w:spacing w:after="0"/>
              <w:rPr>
                <w:sz w:val="21"/>
                <w:szCs w:val="21"/>
                <w:color w:val="auto"/>
              </w:rPr>
            </w:pPr>
          </w:p>
        </w:tc>
        <w:tc>
          <w:tcPr>
            <w:tcW w:w="4540" w:type="dxa"/>
            <w:vAlign w:val="bottom"/>
            <w:gridSpan w:val="2"/>
          </w:tcPr>
          <w:p>
            <w:pPr>
              <w:ind w:left="40"/>
              <w:spacing w:after="0"/>
              <w:rPr>
                <w:sz w:val="20"/>
                <w:szCs w:val="20"/>
                <w:color w:val="auto"/>
              </w:rPr>
            </w:pPr>
            <w:r>
              <w:rPr>
                <w:rFonts w:ascii="Arial" w:cs="Arial" w:eastAsia="Arial" w:hAnsi="Arial"/>
                <w:sz w:val="18"/>
                <w:szCs w:val="18"/>
                <w:color w:val="auto"/>
              </w:rPr>
              <w:t>Corporate</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04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040" w:type="dxa"/>
            <w:vAlign w:val="bottom"/>
          </w:tcPr>
          <w:p>
            <w:pPr>
              <w:spacing w:after="0"/>
              <w:rPr>
                <w:sz w:val="22"/>
                <w:szCs w:val="22"/>
                <w:color w:val="auto"/>
              </w:rPr>
            </w:pPr>
          </w:p>
        </w:tc>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0"/>
        </w:trPr>
        <w:tc>
          <w:tcPr>
            <w:tcW w:w="2040" w:type="dxa"/>
            <w:vAlign w:val="bottom"/>
          </w:tcPr>
          <w:p>
            <w:pPr>
              <w:spacing w:after="0" w:line="20" w:lineRule="exact"/>
              <w:rPr>
                <w:sz w:val="1"/>
                <w:szCs w:val="1"/>
                <w:color w:val="auto"/>
              </w:rPr>
            </w:pPr>
          </w:p>
        </w:tc>
        <w:tc>
          <w:tcPr>
            <w:tcW w:w="4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firstLine="8"/>
        <w:spacing w:after="0" w:line="213"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In accordance with GAAP, 2017 results have been recast to include the Buckthorn Solar Drop Down Asset and November 2017 Drop Down Assets as if the combinations had been in effect from the beginning of the financial statement period</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w w:val="92"/>
              </w:rPr>
              <w:t>Table 3: Cash from Operating Activities and Cash Available for Distribution (CAFD)</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20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2040" w:type="dxa"/>
            <w:vAlign w:val="bottom"/>
          </w:tcPr>
          <w:p>
            <w:pPr>
              <w:spacing w:after="0"/>
              <w:rPr>
                <w:sz w:val="23"/>
                <w:szCs w:val="23"/>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i w:val="1"/>
                <w:iCs w:val="1"/>
                <w:color w:val="auto"/>
              </w:rPr>
              <w:t>($ millions)</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3/31/18</w:t>
            </w:r>
          </w:p>
        </w:tc>
        <w:tc>
          <w:tcPr>
            <w:tcW w:w="140" w:type="dxa"/>
            <w:vAlign w:val="bottom"/>
          </w:tcPr>
          <w:p>
            <w:pPr>
              <w:spacing w:after="0"/>
              <w:rPr>
                <w:sz w:val="23"/>
                <w:szCs w:val="23"/>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3/31/17</w:t>
            </w:r>
          </w:p>
        </w:tc>
      </w:tr>
      <w:tr>
        <w:trPr>
          <w:trHeight w:val="27"/>
        </w:trPr>
        <w:tc>
          <w:tcPr>
            <w:tcW w:w="20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4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from Operating Activities</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2040" w:type="dxa"/>
            <w:vAlign w:val="bottom"/>
          </w:tcPr>
          <w:p>
            <w:pPr>
              <w:spacing w:after="0"/>
              <w:rPr>
                <w:sz w:val="21"/>
                <w:szCs w:val="21"/>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Cash Available for Distribution (CAFD)</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
        </w:trPr>
        <w:tc>
          <w:tcPr>
            <w:tcW w:w="20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first quarter of 2018, NRG Yield reported Adjusted EBITDA of $189 million, Cash from Operating Activities of $65 million, and CAFD of $(4) million. First quarter Adjusted EBITDA results were higher than 2017 primarily due to growth in the business-renewable focused distributed solar partnerships, higher availability at the El Segundo Energy Center, and favorable results in the solar portfolio, partially offset by lower wind production in 2018 versus first quarter 2017. CAFD results were lower than 2017 primarily due to lower wind production and lower distributions from unconsolidated affiliates, partially offset by the acquisition of the 25% interest in NRG Wind TE Holdco.</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188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3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8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3/31/18</w:t>
            </w:r>
          </w:p>
        </w:tc>
        <w:tc>
          <w:tcPr>
            <w:tcW w:w="100" w:type="dxa"/>
            <w:vAlign w:val="bottom"/>
          </w:tcPr>
          <w:p>
            <w:pPr>
              <w:spacing w:after="0"/>
              <w:rPr>
                <w:sz w:val="23"/>
                <w:szCs w:val="23"/>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3/31/17</w:t>
            </w:r>
          </w:p>
        </w:tc>
      </w:tr>
      <w:tr>
        <w:trPr>
          <w:trHeight w:val="27"/>
        </w:trPr>
        <w:tc>
          <w:tcPr>
            <w:tcW w:w="188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1880" w:type="dxa"/>
            <w:vAlign w:val="bottom"/>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Equivalent Availability Factor (Conventional)</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43"/>
        </w:trPr>
        <w:tc>
          <w:tcPr>
            <w:tcW w:w="18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Renewables Generation Sold (MWh)</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1,677</w:t>
            </w:r>
          </w:p>
        </w:tc>
      </w:tr>
      <w:tr>
        <w:trPr>
          <w:trHeight w:val="27"/>
        </w:trPr>
        <w:tc>
          <w:tcPr>
            <w:tcW w:w="18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7"/>
        </w:trPr>
        <w:tc>
          <w:tcPr>
            <w:tcW w:w="1880" w:type="dxa"/>
            <w:vAlign w:val="bottom"/>
          </w:tcPr>
          <w:p>
            <w:pPr>
              <w:spacing w:after="0"/>
              <w:rPr>
                <w:sz w:val="24"/>
                <w:szCs w:val="24"/>
                <w:color w:val="auto"/>
              </w:rPr>
            </w:pPr>
          </w:p>
        </w:tc>
        <w:tc>
          <w:tcPr>
            <w:tcW w:w="4380" w:type="dxa"/>
            <w:vAlign w:val="bottom"/>
            <w:tcBorders>
              <w:bottom w:val="single" w:sz="8" w:color="auto"/>
            </w:tcBorders>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Thermal Generation Sold (MWht)</w:t>
            </w:r>
            <w:r>
              <w:rPr>
                <w:rFonts w:ascii="Arial" w:cs="Arial" w:eastAsia="Arial" w:hAnsi="Arial"/>
                <w:sz w:val="25"/>
                <w:szCs w:val="25"/>
                <w:color w:val="auto"/>
                <w:vertAlign w:val="superscript"/>
              </w:rPr>
              <w:t>2</w:t>
            </w: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578</w:t>
            </w: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2018, generation in the Renewables segment was below median expectations and 4% lower than the first quarter of 2017, primarily due to lower wind resources across the portfolio.</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31"/>
        </w:trPr>
        <w:tc>
          <w:tcPr>
            <w:tcW w:w="654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r>
              <w:rPr>
                <w:rFonts w:ascii="Arial" w:cs="Arial" w:eastAsia="Arial" w:hAnsi="Arial"/>
                <w:sz w:val="25"/>
                <w:szCs w:val="25"/>
                <w:b w:val="1"/>
                <w:bCs w:val="1"/>
                <w:color w:val="auto"/>
                <w:vertAlign w:val="superscript"/>
              </w:rPr>
              <w:t>3</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0"/>
        </w:trPr>
        <w:tc>
          <w:tcPr>
            <w:tcW w:w="2340" w:type="dxa"/>
            <w:vAlign w:val="bottom"/>
          </w:tcPr>
          <w:p>
            <w:pPr>
              <w:spacing w:after="0"/>
              <w:rPr>
                <w:sz w:val="24"/>
                <w:szCs w:val="24"/>
                <w:color w:val="auto"/>
              </w:rPr>
            </w:pPr>
          </w:p>
        </w:tc>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3/31/18</w:t>
            </w:r>
          </w:p>
        </w:tc>
        <w:tc>
          <w:tcPr>
            <w:tcW w:w="140" w:type="dxa"/>
            <w:vAlign w:val="bottom"/>
          </w:tcPr>
          <w:p>
            <w:pPr>
              <w:spacing w:after="0"/>
              <w:rPr>
                <w:sz w:val="24"/>
                <w:szCs w:val="24"/>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12/31/17</w:t>
            </w:r>
          </w:p>
        </w:tc>
      </w:tr>
      <w:tr>
        <w:trPr>
          <w:trHeight w:val="27"/>
        </w:trPr>
        <w:tc>
          <w:tcPr>
            <w:tcW w:w="234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3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NRG Yield, Inc. and NRG Yield LLC</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2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2340" w:type="dxa"/>
            <w:vAlign w:val="bottom"/>
          </w:tcPr>
          <w:p>
            <w:pPr>
              <w:spacing w:after="0"/>
              <w:rPr>
                <w:sz w:val="21"/>
                <w:szCs w:val="21"/>
                <w:color w:val="auto"/>
              </w:rPr>
            </w:pPr>
          </w:p>
        </w:tc>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Restricted Cash:</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Accounts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340" w:type="dxa"/>
            <w:vAlign w:val="bottom"/>
          </w:tcPr>
          <w:p>
            <w:pPr>
              <w:spacing w:after="0"/>
              <w:rPr>
                <w:sz w:val="21"/>
                <w:szCs w:val="21"/>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Reserve Accounts</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234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3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Cash</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r>
      <w:tr>
        <w:trPr>
          <w:trHeight w:val="243"/>
        </w:trPr>
        <w:tc>
          <w:tcPr>
            <w:tcW w:w="2340" w:type="dxa"/>
            <w:vAlign w:val="bottom"/>
          </w:tcPr>
          <w:p>
            <w:pPr>
              <w:spacing w:after="0"/>
              <w:rPr>
                <w:sz w:val="21"/>
                <w:szCs w:val="21"/>
                <w:color w:val="auto"/>
              </w:rPr>
            </w:pP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Revolver Availability</w:t>
            </w:r>
          </w:p>
        </w:tc>
        <w:tc>
          <w:tcPr>
            <w:tcW w:w="1200" w:type="dxa"/>
            <w:vAlign w:val="bottom"/>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234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340" w:type="dxa"/>
            <w:vAlign w:val="bottom"/>
          </w:tcPr>
          <w:p>
            <w:pPr>
              <w:spacing w:after="0"/>
              <w:rPr>
                <w:sz w:val="22"/>
                <w:szCs w:val="22"/>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Liquidity</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w:t>
            </w:r>
          </w:p>
        </w:tc>
      </w:tr>
      <w:tr>
        <w:trPr>
          <w:trHeight w:val="20"/>
        </w:trPr>
        <w:tc>
          <w:tcPr>
            <w:tcW w:w="2340" w:type="dxa"/>
            <w:vAlign w:val="bottom"/>
          </w:tcPr>
          <w:p>
            <w:pPr>
              <w:spacing w:after="0" w:line="20" w:lineRule="exact"/>
              <w:rPr>
                <w:sz w:val="1"/>
                <w:szCs w:val="1"/>
                <w:color w:val="auto"/>
              </w:rPr>
            </w:pPr>
          </w:p>
        </w:tc>
        <w:tc>
          <w:tcPr>
            <w:tcW w:w="4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Total liquidity as of March 31, 2018 was $630 million, a decrease of $52 million from December 31, 2017. This reflects a decrease in total cash of $39 million</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resulting primarily from the acquisition of Buckthorn Solar and common stock dividends paid. Revolver availability during the same period decreased by $13 million due to draws related to the acquisition of Buckthorn Solar offset by decreases in issued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hanging="92"/>
        <w:spacing w:after="0"/>
        <w:tabs>
          <w:tab w:leader="none" w:pos="10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Also includes Thermal MWh sold</w:t>
      </w:r>
    </w:p>
    <w:p>
      <w:pPr>
        <w:spacing w:after="0" w:line="47" w:lineRule="exact"/>
        <w:rPr>
          <w:sz w:val="20"/>
          <w:szCs w:val="20"/>
          <w:color w:val="auto"/>
        </w:rPr>
      </w:pPr>
    </w:p>
    <w:p>
      <w:pPr>
        <w:ind w:right="280" w:firstLine="8"/>
        <w:spacing w:after="0" w:line="213" w:lineRule="auto"/>
        <w:tabs>
          <w:tab w:leader="none" w:pos="108" w:val="left"/>
        </w:tabs>
        <w:numPr>
          <w:ilvl w:val="0"/>
          <w:numId w:val="5"/>
        </w:numPr>
        <w:rPr>
          <w:rFonts w:ascii="Arial" w:cs="Arial" w:eastAsia="Arial" w:hAnsi="Arial"/>
          <w:sz w:val="25"/>
          <w:szCs w:val="25"/>
          <w:color w:val="auto"/>
          <w:vertAlign w:val="superscript"/>
        </w:rPr>
      </w:pPr>
      <w:r>
        <w:rPr>
          <w:rFonts w:ascii="Arial" w:cs="Arial" w:eastAsia="Arial" w:hAnsi="Arial"/>
          <w:sz w:val="14"/>
          <w:szCs w:val="14"/>
          <w:color w:val="auto"/>
        </w:rPr>
        <w:t>In accordance with GAAP, 2017 results have been recast to include the Buckthorn Solar Drop Down and November 2017 Drop Down Assets as if the combinations had been in effect from the beginning of the financial statement period</w:t>
      </w:r>
    </w:p>
    <w:p>
      <w:pPr>
        <w:spacing w:after="0" w:line="11"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4"/>
          <w:szCs w:val="14"/>
          <w:color w:val="auto"/>
        </w:rPr>
        <w:t xml:space="preserve"> See Appendix A-4 Sources and Uses of Cash and Cash Equivalents for Three Months Ended March 31, 2018</w:t>
      </w:r>
    </w:p>
    <w:p>
      <w:pPr>
        <w:sectPr>
          <w:pgSz w:w="11900" w:h="16838" w:orient="portrait"/>
          <w:cols w:equalWidth="0" w:num="1">
            <w:col w:w="11420"/>
          </w:cols>
          <w:pgMar w:left="240" w:top="364" w:right="239" w:bottom="1440" w:gutter="0" w:footer="0" w:header="0"/>
        </w:sectPr>
      </w:pPr>
    </w:p>
    <w:p>
      <w:pPr>
        <w:spacing w:after="0" w:line="190"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both"/>
        <w:spacing w:after="0" w:line="268" w:lineRule="auto"/>
        <w:rPr>
          <w:sz w:val="20"/>
          <w:szCs w:val="20"/>
          <w:color w:val="auto"/>
        </w:rPr>
      </w:pPr>
      <w:r>
        <w:rPr>
          <w:rFonts w:ascii="Arial" w:cs="Arial" w:eastAsia="Arial" w:hAnsi="Arial"/>
          <w:sz w:val="18"/>
          <w:szCs w:val="18"/>
          <w:color w:val="auto"/>
        </w:rPr>
        <w:t>Potential future sources of liquidity include excess operating cash flow in the business, the $150 million at-the-market (ATM) program, of which $99 million remained available as of May 3, 2018, and availability under the corporate revolver. During the first quarter of 2018, the Company sold 936,662 shares of Class C common stock under the ATM program raising gross proceeds of approximately $16 million</w:t>
      </w:r>
      <w:r>
        <w:rPr>
          <w:rFonts w:ascii="Arial" w:cs="Arial" w:eastAsia="Arial" w:hAnsi="Arial"/>
          <w:sz w:val="25"/>
          <w:szCs w:val="25"/>
          <w:color w:val="auto"/>
          <w:vertAlign w:val="superscript"/>
        </w:rPr>
        <w:t>5</w:t>
      </w:r>
      <w:r>
        <w:rPr>
          <w:rFonts w:ascii="Arial" w:cs="Arial" w:eastAsia="Arial" w:hAnsi="Arial"/>
          <w:sz w:val="18"/>
          <w:szCs w:val="18"/>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Sponsorship with Global Infrastructure Partners (GIP)</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6, 2018, GIP entered into a purchase and sale agreement with NRG for the acquisition of NRG's full ownership interest in NRG Yield and NRG's renewable energy development and operations platform consisting of a robust pipeline of over 6.4 GW of backlog and development projects, as well as operational oversight of 2.4 GW across 17 states (the "NRG Transaction"). In connection with the NRG Transaction, NRG Yield entered into a Consent and Indemnity Agreement (the "C&amp;I Agreement") with NRG and GIP setting forth the key terms and conditions of NRG Yield's Corporate Governance, Conflicts, and Nominating Committee's consent to the NRG Transaction. Refer to the Company's press release on February 7, 2018 for further details.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NRG Transaction is subject to certain closing conditions, including customary legal and regulatory approvals. NRG Yield expects the NRG Transaction to close in the second half of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the Buckthorn Solar Drop Down Asset Transaction with NRG</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30, 2018, the Company acquired the 154 MW Buckthorn Solar utility-scale project from NRG for cash consideration of $42 million, plus assumed non-recourse debt of approximately $131 million</w:t>
      </w:r>
      <w:r>
        <w:rPr>
          <w:rFonts w:ascii="Arial" w:cs="Arial" w:eastAsia="Arial" w:hAnsi="Arial"/>
          <w:sz w:val="25"/>
          <w:szCs w:val="25"/>
          <w:color w:val="auto"/>
          <w:vertAlign w:val="superscript"/>
        </w:rPr>
        <w:t>6</w:t>
      </w:r>
      <w:r>
        <w:rPr>
          <w:rFonts w:ascii="Arial" w:cs="Arial" w:eastAsia="Arial" w:hAnsi="Arial"/>
          <w:sz w:val="18"/>
          <w:szCs w:val="18"/>
          <w:color w:val="auto"/>
        </w:rPr>
        <w:t>. Buckthorn Solar will sell power under a 25-year PPA to the City of Georgetown, Texas starting in July 2018 when it is expected to achieve commercial operation. The purchase price was funded via revolver borrowings and cash on hand and is expected to deliver approximately $4 million</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of average annual CAFD beginning in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City of Tulare Fuel Cell Project</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April 18, 2018, the Company acquired the 2.8 MW Central CA Fuel Cell project located in Tulare, CA from FuelCell Energy, Inc. for $11 million. The project will sell electricity under a 20-year PPA with the City of Tulare and does not have project level non-recourse debt. The purchase price was funded via cash on hand and is expected to deliver approximately $1.2 million</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of average annual CAFD.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Partnerships with NRG Energy</w:t>
      </w:r>
    </w:p>
    <w:p>
      <w:pPr>
        <w:spacing w:after="0" w:line="22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During the first quarter of 2018, NRG Yield invested approximately $6 million in the existing business-renewable focused distributed solar partnerships bringing total capital invested to $215 million</w:t>
      </w:r>
      <w:r>
        <w:rPr>
          <w:rFonts w:ascii="Arial" w:cs="Arial" w:eastAsia="Arial" w:hAnsi="Arial"/>
          <w:sz w:val="25"/>
          <w:szCs w:val="25"/>
          <w:color w:val="auto"/>
          <w:vertAlign w:val="superscript"/>
        </w:rPr>
        <w:t>9</w:t>
      </w:r>
      <w:r>
        <w:rPr>
          <w:rFonts w:ascii="Arial" w:cs="Arial" w:eastAsia="Arial" w:hAnsi="Arial"/>
          <w:sz w:val="18"/>
          <w:szCs w:val="18"/>
          <w:color w:val="auto"/>
        </w:rPr>
        <w:t xml:space="preserve"> in the distributed solar investment partnerships. As of March 31, 2018, through the existing partnership agreements, NRG Yield owns approximately 262 MW</w:t>
      </w:r>
      <w:r>
        <w:rPr>
          <w:rFonts w:ascii="Arial" w:cs="Arial" w:eastAsia="Arial" w:hAnsi="Arial"/>
          <w:sz w:val="25"/>
          <w:szCs w:val="25"/>
          <w:color w:val="auto"/>
          <w:vertAlign w:val="superscript"/>
        </w:rPr>
        <w:t>10</w:t>
      </w:r>
      <w:r>
        <w:rPr>
          <w:rFonts w:ascii="Arial" w:cs="Arial" w:eastAsia="Arial" w:hAnsi="Arial"/>
          <w:sz w:val="18"/>
          <w:szCs w:val="18"/>
          <w:color w:val="auto"/>
        </w:rPr>
        <w:t xml:space="preserve"> of distributed solar capacity with a weighted average contract life by CAFD of approximately 19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Pittsburgh Medical Center (UPMC) Thermal Project and Non-Recourse Thermal Financing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31, 2016, NRG Business Services LLC, a subsidiary of NRG, and NRG Energy Center Pittsburgh LLC (NECP), a subsidiary of NRG Yield, entered into an Engineering, Procurement, and Construction (EPC) agreement for the construction of an 80 MWt district energy system for NECP to provide steam, chilled water and emergency backup power service to UPMC. The initial term of the energy services agreement (under fixed capacity payments) with UPMC will be for a period of twenty years from the service commencement date. Pursuant to the terms of the EPC Agreement, NECP shall pay NRG Business Services LLC $88 million, subject to adjustment based upon certain conditions in the EPC Agreement, $84 million of which will be paid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$6 million of proceeds settled in the second quarter of 2018</w:t>
      </w:r>
    </w:p>
    <w:p>
      <w:pPr>
        <w:ind w:left="120" w:hanging="112"/>
        <w:spacing w:after="0" w:line="191" w:lineRule="auto"/>
        <w:tabs>
          <w:tab w:leader="none" w:pos="120" w:val="left"/>
        </w:tabs>
        <w:numPr>
          <w:ilvl w:val="0"/>
          <w:numId w:val="7"/>
        </w:numPr>
        <w:rPr>
          <w:rFonts w:ascii="Arial" w:cs="Arial" w:eastAsia="Arial" w:hAnsi="Arial"/>
          <w:sz w:val="25"/>
          <w:szCs w:val="25"/>
          <w:color w:val="auto"/>
          <w:vertAlign w:val="superscript"/>
        </w:rPr>
      </w:pPr>
      <w:r>
        <w:rPr>
          <w:rFonts w:ascii="Arial" w:cs="Arial" w:eastAsia="Arial" w:hAnsi="Arial"/>
          <w:sz w:val="14"/>
          <w:szCs w:val="14"/>
          <w:color w:val="auto"/>
        </w:rPr>
        <w:t>Estimated debt balance at term conversion in the second quarter of 2018</w:t>
      </w:r>
    </w:p>
    <w:p>
      <w:pPr>
        <w:spacing w:after="0" w:line="60" w:lineRule="exact"/>
        <w:rPr>
          <w:rFonts w:ascii="Arial" w:cs="Arial" w:eastAsia="Arial" w:hAnsi="Arial"/>
          <w:sz w:val="25"/>
          <w:szCs w:val="25"/>
          <w:color w:val="auto"/>
          <w:vertAlign w:val="superscript"/>
        </w:rPr>
      </w:pPr>
    </w:p>
    <w:p>
      <w:pPr>
        <w:jc w:val="both"/>
        <w:ind w:right="8160"/>
        <w:spacing w:after="0" w:line="217" w:lineRule="auto"/>
        <w:rPr>
          <w:rFonts w:ascii="Arial" w:cs="Arial" w:eastAsia="Arial" w:hAnsi="Arial"/>
          <w:sz w:val="25"/>
          <w:szCs w:val="25"/>
          <w:color w:val="auto"/>
          <w:vertAlign w:val="superscript"/>
        </w:rPr>
      </w:pPr>
      <w:r>
        <w:rPr>
          <w:rFonts w:ascii="Arial" w:cs="Arial" w:eastAsia="Arial" w:hAnsi="Arial"/>
          <w:sz w:val="22"/>
          <w:szCs w:val="22"/>
          <w:color w:val="auto"/>
          <w:vertAlign w:val="superscript"/>
        </w:rPr>
        <w:t>7</w:t>
      </w:r>
      <w:r>
        <w:rPr>
          <w:rFonts w:ascii="Arial" w:cs="Arial" w:eastAsia="Arial" w:hAnsi="Arial"/>
          <w:sz w:val="13"/>
          <w:szCs w:val="13"/>
          <w:color w:val="auto"/>
        </w:rPr>
        <w:t xml:space="preserve"> CAFD average over the 5-year period from 2019-2023 </w:t>
      </w:r>
      <w:r>
        <w:rPr>
          <w:rFonts w:ascii="Arial" w:cs="Arial" w:eastAsia="Arial" w:hAnsi="Arial"/>
          <w:sz w:val="22"/>
          <w:szCs w:val="22"/>
          <w:color w:val="auto"/>
          <w:vertAlign w:val="superscript"/>
        </w:rPr>
        <w:t>8</w:t>
      </w:r>
      <w:r>
        <w:rPr>
          <w:rFonts w:ascii="Arial" w:cs="Arial" w:eastAsia="Arial" w:hAnsi="Arial"/>
          <w:sz w:val="13"/>
          <w:szCs w:val="13"/>
          <w:color w:val="auto"/>
        </w:rPr>
        <w:t xml:space="preserve"> CAFD average over the 5-year period from 2019-2023</w:t>
      </w:r>
    </w:p>
    <w:p>
      <w:pPr>
        <w:spacing w:after="0" w:line="1" w:lineRule="exact"/>
        <w:rPr>
          <w:rFonts w:ascii="Arial" w:cs="Arial" w:eastAsia="Arial" w:hAnsi="Arial"/>
          <w:sz w:val="25"/>
          <w:szCs w:val="25"/>
          <w:color w:val="auto"/>
          <w:vertAlign w:val="superscript"/>
        </w:rPr>
      </w:pPr>
    </w:p>
    <w:p>
      <w:pPr>
        <w:spacing w:after="0" w:line="19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9</w:t>
      </w:r>
      <w:r>
        <w:rPr>
          <w:rFonts w:ascii="Arial" w:cs="Arial" w:eastAsia="Arial" w:hAnsi="Arial"/>
          <w:sz w:val="14"/>
          <w:szCs w:val="14"/>
          <w:color w:val="auto"/>
        </w:rPr>
        <w:t xml:space="preserve"> Excludes $26 million for 14 MW of residential solar leases acquired outside of partnerships</w:t>
      </w:r>
    </w:p>
    <w:p>
      <w:pPr>
        <w:spacing w:after="0" w:line="234"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10</w:t>
      </w:r>
      <w:r>
        <w:rPr>
          <w:rFonts w:ascii="Arial" w:cs="Arial" w:eastAsia="Arial" w:hAnsi="Arial"/>
          <w:sz w:val="14"/>
          <w:szCs w:val="14"/>
          <w:color w:val="auto"/>
        </w:rPr>
        <w:t xml:space="preserve"> Based on cash to be distributed; excludes 14 MW of residential solar leases acquired outside of partnership</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8" w:right="239" w:bottom="144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substantial completion and $4 million of which will be paid at final completion. The project is expected to achieve commercial operations in the second quarter of 2018.</w:t>
      </w:r>
    </w:p>
    <w:p>
      <w:pPr>
        <w:spacing w:after="0" w:line="17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connection with the UPMC project, NRG Energy Center Minneapolis LLC established shelf facilities for the anticipated issuances of $70 million of Series E notes and $10 million of Series F notes. The proceeds from the notes, if issued, will be utilized to make payments with respect to the EPC Agreement described above. The UPMC project, net of non-recourse financing, is expected to deliver approximately $4 million</w:t>
      </w:r>
      <w:r>
        <w:rPr>
          <w:rFonts w:ascii="Arial" w:cs="Arial" w:eastAsia="Arial" w:hAnsi="Arial"/>
          <w:sz w:val="25"/>
          <w:szCs w:val="25"/>
          <w:color w:val="auto"/>
          <w:vertAlign w:val="superscript"/>
        </w:rPr>
        <w:t>11</w:t>
      </w:r>
      <w:r>
        <w:rPr>
          <w:rFonts w:ascii="Arial" w:cs="Arial" w:eastAsia="Arial" w:hAnsi="Arial"/>
          <w:sz w:val="18"/>
          <w:szCs w:val="18"/>
          <w:color w:val="auto"/>
        </w:rPr>
        <w:t xml:space="preserve"> in annual average CAFD starting in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 of the Revolving Credit Facility</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April 30, 2018, the Company closed the refinancing of the $495 million revolving credit facility, which extends the maturity of the facility to April 28, 2023 and decreases the Company's overall cost of borrowing at current leverage levels by 75 basis points to LIBOR + 175 basis points. The refinancing was led by JPMorgan Chase Bank as Sole Lead Arranger and the bank group continues to include eleven financial institutions. The facility will continue to be used for general corporate purposes including corporate working capital needs due to seasonality, financing of future acquisitions, and posting letters of credit.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Update</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April 24, 2018, NRG Yield’s Board of Directors declared a quarterly dividend on Class A and Class C common stock of $0.309 per share (approximately $1.24 per share annualized) payable on June 15, 2018, to stockholders of record as of June 1, 2018. This equates to a 3.7% increase over the prior quarter.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NRG Yield’s quarterly operating results are impacted by seasonal factors, as well as variability in renewable energy resources. The majority of NRG Yield’s revenues are generated from the months of May through September, as contracted pricing and renewable resources are at their highest levels in the Company’s core markets. The factors driving the fluctuation in Net Income, Adjusted EBITDA, Cash from Operating Activities, and CAFD include the following:</w:t>
      </w:r>
    </w:p>
    <w:p>
      <w:pPr>
        <w:spacing w:after="0" w:line="18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wind resources during the spring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 on a quarterly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Financial Guidance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NRG Yield is maintaining 2018 full year financial guidance. This financial guidance does not include growth investments under evaluation or not yet completed. Financial guidance continues to be based on median renewable energy production estimates.</w:t>
      </w:r>
    </w:p>
    <w:p>
      <w:pPr>
        <w:spacing w:after="0" w:line="329" w:lineRule="exact"/>
        <w:rPr>
          <w:sz w:val="20"/>
          <w:szCs w:val="20"/>
          <w:color w:val="auto"/>
        </w:rPr>
      </w:pPr>
    </w:p>
    <w:tbl>
      <w:tblPr>
        <w:tblLayout w:type="fixed"/>
        <w:tblInd w:w="278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2018 Full Year</w:t>
            </w:r>
          </w:p>
        </w:tc>
      </w:tr>
      <w:tr>
        <w:trPr>
          <w:trHeight w:val="234"/>
        </w:trPr>
        <w:tc>
          <w:tcPr>
            <w:tcW w:w="454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Guidance</w:t>
            </w:r>
          </w:p>
        </w:tc>
      </w:tr>
      <w:tr>
        <w:trPr>
          <w:trHeight w:val="27"/>
        </w:trPr>
        <w:tc>
          <w:tcPr>
            <w:tcW w:w="4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125</w:t>
            </w: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950</w:t>
            </w: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599</w:t>
            </w: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Cash Available for Distribution (CAFD)</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280</w:t>
            </w:r>
          </w:p>
        </w:tc>
      </w:tr>
      <w:tr>
        <w:trPr>
          <w:trHeight w:val="27"/>
        </w:trPr>
        <w:tc>
          <w:tcPr>
            <w:tcW w:w="4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3"/>
          <w:szCs w:val="23"/>
          <w:color w:val="auto"/>
          <w:vertAlign w:val="superscript"/>
        </w:rPr>
      </w:pPr>
      <w:r>
        <w:rPr>
          <w:rFonts w:ascii="Arial" w:cs="Arial" w:eastAsia="Arial" w:hAnsi="Arial"/>
          <w:sz w:val="13"/>
          <w:szCs w:val="13"/>
          <w:color w:val="auto"/>
        </w:rPr>
        <w:t>CAFD average over the 5-year period from 2019-2023</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NRG Yield is targeting dividend per share growth of 15% annually on each of its Class A and Class C common stock through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3, 2018, NRG Yield will host a conference call at 9:15 a.m. Eastern to discuss these results. Investors, the news media and others may access the live webcast of the conference call and accompanying presentation materials by logging on to NRG Yield’s website at http://www.nrgyield.com and clicking on “Presentations &amp; Webcasts” under “Investor Relations.”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provide the capacity to support more than two million American homes and businesses. Our thermal infrastructure assets provide steam, hot water and/or chilled water, and in some instances electricity, to commercial businesses, universities, hospitals and governmental units in multiple locations. NRG Yield’s Class C and Class A common stock are traded on the New York Stock Exchange under the symbols NYLD and NYLD.A, respectively. Visit www.nrgyield.com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“believe” and similar terms. Such forward-looking statements include, but are not limited to, statements regarding our Net Income, Adjusted EBITDA, Cash from Operating Activities, cash available for distribution, the satisfaction of the conditions to the Company’s consent to the sale by NRG Energy, Inc. of its interests in the Company, the Company’s future revenues, income, indebtedness, capital structure, strategy, plans, expectations, objectives, projected financial performance and/or business results and other future events, and views of economic and market conditions.</w:t>
      </w:r>
    </w:p>
    <w:p>
      <w:pPr>
        <w:spacing w:after="0" w:line="2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NRG Yield, Inc.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our ability to access capital markets, cyber terrorism and inadequate cybersecurity, the ability to engage in successful mergers and acquisitions activity, potential risks to the company as a result of NRG’s sale of its ownership interest in the Company, including the inability to meet certain deadlines, failure of the conditions to be met, unanticipated liabilities in connection with the sale or the reaction of customer, partners or lenders to the transaction, unanticipated outages at our generation facilities, adverse results in current and future litigation, failure to identify, execute or successfully implement acquisitions (including receipt of third party consents and regulatory approvals), our ability to enter into new contracts as existing contracts expire, our ability to acquire assets from NRG Energy, Inc. or third parties, our ability to close drop down transactions, and our ability to maintain and grow our quarterly dividends. Furthermore, any dividends are subject to available capital, market conditions, and compliance with associated laws and regulations.</w:t>
      </w:r>
    </w:p>
    <w:p>
      <w:pPr>
        <w:spacing w:after="0" w:line="27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NRG Yield, Inc. undertakes no obligation to update or revise any forward-looking statements, whether as a result of new information, future events or otherwise. The Adjusted EBITDA and Cash Available for Distribution are estimates as of today’s date, May 3, 2018, and are based on assumptions believed to be reasonable as of this date. NRG Yield expressly disclaims any current intention to update such guidance. The foregoing review of factors that could cause NRG Yield’s actual results to differ materially from those contemplated in the forward-looking statements included in this news release should be considered in connection with information regarding risks and uncertainties that may affect NRG Yield’s future results included in NRG Yield’s filings with the Securities and Exchange Commission at www.sec.gov. In addition, NRG Yield makes available free of charge at www.nrgyield.com, copies of materials it files with, or furnish to, the SEC.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420"/>
          </w:cols>
          <w:pgMar w:left="240" w:top="584" w:right="2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Sheri Woodruff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Kevin L. Cole, CFA</w:t>
      </w:r>
    </w:p>
    <w:p>
      <w:pPr>
        <w:spacing w:after="0" w:line="200" w:lineRule="exact"/>
        <w:rPr>
          <w:sz w:val="20"/>
          <w:szCs w:val="20"/>
          <w:color w:val="auto"/>
        </w:rPr>
      </w:pPr>
    </w:p>
    <w:p>
      <w:pPr>
        <w:sectPr>
          <w:pgSz w:w="11900" w:h="16838" w:orient="portrait"/>
          <w:cols w:equalWidth="0" w:num="2">
            <w:col w:w="1780" w:space="20"/>
            <w:col w:w="9620"/>
          </w:cols>
          <w:pgMar w:left="240" w:top="584" w:right="239" w:bottom="1440" w:gutter="0" w:footer="0" w:header="0"/>
          <w:type w:val="continuous"/>
        </w:sectPr>
      </w:pPr>
    </w:p>
    <w:p>
      <w:pPr>
        <w:spacing w:after="0" w:line="65"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58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609.524.4608</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w w:val="94"/>
              </w:rPr>
              <w:t>609.524.4526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w w:val="96"/>
              </w:rPr>
              <w:t>Marijke Shugrue</w:t>
            </w:r>
          </w:p>
        </w:tc>
        <w:tc>
          <w:tcPr>
            <w:tcW w:w="1420" w:type="dxa"/>
            <w:vAlign w:val="bottom"/>
          </w:tcPr>
          <w:p>
            <w:pPr>
              <w:jc w:val="right"/>
              <w:spacing w:after="0"/>
              <w:rPr>
                <w:sz w:val="20"/>
                <w:szCs w:val="20"/>
                <w:color w:val="auto"/>
              </w:rPr>
            </w:pPr>
            <w:r>
              <w:rPr>
                <w:rFonts w:ascii="Arial" w:cs="Arial" w:eastAsia="Arial" w:hAnsi="Arial"/>
                <w:sz w:val="18"/>
                <w:szCs w:val="18"/>
                <w:color w:val="auto"/>
              </w:rPr>
              <w:t>Lindsey Puchyr</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609.524.5262</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w w:val="94"/>
              </w:rPr>
              <w:t>609.524.4527</w:t>
            </w:r>
          </w:p>
        </w:tc>
      </w:tr>
    </w:tbl>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760"/>
          </w:cols>
          <w:pgMar w:left="900" w:top="36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229"/>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3"/>
        </w:trPr>
        <w:tc>
          <w:tcPr>
            <w:tcW w:w="880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Loss on debt extinguishment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7"/>
                <w:szCs w:val="17"/>
                <w:b w:val="1"/>
                <w:bCs w:val="1"/>
                <w:color w:val="auto"/>
              </w:rPr>
              <w:t>Loss Before Income Taxes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Loss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Loss Excluding Pre-acquisition Net Income of Drop Down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Net Income (Loss) Attributable to NRG Yield,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Earnings (Loss) Per Share Attributable to NRG Yield, Inc. Class A and Class C Common 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876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A common shares outstanding - basic and diluted</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87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C common shares outstanding - basic and diluted</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Earnings (Loss) per Weighted Average Class A and Class C Common Share -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Dividends Per Class A Common Share</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gridSpan w:val="3"/>
          </w:tcPr>
          <w:p>
            <w:pPr>
              <w:ind w:left="40"/>
              <w:spacing w:after="0"/>
              <w:rPr>
                <w:sz w:val="20"/>
                <w:szCs w:val="20"/>
                <w:color w:val="auto"/>
              </w:rPr>
            </w:pPr>
            <w:r>
              <w:rPr>
                <w:rFonts w:ascii="Arial" w:cs="Arial" w:eastAsia="Arial" w:hAnsi="Arial"/>
                <w:sz w:val="17"/>
                <w:szCs w:val="17"/>
                <w:b w:val="1"/>
                <w:bCs w:val="1"/>
                <w:color w:val="auto"/>
              </w:rPr>
              <w:t>Dividends Per Class C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0.298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ind w:left="566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88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Net Loss</w:t>
            </w:r>
          </w:p>
        </w:tc>
        <w:tc>
          <w:tcPr>
            <w:tcW w:w="3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Gain, net of tax</w:t>
            </w:r>
          </w:p>
        </w:tc>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1"/>
              </w:rPr>
              <w:t>Unrealized gain on derivatives, net of income tax expense of $3 and $1</w:t>
            </w:r>
          </w:p>
        </w:tc>
        <w:tc>
          <w:tcPr>
            <w:tcW w:w="3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4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w:t>
            </w:r>
          </w:p>
        </w:tc>
        <w:tc>
          <w:tcPr>
            <w:tcW w:w="3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558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Comprehensive Income Attributable to NRG Yield, Inc.</w:t>
            </w:r>
          </w:p>
        </w:tc>
        <w:tc>
          <w:tcPr>
            <w:tcW w:w="3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20" w:type="dxa"/>
            <w:vAlign w:val="bottom"/>
            <w:vMerge w:val="restart"/>
          </w:tcPr>
          <w:p>
            <w:pPr>
              <w:jc w:val="right"/>
              <w:ind w:right="295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24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2018</w:t>
            </w:r>
          </w:p>
        </w:tc>
        <w:tc>
          <w:tcPr>
            <w:tcW w:w="180" w:type="dxa"/>
            <w:vAlign w:val="bottom"/>
          </w:tcPr>
          <w:p>
            <w:pPr>
              <w:spacing w:after="0"/>
              <w:rPr>
                <w:sz w:val="14"/>
                <w:szCs w:val="14"/>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36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3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Notes receivable</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other assets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0480"/>
          </w:cols>
          <w:pgMar w:left="720" w:top="364" w:right="699" w:bottom="1111" w:gutter="0" w:footer="0" w:header="0"/>
        </w:sectPr>
      </w:pPr>
    </w:p>
    <w:p>
      <w:pPr>
        <w:ind w:left="16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6654800" cy="909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909320"/>
                    </a:xfrm>
                    <a:prstGeom prst="rect">
                      <a:avLst/>
                    </a:prstGeom>
                    <a:noFill/>
                  </pic:spPr>
                </pic:pic>
              </a:graphicData>
            </a:graphic>
          </wp:anchor>
        </w:drawing>
      </w:r>
    </w:p>
    <w:p>
      <w:pPr>
        <w:spacing w:after="0" w:line="215" w:lineRule="exact"/>
        <w:rPr>
          <w:sz w:val="20"/>
          <w:szCs w:val="20"/>
          <w:color w:val="auto"/>
        </w:rPr>
      </w:pPr>
    </w:p>
    <w:p>
      <w:pPr>
        <w:ind w:left="160" w:right="560"/>
        <w:spacing w:after="0" w:line="270" w:lineRule="auto"/>
        <w:rPr>
          <w:sz w:val="20"/>
          <w:szCs w:val="20"/>
          <w:color w:val="auto"/>
        </w:rPr>
      </w:pPr>
      <w:r>
        <w:rPr>
          <w:rFonts w:ascii="Arial" w:cs="Arial" w:eastAsia="Arial" w:hAnsi="Arial"/>
          <w:sz w:val="16"/>
          <w:szCs w:val="16"/>
          <w:color w:val="auto"/>
        </w:rPr>
        <w:t>Class A, Class B, Class C and Class D common stock, $0.01 par value; 3,000,000,000 shares authorized (Class A 500,000,000, Class B 500,000,000, Class C 1,000,000,000, Class D 1,000,000,000); 185,407,326 shares issued and outstanding (Class A 34,586,250, Class B 42,738,750, Class C 65,343,576, Class D 42,738,750) at March 31, 2018 and 184,780,837 shares issued and outstanding (Class A 34,586,250, Class B 42,738,750, Class C 64,717,087, Class D 42,738,750) at December 31, 2017</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0"/>
        <w:spacing w:after="0"/>
        <w:tabs>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1,827</w:t>
            </w:r>
          </w:p>
        </w:tc>
        <w:tc>
          <w:tcPr>
            <w:tcW w:w="112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70"/>
        </w:trPr>
        <w:tc>
          <w:tcPr>
            <w:tcW w:w="1120" w:type="dxa"/>
            <w:vAlign w:val="bottom"/>
          </w:tcPr>
          <w:p>
            <w:pPr>
              <w:jc w:val="right"/>
              <w:ind w:right="570"/>
              <w:spacing w:after="0"/>
              <w:rPr>
                <w:sz w:val="20"/>
                <w:szCs w:val="20"/>
                <w:color w:val="auto"/>
              </w:rPr>
            </w:pPr>
            <w:r>
              <w:rPr>
                <w:rFonts w:ascii="Arial" w:cs="Arial" w:eastAsia="Arial" w:hAnsi="Arial"/>
                <w:sz w:val="18"/>
                <w:szCs w:val="18"/>
                <w:color w:val="auto"/>
              </w:rPr>
              <w:t>(53)</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120" w:type="dxa"/>
            <w:vAlign w:val="bottom"/>
          </w:tcPr>
          <w:p>
            <w:pPr>
              <w:jc w:val="right"/>
              <w:ind w:right="570"/>
              <w:spacing w:after="0"/>
              <w:rPr>
                <w:sz w:val="20"/>
                <w:szCs w:val="20"/>
                <w:color w:val="auto"/>
              </w:rPr>
            </w:pPr>
            <w:r>
              <w:rPr>
                <w:rFonts w:ascii="Arial" w:cs="Arial" w:eastAsia="Arial" w:hAnsi="Arial"/>
                <w:sz w:val="18"/>
                <w:szCs w:val="18"/>
                <w:color w:val="auto"/>
              </w:rPr>
              <w:t>(20)</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371</w:t>
            </w:r>
          </w:p>
        </w:tc>
        <w:tc>
          <w:tcPr>
            <w:tcW w:w="1120" w:type="dxa"/>
            <w:vAlign w:val="bottom"/>
          </w:tcPr>
          <w:p>
            <w:pPr>
              <w:jc w:val="right"/>
              <w:spacing w:after="0"/>
              <w:rPr>
                <w:sz w:val="20"/>
                <w:szCs w:val="20"/>
                <w:color w:val="auto"/>
              </w:rPr>
            </w:pPr>
            <w:r>
              <w:rPr>
                <w:rFonts w:ascii="Arial" w:cs="Arial" w:eastAsia="Arial" w:hAnsi="Arial"/>
                <w:sz w:val="18"/>
                <w:szCs w:val="18"/>
                <w:color w:val="auto"/>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17145</wp:posOffset>
            </wp:positionV>
            <wp:extent cx="2195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7480" w:space="720"/>
            <w:col w:w="2280"/>
          </w:cols>
          <w:pgMar w:left="720" w:top="364" w:right="699" w:bottom="1111"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
        </w:trPr>
        <w:tc>
          <w:tcPr>
            <w:tcW w:w="70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8,362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8,489</w:t>
            </w:r>
          </w:p>
        </w:tc>
      </w:tr>
      <w:tr>
        <w:trPr>
          <w:trHeight w:val="20"/>
        </w:trPr>
        <w:tc>
          <w:tcPr>
            <w:tcW w:w="7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80"/>
          </w:cols>
          <w:pgMar w:left="720" w:top="364" w:right="699" w:bottom="1111" w:gutter="0" w:footer="0" w:header="0"/>
          <w:type w:val="continuous"/>
        </w:sect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80"/>
          </w:cols>
          <w:pgMar w:left="720" w:top="364" w:right="699" w:bottom="1111"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for debt extinguishment</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deferred income taxes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derivative instruments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Loss on disposal of asset components</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other working capital</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Drop Down Assets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receipts from notes receivable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for long-term debt</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5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220"/>
              <w:spacing w:after="0"/>
              <w:rPr>
                <w:sz w:val="20"/>
                <w:szCs w:val="20"/>
                <w:color w:val="auto"/>
              </w:rPr>
            </w:pPr>
            <w:r>
              <w:rPr>
                <w:rFonts w:ascii="Arial" w:cs="Arial" w:eastAsia="Arial" w:hAnsi="Arial"/>
                <w:sz w:val="18"/>
                <w:szCs w:val="18"/>
                <w:color w:val="auto"/>
              </w:rPr>
              <w:t>10</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8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640" w:top="364" w:right="61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Appendix Table A-1: Three Months Ended March 31, 2018,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9"/>
              </w:rPr>
              <w:t>16</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189</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March 31, 2017,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Thermal</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186</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723"/>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60"/>
          </w:cols>
          <w:pgMar w:left="240" w:top="1427" w:right="39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Appendix Table A-3: Cash Available for Distribution Reconciliation</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36"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Three Months Ended</w:t>
      </w:r>
    </w:p>
    <w:p>
      <w:pPr>
        <w:sectPr>
          <w:pgSz w:w="11900" w:h="16838" w:orient="portrait"/>
          <w:cols w:equalWidth="0" w:num="1">
            <w:col w:w="10780"/>
          </w:cols>
          <w:pgMar w:left="240" w:top="616" w:right="879" w:bottom="1440" w:gutter="0" w:footer="0" w:header="0"/>
        </w:sectPr>
      </w:pPr>
    </w:p>
    <w:p>
      <w:pPr>
        <w:spacing w:after="0" w:line="63"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rPr>
              <w:t>3/31/18</w:t>
            </w:r>
          </w:p>
        </w:tc>
      </w:tr>
      <w:tr>
        <w:trPr>
          <w:trHeight w:val="27"/>
        </w:trPr>
        <w:tc>
          <w:tcPr>
            <w:tcW w:w="5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189</w:t>
            </w:r>
          </w:p>
        </w:tc>
      </w:tr>
      <w:tr>
        <w:trPr>
          <w:trHeight w:val="27"/>
        </w:trPr>
        <w:tc>
          <w:tcPr>
            <w:tcW w:w="5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160"/>
              <w:spacing w:after="0"/>
              <w:rPr>
                <w:sz w:val="20"/>
                <w:szCs w:val="20"/>
                <w:color w:val="auto"/>
              </w:rPr>
            </w:pPr>
            <w:r>
              <w:rPr>
                <w:rFonts w:ascii="Arial" w:cs="Arial" w:eastAsia="Arial" w:hAnsi="Arial"/>
                <w:sz w:val="18"/>
                <w:szCs w:val="18"/>
                <w:color w:val="auto"/>
              </w:rPr>
              <w:t>Cash interest paid</w:t>
            </w: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w w:val="99"/>
              </w:rPr>
              <w:t>Changes in prepaid and accrued liabilities for tolling agreements</w:t>
            </w: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Pro-rata Adjusted EBITDA from unconsolidated affiliates</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Distributions from unconsolidated affiliates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Changes in working capital and other</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5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Cash from Operating Activities</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65</w:t>
            </w:r>
          </w:p>
        </w:tc>
      </w:tr>
      <w:tr>
        <w:trPr>
          <w:trHeight w:val="27"/>
        </w:trPr>
        <w:tc>
          <w:tcPr>
            <w:tcW w:w="5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160"/>
              <w:spacing w:after="0"/>
              <w:rPr>
                <w:sz w:val="20"/>
                <w:szCs w:val="20"/>
                <w:color w:val="auto"/>
              </w:rPr>
            </w:pPr>
            <w:r>
              <w:rPr>
                <w:rFonts w:ascii="Arial" w:cs="Arial" w:eastAsia="Arial" w:hAnsi="Arial"/>
                <w:sz w:val="18"/>
                <w:szCs w:val="18"/>
                <w:color w:val="auto"/>
              </w:rPr>
              <w:t>Changes in working capital and other</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Return of investment from unconsolidated affiliates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10"/>
        </w:trPr>
        <w:tc>
          <w:tcPr>
            <w:tcW w:w="5260" w:type="dxa"/>
            <w:vAlign w:val="bottom"/>
          </w:tcPr>
          <w:p>
            <w:pPr>
              <w:ind w:left="160"/>
              <w:spacing w:after="0"/>
              <w:rPr>
                <w:sz w:val="20"/>
                <w:szCs w:val="20"/>
                <w:color w:val="auto"/>
              </w:rPr>
            </w:pPr>
            <w:r>
              <w:rPr>
                <w:rFonts w:ascii="Arial" w:cs="Arial" w:eastAsia="Arial" w:hAnsi="Arial"/>
                <w:sz w:val="18"/>
                <w:szCs w:val="18"/>
                <w:color w:val="auto"/>
              </w:rPr>
              <w:t>Net contributions from non-controlling interest</w:t>
            </w:r>
            <w:r>
              <w:rPr>
                <w:rFonts w:ascii="Arial" w:cs="Arial" w:eastAsia="Arial" w:hAnsi="Arial"/>
                <w:sz w:val="25"/>
                <w:szCs w:val="25"/>
                <w:color w:val="auto"/>
                <w:vertAlign w:val="superscript"/>
              </w:rPr>
              <w:t>12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5260" w:type="dxa"/>
            <w:vAlign w:val="bottom"/>
          </w:tcPr>
          <w:p>
            <w:pPr>
              <w:ind w:left="160"/>
              <w:spacing w:after="0" w:line="270" w:lineRule="exact"/>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13</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5260" w:type="dxa"/>
            <w:vAlign w:val="bottom"/>
          </w:tcPr>
          <w:p>
            <w:pPr>
              <w:ind w:left="160"/>
              <w:spacing w:after="0" w:line="270"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5"/>
                <w:szCs w:val="25"/>
                <w:color w:val="auto"/>
                <w:vertAlign w:val="superscript"/>
              </w:rPr>
              <w:t>14</w:t>
            </w: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5260" w:type="dxa"/>
            <w:vAlign w:val="bottom"/>
            <w:tcBorders>
              <w:bottom w:val="single" w:sz="8" w:color="auto"/>
            </w:tcBorders>
          </w:tcPr>
          <w:p>
            <w:pPr>
              <w:ind w:left="160"/>
              <w:spacing w:after="0" w:line="257" w:lineRule="exact"/>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15</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Cash Available for Distribution</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7"/>
        </w:trPr>
        <w:tc>
          <w:tcPr>
            <w:tcW w:w="5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-2108835</wp:posOffset>
            </wp:positionV>
            <wp:extent cx="49136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13630" cy="17145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-1765935</wp:posOffset>
            </wp:positionV>
            <wp:extent cx="49136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13630" cy="17145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-1062990</wp:posOffset>
            </wp:positionV>
            <wp:extent cx="49136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13630" cy="17145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-719455</wp:posOffset>
            </wp:positionV>
            <wp:extent cx="49136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13630" cy="17145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-376555</wp:posOffset>
            </wp:positionV>
            <wp:extent cx="49136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13630" cy="17145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-1423035</wp:posOffset>
            </wp:positionV>
            <wp:extent cx="491363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13630" cy="18034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-2469515</wp:posOffset>
            </wp:positionV>
            <wp:extent cx="491363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1363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1646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1420"/>
        <w:spacing w:after="0"/>
        <w:rPr>
          <w:sz w:val="20"/>
          <w:szCs w:val="20"/>
          <w:color w:val="auto"/>
        </w:rPr>
      </w:pPr>
      <w:r>
        <w:rPr>
          <w:rFonts w:ascii="Arial" w:cs="Arial" w:eastAsia="Arial" w:hAnsi="Arial"/>
          <w:sz w:val="16"/>
          <w:szCs w:val="16"/>
          <w:b w:val="1"/>
          <w:bCs w:val="1"/>
          <w:color w:val="auto"/>
        </w:rPr>
        <w:t>3/31/17</w:t>
      </w:r>
    </w:p>
    <w:p>
      <w:pPr>
        <w:spacing w:after="0" w:line="100"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34290</wp:posOffset>
            </wp:positionV>
            <wp:extent cx="694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61"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(80)</w:t>
      </w:r>
    </w:p>
    <w:p>
      <w:pPr>
        <w:spacing w:after="0" w:line="6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(36)</w:t>
      </w:r>
    </w:p>
    <w:p>
      <w:pPr>
        <w:spacing w:after="0" w:line="6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(33)</w:t>
      </w:r>
    </w:p>
    <w:p>
      <w:pPr>
        <w:spacing w:after="0" w:line="63"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14</w:t>
      </w:r>
    </w:p>
    <w:p>
      <w:pPr>
        <w:spacing w:after="0" w:line="73"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34290</wp:posOffset>
            </wp:positionV>
            <wp:extent cx="694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61"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(14)</w:t>
      </w:r>
    </w:p>
    <w:p>
      <w:pPr>
        <w:spacing w:after="0" w:line="63"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16</w:t>
      </w:r>
    </w:p>
    <w:p>
      <w:pPr>
        <w:spacing w:after="0" w:line="63"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(75)</w:t>
      </w:r>
    </w:p>
    <w:p>
      <w:pPr>
        <w:spacing w:after="0" w:line="63"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31750</wp:posOffset>
            </wp:positionV>
            <wp:extent cx="694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53"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34290</wp:posOffset>
            </wp:positionV>
            <wp:extent cx="6946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51435</wp:posOffset>
            </wp:positionV>
            <wp:extent cx="6946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8420" w:space="380"/>
            <w:col w:w="1980"/>
          </w:cols>
          <w:pgMar w:left="240" w:top="616" w:right="87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3"/>
          <w:szCs w:val="13"/>
          <w:color w:val="auto"/>
        </w:rPr>
        <w:t>Excludes $19 million of contributions in Q1 2018 related to initial funding of Buckthorn Solar tax equity partnership</w:t>
      </w:r>
    </w:p>
    <w:p>
      <w:pPr>
        <w:spacing w:after="0" w:line="59"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Net of allocated insurance proceeds</w:t>
      </w:r>
    </w:p>
    <w:p>
      <w:pPr>
        <w:spacing w:after="0" w:line="59"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Excludes $30 million in Q1 2017 for SPP discretionary debt retirements made by NRG as reflected in the financial due to common control</w:t>
      </w:r>
    </w:p>
    <w:p>
      <w:pPr>
        <w:spacing w:after="0" w:line="59"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Reimbursement of network upgrades</w:t>
      </w: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80"/>
          </w:cols>
          <w:pgMar w:left="240" w:top="616" w:right="879" w:bottom="1440" w:gutter="0" w:footer="0" w:header="0"/>
          <w:type w:val="continuous"/>
        </w:sectPr>
      </w:pPr>
    </w:p>
    <w:bookmarkStart w:id="15" w:name="page16"/>
    <w:bookmarkEnd w:id="15"/>
    <w:p>
      <w:pPr>
        <w:ind w:right="380"/>
        <w:spacing w:after="0" w:line="267" w:lineRule="auto"/>
        <w:rPr>
          <w:sz w:val="20"/>
          <w:szCs w:val="20"/>
          <w:color w:val="auto"/>
        </w:rPr>
      </w:pPr>
      <w:r>
        <w:rPr>
          <w:rFonts w:ascii="Arial" w:cs="Arial" w:eastAsia="Arial" w:hAnsi="Arial"/>
          <w:sz w:val="20"/>
          <w:szCs w:val="20"/>
          <w:b w:val="1"/>
          <w:bCs w:val="1"/>
          <w:color w:val="auto"/>
        </w:rPr>
        <w:t xml:space="preserve">Appendix Table A-4: Three Months Ended March 31, 2018, Sources and Uses of Liquidity </w:t>
      </w:r>
      <w:r>
        <w:rPr>
          <w:rFonts w:ascii="Arial" w:cs="Arial" w:eastAsia="Arial" w:hAnsi="Arial"/>
          <w:sz w:val="20"/>
          <w:szCs w:val="20"/>
          <w:color w:val="auto"/>
        </w:rPr>
        <w:t>The following table summarizes the sources and uses of liquidity in 2018:</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71"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Sources:</w:t>
      </w:r>
    </w:p>
    <w:p>
      <w:pPr>
        <w:spacing w:after="0" w:line="9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Net contributions from noncontrolling interests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issuance of long-term debt</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issuance of common stock</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Other net cash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96485" cy="197485"/>
                    </a:xfrm>
                    <a:prstGeom prst="rect">
                      <a:avLst/>
                    </a:prstGeom>
                    <a:noFill/>
                  </pic:spPr>
                </pic:pic>
              </a:graphicData>
            </a:graphic>
          </wp:anchor>
        </w:drawing>
      </w:r>
    </w:p>
    <w:p>
      <w:pPr>
        <w:spacing w:after="0" w:line="37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37465</wp:posOffset>
            </wp:positionV>
            <wp:extent cx="489648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7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Payments for long-term debt</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Payments for the Drop Down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 of dividends and distributions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224155</wp:posOffset>
            </wp:positionV>
            <wp:extent cx="4896485" cy="19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96485" cy="197485"/>
                    </a:xfrm>
                    <a:prstGeom prst="rect">
                      <a:avLst/>
                    </a:prstGeom>
                    <a:noFill/>
                  </pic:spPr>
                </pic:pic>
              </a:graphicData>
            </a:graphic>
          </wp:anchor>
        </w:drawing>
      </w:r>
    </w:p>
    <w:p>
      <w:pPr>
        <w:spacing w:after="0" w:line="37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Change in total cash, cash equivalents, and restricted cash</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Appendix Table A-5: Adjusted EBITDA and Cash Available for Distribution Guidance</w:t>
      </w:r>
    </w:p>
    <w:p>
      <w:pPr>
        <w:spacing w:after="0" w:line="398"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Net Income</w:t>
      </w:r>
      <w:r>
        <w:rPr>
          <w:rFonts w:ascii="Arial" w:cs="Arial" w:eastAsia="Arial" w:hAnsi="Arial"/>
          <w:sz w:val="25"/>
          <w:szCs w:val="25"/>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-15875</wp:posOffset>
            </wp:positionV>
            <wp:extent cx="4047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21590</wp:posOffset>
            </wp:positionV>
            <wp:extent cx="489648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Depreciation, Amortization, and Accretion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Adjustment to reflect NRG share of Adjusted EBITDA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39370</wp:posOffset>
            </wp:positionV>
            <wp:extent cx="40474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6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89648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6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interest paid</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Adjustment to reflect Walnut Creek investment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Pro-rata Adjusted EBITDA from unconsolidated affiliates</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0474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6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Net contributions from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17</w:t>
      </w:r>
    </w:p>
    <w:p>
      <w:pPr>
        <w:ind w:left="2020"/>
        <w:spacing w:after="0"/>
        <w:rPr>
          <w:sz w:val="20"/>
          <w:szCs w:val="20"/>
          <w:color w:val="auto"/>
        </w:rPr>
      </w:pPr>
      <w:r>
        <w:rPr>
          <w:rFonts w:ascii="Arial" w:cs="Arial" w:eastAsia="Arial" w:hAnsi="Arial"/>
          <w:sz w:val="18"/>
          <w:szCs w:val="18"/>
          <w:color w:val="auto"/>
        </w:rPr>
        <w:t>Principal amortization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21590</wp:posOffset>
            </wp:positionV>
            <wp:extent cx="489648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-18415</wp:posOffset>
            </wp:positionV>
            <wp:extent cx="40474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b w:val="1"/>
          <w:bCs w:val="1"/>
          <w:color w:val="auto"/>
        </w:rPr>
        <w:t>Cash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21590</wp:posOffset>
            </wp:positionV>
            <wp:extent cx="40474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47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16465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20"/>
        <w:spacing w:after="0"/>
        <w:rPr>
          <w:sz w:val="20"/>
          <w:szCs w:val="20"/>
          <w:color w:val="auto"/>
        </w:rPr>
      </w:pPr>
      <w:r>
        <w:rPr>
          <w:rFonts w:ascii="Arial" w:cs="Arial" w:eastAsia="Arial" w:hAnsi="Arial"/>
          <w:sz w:val="17"/>
          <w:szCs w:val="17"/>
          <w:b w:val="1"/>
          <w:bCs w:val="1"/>
          <w:color w:val="auto"/>
        </w:rPr>
        <w:t>Three Months</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Ended</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3/31/18</w:t>
      </w:r>
    </w:p>
    <w:p>
      <w:pPr>
        <w:spacing w:after="0" w:line="369"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65</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30</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20</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(79)</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(42)</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(55)</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(18)</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(6)</w:t>
      </w:r>
    </w:p>
    <w:p>
      <w:pPr>
        <w:spacing w:after="0" w:line="393"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(39)</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20"/>
        <w:spacing w:after="0"/>
        <w:rPr>
          <w:sz w:val="20"/>
          <w:szCs w:val="20"/>
          <w:color w:val="auto"/>
        </w:rPr>
      </w:pPr>
      <w:r>
        <w:rPr>
          <w:rFonts w:ascii="Arial" w:cs="Arial" w:eastAsia="Arial" w:hAnsi="Arial"/>
          <w:sz w:val="16"/>
          <w:szCs w:val="16"/>
          <w:b w:val="1"/>
          <w:bCs w:val="1"/>
          <w:color w:val="auto"/>
        </w:rPr>
        <w:t>2018 Full Year</w:t>
      </w:r>
    </w:p>
    <w:p>
      <w:pPr>
        <w:spacing w:after="0" w:line="50"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Guidance</w:t>
      </w:r>
    </w:p>
    <w:p>
      <w:pPr>
        <w:spacing w:after="0" w:line="76" w:lineRule="exact"/>
        <w:rPr>
          <w:sz w:val="20"/>
          <w:szCs w:val="20"/>
          <w:color w:val="auto"/>
        </w:rPr>
      </w:pPr>
    </w:p>
    <w:p>
      <w:pPr>
        <w:jc w:val="right"/>
        <w:ind w:right="1360"/>
        <w:spacing w:after="0"/>
        <w:rPr>
          <w:sz w:val="20"/>
          <w:szCs w:val="20"/>
          <w:color w:val="auto"/>
        </w:rPr>
      </w:pPr>
      <w:r>
        <w:rPr>
          <w:rFonts w:ascii="Arial" w:cs="Arial" w:eastAsia="Arial" w:hAnsi="Arial"/>
          <w:sz w:val="16"/>
          <w:szCs w:val="16"/>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804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4"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25</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310</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405</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34925</wp:posOffset>
            </wp:positionV>
            <wp:extent cx="7804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6" w:lineRule="exact"/>
        <w:rPr>
          <w:sz w:val="20"/>
          <w:szCs w:val="20"/>
          <w:color w:val="auto"/>
        </w:rPr>
      </w:pPr>
    </w:p>
    <w:p>
      <w:pPr>
        <w:jc w:val="right"/>
        <w:ind w:right="1360"/>
        <w:spacing w:after="0"/>
        <w:rPr>
          <w:sz w:val="20"/>
          <w:szCs w:val="20"/>
          <w:color w:val="auto"/>
        </w:rPr>
      </w:pPr>
      <w:r>
        <w:rPr>
          <w:rFonts w:ascii="Arial" w:cs="Arial" w:eastAsia="Arial" w:hAnsi="Arial"/>
          <w:sz w:val="16"/>
          <w:szCs w:val="16"/>
          <w:b w:val="1"/>
          <w:bCs w:val="1"/>
          <w:color w:val="auto"/>
        </w:rPr>
        <w:t>950</w:t>
      </w:r>
    </w:p>
    <w:p>
      <w:pPr>
        <w:spacing w:after="0" w:line="104"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(286)</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(2)</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(188)</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125</w:t>
      </w:r>
    </w:p>
    <w:p>
      <w:pPr>
        <w:spacing w:after="0" w:line="96" w:lineRule="exact"/>
        <w:rPr>
          <w:sz w:val="20"/>
          <w:szCs w:val="20"/>
          <w:color w:val="auto"/>
        </w:rPr>
      </w:pPr>
    </w:p>
    <w:p>
      <w:pPr>
        <w:jc w:val="right"/>
        <w:ind w:right="1360"/>
        <w:spacing w:after="0"/>
        <w:rPr>
          <w:sz w:val="20"/>
          <w:szCs w:val="20"/>
          <w:color w:val="auto"/>
        </w:rPr>
      </w:pPr>
      <w:r>
        <w:rPr>
          <w:rFonts w:ascii="Arial" w:cs="Arial" w:eastAsia="Arial" w:hAnsi="Arial"/>
          <w:sz w:val="16"/>
          <w:szCs w:val="16"/>
          <w:b w:val="1"/>
          <w:bCs w:val="1"/>
          <w:color w:val="auto"/>
        </w:rPr>
        <w:t>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804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4"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6</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(32)</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(306)</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34925</wp:posOffset>
            </wp:positionV>
            <wp:extent cx="7804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6" w:lineRule="exact"/>
        <w:rPr>
          <w:sz w:val="20"/>
          <w:szCs w:val="20"/>
          <w:color w:val="auto"/>
        </w:rPr>
      </w:pPr>
    </w:p>
    <w:p>
      <w:pPr>
        <w:jc w:val="right"/>
        <w:ind w:right="1360"/>
        <w:spacing w:after="0"/>
        <w:rPr>
          <w:sz w:val="20"/>
          <w:szCs w:val="20"/>
          <w:color w:val="auto"/>
        </w:rPr>
      </w:pPr>
      <w:r>
        <w:rPr>
          <w:rFonts w:ascii="Arial" w:cs="Arial" w:eastAsia="Arial" w:hAnsi="Arial"/>
          <w:sz w:val="16"/>
          <w:szCs w:val="16"/>
          <w:b w:val="1"/>
          <w:bCs w:val="1"/>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804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980" w:space="420"/>
            <w:col w:w="2440"/>
          </w:cols>
          <w:pgMar w:left="240" w:top="589" w:right="819" w:bottom="1440" w:gutter="0" w:footer="0" w:header="0"/>
        </w:sectPr>
      </w:pPr>
    </w:p>
    <w:p>
      <w:pPr>
        <w:spacing w:after="0" w:line="39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3"/>
          <w:szCs w:val="23"/>
          <w:color w:val="auto"/>
          <w:vertAlign w:val="superscript"/>
        </w:rPr>
      </w:pPr>
      <w:r>
        <w:rPr>
          <w:rFonts w:ascii="Arial" w:cs="Arial" w:eastAsia="Arial" w:hAnsi="Arial"/>
          <w:sz w:val="13"/>
          <w:szCs w:val="13"/>
          <w:color w:val="auto"/>
        </w:rPr>
        <w:t>Net Income guidance assumes $0 impact for mark-to-market accounting for derivatives and Hypothetical Liquidation at Book Value (HLBV) adjustments for equity method investments</w:t>
      </w:r>
    </w:p>
    <w:p>
      <w:pPr>
        <w:spacing w:after="0" w:line="59"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1"/>
        </w:numPr>
        <w:rPr>
          <w:rFonts w:ascii="Arial" w:cs="Arial" w:eastAsia="Arial" w:hAnsi="Arial"/>
          <w:sz w:val="19"/>
          <w:szCs w:val="19"/>
          <w:color w:val="auto"/>
          <w:vertAlign w:val="superscript"/>
        </w:rPr>
      </w:pPr>
      <w:r>
        <w:rPr>
          <w:rFonts w:ascii="Arial" w:cs="Arial" w:eastAsia="Arial" w:hAnsi="Arial"/>
          <w:sz w:val="11"/>
          <w:szCs w:val="11"/>
          <w:color w:val="auto"/>
        </w:rPr>
        <w:t>Net of property damage insurance proceeds to replace equipment</w:t>
      </w:r>
    </w:p>
    <w:p>
      <w:pPr>
        <w:spacing w:after="0" w:line="59"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11"/>
        </w:numPr>
        <w:rPr>
          <w:rFonts w:ascii="Arial" w:cs="Arial" w:eastAsia="Arial" w:hAnsi="Arial"/>
          <w:sz w:val="19"/>
          <w:szCs w:val="19"/>
          <w:color w:val="auto"/>
          <w:vertAlign w:val="superscript"/>
        </w:rPr>
      </w:pPr>
      <w:r>
        <w:rPr>
          <w:rFonts w:ascii="Arial" w:cs="Arial" w:eastAsia="Arial" w:hAnsi="Arial"/>
          <w:sz w:val="11"/>
          <w:szCs w:val="11"/>
          <w:color w:val="auto"/>
        </w:rPr>
        <w:t>Reimbursement of network upgrades</w:t>
      </w:r>
    </w:p>
    <w:p>
      <w:pPr>
        <w:sectPr>
          <w:pgSz w:w="11900" w:h="16838" w:orient="portrait"/>
          <w:cols w:equalWidth="0" w:num="1">
            <w:col w:w="10840"/>
          </w:cols>
          <w:pgMar w:left="240" w:top="589" w:right="819" w:bottom="1440" w:gutter="0" w:footer="0" w:header="0"/>
          <w:type w:val="continuous"/>
        </w:sect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40"/>
          </w:cols>
          <w:pgMar w:left="240" w:top="589" w:right="8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Appendix Table A-6: Adjusted EBITDA and Cash Available for Distribution Drop Downs</w:t>
      </w:r>
    </w:p>
    <w:p>
      <w:pPr>
        <w:spacing w:after="0" w:line="16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180" w:type="dxa"/>
            <w:vAlign w:val="bottom"/>
          </w:tcPr>
          <w:p>
            <w:pPr>
              <w:jc w:val="center"/>
              <w:ind w:left="416"/>
              <w:spacing w:after="0"/>
              <w:rPr>
                <w:sz w:val="20"/>
                <w:szCs w:val="20"/>
                <w:color w:val="auto"/>
              </w:rPr>
            </w:pPr>
            <w:r>
              <w:rPr>
                <w:rFonts w:ascii="Arial" w:cs="Arial" w:eastAsia="Arial" w:hAnsi="Arial"/>
                <w:sz w:val="18"/>
                <w:szCs w:val="18"/>
                <w:b w:val="1"/>
                <w:bCs w:val="1"/>
                <w:color w:val="auto"/>
                <w:w w:val="91"/>
              </w:rPr>
              <w:t>Buckthorn Solar</w:t>
            </w: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UPMC - 5 Year</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Tulare - 5 Year</w:t>
            </w: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2180" w:type="dxa"/>
            <w:vAlign w:val="bottom"/>
            <w:vMerge w:val="restart"/>
          </w:tcPr>
          <w:p>
            <w:pPr>
              <w:jc w:val="center"/>
              <w:ind w:left="396"/>
              <w:spacing w:after="0"/>
              <w:rPr>
                <w:sz w:val="20"/>
                <w:szCs w:val="20"/>
                <w:color w:val="auto"/>
              </w:rPr>
            </w:pPr>
            <w:r>
              <w:rPr>
                <w:rFonts w:ascii="Arial" w:cs="Arial" w:eastAsia="Arial" w:hAnsi="Arial"/>
                <w:sz w:val="18"/>
                <w:szCs w:val="18"/>
                <w:b w:val="1"/>
                <w:bCs w:val="1"/>
                <w:color w:val="auto"/>
                <w:w w:val="92"/>
              </w:rPr>
              <w:t>Drop Down - 5 Year</w:t>
            </w:r>
          </w:p>
        </w:tc>
        <w:tc>
          <w:tcPr>
            <w:tcW w:w="168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from 2019-</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from 2019-</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2180" w:type="dxa"/>
            <w:vAlign w:val="bottom"/>
          </w:tcPr>
          <w:p>
            <w:pPr>
              <w:jc w:val="center"/>
              <w:ind w:left="416"/>
              <w:spacing w:after="0" w:line="181" w:lineRule="exact"/>
              <w:rPr>
                <w:sz w:val="20"/>
                <w:szCs w:val="20"/>
                <w:color w:val="auto"/>
              </w:rPr>
            </w:pPr>
            <w:r>
              <w:rPr>
                <w:rFonts w:ascii="Arial" w:cs="Arial" w:eastAsia="Arial" w:hAnsi="Arial"/>
                <w:sz w:val="18"/>
                <w:szCs w:val="18"/>
                <w:b w:val="1"/>
                <w:bCs w:val="1"/>
                <w:color w:val="auto"/>
                <w:w w:val="90"/>
              </w:rPr>
              <w:t>Average from 2019-</w:t>
            </w:r>
          </w:p>
        </w:tc>
        <w:tc>
          <w:tcPr>
            <w:tcW w:w="168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180" w:type="dxa"/>
            <w:vAlign w:val="bottom"/>
            <w:vMerge w:val="restart"/>
          </w:tcPr>
          <w:p>
            <w:pPr>
              <w:jc w:val="center"/>
              <w:ind w:left="416"/>
              <w:spacing w:after="0"/>
              <w:rPr>
                <w:sz w:val="20"/>
                <w:szCs w:val="20"/>
                <w:color w:val="auto"/>
              </w:rPr>
            </w:pPr>
            <w:r>
              <w:rPr>
                <w:rFonts w:ascii="Arial" w:cs="Arial" w:eastAsia="Arial" w:hAnsi="Arial"/>
                <w:sz w:val="18"/>
                <w:szCs w:val="18"/>
                <w:b w:val="1"/>
                <w:bCs w:val="1"/>
                <w:color w:val="auto"/>
                <w:w w:val="89"/>
              </w:rPr>
              <w:t>2022</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180" w:type="dxa"/>
            <w:vAlign w:val="bottom"/>
            <w:vMerge w:val="continue"/>
          </w:tcPr>
          <w:p>
            <w:pPr>
              <w:spacing w:after="0"/>
              <w:rPr>
                <w:sz w:val="4"/>
                <w:szCs w:val="4"/>
                <w:color w:val="auto"/>
              </w:rPr>
            </w:pPr>
          </w:p>
        </w:tc>
        <w:tc>
          <w:tcPr>
            <w:tcW w:w="16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Interest Expense, net</w:t>
            </w:r>
          </w:p>
        </w:tc>
        <w:tc>
          <w:tcPr>
            <w:tcW w:w="21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6</w:t>
            </w:r>
          </w:p>
        </w:tc>
        <w:tc>
          <w:tcPr>
            <w:tcW w:w="168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3</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2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8</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1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15</w:t>
            </w:r>
          </w:p>
        </w:tc>
        <w:tc>
          <w:tcPr>
            <w:tcW w:w="168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8</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interest paid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21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9</w:t>
            </w:r>
          </w:p>
        </w:tc>
        <w:tc>
          <w:tcPr>
            <w:tcW w:w="168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4</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2180" w:type="dxa"/>
            <w:vAlign w:val="bottom"/>
          </w:tcPr>
          <w:p>
            <w:pPr>
              <w:jc w:val="right"/>
              <w:spacing w:after="0"/>
              <w:rPr>
                <w:sz w:val="20"/>
                <w:szCs w:val="20"/>
                <w:color w:val="auto"/>
              </w:rPr>
            </w:pPr>
            <w:r>
              <w:rPr>
                <w:rFonts w:ascii="Arial" w:cs="Arial" w:eastAsia="Arial" w:hAnsi="Arial"/>
                <w:sz w:val="16"/>
                <w:szCs w:val="16"/>
                <w:color w:val="auto"/>
              </w:rPr>
              <w:t>(3)</w:t>
            </w:r>
          </w:p>
        </w:tc>
        <w:tc>
          <w:tcPr>
            <w:tcW w:w="168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2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4</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0"/>
        </w:trPr>
        <w:tc>
          <w:tcPr>
            <w:tcW w:w="38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NRG Yield’s future results will be unaffected by unusual or non-recurring items.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EBITDA represents net income before interest (including loss on debt extinguishment), taxes, depreciation and amortization. EBITDA is presented because NRG Yield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this industry may calculate EBITDA differently than NRG Yield does, limiting its usefulness as a comparative measure.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these limitations, EBITDA should not be considered as a measure of discretionary cash available to use to invest in the growth of NRG Yield’s business. NRG Yield compensates for these limitations by relying primarily on our GAAP results and using EBITDA and Adjusted EBITDA only on a supplemental basis. See the statements of cash flow included in the financial statements that are a part of this news release.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asset write offs and impairments; and factors which we do not consider indicative of future operating performance. The reader is encouraged to evaluate each adjustment and the reasons NRG Yield considers it appropriate for supplemental analysis. As an analytical tool, Adjusted EBITDA is subject to all of the limitations applicable to EBITDA. In addition, in evaluating Adjusted EBITDA, the reader should be aware that in the future NRG Yield may incur expenses similar to the adjustments in this news release.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dispositions or retirements of assets, any mark-to-market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35"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gains or losses from accounting for derivatives, adjustments to exclude the Adjusted EBITDA related to the non-controlling interest,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Available for Distribution (CAFD) is Adjusted EBITDA plus cash distributions from unconsolidated affiliates, cash receipts from notes receivable,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 Management believes cash available for distribution is a relevant supplemental measure of the Company’s ability to earn and distribute cash returns to investors.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Cash Available for Distribution is useful to investors in evaluating our operating performance because securities analysts and other interested parties use such calculations as a measure of our ability to make quarterly distributions. In addition, cash available for distribution is used by our management team for determining future acquisitions and managing our growth. The GAAP measure most directly comparable to cash available for distribution is cash from operating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However, cash available for distribution has limitations as an analytical tool because it does not include changes in operating assets and liabilities and excludes the effect of certain other cash flow items, all of which could have a material effect on our financial condition and results from operations. Cash available for distribution is a non GAAP measure and should not be considered an alternative to cash from operating activities or any other performance or liquidity measure determined in accordance with GAAP, nor is it indicative of funds available to fund our cash needs. In addition, our calculations of cash available for distribution are not necessarily comparable to cash available for distribution as calculated by other companies. Investors should not rely on these measures as a substitute for any GAAP measure, including cash from operating activities.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1"/>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decimal"/>
      <w:start w:val="16"/>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2019-12-28T22:22:26Z</dcterms:created>
  <dcterms:modified xsi:type="dcterms:W3CDTF">2019-12-28T22:22:26Z</dcterms:modified>
</cp:coreProperties>
</file>