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509270</wp:posOffset>
            </wp:positionH>
            <wp:positionV relativeFrom="page">
              <wp:posOffset>697865</wp:posOffset>
            </wp:positionV>
            <wp:extent cx="6543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page">
              <wp:posOffset>509270</wp:posOffset>
            </wp:positionH>
            <wp:positionV relativeFrom="page">
              <wp:posOffset>594995</wp:posOffset>
            </wp:positionV>
            <wp:extent cx="65430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left="260"/>
        <w:spacing w:after="0"/>
        <w:rPr>
          <w:sz w:val="20"/>
          <w:szCs w:val="20"/>
          <w:color w:val="auto"/>
        </w:rPr>
      </w:pPr>
      <w:r>
        <w:rPr>
          <w:rFonts w:ascii="Arial" w:cs="Arial" w:eastAsia="Arial" w:hAnsi="Arial"/>
          <w:sz w:val="29"/>
          <w:szCs w:val="29"/>
          <w:b w:val="1"/>
          <w:bCs w:val="1"/>
          <w:color w:val="auto"/>
        </w:rPr>
        <w:t>Form 10-K</w:t>
      </w:r>
    </w:p>
    <w:p>
      <w:pPr>
        <w:spacing w:after="0" w:line="149" w:lineRule="exact"/>
        <w:rPr>
          <w:sz w:val="24"/>
          <w:szCs w:val="24"/>
          <w:color w:val="auto"/>
        </w:rPr>
      </w:pPr>
    </w:p>
    <w:p>
      <w:pPr>
        <w:ind w:left="1000" w:hanging="317"/>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92" w:lineRule="exact"/>
        <w:rPr>
          <w:sz w:val="24"/>
          <w:szCs w:val="24"/>
          <w:color w:val="auto"/>
        </w:rPr>
      </w:pPr>
    </w:p>
    <w:p>
      <w:pPr>
        <w:ind w:left="1000"/>
        <w:spacing w:after="0"/>
        <w:tabs>
          <w:tab w:leader="none" w:pos="340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3"/>
          <w:szCs w:val="13"/>
          <w:b w:val="1"/>
          <w:bCs w:val="1"/>
          <w:color w:val="auto"/>
        </w:rPr>
        <w:t>December 31, 2019</w:t>
      </w:r>
    </w:p>
    <w:p>
      <w:pPr>
        <w:spacing w:after="0" w:line="257" w:lineRule="exact"/>
        <w:rPr>
          <w:sz w:val="24"/>
          <w:szCs w:val="24"/>
          <w:color w:val="auto"/>
        </w:rPr>
      </w:pPr>
    </w:p>
    <w:p>
      <w:pPr>
        <w:ind w:left="1000" w:hanging="31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tbl>
      <w:tblPr>
        <w:tblLayout w:type="fixed"/>
        <w:tblInd w:w="420" w:type="dxa"/>
        <w:tblCellMar>
          <w:top w:w="0" w:type="dxa"/>
          <w:left w:w="0" w:type="dxa"/>
          <w:bottom w:w="0" w:type="dxa"/>
          <w:right w:w="0" w:type="dxa"/>
        </w:tblCellMar>
      </w:tblPr>
      <w:tr>
        <w:trPr>
          <w:trHeight w:val="207"/>
        </w:trPr>
        <w:tc>
          <w:tcPr>
            <w:tcW w:w="3400" w:type="dxa"/>
            <w:vAlign w:val="bottom"/>
          </w:tcPr>
          <w:p>
            <w:pPr>
              <w:ind w:left="580"/>
              <w:spacing w:after="0"/>
              <w:rPr>
                <w:sz w:val="20"/>
                <w:szCs w:val="20"/>
                <w:color w:val="auto"/>
              </w:rPr>
            </w:pPr>
            <w:r>
              <w:rPr>
                <w:rFonts w:ascii="Arial" w:cs="Arial" w:eastAsia="Arial" w:hAnsi="Arial"/>
                <w:sz w:val="15"/>
                <w:szCs w:val="15"/>
                <w:b w:val="1"/>
                <w:bCs w:val="1"/>
                <w:color w:val="auto"/>
              </w:rPr>
              <w:t>For the Transition period from</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to</w:t>
            </w:r>
          </w:p>
        </w:tc>
        <w:tc>
          <w:tcPr>
            <w:tcW w:w="1040" w:type="dxa"/>
            <w:vAlign w:val="bottom"/>
          </w:tcPr>
          <w:p>
            <w:pPr>
              <w:jc w:val="right"/>
              <w:ind w:right="154"/>
              <w:spacing w:after="0"/>
              <w:rPr>
                <w:sz w:val="20"/>
                <w:szCs w:val="20"/>
                <w:color w:val="auto"/>
              </w:rPr>
            </w:pPr>
            <w:r>
              <w:rPr>
                <w:rFonts w:ascii="Arial" w:cs="Arial" w:eastAsia="Arial" w:hAnsi="Arial"/>
                <w:sz w:val="16"/>
                <w:szCs w:val="16"/>
                <w:b w:val="1"/>
                <w:bCs w:val="1"/>
                <w:color w:val="auto"/>
              </w:rPr>
              <w:t>.</w:t>
            </w: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1"/>
              </w:rPr>
              <w:t>Commission File Number: 001-36002</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7"/>
        </w:trPr>
        <w:tc>
          <w:tcPr>
            <w:tcW w:w="3400" w:type="dxa"/>
            <w:vAlign w:val="bottom"/>
          </w:tcPr>
          <w:p>
            <w:pPr>
              <w:spacing w:after="0"/>
              <w:rPr>
                <w:sz w:val="24"/>
                <w:szCs w:val="24"/>
                <w:color w:val="auto"/>
              </w:rPr>
            </w:pPr>
          </w:p>
        </w:tc>
        <w:tc>
          <w:tcPr>
            <w:tcW w:w="4120" w:type="dxa"/>
            <w:vAlign w:val="bottom"/>
            <w:gridSpan w:val="4"/>
          </w:tcPr>
          <w:p>
            <w:pPr>
              <w:jc w:val="center"/>
              <w:ind w:right="10"/>
              <w:spacing w:after="0"/>
              <w:rPr>
                <w:sz w:val="20"/>
                <w:szCs w:val="20"/>
                <w:color w:val="auto"/>
              </w:rPr>
            </w:pPr>
            <w:r>
              <w:rPr>
                <w:rFonts w:ascii="Arial" w:cs="Arial" w:eastAsia="Arial" w:hAnsi="Arial"/>
                <w:sz w:val="40"/>
                <w:szCs w:val="40"/>
                <w:b w:val="1"/>
                <w:bCs w:val="1"/>
                <w:color w:val="auto"/>
                <w:w w:val="91"/>
              </w:rPr>
              <w:t>Clearway Energy, Inc.</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00" w:type="dxa"/>
            <w:vAlign w:val="bottom"/>
          </w:tcPr>
          <w:p>
            <w:pPr>
              <w:spacing w:after="0"/>
              <w:rPr>
                <w:sz w:val="23"/>
                <w:szCs w:val="23"/>
                <w:color w:val="auto"/>
              </w:rPr>
            </w:pPr>
          </w:p>
        </w:tc>
        <w:tc>
          <w:tcPr>
            <w:tcW w:w="4120" w:type="dxa"/>
            <w:vAlign w:val="bottom"/>
            <w:gridSpan w:val="4"/>
          </w:tcPr>
          <w:p>
            <w:pPr>
              <w:jc w:val="center"/>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7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400" w:type="dxa"/>
            <w:vAlign w:val="bottom"/>
          </w:tcPr>
          <w:p>
            <w:pPr>
              <w:jc w:val="center"/>
              <w:ind w:left="933"/>
              <w:spacing w:after="0"/>
              <w:rPr>
                <w:sz w:val="20"/>
                <w:szCs w:val="20"/>
                <w:color w:val="auto"/>
              </w:rPr>
            </w:pPr>
            <w:r>
              <w:rPr>
                <w:rFonts w:ascii="Arial" w:cs="Arial" w:eastAsia="Arial" w:hAnsi="Arial"/>
                <w:sz w:val="18"/>
                <w:szCs w:val="18"/>
                <w:b w:val="1"/>
                <w:bCs w:val="1"/>
                <w:color w:val="auto"/>
                <w:w w:val="93"/>
              </w:rPr>
              <w:t>Delaware</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gridSpan w:val="2"/>
          </w:tcPr>
          <w:p>
            <w:pPr>
              <w:jc w:val="right"/>
              <w:ind w:right="1779"/>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256"/>
        </w:trPr>
        <w:tc>
          <w:tcPr>
            <w:tcW w:w="3400" w:type="dxa"/>
            <w:vAlign w:val="bottom"/>
          </w:tcPr>
          <w:p>
            <w:pPr>
              <w:jc w:val="center"/>
              <w:ind w:left="933"/>
              <w:spacing w:after="0"/>
              <w:rPr>
                <w:sz w:val="20"/>
                <w:szCs w:val="20"/>
                <w:color w:val="auto"/>
              </w:rPr>
            </w:pPr>
            <w:r>
              <w:rPr>
                <w:rFonts w:ascii="Arial" w:cs="Arial" w:eastAsia="Arial" w:hAnsi="Arial"/>
                <w:sz w:val="18"/>
                <w:szCs w:val="18"/>
                <w:color w:val="auto"/>
                <w:w w:val="92"/>
              </w:rPr>
              <w:t>(State or other jurisdiction</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960" w:type="dxa"/>
            <w:vAlign w:val="bottom"/>
            <w:gridSpan w:val="2"/>
          </w:tcPr>
          <w:p>
            <w:pPr>
              <w:jc w:val="center"/>
              <w:ind w:right="1539"/>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400" w:type="dxa"/>
            <w:vAlign w:val="bottom"/>
          </w:tcPr>
          <w:p>
            <w:pPr>
              <w:jc w:val="center"/>
              <w:ind w:left="913"/>
              <w:spacing w:after="0"/>
              <w:rPr>
                <w:sz w:val="20"/>
                <w:szCs w:val="20"/>
                <w:color w:val="auto"/>
              </w:rPr>
            </w:pPr>
            <w:r>
              <w:rPr>
                <w:rFonts w:ascii="Arial" w:cs="Arial" w:eastAsia="Arial" w:hAnsi="Arial"/>
                <w:sz w:val="18"/>
                <w:szCs w:val="18"/>
                <w:color w:val="auto"/>
                <w:w w:val="92"/>
              </w:rPr>
              <w:t>of incorporation or organization)</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gridSpan w:val="2"/>
          </w:tcPr>
          <w:p>
            <w:pPr>
              <w:jc w:val="center"/>
              <w:ind w:right="1539"/>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540"/>
        </w:trPr>
        <w:tc>
          <w:tcPr>
            <w:tcW w:w="3400" w:type="dxa"/>
            <w:vAlign w:val="bottom"/>
          </w:tcPr>
          <w:p>
            <w:pPr>
              <w:jc w:val="center"/>
              <w:ind w:left="933"/>
              <w:spacing w:after="0"/>
              <w:rPr>
                <w:sz w:val="20"/>
                <w:szCs w:val="20"/>
                <w:color w:val="auto"/>
              </w:rPr>
            </w:pPr>
            <w:r>
              <w:rPr>
                <w:rFonts w:ascii="Arial" w:cs="Arial" w:eastAsia="Arial" w:hAnsi="Arial"/>
                <w:sz w:val="18"/>
                <w:szCs w:val="18"/>
                <w:b w:val="1"/>
                <w:bCs w:val="1"/>
                <w:color w:val="auto"/>
                <w:w w:val="90"/>
              </w:rPr>
              <w:t>300 Carnegie Center, Suite 300</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Princeton</w:t>
            </w:r>
          </w:p>
        </w:tc>
        <w:tc>
          <w:tcPr>
            <w:tcW w:w="2240" w:type="dxa"/>
            <w:vAlign w:val="bottom"/>
          </w:tcPr>
          <w:p>
            <w:pPr>
              <w:ind w:left="560"/>
              <w:spacing w:after="0"/>
              <w:rPr>
                <w:sz w:val="20"/>
                <w:szCs w:val="20"/>
                <w:color w:val="auto"/>
              </w:rPr>
            </w:pPr>
            <w:r>
              <w:rPr>
                <w:rFonts w:ascii="Arial" w:cs="Arial" w:eastAsia="Arial" w:hAnsi="Arial"/>
                <w:sz w:val="18"/>
                <w:szCs w:val="18"/>
                <w:b w:val="1"/>
                <w:bCs w:val="1"/>
                <w:color w:val="auto"/>
              </w:rPr>
              <w:t>New Jersey</w:t>
            </w:r>
          </w:p>
        </w:tc>
        <w:tc>
          <w:tcPr>
            <w:tcW w:w="440" w:type="dxa"/>
            <w:vAlign w:val="bottom"/>
          </w:tcPr>
          <w:p>
            <w:pPr>
              <w:spacing w:after="0"/>
              <w:rPr>
                <w:sz w:val="24"/>
                <w:szCs w:val="24"/>
                <w:color w:val="auto"/>
              </w:rPr>
            </w:pPr>
          </w:p>
        </w:tc>
        <w:tc>
          <w:tcPr>
            <w:tcW w:w="2960" w:type="dxa"/>
            <w:vAlign w:val="bottom"/>
            <w:gridSpan w:val="2"/>
          </w:tcPr>
          <w:p>
            <w:pPr>
              <w:jc w:val="right"/>
              <w:ind w:right="1979"/>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70"/>
        </w:trPr>
        <w:tc>
          <w:tcPr>
            <w:tcW w:w="7080" w:type="dxa"/>
            <w:vAlign w:val="bottom"/>
            <w:gridSpan w:val="4"/>
          </w:tcPr>
          <w:p>
            <w:pPr>
              <w:ind w:left="2200"/>
              <w:spacing w:after="0"/>
              <w:rPr>
                <w:sz w:val="20"/>
                <w:szCs w:val="20"/>
                <w:color w:val="auto"/>
              </w:rPr>
            </w:pPr>
            <w:r>
              <w:rPr>
                <w:rFonts w:ascii="Arial" w:cs="Arial" w:eastAsia="Arial" w:hAnsi="Arial"/>
                <w:sz w:val="18"/>
                <w:szCs w:val="18"/>
                <w:color w:val="auto"/>
              </w:rPr>
              <w:t>(Address of principal executive offices)</w:t>
            </w:r>
          </w:p>
        </w:tc>
        <w:tc>
          <w:tcPr>
            <w:tcW w:w="440" w:type="dxa"/>
            <w:vAlign w:val="bottom"/>
          </w:tcPr>
          <w:p>
            <w:pPr>
              <w:spacing w:after="0"/>
              <w:rPr>
                <w:sz w:val="23"/>
                <w:szCs w:val="23"/>
                <w:color w:val="auto"/>
              </w:rPr>
            </w:pPr>
          </w:p>
        </w:tc>
        <w:tc>
          <w:tcPr>
            <w:tcW w:w="2960" w:type="dxa"/>
            <w:vAlign w:val="bottom"/>
            <w:gridSpan w:val="2"/>
          </w:tcPr>
          <w:p>
            <w:pPr>
              <w:jc w:val="center"/>
              <w:ind w:right="1539"/>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2"/>
          </w:tcPr>
          <w:p>
            <w:pPr>
              <w:jc w:val="center"/>
              <w:ind w:right="212"/>
              <w:spacing w:after="0"/>
              <w:rPr>
                <w:sz w:val="20"/>
                <w:szCs w:val="20"/>
                <w:color w:val="auto"/>
              </w:rPr>
            </w:pPr>
            <w:r>
              <w:rPr>
                <w:rFonts w:ascii="Arial" w:cs="Arial" w:eastAsia="Arial" w:hAnsi="Arial"/>
                <w:sz w:val="16"/>
                <w:szCs w:val="16"/>
                <w:b w:val="1"/>
                <w:bCs w:val="1"/>
                <w:color w:val="auto"/>
                <w:w w:val="93"/>
              </w:rPr>
              <w:t>(609) 608-1525</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80" w:type="dxa"/>
            <w:vAlign w:val="bottom"/>
            <w:gridSpan w:val="3"/>
          </w:tcPr>
          <w:p>
            <w:pPr>
              <w:jc w:val="center"/>
              <w:ind w:left="18"/>
              <w:spacing w:after="0"/>
              <w:rPr>
                <w:sz w:val="20"/>
                <w:szCs w:val="20"/>
                <w:color w:val="auto"/>
              </w:rPr>
            </w:pPr>
            <w:r>
              <w:rPr>
                <w:rFonts w:ascii="Arial" w:cs="Arial" w:eastAsia="Arial" w:hAnsi="Arial"/>
                <w:sz w:val="16"/>
                <w:szCs w:val="16"/>
                <w:color w:val="auto"/>
                <w:w w:val="91"/>
              </w:rPr>
              <w:t>(Registrant’s telephone number, including area code)</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4120" w:type="dxa"/>
            <w:vAlign w:val="bottom"/>
            <w:gridSpan w:val="4"/>
          </w:tcPr>
          <w:p>
            <w:pPr>
              <w:jc w:val="center"/>
              <w:ind w:right="25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00" w:type="dxa"/>
            <w:vAlign w:val="bottom"/>
          </w:tcPr>
          <w:p>
            <w:pPr>
              <w:spacing w:after="0"/>
              <w:rPr>
                <w:sz w:val="24"/>
                <w:szCs w:val="24"/>
                <w:color w:val="auto"/>
              </w:rPr>
            </w:pPr>
          </w:p>
        </w:tc>
        <w:tc>
          <w:tcPr>
            <w:tcW w:w="3280" w:type="dxa"/>
            <w:vAlign w:val="bottom"/>
            <w:gridSpan w:val="2"/>
          </w:tcPr>
          <w:p>
            <w:pPr>
              <w:jc w:val="center"/>
              <w:ind w:right="292"/>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0"/>
        </w:trPr>
        <w:tc>
          <w:tcPr>
            <w:tcW w:w="340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40" w:type="dxa"/>
            <w:vAlign w:val="bottom"/>
          </w:tcPr>
          <w:p>
            <w:pPr>
              <w:jc w:val="center"/>
              <w:ind w:right="1332"/>
              <w:spacing w:after="0"/>
              <w:rPr>
                <w:sz w:val="20"/>
                <w:szCs w:val="20"/>
                <w:color w:val="auto"/>
              </w:rPr>
            </w:pPr>
            <w:r>
              <w:rPr>
                <w:rFonts w:ascii="Arial" w:cs="Arial" w:eastAsia="Arial" w:hAnsi="Arial"/>
                <w:sz w:val="18"/>
                <w:szCs w:val="18"/>
                <w:color w:val="auto"/>
                <w:w w:val="97"/>
              </w:rPr>
              <w:t>CWEN.A</w:t>
            </w:r>
          </w:p>
        </w:tc>
        <w:tc>
          <w:tcPr>
            <w:tcW w:w="440" w:type="dxa"/>
            <w:vAlign w:val="bottom"/>
          </w:tcPr>
          <w:p>
            <w:pPr>
              <w:spacing w:after="0"/>
              <w:rPr>
                <w:sz w:val="23"/>
                <w:szCs w:val="23"/>
                <w:color w:val="auto"/>
              </w:rPr>
            </w:pPr>
          </w:p>
        </w:tc>
        <w:tc>
          <w:tcPr>
            <w:tcW w:w="2960" w:type="dxa"/>
            <w:vAlign w:val="bottom"/>
            <w:gridSpan w:val="2"/>
          </w:tcPr>
          <w:p>
            <w:pPr>
              <w:jc w:val="center"/>
              <w:ind w:right="299"/>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70"/>
        </w:trPr>
        <w:tc>
          <w:tcPr>
            <w:tcW w:w="340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40" w:type="dxa"/>
            <w:vAlign w:val="bottom"/>
          </w:tcPr>
          <w:p>
            <w:pPr>
              <w:jc w:val="center"/>
              <w:ind w:right="1332"/>
              <w:spacing w:after="0"/>
              <w:rPr>
                <w:sz w:val="20"/>
                <w:szCs w:val="20"/>
                <w:color w:val="auto"/>
              </w:rPr>
            </w:pPr>
            <w:r>
              <w:rPr>
                <w:rFonts w:ascii="Arial" w:cs="Arial" w:eastAsia="Arial" w:hAnsi="Arial"/>
                <w:sz w:val="18"/>
                <w:szCs w:val="18"/>
                <w:color w:val="auto"/>
                <w:w w:val="98"/>
              </w:rPr>
              <w:t>CWEN</w:t>
            </w:r>
          </w:p>
        </w:tc>
        <w:tc>
          <w:tcPr>
            <w:tcW w:w="440" w:type="dxa"/>
            <w:vAlign w:val="bottom"/>
          </w:tcPr>
          <w:p>
            <w:pPr>
              <w:spacing w:after="0"/>
              <w:rPr>
                <w:sz w:val="23"/>
                <w:szCs w:val="23"/>
                <w:color w:val="auto"/>
              </w:rPr>
            </w:pPr>
          </w:p>
        </w:tc>
        <w:tc>
          <w:tcPr>
            <w:tcW w:w="2960" w:type="dxa"/>
            <w:vAlign w:val="bottom"/>
            <w:gridSpan w:val="2"/>
          </w:tcPr>
          <w:p>
            <w:pPr>
              <w:jc w:val="center"/>
              <w:ind w:right="299"/>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4120" w:type="dxa"/>
            <w:vAlign w:val="bottom"/>
            <w:gridSpan w:val="4"/>
          </w:tcPr>
          <w:p>
            <w:pPr>
              <w:ind w:left="14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jc w:val="center"/>
              <w:ind w:right="992"/>
              <w:spacing w:after="0" w:line="163" w:lineRule="exact"/>
              <w:rPr>
                <w:sz w:val="20"/>
                <w:szCs w:val="20"/>
                <w:color w:val="auto"/>
              </w:rPr>
            </w:pPr>
            <w:r>
              <w:rPr>
                <w:rFonts w:ascii="Arial" w:cs="Arial" w:eastAsia="Arial" w:hAnsi="Arial"/>
                <w:sz w:val="16"/>
                <w:szCs w:val="16"/>
                <w:b w:val="1"/>
                <w:bCs w:val="1"/>
                <w:color w:val="auto"/>
                <w:w w:val="89"/>
              </w:rPr>
              <w:t>None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vMerge w:val="restart"/>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3"/>
        </w:trPr>
        <w:tc>
          <w:tcPr>
            <w:tcW w:w="8220" w:type="dxa"/>
            <w:vAlign w:val="bottom"/>
            <w:gridSpan w:val="6"/>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2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520" w:type="dxa"/>
            <w:vAlign w:val="bottom"/>
            <w:gridSpan w:val="5"/>
          </w:tcPr>
          <w:p>
            <w:pPr>
              <w:spacing w:after="0"/>
              <w:rPr>
                <w:sz w:val="20"/>
                <w:szCs w:val="20"/>
                <w:color w:val="auto"/>
              </w:rPr>
            </w:pPr>
            <w:r>
              <w:rPr>
                <w:rFonts w:ascii="Arial" w:cs="Arial" w:eastAsia="Arial" w:hAnsi="Arial"/>
                <w:sz w:val="16"/>
                <w:szCs w:val="16"/>
                <w:color w:val="auto"/>
                <w:w w:val="92"/>
              </w:rPr>
              <w:t>Indicate by check mark if registrant is not required to file reports pursuant to Section 13 or Section 15(d) of the Act.</w:t>
            </w:r>
          </w:p>
        </w:tc>
        <w:tc>
          <w:tcPr>
            <w:tcW w:w="7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26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380" w:right="300" w:firstLine="171"/>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4580"/>
        <w:spacing w:after="0" w:line="184" w:lineRule="exact"/>
        <w:tabs>
          <w:tab w:leader="none" w:pos="5740" w:val="left"/>
          <w:tab w:leader="none" w:pos="644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p>
    <w:p>
      <w:pPr>
        <w:spacing w:after="0" w:line="89" w:lineRule="exact"/>
        <w:rPr>
          <w:sz w:val="24"/>
          <w:szCs w:val="24"/>
          <w:color w:val="auto"/>
        </w:rPr>
      </w:pPr>
    </w:p>
    <w:p>
      <w:pPr>
        <w:ind w:left="28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ind w:left="280" w:right="20" w:hanging="269"/>
        <w:spacing w:after="0" w:line="165" w:lineRule="exact"/>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 xml:space="preserve"> </w:t>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w:t>
      </w:r>
    </w:p>
    <w:p>
      <w:pPr>
        <w:spacing w:after="0" w:line="231" w:lineRule="auto"/>
        <w:rPr>
          <w:sz w:val="20"/>
          <w:szCs w:val="20"/>
          <w:color w:val="auto"/>
        </w:rPr>
      </w:pPr>
      <w:r>
        <w:rPr>
          <w:rFonts w:ascii="Arial" w:cs="Arial" w:eastAsia="Arial" w:hAnsi="Arial"/>
          <w:sz w:val="16"/>
          <w:szCs w:val="16"/>
          <w:color w:val="auto"/>
        </w:rPr>
        <w:t>company. See the definitions of “large accelerated filer,” “accelerated filer,” “smaller reporting company,” and "emerging growth company" in Rule 12b-2 of the Exchange Act.</w:t>
      </w:r>
    </w:p>
    <w:p>
      <w:pPr>
        <w:spacing w:after="0" w:line="27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jc w:val="center"/>
              <w:ind w:right="510"/>
              <w:spacing w:after="0"/>
              <w:rPr>
                <w:sz w:val="20"/>
                <w:szCs w:val="20"/>
                <w:color w:val="auto"/>
              </w:rPr>
            </w:pPr>
            <w:r>
              <w:rPr>
                <w:rFonts w:ascii="Arial" w:cs="Arial" w:eastAsia="Arial" w:hAnsi="Arial"/>
                <w:sz w:val="18"/>
                <w:szCs w:val="18"/>
                <w:color w:val="auto"/>
                <w:w w:val="90"/>
              </w:rPr>
              <w:t>Large accelerated filer</w:t>
            </w:r>
          </w:p>
        </w:tc>
        <w:tc>
          <w:tcPr>
            <w:tcW w:w="1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jc w:val="center"/>
              <w:ind w:right="510"/>
              <w:spacing w:after="0"/>
              <w:rPr>
                <w:sz w:val="20"/>
                <w:szCs w:val="20"/>
                <w:color w:val="auto"/>
              </w:rPr>
            </w:pPr>
            <w:r>
              <w:rPr>
                <w:rFonts w:ascii="Arial" w:cs="Arial" w:eastAsia="Arial" w:hAnsi="Arial"/>
                <w:sz w:val="18"/>
                <w:szCs w:val="18"/>
                <w:color w:val="auto"/>
                <w:w w:val="92"/>
              </w:rPr>
              <w:t>Non-accelerated filer</w:t>
            </w:r>
          </w:p>
        </w:tc>
        <w:tc>
          <w:tcPr>
            <w:tcW w:w="1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6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9" w:lineRule="exact"/>
        <w:rPr>
          <w:sz w:val="24"/>
          <w:szCs w:val="24"/>
          <w:color w:val="auto"/>
        </w:rPr>
      </w:pPr>
    </w:p>
    <w:p>
      <w:pPr>
        <w:ind w:left="260"/>
        <w:spacing w:after="0" w:line="161" w:lineRule="exact"/>
        <w:tabs>
          <w:tab w:leader="none" w:pos="6300" w:val="left"/>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82" w:lineRule="exact"/>
        <w:rPr>
          <w:sz w:val="24"/>
          <w:szCs w:val="24"/>
          <w:color w:val="auto"/>
        </w:rPr>
      </w:pPr>
    </w:p>
    <w:p>
      <w:pPr>
        <w:ind w:firstLine="243"/>
        <w:spacing w:after="0" w:line="273" w:lineRule="auto"/>
        <w:rPr>
          <w:sz w:val="20"/>
          <w:szCs w:val="20"/>
          <w:color w:val="auto"/>
        </w:rPr>
      </w:pPr>
      <w:r>
        <w:rPr>
          <w:rFonts w:ascii="Arial" w:cs="Arial" w:eastAsia="Arial" w:hAnsi="Arial"/>
          <w:sz w:val="14"/>
          <w:szCs w:val="14"/>
          <w:color w:val="auto"/>
        </w:rPr>
        <w:t>As of the last business day of the most recently completed second fiscal quarter, the aggregate market value of the common stock of the registrant held by non-affiliates was approximately $1,788,899,961 based on the closing sale prices of such shares as reported on the New York Stock Exchange.</w:t>
      </w:r>
    </w:p>
    <w:p>
      <w:pPr>
        <w:spacing w:after="0" w:line="1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200" w:lineRule="exact"/>
        <w:rPr>
          <w:sz w:val="24"/>
          <w:szCs w:val="24"/>
          <w:color w:val="auto"/>
        </w:rPr>
      </w:pPr>
    </w:p>
    <w:p>
      <w:pPr>
        <w:spacing w:after="0" w:line="235" w:lineRule="exact"/>
        <w:rPr>
          <w:sz w:val="24"/>
          <w:szCs w:val="24"/>
          <w:color w:val="auto"/>
        </w:rPr>
      </w:pPr>
    </w:p>
    <w:tbl>
      <w:tblPr>
        <w:tblLayout w:type="fixed"/>
        <w:tblInd w:w="2120" w:type="dxa"/>
        <w:tblCellMar>
          <w:top w:w="0" w:type="dxa"/>
          <w:left w:w="0" w:type="dxa"/>
          <w:bottom w:w="0" w:type="dxa"/>
          <w:right w:w="0" w:type="dxa"/>
        </w:tblCellMar>
      </w:tblPr>
      <w:tr>
        <w:trPr>
          <w:trHeight w:val="198"/>
        </w:trPr>
        <w:tc>
          <w:tcPr>
            <w:tcW w:w="3980" w:type="dxa"/>
            <w:vAlign w:val="bottom"/>
          </w:tcPr>
          <w:p>
            <w:pPr>
              <w:jc w:val="center"/>
              <w:ind w:right="783"/>
              <w:spacing w:after="0"/>
              <w:rPr>
                <w:sz w:val="20"/>
                <w:szCs w:val="20"/>
                <w:color w:val="auto"/>
              </w:rPr>
            </w:pPr>
            <w:r>
              <w:rPr>
                <w:rFonts w:ascii="Arial" w:cs="Arial" w:eastAsia="Arial" w:hAnsi="Arial"/>
                <w:sz w:val="15"/>
                <w:szCs w:val="15"/>
                <w:b w:val="1"/>
                <w:bCs w:val="1"/>
                <w:color w:val="auto"/>
                <w:w w:val="89"/>
              </w:rPr>
              <w:t>Class</w:t>
            </w:r>
          </w:p>
        </w:tc>
        <w:tc>
          <w:tcPr>
            <w:tcW w:w="2980" w:type="dxa"/>
            <w:vAlign w:val="bottom"/>
          </w:tcPr>
          <w:p>
            <w:pPr>
              <w:ind w:left="840"/>
              <w:spacing w:after="0"/>
              <w:rPr>
                <w:sz w:val="20"/>
                <w:szCs w:val="20"/>
                <w:color w:val="auto"/>
              </w:rPr>
            </w:pPr>
            <w:r>
              <w:rPr>
                <w:rFonts w:ascii="Arial" w:cs="Arial" w:eastAsia="Arial" w:hAnsi="Arial"/>
                <w:sz w:val="15"/>
                <w:szCs w:val="15"/>
                <w:b w:val="1"/>
                <w:bCs w:val="1"/>
                <w:color w:val="auto"/>
                <w:w w:val="92"/>
              </w:rPr>
              <w:t>Outstanding at January 31, 2020</w:t>
            </w:r>
          </w:p>
        </w:tc>
      </w:tr>
      <w:tr>
        <w:trPr>
          <w:trHeight w:val="270"/>
        </w:trPr>
        <w:tc>
          <w:tcPr>
            <w:tcW w:w="3980" w:type="dxa"/>
            <w:vAlign w:val="bottom"/>
          </w:tcPr>
          <w:p>
            <w:pPr>
              <w:jc w:val="center"/>
              <w:ind w:right="783"/>
              <w:spacing w:after="0"/>
              <w:rPr>
                <w:sz w:val="20"/>
                <w:szCs w:val="20"/>
                <w:color w:val="auto"/>
              </w:rPr>
            </w:pPr>
            <w:r>
              <w:rPr>
                <w:rFonts w:ascii="Arial" w:cs="Arial" w:eastAsia="Arial" w:hAnsi="Arial"/>
                <w:sz w:val="15"/>
                <w:szCs w:val="15"/>
                <w:color w:val="auto"/>
                <w:w w:val="91"/>
              </w:rPr>
              <w:t>Common Stock, Class A, par value $0.01 per share</w:t>
            </w:r>
          </w:p>
        </w:tc>
        <w:tc>
          <w:tcPr>
            <w:tcW w:w="2980" w:type="dxa"/>
            <w:vAlign w:val="bottom"/>
          </w:tcPr>
          <w:p>
            <w:pPr>
              <w:jc w:val="center"/>
              <w:ind w:left="743"/>
              <w:spacing w:after="0"/>
              <w:rPr>
                <w:sz w:val="20"/>
                <w:szCs w:val="20"/>
                <w:color w:val="auto"/>
              </w:rPr>
            </w:pPr>
            <w:r>
              <w:rPr>
                <w:rFonts w:ascii="Arial" w:cs="Arial" w:eastAsia="Arial" w:hAnsi="Arial"/>
                <w:sz w:val="16"/>
                <w:szCs w:val="16"/>
                <w:color w:val="auto"/>
                <w:w w:val="89"/>
              </w:rPr>
              <w:t>34,599,645</w:t>
            </w:r>
          </w:p>
        </w:tc>
      </w:tr>
      <w:tr>
        <w:trPr>
          <w:trHeight w:val="270"/>
        </w:trPr>
        <w:tc>
          <w:tcPr>
            <w:tcW w:w="3980" w:type="dxa"/>
            <w:vAlign w:val="bottom"/>
          </w:tcPr>
          <w:p>
            <w:pPr>
              <w:jc w:val="center"/>
              <w:ind w:right="783"/>
              <w:spacing w:after="0"/>
              <w:rPr>
                <w:sz w:val="20"/>
                <w:szCs w:val="20"/>
                <w:color w:val="auto"/>
              </w:rPr>
            </w:pPr>
            <w:r>
              <w:rPr>
                <w:rFonts w:ascii="Arial" w:cs="Arial" w:eastAsia="Arial" w:hAnsi="Arial"/>
                <w:sz w:val="15"/>
                <w:szCs w:val="15"/>
                <w:color w:val="auto"/>
                <w:w w:val="91"/>
              </w:rPr>
              <w:t>Common Stock, Class B, par value $0.01 per share</w:t>
            </w:r>
          </w:p>
        </w:tc>
        <w:tc>
          <w:tcPr>
            <w:tcW w:w="2980" w:type="dxa"/>
            <w:vAlign w:val="bottom"/>
          </w:tcPr>
          <w:p>
            <w:pPr>
              <w:jc w:val="center"/>
              <w:ind w:left="743"/>
              <w:spacing w:after="0"/>
              <w:rPr>
                <w:sz w:val="20"/>
                <w:szCs w:val="20"/>
                <w:color w:val="auto"/>
              </w:rPr>
            </w:pPr>
            <w:r>
              <w:rPr>
                <w:rFonts w:ascii="Arial" w:cs="Arial" w:eastAsia="Arial" w:hAnsi="Arial"/>
                <w:sz w:val="15"/>
                <w:szCs w:val="15"/>
                <w:color w:val="auto"/>
                <w:w w:val="90"/>
              </w:rPr>
              <w:t>42,738,750</w:t>
            </w:r>
          </w:p>
        </w:tc>
      </w:tr>
      <w:tr>
        <w:trPr>
          <w:trHeight w:val="270"/>
        </w:trPr>
        <w:tc>
          <w:tcPr>
            <w:tcW w:w="3980" w:type="dxa"/>
            <w:vAlign w:val="bottom"/>
          </w:tcPr>
          <w:p>
            <w:pPr>
              <w:jc w:val="center"/>
              <w:ind w:right="783"/>
              <w:spacing w:after="0"/>
              <w:rPr>
                <w:sz w:val="20"/>
                <w:szCs w:val="20"/>
                <w:color w:val="auto"/>
              </w:rPr>
            </w:pPr>
            <w:r>
              <w:rPr>
                <w:rFonts w:ascii="Arial" w:cs="Arial" w:eastAsia="Arial" w:hAnsi="Arial"/>
                <w:sz w:val="15"/>
                <w:szCs w:val="15"/>
                <w:color w:val="auto"/>
                <w:w w:val="91"/>
              </w:rPr>
              <w:t>Common Stock, Class C, par value $0.01 per share</w:t>
            </w:r>
          </w:p>
        </w:tc>
        <w:tc>
          <w:tcPr>
            <w:tcW w:w="2980" w:type="dxa"/>
            <w:vAlign w:val="bottom"/>
          </w:tcPr>
          <w:p>
            <w:pPr>
              <w:jc w:val="center"/>
              <w:ind w:left="743"/>
              <w:spacing w:after="0"/>
              <w:rPr>
                <w:sz w:val="20"/>
                <w:szCs w:val="20"/>
                <w:color w:val="auto"/>
              </w:rPr>
            </w:pPr>
            <w:r>
              <w:rPr>
                <w:rFonts w:ascii="Arial" w:cs="Arial" w:eastAsia="Arial" w:hAnsi="Arial"/>
                <w:sz w:val="15"/>
                <w:szCs w:val="15"/>
                <w:color w:val="auto"/>
                <w:w w:val="90"/>
              </w:rPr>
              <w:t>78,849,651</w:t>
            </w:r>
          </w:p>
        </w:tc>
      </w:tr>
      <w:tr>
        <w:trPr>
          <w:trHeight w:val="270"/>
        </w:trPr>
        <w:tc>
          <w:tcPr>
            <w:tcW w:w="3980" w:type="dxa"/>
            <w:vAlign w:val="bottom"/>
          </w:tcPr>
          <w:p>
            <w:pPr>
              <w:jc w:val="center"/>
              <w:ind w:right="783"/>
              <w:spacing w:after="0"/>
              <w:rPr>
                <w:sz w:val="20"/>
                <w:szCs w:val="20"/>
                <w:color w:val="auto"/>
              </w:rPr>
            </w:pPr>
            <w:r>
              <w:rPr>
                <w:rFonts w:ascii="Arial" w:cs="Arial" w:eastAsia="Arial" w:hAnsi="Arial"/>
                <w:sz w:val="15"/>
                <w:szCs w:val="15"/>
                <w:color w:val="auto"/>
                <w:w w:val="91"/>
              </w:rPr>
              <w:t>Common Stock, Class D, par value $0.01 per share</w:t>
            </w:r>
          </w:p>
        </w:tc>
        <w:tc>
          <w:tcPr>
            <w:tcW w:w="2980" w:type="dxa"/>
            <w:vAlign w:val="bottom"/>
          </w:tcPr>
          <w:p>
            <w:pPr>
              <w:jc w:val="center"/>
              <w:ind w:left="743"/>
              <w:spacing w:after="0"/>
              <w:rPr>
                <w:sz w:val="20"/>
                <w:szCs w:val="20"/>
                <w:color w:val="auto"/>
              </w:rPr>
            </w:pPr>
            <w:r>
              <w:rPr>
                <w:rFonts w:ascii="Arial" w:cs="Arial" w:eastAsia="Arial" w:hAnsi="Arial"/>
                <w:sz w:val="15"/>
                <w:szCs w:val="15"/>
                <w:color w:val="auto"/>
                <w:w w:val="90"/>
              </w:rPr>
              <w:t>42,738,750</w:t>
            </w:r>
          </w:p>
        </w:tc>
      </w:tr>
    </w:tbl>
    <w:p>
      <w:pPr>
        <w:ind w:left="32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Portions of the Registrant's Definitive Proxy Statement relating to its 2020 Annual Meeting of Stockholders</w:t>
      </w:r>
    </w:p>
    <w:p>
      <w:pPr>
        <w:spacing w:after="0" w:line="14"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356870</wp:posOffset>
            </wp:positionH>
            <wp:positionV relativeFrom="paragraph">
              <wp:posOffset>193040</wp:posOffset>
            </wp:positionV>
            <wp:extent cx="65430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2603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107315</wp:posOffset>
            </wp:positionV>
            <wp:extent cx="6543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ectPr>
          <w:pgSz w:w="11900" w:h="16838" w:orient="portrait"/>
          <w:cols w:equalWidth="0" w:num="1">
            <w:col w:w="11420"/>
          </w:cols>
          <w:pgMar w:left="240" w:top="1206" w:right="239" w:bottom="881" w:gutter="0" w:footer="0" w:header="0"/>
        </w:sect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06" w:right="239" w:bottom="88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06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60" w:type="dxa"/>
            <w:vAlign w:val="bottom"/>
          </w:tcPr>
          <w:p>
            <w:pPr>
              <w:jc w:val="center"/>
              <w:ind w:left="1210"/>
              <w:spacing w:after="0"/>
              <w:rPr>
                <w:sz w:val="20"/>
                <w:szCs w:val="20"/>
                <w:color w:val="auto"/>
              </w:rPr>
            </w:pPr>
            <w:r>
              <w:rPr>
                <w:rFonts w:ascii="Arial" w:cs="Arial" w:eastAsia="Arial" w:hAnsi="Arial"/>
                <w:sz w:val="18"/>
                <w:szCs w:val="18"/>
                <w:b w:val="1"/>
                <w:bCs w:val="1"/>
                <w:color w:val="auto"/>
                <w:w w:val="93"/>
              </w:rPr>
              <w:t>Index</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060" w:type="dxa"/>
            <w:vAlign w:val="bottom"/>
          </w:tcPr>
          <w:p>
            <w:pPr>
              <w:spacing w:after="0"/>
              <w:rPr>
                <w:sz w:val="20"/>
                <w:szCs w:val="20"/>
                <w:color w:val="auto"/>
              </w:rPr>
            </w:pPr>
            <w:r>
              <w:rPr>
                <w:rFonts w:ascii="Arial" w:cs="Arial" w:eastAsia="Arial" w:hAnsi="Arial"/>
                <w:sz w:val="18"/>
                <w:szCs w:val="18"/>
                <w:color w:val="auto"/>
              </w:rPr>
              <w:t>GLOSSARY OF TERMS</w:t>
            </w:r>
          </w:p>
        </w:tc>
        <w:tc>
          <w:tcPr>
            <w:tcW w:w="12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20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 — Business</w:t>
            </w:r>
          </w:p>
        </w:tc>
        <w:tc>
          <w:tcPr>
            <w:tcW w:w="120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1A — Risk Factors</w:t>
            </w:r>
          </w:p>
        </w:tc>
        <w:tc>
          <w:tcPr>
            <w:tcW w:w="130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1B — Unresolved Staff Comments</w:t>
            </w:r>
          </w:p>
        </w:tc>
        <w:tc>
          <w:tcPr>
            <w:tcW w:w="130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2 — Properties</w:t>
            </w:r>
          </w:p>
        </w:tc>
        <w:tc>
          <w:tcPr>
            <w:tcW w:w="130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3 — Legal Proceedings</w:t>
            </w:r>
          </w:p>
        </w:tc>
        <w:tc>
          <w:tcPr>
            <w:tcW w:w="130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4 — Mine Safety Disclosures</w:t>
            </w:r>
          </w:p>
        </w:tc>
        <w:tc>
          <w:tcPr>
            <w:tcW w:w="130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vMerge w:val="continue"/>
          </w:tcPr>
          <w:p>
            <w:pPr>
              <w:spacing w:after="0"/>
              <w:rPr>
                <w:sz w:val="21"/>
                <w:szCs w:val="21"/>
                <w:color w:val="auto"/>
              </w:rPr>
            </w:pPr>
          </w:p>
        </w:tc>
        <w:tc>
          <w:tcPr>
            <w:tcW w:w="130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130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6 — Selected Financial Data</w:t>
            </w:r>
          </w:p>
        </w:tc>
        <w:tc>
          <w:tcPr>
            <w:tcW w:w="130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130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7A — Quantitative and Qualitative Disclosures About Market Risk</w:t>
            </w:r>
          </w:p>
        </w:tc>
        <w:tc>
          <w:tcPr>
            <w:tcW w:w="130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8 — Financial Statements and Supplementary Data</w:t>
            </w:r>
          </w:p>
        </w:tc>
        <w:tc>
          <w:tcPr>
            <w:tcW w:w="130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130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9A — Controls and Procedures</w:t>
            </w:r>
          </w:p>
        </w:tc>
        <w:tc>
          <w:tcPr>
            <w:tcW w:w="130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9B — Other Information</w:t>
            </w:r>
          </w:p>
        </w:tc>
        <w:tc>
          <w:tcPr>
            <w:tcW w:w="130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PART III</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vMerge w:val="continue"/>
          </w:tcPr>
          <w:p>
            <w:pPr>
              <w:spacing w:after="0"/>
              <w:rPr>
                <w:sz w:val="21"/>
                <w:szCs w:val="21"/>
                <w:color w:val="auto"/>
              </w:rPr>
            </w:pPr>
          </w:p>
        </w:tc>
        <w:tc>
          <w:tcPr>
            <w:tcW w:w="130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10 — Directors, Executive Officers and Corporate Governance</w:t>
            </w:r>
          </w:p>
        </w:tc>
        <w:tc>
          <w:tcPr>
            <w:tcW w:w="130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11 — Executive Compensation</w:t>
            </w:r>
          </w:p>
        </w:tc>
        <w:tc>
          <w:tcPr>
            <w:tcW w:w="130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130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13 — Certain Relationships and Related Transactions, and Director Independence</w:t>
            </w:r>
          </w:p>
        </w:tc>
        <w:tc>
          <w:tcPr>
            <w:tcW w:w="130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14 — Principal Accounting Fees and Services</w:t>
            </w:r>
          </w:p>
        </w:tc>
        <w:tc>
          <w:tcPr>
            <w:tcW w:w="130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vMerge w:val="continue"/>
          </w:tcPr>
          <w:p>
            <w:pPr>
              <w:spacing w:after="0"/>
              <w:rPr>
                <w:sz w:val="21"/>
                <w:szCs w:val="21"/>
                <w:color w:val="auto"/>
              </w:rPr>
            </w:pPr>
          </w:p>
        </w:tc>
        <w:tc>
          <w:tcPr>
            <w:tcW w:w="130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Pr>
          <w:p>
            <w:pPr>
              <w:ind w:left="240"/>
              <w:spacing w:after="0"/>
              <w:rPr>
                <w:sz w:val="20"/>
                <w:szCs w:val="20"/>
                <w:color w:val="auto"/>
              </w:rPr>
            </w:pPr>
            <w:r>
              <w:rPr>
                <w:rFonts w:ascii="Arial" w:cs="Arial" w:eastAsia="Arial" w:hAnsi="Arial"/>
                <w:sz w:val="18"/>
                <w:szCs w:val="18"/>
                <w:color w:val="auto"/>
              </w:rPr>
              <w:t>Item 15 — Exhibits, Financial Statement Schedules</w:t>
            </w:r>
          </w:p>
        </w:tc>
        <w:tc>
          <w:tcPr>
            <w:tcW w:w="130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EXHIBIT INDEX</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138</w:t>
              </w:r>
            </w:hyperlink>
          </w:p>
        </w:tc>
        <w:tc>
          <w:tcPr>
            <w:tcW w:w="0" w:type="dxa"/>
            <w:vAlign w:val="bottom"/>
          </w:tcPr>
          <w:p>
            <w:pPr>
              <w:spacing w:after="0"/>
              <w:rPr>
                <w:sz w:val="1"/>
                <w:szCs w:val="1"/>
                <w:color w:val="auto"/>
              </w:rPr>
            </w:pPr>
          </w:p>
        </w:tc>
      </w:tr>
      <w:tr>
        <w:trPr>
          <w:trHeight w:val="291"/>
        </w:trPr>
        <w:tc>
          <w:tcPr>
            <w:tcW w:w="10060" w:type="dxa"/>
            <w:vAlign w:val="bottom"/>
          </w:tcPr>
          <w:p>
            <w:pPr>
              <w:ind w:left="240"/>
              <w:spacing w:after="0"/>
              <w:rPr>
                <w:sz w:val="20"/>
                <w:szCs w:val="20"/>
                <w:color w:val="auto"/>
              </w:rPr>
            </w:pPr>
            <w:r>
              <w:rPr>
                <w:rFonts w:ascii="Arial" w:cs="Arial" w:eastAsia="Arial" w:hAnsi="Arial"/>
                <w:sz w:val="18"/>
                <w:szCs w:val="18"/>
                <w:color w:val="auto"/>
              </w:rPr>
              <w:t>Item 16 — Form 10-K Summary</w:t>
            </w:r>
          </w:p>
        </w:tc>
        <w:tc>
          <w:tcPr>
            <w:tcW w:w="1300" w:type="dxa"/>
            <w:vAlign w:val="bottom"/>
            <w:gridSpan w:val="4"/>
            <w:vMerge w:val="restart"/>
          </w:tcPr>
          <w:p>
            <w:pPr>
              <w:jc w:val="right"/>
              <w:spacing w:after="0"/>
              <w:rPr>
                <w:rFonts w:ascii="Arial" w:cs="Arial" w:eastAsia="Arial" w:hAnsi="Arial"/>
                <w:sz w:val="18"/>
                <w:szCs w:val="18"/>
                <w:color w:val="0000EE"/>
              </w:rPr>
            </w:pPr>
            <w:hyperlink w:anchor="page147">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122"/>
        </w:trPr>
        <w:tc>
          <w:tcPr>
            <w:tcW w:w="1006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10060" w:type="dxa"/>
            <w:vAlign w:val="bottom"/>
          </w:tcPr>
          <w:p>
            <w:pPr>
              <w:jc w:val="center"/>
              <w:ind w:left="11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999" w:right="259" w:bottom="1440" w:gutter="0" w:footer="0" w:header="0"/>
        </w:sectPr>
      </w:pPr>
    </w:p>
    <w:bookmarkStart w:id="2" w:name="page3"/>
    <w:bookmarkEnd w:id="2"/>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675"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$220 million aggregate principal amount of 3.50% convertible notes due 2019, issued by Clearway Energy, Inc.</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 million aggregate principal amount of 3.25% Convertible Notes due 2020, issued by Clearway Energy, Inc.</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2024 Senior Notes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2025 Senior Notes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$600 million aggregate principal amount of 5.750% unsecured senior notes due 2025,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2026 Senior Notes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$350 million aggregate principal amount of 5.00% unsecured senior notes due 2026, issued by Clearway Energy Operating LLC</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2028 Senior Notes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$600 million aggregate principal amount of 4.75% unsecured senior notes due 2028, issued by Clearway Energy Operating LLC</w:t>
      </w:r>
    </w:p>
    <w:p>
      <w:pPr>
        <w:spacing w:after="0" w:line="184"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Adjusted EBITDA</w:t>
      </w:r>
    </w:p>
    <w:p>
      <w:pPr>
        <w:spacing w:after="0" w:line="20" w:lineRule="exact"/>
        <w:rPr>
          <w:sz w:val="20"/>
          <w:szCs w:val="20"/>
          <w:color w:val="auto"/>
        </w:rPr>
      </w:pPr>
      <w:r>
        <w:rPr>
          <w:sz w:val="20"/>
          <w:szCs w:val="20"/>
          <w:color w:val="auto"/>
        </w:rPr>
        <w:br w:type="column"/>
      </w:r>
    </w:p>
    <w:p>
      <w:pPr>
        <w:ind w:right="580"/>
        <w:spacing w:after="0" w:line="317" w:lineRule="auto"/>
        <w:rPr>
          <w:sz w:val="20"/>
          <w:szCs w:val="20"/>
          <w:color w:val="auto"/>
        </w:rPr>
      </w:pPr>
      <w:r>
        <w:rPr>
          <w:rFonts w:ascii="Arial" w:cs="Arial" w:eastAsia="Arial" w:hAnsi="Arial"/>
          <w:sz w:val="16"/>
          <w:szCs w:val="16"/>
          <w:color w:val="auto"/>
        </w:rPr>
        <w:t>A non-GAAP measure, represents EBITDA adjusted for mark-to-market gains or losses, asset write offs and impairments, and factors which the Company does not consider indicative of future operating performance</w:t>
      </w:r>
    </w:p>
    <w:p>
      <w:pPr>
        <w:spacing w:after="0" w:line="1"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Asset Retirement Obligation</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Recovery and Reinvestment Act of 2009</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ASC</w:t>
      </w:r>
    </w:p>
    <w:p>
      <w:pPr>
        <w:spacing w:after="0" w:line="20" w:lineRule="exact"/>
        <w:rPr>
          <w:sz w:val="20"/>
          <w:szCs w:val="20"/>
          <w:color w:val="auto"/>
        </w:rPr>
      </w:pPr>
      <w:r>
        <w:rPr>
          <w:sz w:val="20"/>
          <w:szCs w:val="20"/>
          <w:color w:val="auto"/>
        </w:rPr>
        <w:br w:type="column"/>
      </w:r>
    </w:p>
    <w:p>
      <w:pPr>
        <w:ind w:right="1760"/>
        <w:spacing w:after="0" w:line="277" w:lineRule="auto"/>
        <w:rPr>
          <w:sz w:val="20"/>
          <w:szCs w:val="20"/>
          <w:color w:val="auto"/>
        </w:rPr>
      </w:pPr>
      <w:r>
        <w:rPr>
          <w:rFonts w:ascii="Arial" w:cs="Arial" w:eastAsia="Arial" w:hAnsi="Arial"/>
          <w:sz w:val="18"/>
          <w:szCs w:val="18"/>
          <w:color w:val="auto"/>
        </w:rPr>
        <w:t>The FASB Accounting Standards Codification, which the FASB established as the source of authoritative GAAP</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Updates – updates to the ASC</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ATM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At-The-Market Equity Offering Program</w:t>
      </w:r>
    </w:p>
    <w:p>
      <w:pPr>
        <w:spacing w:after="0" w:line="75"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remaining 25% interest in Wind TE Holdco</w:t>
      </w:r>
    </w:p>
    <w:p>
      <w:pPr>
        <w:spacing w:after="0" w:line="200" w:lineRule="exact"/>
        <w:rPr>
          <w:sz w:val="20"/>
          <w:szCs w:val="20"/>
          <w:color w:val="auto"/>
        </w:rPr>
      </w:pPr>
    </w:p>
    <w:p>
      <w:pPr>
        <w:sectPr>
          <w:pgSz w:w="11900" w:h="16838" w:orient="portrait"/>
          <w:cols w:equalWidth="0" w:num="2">
            <w:col w:w="2340" w:space="620"/>
            <w:col w:w="8400"/>
          </w:cols>
          <w:pgMar w:left="280" w:top="675" w:right="2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Bankruptcy Code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Chapter 11 of Title 11 of the United States Code</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Bankruptcy Court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Bankruptcy Court for the Northern District of California</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Buckthorn Solar Drop Down Asset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Buckthorn Renewables, LLC, which owns 100% of Buckthorn Solar Portfolio, LLC, which was acquired by Clearway Energy Operating LLC from NRG on March 30, 2018</w:t>
      </w:r>
    </w:p>
    <w:p>
      <w:pPr>
        <w:spacing w:after="0" w:line="8" w:lineRule="exact"/>
        <w:rPr>
          <w:sz w:val="20"/>
          <w:szCs w:val="20"/>
          <w:color w:val="auto"/>
        </w:rPr>
      </w:pPr>
    </w:p>
    <w:p>
      <w:pPr>
        <w:sectPr>
          <w:pgSz w:w="11900" w:h="16838" w:orient="portrait"/>
          <w:cols w:equalWidth="0" w:num="2">
            <w:col w:w="2520" w:space="44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8"/>
          <w:szCs w:val="18"/>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Clean Air Act</w:t>
      </w:r>
    </w:p>
    <w:p>
      <w:pPr>
        <w:spacing w:after="0" w:line="74"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7"/>
          <w:szCs w:val="17"/>
          <w:color w:val="auto"/>
        </w:rPr>
        <w:t>CAFD</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A non-GAAP measure, Cash Available for Distribution is Adjusted EBITDA plus cash distributions/return of investment from unconsolidated affiliates, adjustments to reflect CAFD generated by unconsolidated investments that are not 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and adjusted for development expenses</w:t>
      </w:r>
    </w:p>
    <w:p>
      <w:pPr>
        <w:spacing w:after="0" w:line="1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Carlsbad Drop Down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acquisition by the Company of the Carlsbad Energy Center, a 527 MW natural gas fired project located in Carlsbad, CA</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CEG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Energy Group LLC (formerly Zephyr Renewables LLC)</w:t>
      </w:r>
    </w:p>
    <w:p>
      <w:pPr>
        <w:spacing w:after="0" w:line="86"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CEG Master Services Agreement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Master Services Agreements, entered into as of August 31, 2018, between the Company, Clearway Energy LLC, Clearway Energy Operating LLC, and CEG</w:t>
      </w:r>
    </w:p>
    <w:p>
      <w:pPr>
        <w:spacing w:after="0" w:line="8" w:lineRule="exact"/>
        <w:rPr>
          <w:sz w:val="20"/>
          <w:szCs w:val="20"/>
          <w:color w:val="auto"/>
        </w:rPr>
      </w:pPr>
    </w:p>
    <w:p>
      <w:pPr>
        <w:sectPr>
          <w:pgSz w:w="11900" w:h="16838" w:orient="portrait"/>
          <w:cols w:equalWidth="0" w:num="2">
            <w:col w:w="2400" w:space="56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CEG ROFO Agreement</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Right of First Offer Agreement, entered into as of August 31, 2018, by and between Clearway Energy Group LLC and Clearway Energy, Inc., and solely for purposes of Section 2.4, GIP III Zephyr Acquisition Partners, L.P., as amended by the First Amendment dated February 14, 2019, the Second Amendment dated August 1, 2019 and the Third Amendment dated December 6, 2019</w:t>
      </w:r>
    </w:p>
    <w:p>
      <w:pPr>
        <w:spacing w:after="0" w:line="25"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Clearway Energy LLC</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holding company through which the projects are owned by Clearway Energy Group LLC, the holder of Class B and Class D units, and Clearway Energy, Inc., the holder of the Class A and Class C units</w:t>
      </w:r>
    </w:p>
    <w:p>
      <w:pPr>
        <w:spacing w:after="0" w:line="8"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spacing w:after="0"/>
        <w:rPr>
          <w:sz w:val="20"/>
          <w:szCs w:val="20"/>
          <w:color w:val="auto"/>
        </w:rPr>
      </w:pPr>
      <w:r>
        <w:rPr>
          <w:rFonts w:ascii="Arial" w:cs="Arial" w:eastAsia="Arial" w:hAnsi="Arial"/>
          <w:sz w:val="16"/>
          <w:szCs w:val="16"/>
          <w:color w:val="auto"/>
        </w:rPr>
        <w:t>Clearway Energy Group LLC</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holder of the Company's Class B and Class D common shares and Clearway Energy LLC's Class B and Class D units</w:t>
      </w:r>
    </w:p>
    <w:p>
      <w:pPr>
        <w:spacing w:after="0" w:line="197" w:lineRule="exact"/>
        <w:rPr>
          <w:sz w:val="20"/>
          <w:szCs w:val="20"/>
          <w:color w:val="auto"/>
        </w:rPr>
      </w:pPr>
    </w:p>
    <w:p>
      <w:pPr>
        <w:sectPr>
          <w:pgSz w:w="11900" w:h="16838" w:orient="portrait"/>
          <w:cols w:equalWidth="0" w:num="2">
            <w:col w:w="2240" w:space="720"/>
            <w:col w:w="8400"/>
          </w:cols>
          <w:pgMar w:left="280" w:top="675" w:right="25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675" w:right="259" w:bottom="1440" w:gutter="0" w:footer="0" w:header="0"/>
          <w:type w:val="continuous"/>
        </w:sectPr>
      </w:pPr>
    </w:p>
    <w:bookmarkStart w:id="3" w:name="page4"/>
    <w:bookmarkEnd w:id="3"/>
    <w:p>
      <w:pPr>
        <w:spacing w:after="0"/>
        <w:tabs>
          <w:tab w:leader="none" w:pos="2940" w:val="left"/>
        </w:tabs>
        <w:rPr>
          <w:sz w:val="20"/>
          <w:szCs w:val="20"/>
          <w:color w:val="auto"/>
        </w:rPr>
      </w:pPr>
      <w:r>
        <w:rPr>
          <w:rFonts w:ascii="Arial" w:cs="Arial" w:eastAsia="Arial" w:hAnsi="Arial"/>
          <w:sz w:val="18"/>
          <w:szCs w:val="18"/>
          <w:color w:val="auto"/>
        </w:rPr>
        <w:t>Clearway Energy Operating LLC</w:t>
      </w:r>
      <w:r>
        <w:rPr>
          <w:sz w:val="20"/>
          <w:szCs w:val="20"/>
          <w:color w:val="auto"/>
        </w:rPr>
        <w:tab/>
      </w:r>
      <w:r>
        <w:rPr>
          <w:rFonts w:ascii="Arial" w:cs="Arial" w:eastAsia="Arial" w:hAnsi="Arial"/>
          <w:sz w:val="16"/>
          <w:szCs w:val="16"/>
          <w:color w:val="auto"/>
        </w:rPr>
        <w:t>The holder of the project assets that are owned by Clearway Energy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COD</w:t>
      </w:r>
      <w:r>
        <w:rPr>
          <w:sz w:val="20"/>
          <w:szCs w:val="20"/>
          <w:color w:val="auto"/>
        </w:rPr>
        <w:tab/>
      </w:r>
      <w:r>
        <w:rPr>
          <w:rFonts w:ascii="Arial" w:cs="Arial" w:eastAsia="Arial" w:hAnsi="Arial"/>
          <w:sz w:val="18"/>
          <w:szCs w:val="18"/>
          <w:color w:val="auto"/>
        </w:rPr>
        <w:t>Commercial Operation Date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Code</w:t>
      </w:r>
      <w:r>
        <w:rPr>
          <w:sz w:val="20"/>
          <w:szCs w:val="20"/>
          <w:color w:val="auto"/>
        </w:rPr>
        <w:tab/>
      </w:r>
      <w:r>
        <w:rPr>
          <w:rFonts w:ascii="Arial" w:cs="Arial" w:eastAsia="Arial" w:hAnsi="Arial"/>
          <w:sz w:val="18"/>
          <w:szCs w:val="18"/>
          <w:color w:val="auto"/>
        </w:rPr>
        <w:t>Internal Revenue Code of 1986, as amended</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Clearway Energy, Inc. together with its consolidated subsidiaries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California Public Utilities Commission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CVSR</w:t>
      </w:r>
      <w:r>
        <w:rPr>
          <w:sz w:val="20"/>
          <w:szCs w:val="20"/>
          <w:color w:val="auto"/>
        </w:rPr>
        <w:tab/>
      </w:r>
      <w:r>
        <w:rPr>
          <w:rFonts w:ascii="Arial" w:cs="Arial" w:eastAsia="Arial" w:hAnsi="Arial"/>
          <w:sz w:val="18"/>
          <w:szCs w:val="18"/>
          <w:color w:val="auto"/>
        </w:rPr>
        <w:t>California Valley Solar Ranch</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CVSR Holdco</w:t>
      </w:r>
      <w:r>
        <w:rPr>
          <w:sz w:val="20"/>
          <w:szCs w:val="20"/>
          <w:color w:val="auto"/>
        </w:rPr>
        <w:tab/>
      </w:r>
      <w:r>
        <w:rPr>
          <w:rFonts w:ascii="Arial" w:cs="Arial" w:eastAsia="Arial" w:hAnsi="Arial"/>
          <w:sz w:val="16"/>
          <w:szCs w:val="16"/>
          <w:color w:val="auto"/>
        </w:rPr>
        <w:t>CVSR Holdco LLC, the indirect owner of CVSR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DGCL</w:t>
      </w:r>
      <w:r>
        <w:rPr>
          <w:sz w:val="20"/>
          <w:szCs w:val="20"/>
          <w:color w:val="auto"/>
        </w:rPr>
        <w:tab/>
      </w:r>
      <w:r>
        <w:rPr>
          <w:rFonts w:ascii="Arial" w:cs="Arial" w:eastAsia="Arial" w:hAnsi="Arial"/>
          <w:sz w:val="18"/>
          <w:szCs w:val="18"/>
          <w:color w:val="auto"/>
        </w:rPr>
        <w:t>Delaware General Corporation Law</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DGPV Holdco 1</w:t>
      </w:r>
      <w:r>
        <w:rPr>
          <w:sz w:val="20"/>
          <w:szCs w:val="20"/>
          <w:color w:val="auto"/>
        </w:rPr>
        <w:tab/>
      </w:r>
      <w:r>
        <w:rPr>
          <w:rFonts w:ascii="Arial" w:cs="Arial" w:eastAsia="Arial" w:hAnsi="Arial"/>
          <w:sz w:val="17"/>
          <w:szCs w:val="17"/>
          <w:color w:val="auto"/>
        </w:rPr>
        <w:t>DGPV Holdco 1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DGPV Holdco 2</w:t>
      </w:r>
      <w:r>
        <w:rPr>
          <w:sz w:val="20"/>
          <w:szCs w:val="20"/>
          <w:color w:val="auto"/>
        </w:rPr>
        <w:tab/>
      </w:r>
      <w:r>
        <w:rPr>
          <w:rFonts w:ascii="Arial" w:cs="Arial" w:eastAsia="Arial" w:hAnsi="Arial"/>
          <w:sz w:val="17"/>
          <w:szCs w:val="17"/>
          <w:color w:val="auto"/>
        </w:rPr>
        <w:t>DGPV Holdco 2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DGPV Holdco 3</w:t>
      </w:r>
      <w:r>
        <w:rPr>
          <w:sz w:val="20"/>
          <w:szCs w:val="20"/>
          <w:color w:val="auto"/>
        </w:rPr>
        <w:tab/>
      </w:r>
      <w:r>
        <w:rPr>
          <w:rFonts w:ascii="Arial" w:cs="Arial" w:eastAsia="Arial" w:hAnsi="Arial"/>
          <w:sz w:val="17"/>
          <w:szCs w:val="17"/>
          <w:color w:val="auto"/>
        </w:rPr>
        <w:t>DGPV Holdco 3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Distributed Solar</w:t>
      </w:r>
      <w:r>
        <w:rPr>
          <w:sz w:val="20"/>
          <w:szCs w:val="20"/>
          <w:color w:val="auto"/>
        </w:rPr>
        <w:tab/>
      </w:r>
      <w:r>
        <w:rPr>
          <w:rFonts w:ascii="Arial" w:cs="Arial" w:eastAsia="Arial" w:hAnsi="Arial"/>
          <w:sz w:val="16"/>
          <w:szCs w:val="16"/>
          <w:color w:val="auto"/>
        </w:rPr>
        <w:t>Solar power projects, typically less than 20 MW in size, that primarily sell power produced to customers for usage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on site, or are interconnected to sell power into the local distribution grid</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Drop Down Assets</w:t>
      </w:r>
      <w:r>
        <w:rPr>
          <w:sz w:val="20"/>
          <w:szCs w:val="20"/>
          <w:color w:val="auto"/>
        </w:rPr>
        <w:tab/>
      </w:r>
      <w:r>
        <w:rPr>
          <w:rFonts w:ascii="Arial" w:cs="Arial" w:eastAsia="Arial" w:hAnsi="Arial"/>
          <w:sz w:val="16"/>
          <w:szCs w:val="16"/>
          <w:color w:val="auto"/>
        </w:rPr>
        <w:t>Collectively, assets under common control acquired by the Company from NRG from January 1, 2014 through the</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period ended December 31, 2019</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Economic Gross Margin</w:t>
      </w:r>
      <w:r>
        <w:rPr>
          <w:sz w:val="20"/>
          <w:szCs w:val="20"/>
          <w:color w:val="auto"/>
        </w:rPr>
        <w:tab/>
      </w:r>
      <w:r>
        <w:rPr>
          <w:rFonts w:ascii="Arial" w:cs="Arial" w:eastAsia="Arial" w:hAnsi="Arial"/>
          <w:sz w:val="16"/>
          <w:szCs w:val="16"/>
          <w:color w:val="auto"/>
        </w:rPr>
        <w:t>A non-GAAP measure, energy and capacity revenue, less cost of fuels. See Item 7 — Management's Discussion and</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Analysis of Financial Condition and Results of Operations — Management's discussion of the results of operations for the years ended December 31, 2019 and 2018 for a discussion of this measure.</w:t>
      </w:r>
    </w:p>
    <w:p>
      <w:pPr>
        <w:sectPr>
          <w:pgSz w:w="11900" w:h="16838" w:orient="portrait"/>
          <w:cols w:equalWidth="0" w:num="1">
            <w:col w:w="11360"/>
          </w:cols>
          <w:pgMar w:left="280" w:top="841" w:right="25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ECP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ERCOT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Energy Center Pittsburgh LLC, a subsidiary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Environmental Protection Agency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Engineering, Procurement and Construction</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Electric Reliability Council of Texas, the ISO and the regional reliability coordinator of the various electricity systems within Texas</w:t>
      </w:r>
    </w:p>
    <w:p>
      <w:pPr>
        <w:spacing w:after="0" w:line="8"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tabs>
          <w:tab w:leader="none" w:pos="2940" w:val="left"/>
        </w:tabs>
        <w:rPr>
          <w:sz w:val="20"/>
          <w:szCs w:val="20"/>
          <w:color w:val="auto"/>
        </w:rPr>
      </w:pPr>
      <w:r>
        <w:rPr>
          <w:rFonts w:ascii="Arial" w:cs="Arial" w:eastAsia="Arial" w:hAnsi="Arial"/>
          <w:sz w:val="18"/>
          <w:szCs w:val="18"/>
          <w:color w:val="auto"/>
        </w:rPr>
        <w:t>EWG</w:t>
      </w:r>
      <w:r>
        <w:rPr>
          <w:sz w:val="20"/>
          <w:szCs w:val="20"/>
          <w:color w:val="auto"/>
        </w:rPr>
        <w:tab/>
      </w:r>
      <w:r>
        <w:rPr>
          <w:rFonts w:ascii="Arial" w:cs="Arial" w:eastAsia="Arial" w:hAnsi="Arial"/>
          <w:sz w:val="18"/>
          <w:szCs w:val="18"/>
          <w:color w:val="auto"/>
        </w:rPr>
        <w:t>Exempt Wholesale Generator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Exchange Act</w:t>
      </w:r>
      <w:r>
        <w:rPr>
          <w:sz w:val="20"/>
          <w:szCs w:val="20"/>
          <w:color w:val="auto"/>
        </w:rPr>
        <w:tab/>
      </w:r>
      <w:r>
        <w:rPr>
          <w:rFonts w:ascii="Arial" w:cs="Arial" w:eastAsia="Arial" w:hAnsi="Arial"/>
          <w:sz w:val="16"/>
          <w:szCs w:val="16"/>
          <w:color w:val="auto"/>
        </w:rPr>
        <w:t>The Securities Exchange Act of 1934, as amended</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FASB</w:t>
      </w:r>
      <w:r>
        <w:rPr>
          <w:sz w:val="20"/>
          <w:szCs w:val="20"/>
          <w:color w:val="auto"/>
        </w:rPr>
        <w:tab/>
      </w:r>
      <w:r>
        <w:rPr>
          <w:rFonts w:ascii="Arial" w:cs="Arial" w:eastAsia="Arial" w:hAnsi="Arial"/>
          <w:sz w:val="18"/>
          <w:szCs w:val="18"/>
          <w:color w:val="auto"/>
        </w:rPr>
        <w:t>Financial Accounting Standards Board</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Federal Energy Regulatory Commission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FPA</w:t>
      </w:r>
      <w:r>
        <w:rPr>
          <w:sz w:val="20"/>
          <w:szCs w:val="20"/>
          <w:color w:val="auto"/>
        </w:rPr>
        <w:tab/>
      </w:r>
      <w:r>
        <w:rPr>
          <w:rFonts w:ascii="Arial" w:cs="Arial" w:eastAsia="Arial" w:hAnsi="Arial"/>
          <w:sz w:val="18"/>
          <w:szCs w:val="18"/>
          <w:color w:val="auto"/>
        </w:rPr>
        <w:t>Federal Power Act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GenConn</w:t>
      </w:r>
      <w:r>
        <w:rPr>
          <w:sz w:val="20"/>
          <w:szCs w:val="20"/>
          <w:color w:val="auto"/>
        </w:rPr>
        <w:tab/>
      </w:r>
      <w:r>
        <w:rPr>
          <w:rFonts w:ascii="Arial" w:cs="Arial" w:eastAsia="Arial" w:hAnsi="Arial"/>
          <w:sz w:val="18"/>
          <w:szCs w:val="18"/>
          <w:color w:val="auto"/>
        </w:rPr>
        <w:t>GenConn Energy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GHG</w:t>
      </w:r>
      <w:r>
        <w:rPr>
          <w:sz w:val="20"/>
          <w:szCs w:val="20"/>
          <w:color w:val="auto"/>
        </w:rPr>
        <w:tab/>
      </w:r>
      <w:r>
        <w:rPr>
          <w:rFonts w:ascii="Arial" w:cs="Arial" w:eastAsia="Arial" w:hAnsi="Arial"/>
          <w:sz w:val="18"/>
          <w:szCs w:val="18"/>
          <w:color w:val="auto"/>
        </w:rPr>
        <w:t>Greenhouse gas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GIM</w:t>
      </w:r>
      <w:r>
        <w:rPr>
          <w:sz w:val="20"/>
          <w:szCs w:val="20"/>
          <w:color w:val="auto"/>
        </w:rPr>
        <w:tab/>
      </w:r>
      <w:r>
        <w:rPr>
          <w:rFonts w:ascii="Arial" w:cs="Arial" w:eastAsia="Arial" w:hAnsi="Arial"/>
          <w:sz w:val="18"/>
          <w:szCs w:val="18"/>
          <w:color w:val="auto"/>
        </w:rPr>
        <w:t>Global Infrastructure Management,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7"/>
          <w:szCs w:val="17"/>
          <w:color w:val="auto"/>
        </w:rPr>
        <w:t>GIP</w:t>
      </w:r>
      <w:r>
        <w:rPr>
          <w:sz w:val="20"/>
          <w:szCs w:val="20"/>
          <w:color w:val="auto"/>
        </w:rPr>
        <w:tab/>
      </w:r>
      <w:r>
        <w:rPr>
          <w:rFonts w:ascii="Arial" w:cs="Arial" w:eastAsia="Arial" w:hAnsi="Arial"/>
          <w:sz w:val="17"/>
          <w:szCs w:val="17"/>
          <w:color w:val="auto"/>
        </w:rPr>
        <w:t>Collectively, Global Infrastructure Partners III-C Intermediate AIV 3, L.P., Global Infrastructure Partners III-A/B</w:t>
      </w:r>
    </w:p>
    <w:p>
      <w:pPr>
        <w:spacing w:after="0" w:line="35"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AIV 3, L.P., Global Infrastructure Partners III-C Intermediate AIV 2, L.P., Global Infrastructure Partners III-C2 Intermediate AIV, L.P. and GIP III Zephyr Friends &amp; Family, LLC.</w:t>
      </w:r>
    </w:p>
    <w:p>
      <w:pPr>
        <w:spacing w:after="0" w:line="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GIP Transaction</w:t>
      </w:r>
      <w:r>
        <w:rPr>
          <w:sz w:val="20"/>
          <w:szCs w:val="20"/>
          <w:color w:val="auto"/>
        </w:rPr>
        <w:tab/>
      </w:r>
      <w:r>
        <w:rPr>
          <w:rFonts w:ascii="Arial" w:cs="Arial" w:eastAsia="Arial" w:hAnsi="Arial"/>
          <w:sz w:val="16"/>
          <w:szCs w:val="16"/>
          <w:color w:val="auto"/>
        </w:rPr>
        <w:t>On August 31, 2018, NRG transferred its full ownership interest in the Company to Clearway Energy Group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subsequently sold 100% of its interests in Clearway Energy Group LLC, which includes NRG's renewable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energy development and operations platform, to an affiliate of GIP. GIP, NRG and the Company also entered into a</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consent and indemnity agreement in connection with the purchase and sale agreement, which was signed on</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February 6, 2018</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HLBV</w:t>
      </w:r>
      <w:r>
        <w:rPr>
          <w:sz w:val="20"/>
          <w:szCs w:val="20"/>
          <w:color w:val="auto"/>
        </w:rPr>
        <w:tab/>
      </w:r>
      <w:r>
        <w:rPr>
          <w:rFonts w:ascii="Arial" w:cs="Arial" w:eastAsia="Arial" w:hAnsi="Arial"/>
          <w:sz w:val="18"/>
          <w:szCs w:val="18"/>
          <w:color w:val="auto"/>
        </w:rPr>
        <w:t>Hypothetical Liquidation at Book Value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IRS</w:t>
      </w:r>
      <w:r>
        <w:rPr>
          <w:sz w:val="20"/>
          <w:szCs w:val="20"/>
          <w:color w:val="auto"/>
        </w:rPr>
        <w:tab/>
      </w:r>
      <w:r>
        <w:rPr>
          <w:rFonts w:ascii="Arial" w:cs="Arial" w:eastAsia="Arial" w:hAnsi="Arial"/>
          <w:sz w:val="18"/>
          <w:szCs w:val="18"/>
          <w:color w:val="auto"/>
        </w:rPr>
        <w:t>Internal Revenue Service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ISO</w:t>
      </w:r>
      <w:r>
        <w:rPr>
          <w:sz w:val="20"/>
          <w:szCs w:val="20"/>
          <w:color w:val="auto"/>
        </w:rPr>
        <w:tab/>
      </w:r>
      <w:r>
        <w:rPr>
          <w:rFonts w:ascii="Arial" w:cs="Arial" w:eastAsia="Arial" w:hAnsi="Arial"/>
          <w:sz w:val="18"/>
          <w:szCs w:val="18"/>
          <w:color w:val="auto"/>
        </w:rPr>
        <w:t>Independent System Operator, also referred to as an RTO</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ITC</w:t>
      </w:r>
      <w:r>
        <w:rPr>
          <w:sz w:val="20"/>
          <w:szCs w:val="20"/>
          <w:color w:val="auto"/>
        </w:rPr>
        <w:tab/>
      </w:r>
      <w:r>
        <w:rPr>
          <w:rFonts w:ascii="Arial" w:cs="Arial" w:eastAsia="Arial" w:hAnsi="Arial"/>
          <w:sz w:val="18"/>
          <w:szCs w:val="18"/>
          <w:color w:val="auto"/>
        </w:rPr>
        <w:t>Investment Tax Credit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kWh</w:t>
      </w:r>
      <w:r>
        <w:rPr>
          <w:sz w:val="20"/>
          <w:szCs w:val="20"/>
          <w:color w:val="auto"/>
        </w:rPr>
        <w:tab/>
      </w:r>
      <w:r>
        <w:rPr>
          <w:rFonts w:ascii="Arial" w:cs="Arial" w:eastAsia="Arial" w:hAnsi="Arial"/>
          <w:sz w:val="18"/>
          <w:szCs w:val="18"/>
          <w:color w:val="auto"/>
        </w:rPr>
        <w:t>Kilowatt Hour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841"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(defined below), both acquired by Clearway Energy Operating LLC on March 27, 2017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MBTA</w:t>
            </w:r>
          </w:p>
        </w:tc>
        <w:tc>
          <w:tcPr>
            <w:tcW w:w="8740" w:type="dxa"/>
            <w:vAlign w:val="bottom"/>
          </w:tcPr>
          <w:p>
            <w:pPr>
              <w:ind w:left="34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MMBtu</w:t>
            </w:r>
          </w:p>
        </w:tc>
        <w:tc>
          <w:tcPr>
            <w:tcW w:w="874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MWh</w:t>
            </w:r>
          </w:p>
        </w:tc>
        <w:tc>
          <w:tcPr>
            <w:tcW w:w="874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MWt</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NERC</w:t>
            </w:r>
          </w:p>
        </w:tc>
        <w:tc>
          <w:tcPr>
            <w:tcW w:w="8740" w:type="dxa"/>
            <w:vAlign w:val="bottom"/>
          </w:tcPr>
          <w:p>
            <w:pPr>
              <w:ind w:left="34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Net Exposure</w:t>
            </w:r>
          </w:p>
        </w:tc>
        <w:tc>
          <w:tcPr>
            <w:tcW w:w="874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NOLs</w:t>
            </w:r>
          </w:p>
        </w:tc>
        <w:tc>
          <w:tcPr>
            <w:tcW w:w="874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40" w:type="dxa"/>
            <w:vAlign w:val="bottom"/>
          </w:tcPr>
          <w:p>
            <w:pPr>
              <w:ind w:left="34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NPNS</w:t>
            </w:r>
          </w:p>
        </w:tc>
        <w:tc>
          <w:tcPr>
            <w:tcW w:w="8740" w:type="dxa"/>
            <w:vAlign w:val="bottom"/>
          </w:tcPr>
          <w:p>
            <w:pPr>
              <w:ind w:left="34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w:t>
            </w:r>
          </w:p>
        </w:tc>
        <w:tc>
          <w:tcPr>
            <w:tcW w:w="874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 Power Marketing</w:t>
            </w:r>
          </w:p>
        </w:tc>
        <w:tc>
          <w:tcPr>
            <w:tcW w:w="8740" w:type="dxa"/>
            <w:vAlign w:val="bottom"/>
          </w:tcPr>
          <w:p>
            <w:pPr>
              <w:ind w:left="340"/>
              <w:spacing w:after="0"/>
              <w:rPr>
                <w:sz w:val="20"/>
                <w:szCs w:val="20"/>
                <w:color w:val="auto"/>
              </w:rPr>
            </w:pPr>
            <w:r>
              <w:rPr>
                <w:rFonts w:ascii="Arial" w:cs="Arial" w:eastAsia="Arial" w:hAnsi="Arial"/>
                <w:sz w:val="18"/>
                <w:szCs w:val="18"/>
                <w:color w:val="auto"/>
              </w:rPr>
              <w:t>NRG Power Marketing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NRG TSA</w:t>
            </w: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OECD</w:t>
            </w:r>
          </w:p>
        </w:tc>
        <w:tc>
          <w:tcPr>
            <w:tcW w:w="8740" w:type="dxa"/>
            <w:vAlign w:val="bottom"/>
          </w:tcPr>
          <w:p>
            <w:pPr>
              <w:ind w:left="340"/>
              <w:spacing w:after="0"/>
              <w:rPr>
                <w:sz w:val="20"/>
                <w:szCs w:val="20"/>
                <w:color w:val="auto"/>
              </w:rPr>
            </w:pPr>
            <w:r>
              <w:rPr>
                <w:rFonts w:ascii="Arial" w:cs="Arial" w:eastAsia="Arial" w:hAnsi="Arial"/>
                <w:sz w:val="18"/>
                <w:szCs w:val="18"/>
                <w:color w:val="auto"/>
              </w:rPr>
              <w:t>The Organization for Economic Co-operation and Development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OCI/OCL</w:t>
            </w:r>
          </w:p>
        </w:tc>
        <w:tc>
          <w:tcPr>
            <w:tcW w:w="8740" w:type="dxa"/>
            <w:vAlign w:val="bottom"/>
          </w:tcPr>
          <w:p>
            <w:pPr>
              <w:ind w:left="34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O&amp;M</w:t>
            </w:r>
          </w:p>
        </w:tc>
        <w:tc>
          <w:tcPr>
            <w:tcW w:w="8740" w:type="dxa"/>
            <w:vAlign w:val="bottom"/>
          </w:tcPr>
          <w:p>
            <w:pPr>
              <w:ind w:left="34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PG&amp;E</w:t>
            </w:r>
          </w:p>
        </w:tc>
        <w:tc>
          <w:tcPr>
            <w:tcW w:w="874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PG&amp;E Bankruptcy</w:t>
            </w:r>
          </w:p>
        </w:tc>
        <w:tc>
          <w:tcPr>
            <w:tcW w:w="8740" w:type="dxa"/>
            <w:vAlign w:val="bottom"/>
            <w:vMerge w:val="restart"/>
          </w:tcPr>
          <w:p>
            <w:pPr>
              <w:ind w:left="340"/>
              <w:spacing w:after="0"/>
              <w:rPr>
                <w:sz w:val="20"/>
                <w:szCs w:val="20"/>
                <w:color w:val="auto"/>
              </w:rPr>
            </w:pPr>
            <w:r>
              <w:rPr>
                <w:rFonts w:ascii="Arial" w:cs="Arial" w:eastAsia="Arial" w:hAnsi="Arial"/>
                <w:sz w:val="18"/>
                <w:szCs w:val="18"/>
                <w:color w:val="auto"/>
                <w:w w:val="93"/>
              </w:rPr>
              <w:t>On January 29, 2019, PG&amp;E Corporation and Pacific Gas and Electric Company filed voluntary petitions for relief</w:t>
            </w:r>
          </w:p>
        </w:tc>
        <w:tc>
          <w:tcPr>
            <w:tcW w:w="0" w:type="dxa"/>
            <w:vAlign w:val="bottom"/>
          </w:tcPr>
          <w:p>
            <w:pPr>
              <w:spacing w:after="0"/>
              <w:rPr>
                <w:sz w:val="1"/>
                <w:szCs w:val="1"/>
                <w:color w:val="auto"/>
              </w:rPr>
            </w:pPr>
          </w:p>
        </w:tc>
      </w:tr>
      <w:tr>
        <w:trPr>
          <w:trHeight w:val="67"/>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under the Bankruptcy Code in the U.S. Bankruptcy Court for the Northern District of California</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PJM</w:t>
            </w:r>
          </w:p>
        </w:tc>
        <w:tc>
          <w:tcPr>
            <w:tcW w:w="8740" w:type="dxa"/>
            <w:vAlign w:val="bottom"/>
          </w:tcPr>
          <w:p>
            <w:pPr>
              <w:ind w:left="34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PPA</w:t>
            </w:r>
          </w:p>
        </w:tc>
        <w:tc>
          <w:tcPr>
            <w:tcW w:w="87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PTC</w:t>
            </w:r>
          </w:p>
        </w:tc>
        <w:tc>
          <w:tcPr>
            <w:tcW w:w="8740" w:type="dxa"/>
            <w:vAlign w:val="bottom"/>
          </w:tcPr>
          <w:p>
            <w:pPr>
              <w:ind w:left="34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PUCT</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PUHCA</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PURPA</w:t>
            </w:r>
          </w:p>
        </w:tc>
        <w:tc>
          <w:tcPr>
            <w:tcW w:w="8740" w:type="dxa"/>
            <w:vAlign w:val="bottom"/>
          </w:tcPr>
          <w:p>
            <w:pPr>
              <w:ind w:left="34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QF</w:t>
            </w:r>
          </w:p>
        </w:tc>
        <w:tc>
          <w:tcPr>
            <w:tcW w:w="8740" w:type="dxa"/>
            <w:vAlign w:val="bottom"/>
          </w:tcPr>
          <w:p>
            <w:pPr>
              <w:ind w:left="34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RENOM</w:t>
            </w:r>
          </w:p>
        </w:tc>
        <w:tc>
          <w:tcPr>
            <w:tcW w:w="874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ROFO</w:t>
            </w:r>
          </w:p>
        </w:tc>
        <w:tc>
          <w:tcPr>
            <w:tcW w:w="8740" w:type="dxa"/>
            <w:vAlign w:val="bottom"/>
          </w:tcPr>
          <w:p>
            <w:pPr>
              <w:ind w:left="34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RPS</w:t>
            </w:r>
          </w:p>
        </w:tc>
        <w:tc>
          <w:tcPr>
            <w:tcW w:w="8740" w:type="dxa"/>
            <w:vAlign w:val="bottom"/>
          </w:tcPr>
          <w:p>
            <w:pPr>
              <w:ind w:left="34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RPV Holdco</w:t>
            </w:r>
          </w:p>
        </w:tc>
        <w:tc>
          <w:tcPr>
            <w:tcW w:w="874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RTO</w:t>
            </w:r>
          </w:p>
        </w:tc>
        <w:tc>
          <w:tcPr>
            <w:tcW w:w="874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SCE</w:t>
            </w:r>
          </w:p>
        </w:tc>
        <w:tc>
          <w:tcPr>
            <w:tcW w:w="8740" w:type="dxa"/>
            <w:vAlign w:val="bottom"/>
          </w:tcPr>
          <w:p>
            <w:pPr>
              <w:ind w:left="34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w:t>
            </w:r>
          </w:p>
        </w:tc>
        <w:tc>
          <w:tcPr>
            <w:tcW w:w="8740" w:type="dxa"/>
            <w:vAlign w:val="bottom"/>
          </w:tcPr>
          <w:p>
            <w:pPr>
              <w:ind w:left="34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Senior Notes</w:t>
            </w: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Collectively, the 2024 Senior Notes, the 2025 Senior Notes, the 2026 Senior Notes and the 2028 Senior Notes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40" w:type="dxa"/>
            <w:vAlign w:val="bottom"/>
          </w:tcPr>
          <w:p>
            <w:pPr>
              <w:ind w:left="34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SPP</w:t>
            </w:r>
          </w:p>
        </w:tc>
        <w:tc>
          <w:tcPr>
            <w:tcW w:w="8740" w:type="dxa"/>
            <w:vAlign w:val="bottom"/>
          </w:tcPr>
          <w:p>
            <w:pPr>
              <w:ind w:left="34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Tax Act</w:t>
            </w:r>
          </w:p>
        </w:tc>
        <w:tc>
          <w:tcPr>
            <w:tcW w:w="8740" w:type="dxa"/>
            <w:vAlign w:val="bottom"/>
          </w:tcPr>
          <w:p>
            <w:pPr>
              <w:ind w:left="34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Thermal Business</w:t>
            </w: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UPMC Thermal Project</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The University of Pittsburgh Medical Center Thermal Project, a 73 MWt district energy system that allows ECP to</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provide steam, chilled water and 7.5 MW of emergency backup power service to UPMC</w:t>
            </w: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8740" w:type="dxa"/>
            <w:vAlign w:val="bottom"/>
          </w:tcPr>
          <w:p>
            <w:pPr>
              <w:ind w:left="3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841"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841" w:right="259" w:bottom="1440" w:gutter="0" w:footer="0" w:header="0"/>
        </w:sectPr>
      </w:pPr>
    </w:p>
    <w:p>
      <w:pPr>
        <w:spacing w:after="0"/>
        <w:rPr>
          <w:sz w:val="20"/>
          <w:szCs w:val="20"/>
          <w:color w:val="auto"/>
        </w:rPr>
      </w:pPr>
      <w:r>
        <w:rPr>
          <w:rFonts w:ascii="Arial" w:cs="Arial" w:eastAsia="Arial" w:hAnsi="Arial"/>
          <w:sz w:val="16"/>
          <w:szCs w:val="16"/>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Department of Energy</w:t>
      </w:r>
    </w:p>
    <w:p>
      <w:pPr>
        <w:spacing w:after="0" w:line="86"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841" w:right="259" w:bottom="1440" w:gutter="0" w:footer="0" w:header="0"/>
          <w:type w:val="continuous"/>
        </w:sectPr>
      </w:pP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841"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As of December 31, 2019, GIP indirectly owns approximately 43% of the economic interests in Clearway Energy LLC and approximately 55% of the voting interests in the Company. GIM is an independent fund manager of funds that invests in infrastructure assets in the energy, transport and water/waste sectors. The Company is sponsored by GIP through its portfolio company, CEG.</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environmentally sound asset portfolio includes over </w:t>
      </w:r>
      <w:r>
        <w:rPr>
          <w:rFonts w:ascii="Arial" w:cs="Arial" w:eastAsia="Arial" w:hAnsi="Arial"/>
          <w:sz w:val="18"/>
          <w:szCs w:val="18"/>
          <w:color w:val="231F20"/>
        </w:rPr>
        <w:t>5,875</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The weighted average remaining contract duration of these offtake agreements, based on CAFD, was approximately </w:t>
      </w:r>
      <w:r>
        <w:rPr>
          <w:rFonts w:ascii="Arial" w:cs="Arial" w:eastAsia="Arial" w:hAnsi="Arial"/>
          <w:sz w:val="18"/>
          <w:szCs w:val="18"/>
          <w:color w:val="231F20"/>
        </w:rPr>
        <w:t>13 years as of</w:t>
      </w:r>
      <w:r>
        <w:rPr>
          <w:rFonts w:ascii="Arial" w:cs="Arial" w:eastAsia="Arial" w:hAnsi="Arial"/>
          <w:sz w:val="18"/>
          <w:szCs w:val="18"/>
          <w:color w:val="auto"/>
        </w:rPr>
        <w:t xml:space="preserve"> </w:t>
      </w:r>
      <w:r>
        <w:rPr>
          <w:rFonts w:ascii="Arial" w:cs="Arial" w:eastAsia="Arial" w:hAnsi="Arial"/>
          <w:sz w:val="18"/>
          <w:szCs w:val="18"/>
          <w:color w:val="231F20"/>
        </w:rPr>
        <w:t>December 31, 2019. The 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complete listing of the Company's interests in facilities, operations and/or projects owned or leased as of December 31, 2019 can be found in Item 2 — </w:t>
      </w:r>
      <w:r>
        <w:rPr>
          <w:rFonts w:ascii="Arial" w:cs="Arial" w:eastAsia="Arial" w:hAnsi="Arial"/>
          <w:sz w:val="18"/>
          <w:szCs w:val="18"/>
          <w:i w:val="1"/>
          <w:iCs w:val="1"/>
          <w:color w:val="auto"/>
        </w:rPr>
        <w:t>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Gas and Electric Company Bankruptcy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investments in unconsolidated affiliates and $1.2 billion of borrowings with final maturity dates ranging from 2023 to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1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History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was formed by NRG as a Delaware corporation on December 20, 2012.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sold a total of 5,405,405 shares of Class C common stock for net proceeds of $100 million during 2019. As a result of the Class C common stock issuance, the Company owns 57.01% of the economic interests of Clearway Energy LLC, with CEG retaining 42.99% of the economic interests of Clearway Energy LLC as of December 31, 2019. As a result of the current ownership of the Class B common stock and Class D common stock, CEG controls the Company, and the Company in turn, as the sole managing member of Clearway Energy LLC, controls Clearway Energy LLC and its subsidiaries.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depicts the Company’s organizational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255270</wp:posOffset>
            </wp:positionV>
            <wp:extent cx="5866130" cy="439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7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plan for executing its business strategy includes the following key components: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Focus on contracted renewable energy and conventional generation and thermal infrastructure assets. </w:t>
      </w:r>
      <w:r>
        <w:rPr>
          <w:rFonts w:ascii="Arial" w:cs="Arial" w:eastAsia="Arial" w:hAnsi="Arial"/>
          <w:sz w:val="17"/>
          <w:szCs w:val="17"/>
          <w:color w:val="auto"/>
        </w:rPr>
        <w:t>The Company owns and operates utility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scale 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Growing the business through acquisitions of contracted operating assets. </w:t>
      </w:r>
      <w:r>
        <w:rPr>
          <w:rFonts w:ascii="Arial" w:cs="Arial" w:eastAsia="Arial" w:hAnsi="Arial"/>
          <w:sz w:val="17"/>
          <w:szCs w:val="17"/>
          <w:color w:val="auto"/>
        </w:rPr>
        <w:t>The Company believes that its base of operations provides a platform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assets listed below represent the Company's currently committed investments in projects with CEG and the CEG ROFO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Investments with CEG</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Technology</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Net Capacity (MW)</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State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COD</w:t>
            </w:r>
          </w:p>
        </w:tc>
      </w:tr>
      <w:tr>
        <w:trPr>
          <w:trHeight w:val="47"/>
        </w:trPr>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$33 MM remaining in distributed and community solar partnerships</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3"/>
              </w:rPr>
              <w:t>PV</w:t>
            </w:r>
          </w:p>
        </w:tc>
        <w:tc>
          <w:tcPr>
            <w:tcW w:w="22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Various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Various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Group ROFO</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Technology</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Net Capacity (MW)</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State</w:t>
            </w:r>
          </w:p>
        </w:tc>
        <w:tc>
          <w:tcPr>
            <w:tcW w:w="900" w:type="dxa"/>
            <w:vAlign w:val="bottom"/>
          </w:tcPr>
          <w:p>
            <w:pPr>
              <w:ind w:left="260"/>
              <w:spacing w:after="0"/>
              <w:rPr>
                <w:sz w:val="20"/>
                <w:szCs w:val="20"/>
                <w:color w:val="auto"/>
              </w:rPr>
            </w:pPr>
            <w:r>
              <w:rPr>
                <w:rFonts w:ascii="Arial" w:cs="Arial" w:eastAsia="Arial" w:hAnsi="Arial"/>
                <w:sz w:val="16"/>
                <w:szCs w:val="16"/>
                <w:b w:val="1"/>
                <w:bCs w:val="1"/>
                <w:color w:val="auto"/>
              </w:rPr>
              <w:t>COD</w:t>
            </w:r>
          </w:p>
        </w:tc>
      </w:tr>
      <w:tr>
        <w:trPr>
          <w:trHeight w:val="47"/>
        </w:trPr>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Mililani I</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3"/>
              </w:rPr>
              <w:t>PV</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HI</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2021</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Waiawa</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PV</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HI</w:t>
            </w:r>
          </w:p>
        </w:tc>
        <w:tc>
          <w:tcPr>
            <w:tcW w:w="900" w:type="dxa"/>
            <w:vAlign w:val="bottom"/>
          </w:tcPr>
          <w:p>
            <w:pPr>
              <w:ind w:left="280"/>
              <w:spacing w:after="0"/>
              <w:rPr>
                <w:sz w:val="20"/>
                <w:szCs w:val="20"/>
                <w:color w:val="auto"/>
              </w:rPr>
            </w:pPr>
            <w:r>
              <w:rPr>
                <w:rFonts w:ascii="Arial" w:cs="Arial" w:eastAsia="Arial" w:hAnsi="Arial"/>
                <w:sz w:val="16"/>
                <w:szCs w:val="16"/>
                <w:color w:val="auto"/>
              </w:rPr>
              <w:t>2021</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Langford</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TX</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2009</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Up to $170 MM equity investment in business renewables</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PV</w:t>
            </w:r>
          </w:p>
        </w:tc>
        <w:tc>
          <w:tcPr>
            <w:tcW w:w="22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TBD</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Various</w:t>
            </w:r>
          </w:p>
        </w:tc>
        <w:tc>
          <w:tcPr>
            <w:tcW w:w="900" w:type="dxa"/>
            <w:vAlign w:val="bottom"/>
          </w:tcPr>
          <w:p>
            <w:pPr>
              <w:ind w:left="280"/>
              <w:spacing w:after="0"/>
              <w:rPr>
                <w:sz w:val="20"/>
                <w:szCs w:val="20"/>
                <w:color w:val="auto"/>
              </w:rPr>
            </w:pPr>
            <w:r>
              <w:rPr>
                <w:rFonts w:ascii="Arial" w:cs="Arial" w:eastAsia="Arial" w:hAnsi="Arial"/>
                <w:sz w:val="16"/>
                <w:szCs w:val="16"/>
                <w:color w:val="auto"/>
              </w:rPr>
              <w:t>TBD</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Rattlesnake</w:t>
            </w:r>
            <w:r>
              <w:rPr>
                <w:rFonts w:ascii="Arial" w:cs="Arial" w:eastAsia="Arial" w:hAnsi="Arial"/>
                <w:sz w:val="21"/>
                <w:szCs w:val="21"/>
                <w:color w:val="auto"/>
                <w:vertAlign w:val="superscript"/>
              </w:rPr>
              <w:t>(b)</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144</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WA</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2020</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Black Rock</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110</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WV</w:t>
            </w:r>
          </w:p>
        </w:tc>
        <w:tc>
          <w:tcPr>
            <w:tcW w:w="900" w:type="dxa"/>
            <w:vAlign w:val="bottom"/>
          </w:tcPr>
          <w:p>
            <w:pPr>
              <w:ind w:left="280"/>
              <w:spacing w:after="0"/>
              <w:rPr>
                <w:sz w:val="20"/>
                <w:szCs w:val="20"/>
                <w:color w:val="auto"/>
              </w:rPr>
            </w:pPr>
            <w:r>
              <w:rPr>
                <w:rFonts w:ascii="Arial" w:cs="Arial" w:eastAsia="Arial" w:hAnsi="Arial"/>
                <w:sz w:val="16"/>
                <w:szCs w:val="16"/>
                <w:color w:val="auto"/>
              </w:rPr>
              <w:t>2021</w:t>
            </w: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Wildflower</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Solar</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9"/>
              </w:rPr>
              <w:t>MS</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2022</w:t>
            </w: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Pinnacle Repowering</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Wind</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WV</w:t>
            </w:r>
          </w:p>
        </w:tc>
        <w:tc>
          <w:tcPr>
            <w:tcW w:w="900" w:type="dxa"/>
            <w:vAlign w:val="bottom"/>
          </w:tcPr>
          <w:p>
            <w:pPr>
              <w:ind w:left="280"/>
              <w:spacing w:after="0"/>
              <w:rPr>
                <w:sz w:val="20"/>
                <w:szCs w:val="20"/>
                <w:color w:val="auto"/>
              </w:rPr>
            </w:pPr>
            <w:r>
              <w:rPr>
                <w:rFonts w:ascii="Arial" w:cs="Arial" w:eastAsia="Arial" w:hAnsi="Arial"/>
                <w:sz w:val="16"/>
                <w:szCs w:val="16"/>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On December 26, 2018, the Company and CEG amended the DGPV Holdco 3 partnership agreement to increase the capital commitment of $50 million to $70 million.</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On January 8, 2020, CEG offered the Company the opportunity to acquire 100% of the equity interests in Rattlesnake.</w:t>
      </w:r>
    </w:p>
    <w:p>
      <w:pPr>
        <w:spacing w:after="0" w:line="1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Primary focus on North America. </w:t>
      </w:r>
      <w:r>
        <w:rPr>
          <w:rFonts w:ascii="Arial" w:cs="Arial" w:eastAsia="Arial" w:hAnsi="Arial"/>
          <w:sz w:val="18"/>
          <w:szCs w:val="18"/>
          <w:color w:val="auto"/>
        </w:rPr>
        <w:t>The Company intends to primarily focus its investments in North America (including the unincorporated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territories of the U.S.). The Company believes that industry 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Maintain sound financial practices to grow the dividend. </w:t>
      </w:r>
      <w:r>
        <w:rPr>
          <w:rFonts w:ascii="Arial" w:cs="Arial" w:eastAsia="Arial" w:hAnsi="Arial"/>
          <w:sz w:val="18"/>
          <w:szCs w:val="18"/>
          <w:color w:val="auto"/>
        </w:rPr>
        <w:t>The Company intends to maintain a commitment to disciplined financial analysis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75"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a dividend policy that is based on distributing a significant portion of CAFD each quarter that the Company receives from Clearway Energy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 The Company believes it has additional flexibility to seek alternative financing arrangements, including, but not limited to, debt financings and equity-like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The Company's facilities have a stable, predictable cash flow profile consisting of predominantly long-life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assets that sell electricity under long-term fixed priced contracts or pursuant to regulated rates with investment grade and certain other creditworthy counterparties. As discussed above, PG&amp;E, one of the Company's significant customers, filed for bankruptcy on January 29, 2019. The Company's facilities have minimal fuel risk. For the Company's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Arial" w:cs="Arial" w:eastAsia="Arial" w:hAnsi="Arial"/>
          <w:sz w:val="16"/>
          <w:szCs w:val="16"/>
          <w:color w:val="231F20"/>
        </w:rPr>
        <w:t>13 years</w:t>
      </w:r>
      <w:r>
        <w:rPr>
          <w:rFonts w:ascii="Arial" w:cs="Arial" w:eastAsia="Arial" w:hAnsi="Arial"/>
          <w:sz w:val="16"/>
          <w:szCs w:val="16"/>
          <w:color w:val="auto"/>
        </w:rPr>
        <w:t xml:space="preserve"> as of December 31, 2019,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High quality, long-lived assets with low operating and capital requirements. </w:t>
      </w:r>
      <w:r>
        <w:rPr>
          <w:rFonts w:ascii="Arial" w:cs="Arial" w:eastAsia="Arial" w:hAnsi="Arial"/>
          <w:sz w:val="16"/>
          <w:szCs w:val="16"/>
          <w:color w:val="auto"/>
        </w:rPr>
        <w:t>The Company benefits from a portfolio of relatively younger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Significant scale and diversity. </w:t>
      </w:r>
      <w:r>
        <w:rPr>
          <w:rFonts w:ascii="Arial" w:cs="Arial" w:eastAsia="Arial" w:hAnsi="Arial"/>
          <w:sz w:val="18"/>
          <w:szCs w:val="18"/>
          <w:color w:val="auto"/>
        </w:rPr>
        <w:t>The Company owns and operates a large and diverse portfolio of contracted electric generation and thermal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infrastructure assets. As of December 31, 2019, the Company's </w:t>
      </w:r>
      <w:r>
        <w:rPr>
          <w:rFonts w:ascii="Arial" w:cs="Arial" w:eastAsia="Arial" w:hAnsi="Arial"/>
          <w:sz w:val="18"/>
          <w:szCs w:val="18"/>
          <w:color w:val="231F20"/>
        </w:rPr>
        <w:t>5,875</w:t>
      </w:r>
      <w:r>
        <w:rPr>
          <w:rFonts w:ascii="Arial" w:cs="Arial" w:eastAsia="Arial" w:hAnsi="Arial"/>
          <w:sz w:val="18"/>
          <w:szCs w:val="18"/>
          <w:color w:val="auto"/>
        </w:rPr>
        <w:t xml:space="preserve"> net MW contracted generation portfolio benefits from significant diversification in terms of technology, fuel type, counterparty and geography. The Company's Thermal Business consists of thirteen operations, seven of which are district energy centers that provide steam and chilled water to approximately 700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79" w:right="239" w:bottom="1440" w:gutter="0" w:footer="0" w:header="0"/>
        </w:sectPr>
      </w:pPr>
    </w:p>
    <w:bookmarkStart w:id="10" w:name="page11"/>
    <w:bookmarkEnd w:id="10"/>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GIP and CEG. </w:t>
      </w:r>
      <w:r>
        <w:rPr>
          <w:rFonts w:ascii="Arial" w:cs="Arial" w:eastAsia="Arial" w:hAnsi="Arial"/>
          <w:sz w:val="18"/>
          <w:szCs w:val="18"/>
          <w:color w:val="auto"/>
        </w:rPr>
        <w:t>The Company believes that its relationship with GIP and CEG provides significant benefits. GIM, the manager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GIP, is an independent infrastructure fund manager that invests in infrastructure assets and businesses in both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The Company's portfolio of electric generation assets consists of 3,403 net MW of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capacity that are non-emitting sources of power generation. The Company's conventional assets consist of the dual fuel-fired GenConn assets as well as the Carlsbad,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the Company's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serving as a barrier to entry in the markets in which such assets operate. As of December 31, 2019, the Company's thermal gross property, plant, and equipment was approximately $648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following tables summarize the Company's operating revenues, net income (loss) and assets by segment for the years ended December 31, 2019, 2018 and 2017, as discussed in Item 15 — Note 13, </w:t>
      </w:r>
      <w:r>
        <w:rPr>
          <w:rFonts w:ascii="Arial" w:cs="Arial" w:eastAsia="Arial" w:hAnsi="Arial"/>
          <w:sz w:val="18"/>
          <w:szCs w:val="18"/>
          <w:i w:val="1"/>
          <w:iCs w:val="1"/>
          <w:color w:val="auto"/>
        </w:rPr>
        <w:t>Segment Reporting</w:t>
      </w:r>
      <w:r>
        <w:rPr>
          <w:rFonts w:ascii="Arial" w:cs="Arial" w:eastAsia="Arial" w:hAnsi="Arial"/>
          <w:sz w:val="18"/>
          <w:szCs w:val="18"/>
          <w:color w:val="auto"/>
        </w:rPr>
        <w:t>, to the Consolidated Financial Statements.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45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2018</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45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Incentives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Policy incentives in the U.S. have the effect of making the development of renewable energy projects more competitive by providing credits and other tax benefits for a portion of the development costs. A loss of or reduction in such incentives could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79"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decrease the 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fully depreciated for tax purposes over a five-year period even 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The IRS also confirmed that retrofitted wind facilities may re-qualify for PTCs or ITCs pursuant to the beginning construction requirement, as long as the cost basis of the new investment is at least 80% of the facility’s total fair value.</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solar projects are eligible to claim an ITC for new solar projects. Tax credits for qualifying wind and solar projects are subject to the following phase-down schedule.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color w:val="auto"/>
                <w:w w:val="96"/>
              </w:rPr>
              <w:t>Year construction of project begins</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2017</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2022</w:t>
            </w:r>
          </w:p>
        </w:tc>
      </w:tr>
      <w:tr>
        <w:trPr>
          <w:trHeight w:val="190"/>
        </w:trPr>
        <w:tc>
          <w:tcPr>
            <w:tcW w:w="44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28"/>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PTC</w:t>
            </w:r>
            <w:r>
              <w:rPr>
                <w:rFonts w:ascii="Arial" w:cs="Arial" w:eastAsia="Arial" w:hAnsi="Arial"/>
                <w:sz w:val="7"/>
                <w:szCs w:val="7"/>
                <w:color w:val="auto"/>
              </w:rPr>
              <w:t>(a)</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w:t>
            </w:r>
          </w:p>
        </w:tc>
      </w:tr>
      <w:tr>
        <w:trPr>
          <w:trHeight w:val="191"/>
        </w:trPr>
        <w:tc>
          <w:tcPr>
            <w:tcW w:w="4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2"/>
        </w:trPr>
        <w:tc>
          <w:tcPr>
            <w:tcW w:w="4460" w:type="dxa"/>
            <w:vAlign w:val="bottom"/>
          </w:tcPr>
          <w:p>
            <w:pPr>
              <w:ind w:left="40"/>
              <w:spacing w:after="0"/>
              <w:rPr>
                <w:sz w:val="20"/>
                <w:szCs w:val="20"/>
                <w:color w:val="auto"/>
              </w:rPr>
            </w:pPr>
            <w:r>
              <w:rPr>
                <w:rFonts w:ascii="Arial" w:cs="Arial" w:eastAsia="Arial" w:hAnsi="Arial"/>
                <w:sz w:val="14"/>
                <w:szCs w:val="14"/>
                <w:color w:val="auto"/>
              </w:rPr>
              <w:t>Wind ITC</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9"/>
                <w:szCs w:val="19"/>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24 %</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9"/>
                <w:szCs w:val="19"/>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Solar ITC</w:t>
            </w:r>
            <w:r>
              <w:rPr>
                <w:rFonts w:ascii="Arial" w:cs="Arial" w:eastAsia="Arial" w:hAnsi="Arial"/>
                <w:sz w:val="7"/>
                <w:szCs w:val="7"/>
                <w:color w:val="auto"/>
              </w:rPr>
              <w:t>(b)</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251"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Percentage of the full PTC available for wind projects that begin construction during the applicable year.</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ITC is limited to 10% for projects not placed in service before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7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FERC</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generating facilities qualifies as either an EWG or QF.</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number of regulations that may affect the Company are under review, including the publishing of the Affordable Clean Energy (ACE) rule and state analogs to MBTA requirements for incidental take. The Company will evaluate the impact of these regulations as they are revised but cannot fully predict the impact of each until anticipated revisions and legal challenges are resolved. To the extent the regulations restrict or otherwise impact the Company's operations, the regulations could have a negative impact on the Company's financial performance.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Clean Air Act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Affordable Clean Energy </w:t>
      </w:r>
      <w:r>
        <w:rPr>
          <w:rFonts w:ascii="Arial" w:cs="Arial" w:eastAsia="Arial" w:hAnsi="Arial"/>
          <w:sz w:val="18"/>
          <w:szCs w:val="18"/>
          <w:color w:val="auto"/>
        </w:rPr>
        <w:t>— The attention in recent years on GHG emissions has resulted in federal regulations and state legislative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 2015, the EPA finalized the Clean Power Plan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79"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i w:val="1"/>
          <w:iCs w:val="1"/>
          <w:color w:val="212121"/>
        </w:rPr>
        <w:t>Migratory Bird Treaty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2019, Senator Lowenthal of New York developed a draft bill — the Migratory Bird Protection Act of 2019 — to reinstate the interpretation that incidental take </w:t>
      </w:r>
      <w:r>
        <w:rPr>
          <w:rFonts w:ascii="Arial" w:cs="Arial" w:eastAsia="Arial" w:hAnsi="Arial"/>
          <w:sz w:val="18"/>
          <w:szCs w:val="18"/>
          <w:i w:val="1"/>
          <w:iCs w:val="1"/>
          <w:color w:val="auto"/>
        </w:rPr>
        <w:t>is prohibited</w:t>
      </w:r>
      <w:r>
        <w:rPr>
          <w:rFonts w:ascii="Arial" w:cs="Arial" w:eastAsia="Arial" w:hAnsi="Arial"/>
          <w:sz w:val="18"/>
          <w:szCs w:val="18"/>
          <w:color w:val="auto"/>
        </w:rPr>
        <w:t xml:space="preserve"> under the MBTA, overriding the recent Trump-administration Solicitor’s Opinion M-37050 that held the MBTA only applies to intentional takings. The draft bill also develops a general permitting program that covers incidental take of migratory birds. To the extent that renewable energy takes migratory birds, it typically is incidental to its operations.</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2019, Assembly Member Kalra introduced AB 454 to protect migratory bird species in California. This new bill was intended to backstop the MBTA. The bill, which sunsets on January 20, 2025, makes it unlawful to take or possess any migratory bird in California except as provided by pre-2017 federal guidance. The bill was approved by the State Legislature and signed into law by Governor Newsom in October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sells its electricity and environmental attributes, including RECs, primarily to local utilities under long-term, fixed-price PPAs. During the year ended December 31, 2019, the Company derived approximately 40% of its consolidated revenue from Southern California Edison, or SCE, and approximately 22% of its consolidated revenue from PG&amp;E. See </w:t>
      </w:r>
      <w:r>
        <w:rPr>
          <w:rFonts w:ascii="Arial" w:cs="Arial" w:eastAsia="Arial" w:hAnsi="Arial"/>
          <w:sz w:val="18"/>
          <w:szCs w:val="18"/>
          <w:i w:val="1"/>
          <w:iCs w:val="1"/>
          <w:color w:val="auto"/>
        </w:rPr>
        <w:t>Pacific Gas and Electric Company Bankruptcy</w:t>
      </w:r>
      <w:r>
        <w:rPr>
          <w:rFonts w:ascii="Arial" w:cs="Arial" w:eastAsia="Arial" w:hAnsi="Arial"/>
          <w:sz w:val="18"/>
          <w:szCs w:val="18"/>
          <w:color w:val="auto"/>
        </w:rPr>
        <w:t xml:space="preserve"> within this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PG&amp;E Bankruptcy</w:t>
      </w:r>
      <w:r>
        <w:rPr>
          <w:rFonts w:ascii="Arial" w:cs="Arial" w:eastAsia="Arial" w:hAnsi="Arial"/>
          <w:sz w:val="18"/>
          <w:szCs w:val="18"/>
          <w:color w:val="auto"/>
        </w:rPr>
        <w:t>" found in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to this Annual Report on Form 10-K for additional information regarding the PG&amp;E</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 had 307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the Company's website, </w:t>
      </w:r>
      <w:r>
        <w:rPr>
          <w:rFonts w:ascii="Arial" w:cs="Arial" w:eastAsia="Arial" w:hAnsi="Arial"/>
          <w:sz w:val="18"/>
          <w:szCs w:val="18"/>
          <w:i w:val="1"/>
          <w:iCs w:val="1"/>
          <w:color w:val="auto"/>
        </w:rPr>
        <w:t>www.clearwayenergy.com</w:t>
      </w:r>
      <w:r>
        <w:rPr>
          <w:rFonts w:ascii="Arial" w:cs="Arial" w:eastAsia="Arial" w:hAnsi="Arial"/>
          <w:sz w:val="18"/>
          <w:szCs w:val="18"/>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7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PG&amp;E Bankruptcy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PG&amp;E Bankruptcy could adversely affect the Company’s results of operations, financial condition and cash flows.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2019, PG&amp;E filed for reorganization under Chapter 11 of the U.S. Bankruptcy Code in the U.S. Bankruptcy Court for the Northern District of California, or the Bankruptcy Court. PG&amp;E is one of the Company's largest customers, representing approximately 22% of the Company's consolidated operating revenues during the year ended December 31, 2019 and 14% of total accounts receivable as of December 31, 2019. Certain subsidiaries of the Company, which hold interests in six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Most of the PPAs with PG&amp;E have contract prices that are higher than currently estimated market prices. These contracts are subject to review by the Bankruptcy Court.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Although the PG&amp;E Bankruptcy filing triggered defaults under the PPAs with the PG&amp;E and under the related financing agreements for each respective facility, 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 For further discussion, see </w:t>
      </w:r>
      <w:r>
        <w:rPr>
          <w:rFonts w:ascii="Arial" w:cs="Arial" w:eastAsia="Arial" w:hAnsi="Arial"/>
          <w:sz w:val="16"/>
          <w:szCs w:val="16"/>
          <w:i w:val="1"/>
          <w:iCs w:val="1"/>
          <w:color w:val="auto"/>
        </w:rPr>
        <w:t>Item 15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Note 10, </w:t>
      </w:r>
      <w:r>
        <w:rPr>
          <w:rFonts w:ascii="Arial" w:cs="Arial" w:eastAsia="Arial" w:hAnsi="Arial"/>
          <w:sz w:val="16"/>
          <w:szCs w:val="16"/>
          <w:i w:val="1"/>
          <w:iCs w:val="1"/>
          <w:color w:val="auto"/>
        </w:rPr>
        <w:t>Long-term Debt.</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PG&amp;E does not have the financial means or refuses to pay the amounts owing to the Company under the PPAs, and if the Company cannot recover the amounts owed through other means, the Company may be required to write-off all, or a portion of, any outstanding accounts receivable, and to impair its fixed assets. Any such results would adversely affect the Company's financial results.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continues to assess the potential future impacts of the PG&amp;E Bankruptcy on the Company’s operations. The realization of any of the above risks could significantly and adversely affect the Company's ability to meet its financial expectations, its financial condition, results of operations, and cash flows, its ability to make distributions to its stockholders, the market price of its common stock, and its ability to satisfy its debt service obligations.</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significant portion of the electric power the Company generates is sold under long-term offtake agreements with public utilities or industrial or commercial end-users, with a weighted average remaining duration, based on CAFD, of approximately 13 years. As of December 31, 2019, the largest customers of the Company's power generation assets, including assets in which the Company has less than a 100% membership interest, were SCE and PG&amp;E, which represented 40% and 22%, respectively, of total consolidated revenues generated by the Company during the year ended December 31, 2019. As previously noted, on January 29, 2019, PG&amp;E filed for reorganization under Chapter 11 of the Bankruptcy Code.</w:t>
      </w:r>
    </w:p>
    <w:p>
      <w:pPr>
        <w:spacing w:after="0" w:line="11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for any reason, any of the purchasers of power under these agreements, including PG&amp;E as a result of the PG&amp;E Bankruptcy,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75" w:right="239" w:bottom="1440" w:gutter="0" w:footer="0" w:header="0"/>
        </w:sectPr>
      </w:pPr>
    </w:p>
    <w:bookmarkStart w:id="15" w:name="page16"/>
    <w:bookmarkEnd w:id="15"/>
    <w:p>
      <w:pPr>
        <w:jc w:val="both"/>
        <w:ind w:firstLine="648"/>
        <w:spacing w:after="0" w:line="268"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dividends to holders of the Company's common stock.</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could be limited.</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79" w:right="239" w:bottom="1440" w:gutter="0" w:footer="0" w:header="0"/>
        </w:sectPr>
      </w:pPr>
    </w:p>
    <w:bookmarkStart w:id="16" w:name="page17"/>
    <w:bookmarkEnd w:id="16"/>
    <w:p>
      <w:pPr>
        <w:jc w:val="both"/>
        <w:ind w:firstLine="648"/>
        <w:spacing w:after="0" w:line="276" w:lineRule="auto"/>
        <w:rPr>
          <w:sz w:val="20"/>
          <w:szCs w:val="20"/>
          <w:color w:val="auto"/>
        </w:rPr>
      </w:pPr>
      <w:r>
        <w:rPr>
          <w:rFonts w:ascii="Arial" w:cs="Arial" w:eastAsia="Arial" w:hAnsi="Arial"/>
          <w:sz w:val="17"/>
          <w:szCs w:val="17"/>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 including, but not limited to, approval by FERC under Section 203 of the FPA.</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dividends to holders of the Company’s common stock.</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Class A and Class C stockholders. Any failure of the Company’s acquired generation assets to be accretive or difficulty in integrating such acquisition into the Company’s business could have a material adverse effect on the Company’s ability to grow its business and make cash distributions to its Class A and Class C stockholders.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2019, the Company had approximately $6,858 million of total consolidated indebtedness, $5,175 million of which was incurred by the Company's non-guarantor subsidiaries. In addition, the Company’s share of its unconsolidated affiliates’ total indebtedness and letters of credit outstanding as of December 31, 2019, totaled approximately $889 million and $83 million, respectively (calculated as the Company’s unconsolidated affiliates’ total indebtedness as of such date multiplied by the Company’s percentage membership interest in such assets).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79"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Company’s substantial debt could have important negative consequences on the Company’s financial condition, including:</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23"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revolving credit facility, are at variable rates of interest;</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previously discussed, the PG&amp;E Bankruptcy filing has triggered defaults under the PPAs with PG&amp;E and under the related financing agreements for each respective facility, all of which have non-recourse project level debt and in certain cases, holding company debt. 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0" w:right="2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confidence in the Company, its partners, GIP, through CEG, as the Company’s principal stockholder (on a combined voting basis) and the regional wholesale power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or the replacement of the London Interbank Offered Rate with an alternative reference rate, may adversely affect interest expense related to outstanding debt.</w:t>
      </w:r>
    </w:p>
    <w:p>
      <w:pPr>
        <w:spacing w:after="0" w:line="1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Amounts drawn under the Company's revolving credit facility and certain of the Company's project-level debt facilities currently bear interest at rates based on the London Interbank Offered Rate, or LIBOR. On July 27, 2017, the Financial Conduct Authority in the United Kingdom announced that it would phase out LIBOR as a benchmark by the end of 2021. It is unclear whether new methods of calculating LIBOR will be established such that it continues to exist after 2021.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any technical amendments or other contractual alternatives to address this matter and is currently evaluating the impact of the potential replacement of LIBOR. If no such amendments or other contractual 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these hedging strategies may not be effective as a result of the replacement or phasing out of LIBOR, and the Company may incur losses as a result. In addition, the overall financial markets may be disrupted as a result of the phase-out or replacement of LIBOR. The potential increase in the Company’s interest expense as a result of the phase-out of LIBOR and uncertainty as to the nature of such potential phase-out and alternative reference rates or disruption in the financial market could have an adverse effect on the Company's business, financial condition, results of operations and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79"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1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79"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on terms similar to those presently available. Any losses not covered by insurance could have a material adverse effect on the Company's business, financial condition, results of operations and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facilities may operate, wholly or partially, without long-term power sales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79"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Supplier and/or customer concentration at certain of the Company's facilities may expose the Company to significant financial credit or performance risks.</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As described in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79"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does not own all of the land on which its power generation or thermal assets are located, which could result in disruption to its operations.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79" w:right="239" w:bottom="144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79"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businesses are subject to physical, market and economic risks relating to potential effects of climate change.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Climate change creates uncertainty in weather and other environmental conditions, including temperature and precipitation levels, and thus may affect consumer demand for electricity.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GHG regulation could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2019, the U.S. submitted formal notification to the United Nations that it intends to withdraw from the Paris Agreement in November 2020. There are no guarantees that the agreement will not be re-implemented in the U.S., or re-implemented in part by specific U.S. states or local governments. The U.S. Congress, along with federal and state agencies, </w:t>
      </w:r>
      <w:r>
        <w:rPr>
          <w:rFonts w:ascii="Arial" w:cs="Arial" w:eastAsia="Arial" w:hAnsi="Arial"/>
          <w:sz w:val="16"/>
          <w:szCs w:val="16"/>
          <w:color w:val="231F20"/>
        </w:rPr>
        <w:t>has</w:t>
      </w:r>
      <w:r>
        <w:rPr>
          <w:rFonts w:ascii="Arial" w:cs="Arial" w:eastAsia="Arial" w:hAnsi="Arial"/>
          <w:sz w:val="16"/>
          <w:szCs w:val="16"/>
          <w:color w:val="auto"/>
        </w:rPr>
        <w:t xml:space="preserve">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we gather, transport and store.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certain candidates in the U.S. presidential campaign. The effect on the Company of any new legislative or regulatory measures will depend on the particular provisions that are ultimately adopted.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79" w:right="239" w:bottom="1440" w:gutter="0" w:footer="0" w:header="0"/>
        </w:sectPr>
      </w:pPr>
    </w:p>
    <w:bookmarkStart w:id="25" w:name="page26"/>
    <w:bookmarkEnd w:id="25"/>
    <w:p>
      <w:pPr>
        <w:jc w:val="both"/>
        <w:spacing w:after="0" w:line="381" w:lineRule="auto"/>
        <w:rPr>
          <w:sz w:val="20"/>
          <w:szCs w:val="20"/>
          <w:color w:val="auto"/>
        </w:rPr>
      </w:pPr>
      <w:r>
        <w:rPr>
          <w:rFonts w:ascii="Arial" w:cs="Arial" w:eastAsia="Arial" w:hAnsi="Arial"/>
          <w:sz w:val="15"/>
          <w:szCs w:val="15"/>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2016 through 2019.Wind projects that began construction in 2018 or 2019 are eligible for PTCS at 60% and 40% of the statutory rate per kWh, respectively. In December 2019, the U.S. Congress extended the 10-year wind PTC for wind projects that begin construction in 2020, and such projects are eligible for PTCs at 60% of the statutory rate per kWh. The same legislation also extended an 18% ITC in lieu of the PTC for wind projects that begin construction in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79" w:right="239" w:bottom="1440" w:gutter="0" w:footer="0" w:header="0"/>
        </w:sectPr>
      </w:pPr>
    </w:p>
    <w:bookmarkStart w:id="26" w:name="page27"/>
    <w:bookmarkEnd w:id="26"/>
    <w:p>
      <w:pPr>
        <w:jc w:val="both"/>
        <w:ind w:firstLine="648"/>
        <w:spacing w:after="0" w:line="253" w:lineRule="auto"/>
        <w:rPr>
          <w:sz w:val="20"/>
          <w:szCs w:val="20"/>
          <w:color w:val="auto"/>
        </w:rPr>
      </w:pPr>
      <w:r>
        <w:rPr>
          <w:rFonts w:ascii="Arial" w:cs="Arial" w:eastAsia="Arial" w:hAnsi="Arial"/>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depends on key personnel, the loss of any of which could have a material adverse effect on the Company's financial condition and results of operations.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7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the Company's Relationships with GIP and CEG</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GIP, through its ownership of CEG, is the Company's controlling stockholder and exercises substantial influence over the Company. The Company is highly dependent on GIP.</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GIP, through its ownership of CEG, owns all of the Company's outstanding Class B and Class D common stock. The Company's outstanding Class B and Class D common stock is entitled to one vote per share and 1/100th of a vote per share, respectively. As a result of its ownership of the Class B and Class D common stock, GIP indirectly owns 54.95% of the combined voting power of the Company's common stock as of December 31, 2019. As a result of this ownership, GIP has a substantial influence on the Company's affairs and its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GIP has the right to elect all of the Company's directors. GIP may cause corporate actions to be taken even if their interests conflict with the interests of the Company's other stockholders (including holders of the Company's Class A and Class C common stock).</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the Company depends on certain services provided by or under the direction of CEG under the CEG Master Services Agreement.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also depends upon CEG and NRG for the provision of management, administration, O&amp;M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GIP and its affiliates control the Company and have the ability to designate a majority of the members of the Company’s Board.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Due to GIP's approximate 54.95% combined voting power in the Company, the ability of other holders of the Company’s Class A and Class C common stock to exercise control over the corporate governance of the Company is limited. GIP and its affiliates have a substantial influence on the Company’s affairs and its voting power constitutes a large percentage of any quorum of the Company’s stockholders voting on any matter requiring the approval of the Company’s stockholders. GIP and its affiliates may hold certain interests that are different from those of the Company or other holders of the Company’s Class A and Class C common stock and there is no assurance that GIP and its affiliates will exercise its control over the Company in a manner that is consistent with the Company’s interests or those of the holders of the Company’s Class A and Class C common stock.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7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CEG.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terminate the CEG Master Services Agreement, in certain circumstances.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79" w:right="239" w:bottom="1440" w:gutter="0" w:footer="0" w:header="0"/>
        </w:sectPr>
      </w:pPr>
    </w:p>
    <w:bookmarkStart w:id="29" w:name="page30"/>
    <w:bookmarkEnd w:id="29"/>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16" w:lineRule="exact"/>
        <w:rPr>
          <w:sz w:val="20"/>
          <w:szCs w:val="20"/>
          <w:color w:val="auto"/>
        </w:rPr>
      </w:pPr>
    </w:p>
    <w:p>
      <w:pPr>
        <w:jc w:val="both"/>
        <w:ind w:firstLine="680"/>
        <w:spacing w:after="0" w:line="269" w:lineRule="auto"/>
        <w:rPr>
          <w:sz w:val="20"/>
          <w:szCs w:val="20"/>
          <w:color w:val="auto"/>
        </w:rPr>
      </w:pPr>
      <w:r>
        <w:rPr>
          <w:rFonts w:ascii="Arial" w:cs="Arial" w:eastAsia="Arial" w:hAnsi="Arial"/>
          <w:sz w:val="17"/>
          <w:szCs w:val="17"/>
          <w:color w:val="auto"/>
        </w:rPr>
        <w:t>As of December 31, 2019, GIP indirectly controls 54.95%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compensation committee is not comprised entirely of independent directors. Therefore, the Company’s stockholders may not have the same protections afforded to stockholders of companies that are subject to all of the applicable NYSE listing requirements. It is also possible that the interests of GIP may in some circumstances conflict with the Company's interests and the interests of the holders of the Company's Class A and Class C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not be able to continue paying comparable or growing cash dividends to holders of its common stock in the future.</w:t>
      </w:r>
    </w:p>
    <w:p>
      <w:pPr>
        <w:spacing w:after="0" w:line="183" w:lineRule="exact"/>
        <w:rPr>
          <w:sz w:val="20"/>
          <w:szCs w:val="20"/>
          <w:color w:val="auto"/>
        </w:rPr>
      </w:pPr>
    </w:p>
    <w:p>
      <w:pPr>
        <w:jc w:val="both"/>
        <w:ind w:firstLine="674"/>
        <w:spacing w:after="0" w:line="277" w:lineRule="auto"/>
        <w:rPr>
          <w:sz w:val="20"/>
          <w:szCs w:val="20"/>
          <w:color w:val="auto"/>
        </w:rPr>
      </w:pPr>
      <w:r>
        <w:rPr>
          <w:rFonts w:ascii="Arial" w:cs="Arial" w:eastAsia="Arial" w:hAnsi="Arial"/>
          <w:sz w:val="18"/>
          <w:szCs w:val="18"/>
          <w:color w:val="auto"/>
        </w:rPr>
        <w:t>The amount of CAFD principally depends upon the amount of cash the Company generates from its operations, which will fluctuate from quarter to quarter based on, among other things:</w:t>
      </w:r>
    </w:p>
    <w:p>
      <w:pPr>
        <w:spacing w:after="0" w:line="116" w:lineRule="exact"/>
        <w:rPr>
          <w:sz w:val="20"/>
          <w:szCs w:val="20"/>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timing of capital expenditures the Company makes;</w:t>
      </w:r>
    </w:p>
    <w:p>
      <w:pPr>
        <w:spacing w:after="0" w:line="171" w:lineRule="exact"/>
        <w:rPr>
          <w:rFonts w:ascii="Arial" w:cs="Arial" w:eastAsia="Arial" w:hAnsi="Arial"/>
          <w:sz w:val="18"/>
          <w:szCs w:val="18"/>
          <w:color w:val="auto"/>
        </w:rPr>
      </w:pPr>
    </w:p>
    <w:p>
      <w:pPr>
        <w:ind w:left="1960" w:hanging="331"/>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operating and general and administrative expenses, including reimbursements to CEG for services provided to the Company in accordance with the CEG Master Services Agreement;</w:t>
      </w:r>
    </w:p>
    <w:p>
      <w:pPr>
        <w:spacing w:after="0" w:line="116"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revenues generated by the business, due to seasonality, weather, or otherwise;</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service requirements and other liabilities;</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borrow funds and access capital markets;</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contained in the Company's debt agreements (including project-level financing and, if applicable, corporate debt); and</w:t>
      </w:r>
    </w:p>
    <w:p>
      <w:pPr>
        <w:spacing w:after="0" w:line="194" w:lineRule="exact"/>
        <w:rPr>
          <w:rFonts w:ascii="Arial" w:cs="Arial" w:eastAsia="Arial" w:hAnsi="Arial"/>
          <w:sz w:val="16"/>
          <w:szCs w:val="16"/>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business risks affecting cash levels.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79" w:right="239" w:bottom="1440" w:gutter="0" w:footer="0" w:header="0"/>
        </w:sectPr>
      </w:pPr>
    </w:p>
    <w:bookmarkStart w:id="30" w:name="page31"/>
    <w:bookmarkEnd w:id="30"/>
    <w:p>
      <w:pPr>
        <w:jc w:val="both"/>
        <w:ind w:firstLine="648"/>
        <w:spacing w:after="0" w:line="270" w:lineRule="auto"/>
        <w:rPr>
          <w:sz w:val="20"/>
          <w:szCs w:val="20"/>
          <w:color w:val="auto"/>
        </w:rPr>
      </w:pPr>
      <w:r>
        <w:rPr>
          <w:rFonts w:ascii="Arial" w:cs="Arial" w:eastAsia="Arial" w:hAnsi="Arial"/>
          <w:sz w:val="17"/>
          <w:szCs w:val="17"/>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PG&amp;E Bankruptcy, certain of the Company's unconsolidated investments have been unable to distribute project dividends to the Company since early 2019.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Clearway Energy LLC's CAFD will likely fluctuate from quarter to quarter, in some cases significantly, due to seasonality.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Finally, dividends to holders of the Company's Class A or Class C common stock will be paid at the discretion of the Company's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may decrease the level, or entirely discontinue payment, of dividends.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have an effect on the value of the Company's Class A and Class C common stock.</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which are currently at low levels relative to historical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 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7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Market volatility may affect the price of the Company's Class A and Class C common stock.</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GIP or CEG,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GIP or CEG.</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Securities markets in general have experienced extreme volatility that has often been unrelated to the operating performance of particular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broad market fluctuations may adversely affect the trading price of the Company's Class A and Class C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of market conditions may increase certain of the risks the Company faces.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the Company faces. The Company and other companies may have to adjust their plans and priorities in light of such volatility.</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Risks that may increase as a result of market volatility include, but are not limited to, risks related to access to capital and liquidity and risks related to the performance of third parties and GIP. The Company has significant relationships with, and in certain areas depends significantly on, GIP and CEG. In particular, CEG provides operational services and other support. The Company’s growth strategy depends on its ability to identify and acquire additional facilities from CEG and unaffiliated third parties. The Company interacts with or depends on CEG for assistance related to many third-party acquisition opportunities and for operations and maintenance support on various pending and completed transactions. As a result, the Company’s financial and operating performance and prospects, including the Company’s ability to grow its dividend per share, may be affected by the performance, prospects, and priorities of GIP and CEG, and material adverse developments at GIP or CEG or changes in their strategic priorities may materially affect the Company's business, financial condition and results of operations.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70" w:lineRule="exact"/>
        <w:rPr>
          <w:sz w:val="20"/>
          <w:szCs w:val="20"/>
          <w:color w:val="auto"/>
        </w:rPr>
      </w:pPr>
    </w:p>
    <w:p>
      <w:pPr>
        <w:jc w:val="both"/>
        <w:ind w:firstLine="768"/>
        <w:spacing w:after="0" w:line="279" w:lineRule="auto"/>
        <w:rPr>
          <w:sz w:val="20"/>
          <w:szCs w:val="20"/>
          <w:color w:val="auto"/>
        </w:rPr>
      </w:pPr>
      <w:r>
        <w:rPr>
          <w:rFonts w:ascii="Arial" w:cs="Arial" w:eastAsia="Arial" w:hAnsi="Arial"/>
          <w:sz w:val="17"/>
          <w:szCs w:val="17"/>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117" w:lineRule="exact"/>
        <w:rPr>
          <w:sz w:val="20"/>
          <w:szCs w:val="20"/>
          <w:color w:val="auto"/>
        </w:rPr>
      </w:pPr>
    </w:p>
    <w:p>
      <w:pPr>
        <w:ind w:left="980" w:hanging="24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71" w:lineRule="exact"/>
        <w:rPr>
          <w:rFonts w:ascii="Arial" w:cs="Arial" w:eastAsia="Arial" w:hAnsi="Arial"/>
          <w:sz w:val="18"/>
          <w:szCs w:val="18"/>
          <w:color w:val="auto"/>
        </w:rPr>
      </w:pPr>
    </w:p>
    <w:p>
      <w:pPr>
        <w:ind w:left="980" w:hanging="243"/>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upon a resolution approved by a majority of the Company's directors then in office;</w:t>
      </w:r>
    </w:p>
    <w:p>
      <w:pPr>
        <w:spacing w:after="0" w:line="194" w:lineRule="exact"/>
        <w:rPr>
          <w:rFonts w:ascii="Arial" w:cs="Arial" w:eastAsia="Arial" w:hAnsi="Arial"/>
          <w:sz w:val="16"/>
          <w:szCs w:val="16"/>
          <w:color w:val="auto"/>
        </w:rPr>
      </w:pPr>
    </w:p>
    <w:p>
      <w:pPr>
        <w:ind w:left="980" w:hanging="24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171" w:lineRule="exact"/>
        <w:rPr>
          <w:rFonts w:ascii="Arial" w:cs="Arial" w:eastAsia="Arial" w:hAnsi="Arial"/>
          <w:sz w:val="18"/>
          <w:szCs w:val="18"/>
          <w:color w:val="auto"/>
        </w:rPr>
      </w:pPr>
    </w:p>
    <w:p>
      <w:pPr>
        <w:ind w:left="980" w:hanging="24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79" w:right="239" w:bottom="1440" w:gutter="0" w:footer="0" w:header="0"/>
        </w:sectPr>
      </w:pPr>
    </w:p>
    <w:bookmarkStart w:id="32" w:name="page33"/>
    <w:bookmarkEnd w:id="32"/>
    <w:p>
      <w:pPr>
        <w:jc w:val="both"/>
        <w:ind w:firstLine="648"/>
        <w:spacing w:after="0" w:line="270" w:lineRule="auto"/>
        <w:rPr>
          <w:sz w:val="20"/>
          <w:szCs w:val="20"/>
          <w:color w:val="auto"/>
        </w:rPr>
      </w:pPr>
      <w:r>
        <w:rPr>
          <w:rFonts w:ascii="Arial" w:cs="Arial" w:eastAsia="Arial" w:hAnsi="Arial"/>
          <w:sz w:val="17"/>
          <w:szCs w:val="17"/>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Investors may experience dilution of ownership interest due to the future issuance of additional shares of the Company's Class A or Class C common stock.</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the Company, the Company's business or the Company's market, or if they change their recommendations regarding the Company's Class A and/or Class C common stock adversely, the stock price and trading volume of the Company's Class A and/or Class C common stock could decline.</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would likely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the Company's Class A or Class C common stock by GIP may cause the price of the Company's Class A or Class C common stock to fall.</w:t>
      </w:r>
    </w:p>
    <w:p>
      <w:pPr>
        <w:spacing w:after="0" w:line="20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market price of the Company's Class A or Class C common stock could decline as a result of sales by GIP of such shares (issuable to GIP upon the exchange of some or all of its Clearway Energy LLC Class B or Class D units, respectively) in the market, or the perception that these sales could occur.</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market price of the Company's Class A or Class C common stock may also decline as a result of GIP disposing or transferring some or all of the Company's outstanding Class B or Class D common stock, which disposals or transfers would reduce GIP's ownership interest in, and voting control over, the Company. These sales might also make it more difficult for the Company to sell equity securities at a time and price that the Company deems appropriate. GIP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may have a material adverse effect on the market price of the Company's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7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Taxation</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expects to generate NOLs and carryforward prior year NOL balances to offset future taxable income. Based on the Company's current portfolio of assets, which include renewable assets that benefit from accelerated tax depreciation deductions and federal tax credits, the Company does not expect to pay significant federal income tax for a period of approximately ten years. While the Company expects these losses will be available as a future benefit, in the event that they are not generated as expected, successfully challenged by the IRS or state and local jurisdictions (in a tax audit or otherwise) or subject to future limitations from a potential change in ownership, as discussed below,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 law occurs, 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ability to use NOLs to offset future income may be limited.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GIP, as well as future issuances by the Company, could contribute to a potential ownership change.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may be required for the Company's deferred tax assets.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holders of the Company's Class A and Class C common stock may be taxable.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and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U.S. tax purposes, the Company's distributions to its stockholders in 2019 and 2018 are classified for U.S. federal income tax purposes as a nontaxable return of capital and reduction of a U.S. stockholder's tax basis, to the extent of a U.S. stockholder's tax basis in each of the Company's common shares, with any remaining amount being taxed as capital gain.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7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the following:</w:t>
      </w:r>
    </w:p>
    <w:p>
      <w:pPr>
        <w:spacing w:after="0" w:line="1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successfully transition services previously provided by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7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the Company's interests in facilities, operations and/or projects owned or leased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8"/>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6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Owner-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1140"/>
              <w:spacing w:after="0"/>
              <w:rPr>
                <w:sz w:val="20"/>
                <w:szCs w:val="20"/>
                <w:color w:val="auto"/>
              </w:rPr>
            </w:pPr>
            <w:r>
              <w:rPr>
                <w:rFonts w:ascii="Arial" w:cs="Arial" w:eastAsia="Arial" w:hAnsi="Arial"/>
                <w:sz w:val="16"/>
                <w:szCs w:val="16"/>
                <w:b w:val="1"/>
                <w:bCs w:val="1"/>
                <w:color w:val="auto"/>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MW</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28"/>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ship</w:t>
            </w:r>
          </w:p>
        </w:tc>
        <w:tc>
          <w:tcPr>
            <w:tcW w:w="100" w:type="dxa"/>
            <w:vAlign w:val="bottom"/>
          </w:tcPr>
          <w:p>
            <w:pPr>
              <w:spacing w:after="0"/>
              <w:rPr>
                <w:sz w:val="22"/>
                <w:szCs w:val="22"/>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Fuel</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COD</w:t>
            </w:r>
          </w:p>
        </w:tc>
        <w:tc>
          <w:tcPr>
            <w:tcW w:w="120" w:type="dxa"/>
            <w:vAlign w:val="bottom"/>
          </w:tcPr>
          <w:p>
            <w:pPr>
              <w:spacing w:after="0"/>
              <w:rPr>
                <w:sz w:val="22"/>
                <w:szCs w:val="22"/>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31"/>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Conventional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Carlsbad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El Segundo</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El Segundo,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August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GenConn Devon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Milford, CT</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Gas/Oil</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2010</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GenConn Middletown</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Middletown, CT</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Natural Gas/Oil</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June 2011</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 Landing</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Antioch,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Walnut Creek</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City of Industry, CA</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May 2013</w:t>
            </w:r>
          </w:p>
        </w:tc>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w w:val="93"/>
              </w:rPr>
              <w:t>Total Conventional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2,662</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Utility Scale Solar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Agua Caliente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Dateland, AZ</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Alpine</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January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Avenal</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Avra Valley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Pima County, AZ</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2012</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Tucson Electric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Blythe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2009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Borrego</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Borrego Springs,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February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San Diego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TX</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CVSR</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San Luis Obispo,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October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Desert Sunlight 250</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Center,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Desert Sunlight 300</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Desert Center,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Kansas South</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Lemoore,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8"/>
                <w:szCs w:val="8"/>
                <w:color w:val="auto"/>
              </w:rPr>
              <w:t>(b)</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Oahu, HI</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November 2019</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Oahu, HI</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2019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Roadrunner</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Santa Teresa, NM</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August 2011</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El Paso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 High Desert</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Lancaster,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530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July - September 2016</w:t>
            </w:r>
          </w:p>
        </w:tc>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PacifiCorp</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256"/>
        </w:trPr>
        <w:tc>
          <w:tcPr>
            <w:tcW w:w="324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Utility Scale Solar</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2,128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Distributed Solar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October 2012 -</w:t>
            </w:r>
          </w:p>
        </w:tc>
        <w:tc>
          <w:tcPr>
            <w:tcW w:w="1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Apple I LLC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2012</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December 2010 -</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AZ DG Solar Projects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AZ</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January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2025 - 2033</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SPP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2008 - June 2012</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October 2012 -</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Other DG Projects</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Solar</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October 2015</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7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8"/>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6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Owner-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1140"/>
              <w:spacing w:after="0"/>
              <w:rPr>
                <w:sz w:val="20"/>
                <w:szCs w:val="20"/>
                <w:color w:val="auto"/>
              </w:rPr>
            </w:pPr>
            <w:r>
              <w:rPr>
                <w:rFonts w:ascii="Arial" w:cs="Arial" w:eastAsia="Arial" w:hAnsi="Arial"/>
                <w:sz w:val="16"/>
                <w:szCs w:val="16"/>
                <w:b w:val="1"/>
                <w:bCs w:val="1"/>
                <w:color w:val="auto"/>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Location</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MW</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ship</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Fuel</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COD</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64"/>
        </w:trPr>
        <w:tc>
          <w:tcPr>
            <w:tcW w:w="3240" w:type="dxa"/>
            <w:vAlign w:val="bottom"/>
            <w:gridSpan w:val="3"/>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Distributed Solar</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Wind</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I</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2010</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Alta II</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2010</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III</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Alta IV</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March 2011</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V</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February 2014</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Western Farmers Electric Co-</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Buffalo Bear</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Buffalo, OK</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2008</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operative</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Ayrshire, IA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2007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Howard County, TX</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2008</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Bloomfield, NE</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2009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Berlin, PA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April 2008</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2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Sterling City, TX</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2008/June 2009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Interstate Power and Light</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Jefferson, IA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May 2007</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Laredo Ridge</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Petersburg, NE</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Southern Maryland Electric</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Berlin, PA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October 2008</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Cooperative</w:t>
            </w:r>
          </w:p>
        </w:tc>
        <w:tc>
          <w:tcPr>
            <w:tcW w:w="102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Odin, MN</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Missouri River Energy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Maryland Department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General Services and University</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Pinnacle</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Keyser, WV</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2011</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System of Maryland</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Elida, NM</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2005</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Public Service Company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Woodward, OK</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October 2007</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Oklahoma</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 Trent</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Sweetwater, TX</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2009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AEP Energy Partners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Spanish Fork, UT</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July 2008</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PacifiCorp</w:t>
            </w:r>
          </w:p>
        </w:tc>
        <w:tc>
          <w:tcPr>
            <w:tcW w:w="102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Logan County, CO</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Spring Canyon III</w:t>
            </w:r>
            <w:r>
              <w:rPr>
                <w:rFonts w:ascii="Arial" w:cs="Arial" w:eastAsia="Arial" w:hAnsi="Arial"/>
                <w:sz w:val="8"/>
                <w:szCs w:val="8"/>
                <w:color w:val="auto"/>
              </w:rPr>
              <w:t>(b)</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Logan County, CO</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Taloga</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Putnam, OK</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Wind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Oklahoma Gas &amp;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Southwestern Public Service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w:t>
            </w:r>
          </w:p>
        </w:tc>
        <w:tc>
          <w:tcPr>
            <w:tcW w:w="1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Vega, TX</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Wind</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2007</w:t>
            </w:r>
          </w:p>
        </w:tc>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56"/>
        </w:trPr>
        <w:tc>
          <w:tcPr>
            <w:tcW w:w="1580" w:type="dxa"/>
            <w:vAlign w:val="bottom"/>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Wind</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2,263</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Thermal Generation</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 Fuel Cell</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Tulare,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Tulare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rPr>
              <w:t xml:space="preserve">Dover </w:t>
            </w:r>
            <w:r>
              <w:rPr>
                <w:rFonts w:ascii="Arial" w:cs="Arial" w:eastAsia="Arial" w:hAnsi="Arial"/>
                <w:sz w:val="8"/>
                <w:szCs w:val="8"/>
                <w:color w:val="auto"/>
              </w:rPr>
              <w:t>(c)</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Dover, DE</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June 2013</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ECP Uptown Campus</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Pittsburgh, PA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Duquesne University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5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60" w:type="dxa"/>
            <w:vAlign w:val="bottom"/>
            <w:vMerge w:val="restart"/>
          </w:tcPr>
          <w:p>
            <w:pPr>
              <w:jc w:val="right"/>
              <w:ind w:right="129"/>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Owner-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1140"/>
              <w:spacing w:after="0"/>
              <w:rPr>
                <w:sz w:val="20"/>
                <w:szCs w:val="20"/>
                <w:color w:val="auto"/>
              </w:rPr>
            </w:pPr>
            <w:r>
              <w:rPr>
                <w:rFonts w:ascii="Arial" w:cs="Arial" w:eastAsia="Arial" w:hAnsi="Arial"/>
                <w:sz w:val="16"/>
                <w:szCs w:val="16"/>
                <w:b w:val="1"/>
                <w:bCs w:val="1"/>
                <w:color w:val="auto"/>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MW</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29"/>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ship</w:t>
            </w:r>
          </w:p>
        </w:tc>
        <w:tc>
          <w:tcPr>
            <w:tcW w:w="100" w:type="dxa"/>
            <w:vAlign w:val="bottom"/>
          </w:tcPr>
          <w:p>
            <w:pPr>
              <w:spacing w:after="0"/>
              <w:rPr>
                <w:sz w:val="22"/>
                <w:szCs w:val="22"/>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Fuel</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COD</w:t>
            </w:r>
          </w:p>
        </w:tc>
        <w:tc>
          <w:tcPr>
            <w:tcW w:w="120" w:type="dxa"/>
            <w:vAlign w:val="bottom"/>
          </w:tcPr>
          <w:p>
            <w:pPr>
              <w:spacing w:after="0"/>
              <w:rPr>
                <w:sz w:val="22"/>
                <w:szCs w:val="22"/>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University of Pittsburgh</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Energy Center - Pittsburgh</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Pittsburgh, PA</w:t>
            </w:r>
          </w:p>
        </w:tc>
        <w:tc>
          <w:tcPr>
            <w:tcW w:w="680" w:type="dxa"/>
            <w:vAlign w:val="bottom"/>
          </w:tcPr>
          <w:p>
            <w:pPr>
              <w:jc w:val="right"/>
              <w:ind w:right="25"/>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Diesel</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January 2019</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Medical Center</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Paxton Creek Cogen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Harrisburg, PA</w:t>
            </w:r>
          </w:p>
        </w:tc>
        <w:tc>
          <w:tcPr>
            <w:tcW w:w="6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1986</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Power sold into PJM markets</w:t>
            </w: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Princeton Hospital</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680" w:type="dxa"/>
            <w:vAlign w:val="bottom"/>
          </w:tcPr>
          <w:p>
            <w:pPr>
              <w:jc w:val="right"/>
              <w:ind w:right="25"/>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January 2012</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w w:val="99"/>
              </w:rPr>
              <w:t>Excess power sold to local utility</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Tucson Convention Center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AZ</w:t>
            </w:r>
          </w:p>
        </w:tc>
        <w:tc>
          <w:tcPr>
            <w:tcW w:w="6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2003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Excess power sold to local utility</w:t>
            </w: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University of Bridgeport</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Bridgeport, CT</w:t>
            </w: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Natural Gas</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2015</w:t>
            </w:r>
          </w:p>
        </w:tc>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University of Bridgeport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56"/>
        </w:trPr>
        <w:tc>
          <w:tcPr>
            <w:tcW w:w="324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Thermal Generation</w:t>
            </w:r>
          </w:p>
        </w:tc>
        <w:tc>
          <w:tcPr>
            <w:tcW w:w="6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gridSpan w:val="4"/>
          </w:tcPr>
          <w:p>
            <w:pPr>
              <w:ind w:left="40"/>
              <w:spacing w:after="0" w:line="237" w:lineRule="exact"/>
              <w:rPr>
                <w:sz w:val="20"/>
                <w:szCs w:val="20"/>
                <w:color w:val="auto"/>
              </w:rPr>
            </w:pPr>
            <w:r>
              <w:rPr>
                <w:rFonts w:ascii="Arial" w:cs="Arial" w:eastAsia="Arial" w:hAnsi="Arial"/>
                <w:sz w:val="16"/>
                <w:szCs w:val="16"/>
                <w:b w:val="1"/>
                <w:bCs w:val="1"/>
                <w:color w:val="auto"/>
              </w:rPr>
              <w:t xml:space="preserve">Total Clearway Energy, Inc. </w:t>
            </w:r>
            <w:r>
              <w:rPr>
                <w:rFonts w:ascii="Arial" w:cs="Arial" w:eastAsia="Arial" w:hAnsi="Arial"/>
                <w:sz w:val="21"/>
                <w:szCs w:val="21"/>
                <w:b w:val="1"/>
                <w:bCs w:val="1"/>
                <w:color w:val="auto"/>
                <w:vertAlign w:val="superscript"/>
              </w:rPr>
              <w:t>(d)</w:t>
            </w: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7,238</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6,014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2019.</w:t>
      </w:r>
    </w:p>
    <w:p>
      <w:pPr>
        <w:spacing w:after="0" w:line="59" w:lineRule="exact"/>
        <w:rPr>
          <w:rFonts w:ascii="Arial" w:cs="Arial" w:eastAsia="Arial" w:hAnsi="Arial"/>
          <w:sz w:val="9"/>
          <w:szCs w:val="9"/>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 xml:space="preserve">Projects are part of tax equity arrangements, as further described in Item 15 </w:t>
      </w:r>
      <w:r>
        <w:rPr>
          <w:rFonts w:ascii="Arial" w:cs="Arial" w:eastAsia="Arial" w:hAnsi="Arial"/>
          <w:sz w:val="16"/>
          <w:szCs w:val="16"/>
          <w:color w:val="auto"/>
        </w:rPr>
        <w:t>—</w:t>
      </w:r>
      <w:r>
        <w:rPr>
          <w:rFonts w:ascii="Arial" w:cs="Arial" w:eastAsia="Arial" w:hAnsi="Arial"/>
          <w:sz w:val="13"/>
          <w:szCs w:val="13"/>
          <w:color w:val="auto"/>
        </w:rPr>
        <w:t xml:space="preserve"> Note 2, </w:t>
      </w:r>
      <w:r>
        <w:rPr>
          <w:rFonts w:ascii="Arial" w:cs="Arial" w:eastAsia="Arial" w:hAnsi="Arial"/>
          <w:sz w:val="13"/>
          <w:szCs w:val="13"/>
          <w:i w:val="1"/>
          <w:iCs w:val="1"/>
          <w:color w:val="auto"/>
        </w:rPr>
        <w:t>Summary of Significant Accounting Policies.</w:t>
      </w:r>
    </w:p>
    <w:p>
      <w:pPr>
        <w:spacing w:after="0" w:line="9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 xml:space="preserve">Includes assets held for sale as of December 31, 2019, as further described in Item 15 </w:t>
      </w:r>
      <w:r>
        <w:rPr>
          <w:rFonts w:ascii="Arial" w:cs="Arial" w:eastAsia="Arial" w:hAnsi="Arial"/>
          <w:sz w:val="16"/>
          <w:szCs w:val="16"/>
          <w:color w:val="auto"/>
        </w:rPr>
        <w:t>—</w:t>
      </w:r>
      <w:r>
        <w:rPr>
          <w:rFonts w:ascii="Arial" w:cs="Arial" w:eastAsia="Arial" w:hAnsi="Arial"/>
          <w:sz w:val="13"/>
          <w:szCs w:val="13"/>
          <w:color w:val="auto"/>
        </w:rPr>
        <w:t xml:space="preserve">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w:t>
      </w:r>
    </w:p>
    <w:p>
      <w:pPr>
        <w:spacing w:after="0" w:line="95" w:lineRule="exact"/>
        <w:rPr>
          <w:rFonts w:ascii="Arial" w:cs="Arial" w:eastAsia="Arial" w:hAnsi="Arial"/>
          <w:sz w:val="16"/>
          <w:szCs w:val="16"/>
          <w:color w:val="auto"/>
          <w:vertAlign w:val="superscript"/>
        </w:rPr>
      </w:pPr>
    </w:p>
    <w:p>
      <w:pPr>
        <w:ind w:firstLine="8"/>
        <w:spacing w:after="0" w:line="273" w:lineRule="auto"/>
        <w:tabs>
          <w:tab w:leader="none" w:pos="154" w:val="left"/>
        </w:tabs>
        <w:numPr>
          <w:ilvl w:val="0"/>
          <w:numId w:val="10"/>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6,020 MWs.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320 MW based on cash to be distributed. For further discussions, refer to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55"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Rated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Megawatt</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Net Megawatt</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Thermal</w:t>
            </w: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Thermal</w:t>
            </w: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Equivalent</w:t>
            </w: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Equivalent</w:t>
            </w: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Thermal Energy Customers</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Generating</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Capacity (MWt)</w:t>
            </w:r>
          </w:p>
        </w:tc>
        <w:tc>
          <w:tcPr>
            <w:tcW w:w="10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Name and Location of Facility</w:t>
            </w:r>
          </w:p>
        </w:tc>
        <w:tc>
          <w:tcPr>
            <w:tcW w:w="276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(steam/chilled water)</w:t>
            </w: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Owned</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(MWt)</w:t>
            </w: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vMerge w:val="restart"/>
          </w:tcPr>
          <w:p>
            <w:pPr>
              <w:ind w:left="90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140"/>
        </w:trPr>
        <w:tc>
          <w:tcPr>
            <w:tcW w:w="2760" w:type="dxa"/>
            <w:vAlign w:val="bottom"/>
            <w:gridSpan w:val="2"/>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10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Energy Center Minneapolis, MN</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100 steam</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Steam: 1,075 MMBtu/hr.</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55 chilled water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Chilled water: 38,700 tons</w:t>
            </w:r>
          </w:p>
        </w:tc>
        <w:tc>
          <w:tcPr>
            <w:tcW w:w="0" w:type="dxa"/>
            <w:vAlign w:val="bottom"/>
          </w:tcPr>
          <w:p>
            <w:pPr>
              <w:spacing w:after="0"/>
              <w:rPr>
                <w:sz w:val="1"/>
                <w:szCs w:val="1"/>
                <w:color w:val="auto"/>
              </w:rPr>
            </w:pPr>
          </w:p>
        </w:tc>
      </w:tr>
      <w:tr>
        <w:trPr>
          <w:trHeight w:val="23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ECP Uptown Campus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Duquesne University</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Steam: 181 MMBtu/hr.</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Duquesne University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Chilled water: 5,790 tons</w:t>
            </w:r>
          </w:p>
        </w:tc>
        <w:tc>
          <w:tcPr>
            <w:tcW w:w="0" w:type="dxa"/>
            <w:vAlign w:val="bottom"/>
          </w:tcPr>
          <w:p>
            <w:pPr>
              <w:spacing w:after="0"/>
              <w:rPr>
                <w:sz w:val="1"/>
                <w:szCs w:val="1"/>
                <w:color w:val="auto"/>
              </w:rPr>
            </w:pPr>
          </w:p>
        </w:tc>
      </w:tr>
      <w:tr>
        <w:trPr>
          <w:trHeight w:val="23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Energy Center San Francisco, CA</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180 steam</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Steam: 454 MMBtu/hr.</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Omaha, NE</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60 steam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Steam: 675 MMBtu/hr.</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65 chilled water</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28,000 tons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Harrisburg, PA</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125 steam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Steam: 370 MMBtu/hr.</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5 chilled water</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3,900 tons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Phoenix, AZ</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40 chilled water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Steam: 17 MMBtu/hr.</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0.12 (a)</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3,920 tons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Chilled water: 29,600 tons</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 (a)</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8,000 tons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Pittsburgh, PA</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25 steam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Steam: 452 MMBtu/hr.</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25 chilled water</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22,224 tons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San Diego, CA</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 chilled water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Chilled water: 9,295 tons</w:t>
            </w: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Kraft Heinz Company; Proctor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60" w:type="dxa"/>
            <w:vAlign w:val="bottom"/>
            <w:gridSpan w:val="2"/>
          </w:tcPr>
          <w:p>
            <w:pPr>
              <w:ind w:left="40"/>
              <w:spacing w:after="0" w:line="239" w:lineRule="exact"/>
              <w:rPr>
                <w:sz w:val="20"/>
                <w:szCs w:val="20"/>
                <w:color w:val="auto"/>
              </w:rPr>
            </w:pPr>
            <w:r>
              <w:rPr>
                <w:rFonts w:ascii="Arial" w:cs="Arial" w:eastAsia="Arial" w:hAnsi="Arial"/>
                <w:sz w:val="16"/>
                <w:szCs w:val="16"/>
                <w:color w:val="auto"/>
              </w:rPr>
              <w:t xml:space="preserve">Energy Center Dover, DE </w:t>
            </w:r>
            <w:r>
              <w:rPr>
                <w:rFonts w:ascii="Arial" w:cs="Arial" w:eastAsia="Arial" w:hAnsi="Arial"/>
                <w:sz w:val="21"/>
                <w:szCs w:val="21"/>
                <w:color w:val="auto"/>
                <w:vertAlign w:val="superscript"/>
              </w:rPr>
              <w:t>(b)</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Gamble</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Steam: 225 MMBtu/hr.</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Energy Center Princeton, NJ</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Princeton HealthCare System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Steam: 72 MMBtu/hr.</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Princeton HealthCare System</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Chilled water: 4,700 tons</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w w:val="98"/>
              </w:rPr>
              <w:t>Total generating capacity</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MWt capacity excludes 19 MWt available under the right-to-use provisions contained in agreements between one of the Company's thermal facilities and certain of its customers.</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Project is deemed to be held for sale as of December 31, 2019. For further information see Item 15 — Note 3, </w:t>
      </w:r>
      <w:r>
        <w:rPr>
          <w:rFonts w:ascii="Arial" w:cs="Arial" w:eastAsia="Arial" w:hAnsi="Arial"/>
          <w:sz w:val="14"/>
          <w:szCs w:val="14"/>
          <w:i w:val="1"/>
          <w:iCs w:val="1"/>
          <w:color w:val="auto"/>
        </w:rPr>
        <w:t>Acquisitions and Dispositions.</w:t>
      </w:r>
    </w:p>
    <w:p>
      <w:pPr>
        <w:spacing w:after="0" w:line="55" w:lineRule="exact"/>
        <w:rPr>
          <w:rFonts w:ascii="Arial" w:cs="Arial" w:eastAsia="Arial" w:hAnsi="Arial"/>
          <w:sz w:val="9"/>
          <w:szCs w:val="9"/>
          <w:color w:val="auto"/>
        </w:rPr>
      </w:pPr>
    </w:p>
    <w:p>
      <w:pPr>
        <w:ind w:right="20" w:firstLine="8"/>
        <w:spacing w:after="0" w:line="273" w:lineRule="auto"/>
        <w:tabs>
          <w:tab w:leader="none" w:pos="163"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megawatt thermal equivalent capacity represents the maximum, or rated, generating capacity of the facility multiplied by the Company's percentage ownership in the facility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 Legal Proceedings</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See "Pacific Gas and Electric Company Bankruptcy" found in Item 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 on Form 10-K and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discussion of the material legal proceedings to which the Company is a party</w:t>
      </w:r>
      <w:r>
        <w:rPr>
          <w:rFonts w:ascii="Arial" w:cs="Arial" w:eastAsia="Arial" w:hAnsi="Arial"/>
          <w:sz w:val="18"/>
          <w:szCs w:val="18"/>
          <w:i w:val="1"/>
          <w:iCs w:val="1"/>
          <w:color w:val="auto"/>
        </w:rPr>
        <w:t xml:space="preserve"> </w:t>
      </w:r>
      <w:r>
        <w:rPr>
          <w:rFonts w:ascii="Arial" w:cs="Arial" w:eastAsia="Arial" w:hAnsi="Arial"/>
          <w:sz w:val="18"/>
          <w:szCs w:val="18"/>
          <w:color w:val="auto"/>
        </w:rPr>
        <w:t>or of which any of its properties is subject.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75" w:right="239" w:bottom="1440" w:gutter="0" w:footer="0" w:header="0"/>
        </w:sectPr>
      </w:pPr>
    </w:p>
    <w:bookmarkStart w:id="40" w:name="page41"/>
    <w:bookmarkEnd w:id="40"/>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Equity Holders and Dividends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31, 2020, there were two holders of record of the Class A common stock, one holder of record of the Class B common stock, three holders of record of the Class C common stock and one holder of record of the Class D common stock.</w:t>
      </w:r>
    </w:p>
    <w:p>
      <w:pPr>
        <w:spacing w:after="0" w:line="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18, 2020, the Company declared a quarterly dividend on its Class A and Class C common stock of $0.21 per share payable on March 16, 2020, to stockholders of record as of March 2, 2020.</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 As discussed in Item 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the Company will continue to monitor events related to the PG&amp;E Bankruptcy in determining its capital allocation strategy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performance graph below compares the Company's cumulative total stockholder return on the Company's Class A common stock for the period from December 31, 2014 through May 14, 2015, the date of the Recapitalization, and the Company's Class A common stock and Class C common stock from May 15, 2015 through December 31, 2019, with the cumulative total return of the Standard &amp; Poor's 500 Composite Stock Price Index, or S&amp;P 500, and the Philadelphia Utility Sector Index, or UTY.</w:t>
      </w:r>
    </w:p>
    <w:p>
      <w:pPr>
        <w:spacing w:after="0" w:line="9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performance graph shown below is being furnished and compares each period assuming that $100 was invested on the initial public offering date in each of the Class A common stock of the Company, the Class C common stock of the Company, the stocks included in the S&amp;P 500 and the stocks included in the UTY, and that all dividends were reinvested.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120650</wp:posOffset>
            </wp:positionV>
            <wp:extent cx="5111115" cy="2229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111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4"/>
              </w:rPr>
              <w:t>December 31,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Clearway Energy, Inc. Class A common stock</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72.64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94.73</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108.43</w:t>
            </w:r>
          </w:p>
        </w:tc>
      </w:tr>
      <w:tr>
        <w:trPr>
          <w:trHeight w:val="270"/>
        </w:trPr>
        <w:tc>
          <w:tcPr>
            <w:tcW w:w="4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Clearway Energy, Inc. Class C common stock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73.99</w:t>
            </w:r>
          </w:p>
        </w:tc>
        <w:tc>
          <w:tcPr>
            <w:tcW w:w="28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93.91</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91.92</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111.57</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113.51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173.86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UTY</w:t>
            </w:r>
          </w:p>
        </w:tc>
        <w:tc>
          <w:tcPr>
            <w:tcW w:w="2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110.05</w:t>
            </w: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124.16</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128.53</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8"/>
        <w:spacing w:after="0" w:line="292" w:lineRule="auto"/>
        <w:tabs>
          <w:tab w:leader="none" w:pos="171"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Class C common stock price has been indexed to the Class A common stock price from the Company's initial public offering date until the Recapitalization, and reflects the Class C common stock Total Return Performance beginning on May 15, 2015.</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7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historical data in the table below should be read in conjunction with the Consolidated Financial Statements and the related notes thereto in Item 15 and Item 7, </w:t>
      </w:r>
      <w:r>
        <w:rPr>
          <w:rFonts w:ascii="Arial" w:cs="Arial" w:eastAsia="Arial" w:hAnsi="Arial"/>
          <w:sz w:val="18"/>
          <w:szCs w:val="18"/>
          <w:i w:val="1"/>
          <w:iCs w:val="1"/>
          <w:color w:val="auto"/>
        </w:rPr>
        <w:t>Management's Discussion and Analysis of Financial Condition and Results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ind w:left="100"/>
              <w:spacing w:after="0"/>
              <w:rPr>
                <w:sz w:val="20"/>
                <w:szCs w:val="20"/>
                <w:color w:val="auto"/>
              </w:rPr>
            </w:pPr>
            <w:r>
              <w:rPr>
                <w:rFonts w:ascii="Arial" w:cs="Arial" w:eastAsia="Arial" w:hAnsi="Arial"/>
                <w:sz w:val="16"/>
                <w:szCs w:val="16"/>
                <w:b w:val="1"/>
                <w:bCs w:val="1"/>
                <w:color w:val="auto"/>
              </w:rPr>
              <w:t>Fiscal year ended December 31,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millions, except per share data)</w:t>
            </w: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Income Data: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revenues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Development costs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7"/>
        </w:trPr>
        <w:tc>
          <w:tcPr>
            <w:tcW w:w="650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Income tax (benefit)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6500" w:type="dxa"/>
            <w:vAlign w:val="bottom"/>
          </w:tcPr>
          <w:p>
            <w:pPr>
              <w:ind w:left="180"/>
              <w:spacing w:after="0"/>
              <w:rPr>
                <w:sz w:val="20"/>
                <w:szCs w:val="20"/>
                <w:color w:val="auto"/>
              </w:rPr>
            </w:pPr>
            <w:r>
              <w:rPr>
                <w:rFonts w:ascii="Arial" w:cs="Arial" w:eastAsia="Arial" w:hAnsi="Arial"/>
                <w:sz w:val="16"/>
                <w:szCs w:val="16"/>
                <w:color w:val="auto"/>
              </w:rPr>
              <w:t>Less: Pre-acquisition net income of Drop Down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Net (Loss) Income Excluding Pre-acquisition Net (Loss) Income of Drop Down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6500" w:type="dxa"/>
            <w:vAlign w:val="bottom"/>
          </w:tcPr>
          <w:p>
            <w:pPr>
              <w:ind w:left="18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Clearway Energy, Inc.</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6"/>
              </w:rPr>
              <w:t>Earnings Per Share Attributable to Clearway Energy, Inc. Class A and Class C Common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4"/>
              </w:rPr>
              <w:t>(Loss) Earnings per Weighted Average Class A and Class C Common Share - Basic and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Dividends per Class A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0.945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Dividends per Class C common share </w:t>
            </w:r>
            <w:r>
              <w:rPr>
                <w:rFonts w:ascii="Arial" w:cs="Arial" w:eastAsia="Arial" w:hAnsi="Arial"/>
                <w:sz w:val="21"/>
                <w:szCs w:val="21"/>
                <w:color w:val="auto"/>
                <w:vertAlign w:val="superscript"/>
              </w:rPr>
              <w:t>(a)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0.625</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37"/>
        </w:trPr>
        <w:tc>
          <w:tcPr>
            <w:tcW w:w="650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5,980</w:t>
            </w:r>
          </w:p>
        </w:tc>
        <w:tc>
          <w:tcPr>
            <w:tcW w:w="0" w:type="dxa"/>
            <w:vAlign w:val="bottom"/>
          </w:tcPr>
          <w:p>
            <w:pPr>
              <w:spacing w:after="0"/>
              <w:rPr>
                <w:sz w:val="1"/>
                <w:szCs w:val="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8,926</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debt, including current maturities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5,660</w:t>
            </w:r>
          </w:p>
        </w:tc>
        <w:tc>
          <w:tcPr>
            <w:tcW w:w="0" w:type="dxa"/>
            <w:vAlign w:val="bottom"/>
          </w:tcPr>
          <w:p>
            <w:pPr>
              <w:spacing w:after="0"/>
              <w:rPr>
                <w:sz w:val="1"/>
                <w:szCs w:val="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6,276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6,023</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33"/>
        </w:trPr>
        <w:tc>
          <w:tcPr>
            <w:tcW w:w="6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4"/>
          <w:szCs w:val="14"/>
          <w:color w:val="auto"/>
        </w:rPr>
        <w:t>The Company began paying dividends on Class C common stock after the Recapitalization on May 14, 2015.</w:t>
      </w:r>
    </w:p>
    <w:p>
      <w:pPr>
        <w:sectPr>
          <w:pgSz w:w="11900" w:h="16838" w:orient="portrait"/>
          <w:cols w:equalWidth="0" w:num="1">
            <w:col w:w="11420"/>
          </w:cols>
          <w:pgMar w:left="240" w:top="675" w:right="239" w:bottom="113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675" w:right="239" w:bottom="1135"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the Results of Operations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you read this discussion and analysis, refer to the Company's Consolidated Statements of Operations to this Form 10-K. Also refer to Item 1 — </w:t>
      </w:r>
      <w:r>
        <w:rPr>
          <w:rFonts w:ascii="Arial" w:cs="Arial" w:eastAsia="Arial" w:hAnsi="Arial"/>
          <w:sz w:val="16"/>
          <w:szCs w:val="16"/>
          <w:i w:val="1"/>
          <w:iCs w:val="1"/>
          <w:color w:val="auto"/>
        </w:rPr>
        <w:t xml:space="preserve">Business </w:t>
      </w:r>
      <w:r>
        <w:rPr>
          <w:rFonts w:ascii="Arial" w:cs="Arial" w:eastAsia="Arial" w:hAnsi="Arial"/>
          <w:sz w:val="16"/>
          <w:szCs w:val="16"/>
          <w:color w:val="auto"/>
        </w:rPr>
        <w:t>and Item 1A —</w:t>
      </w:r>
      <w:r>
        <w:rPr>
          <w:rFonts w:ascii="Arial" w:cs="Arial" w:eastAsia="Arial" w:hAnsi="Arial"/>
          <w:sz w:val="16"/>
          <w:szCs w:val="16"/>
          <w:i w:val="1"/>
          <w:iCs w:val="1"/>
          <w:color w:val="auto"/>
        </w:rPr>
        <w:t xml:space="preserve"> Risk Factors</w:t>
      </w:r>
      <w:r>
        <w:rPr>
          <w:rFonts w:ascii="Arial" w:cs="Arial" w:eastAsia="Arial" w:hAnsi="Arial"/>
          <w:sz w:val="16"/>
          <w:szCs w:val="16"/>
          <w:color w:val="auto"/>
        </w:rPr>
        <w:t>, which include detailed discussions of various items impacting the Company's business, results of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Discussions of the year ended December 31, 2017 that are not included in this Annual Report on Form 10-K and year-to-year comparisons of the year ended December 31, 2018 and the year ended December 31, 2017 can be found in “Management’s Discussion and Analysis of Financial Condition and the Results of Operations” in Part II, Item 7 of the Company’s Annual Report on Form 10-K for the year ended December 31, 2018.</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1300" w:right="640" w:hanging="320"/>
        <w:spacing w:after="0" w:line="277" w:lineRule="auto"/>
        <w:tabs>
          <w:tab w:leader="none" w:pos="13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7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sponsored by GIP through GIP's portfolio company, CEG.</w:t>
      </w:r>
    </w:p>
    <w:p>
      <w:pPr>
        <w:spacing w:after="0" w:line="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w:t>
      </w:r>
      <w:r>
        <w:rPr>
          <w:rFonts w:ascii="Arial" w:cs="Arial" w:eastAsia="Arial" w:hAnsi="Arial"/>
          <w:sz w:val="18"/>
          <w:szCs w:val="18"/>
          <w:color w:val="231F20"/>
        </w:rPr>
        <w:t>5,875</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13 years as of December 31, 2019 based on CAFD.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w:t>
      </w:r>
    </w:p>
    <w:p>
      <w:pPr>
        <w:spacing w:after="0" w:line="90" w:lineRule="exact"/>
        <w:rPr>
          <w:sz w:val="20"/>
          <w:szCs w:val="20"/>
          <w:color w:val="auto"/>
        </w:rPr>
      </w:pPr>
    </w:p>
    <w:p>
      <w:pPr>
        <w:jc w:val="both"/>
        <w:ind w:left="660" w:hanging="328"/>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 investments in unconsolidated affiliates and $1.2 billion of borrowings with final maturity dates ranging from 2023 to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12"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On September 9, 2019, PG&amp;E filed a Chapter 11 plan of reorganization, or the PG&amp;E Plan, which would provide for PG&amp;E to assume all of its PPAs with the Company. On October 17, 2019, an ad hoc group of senior noteholders filed a competing plan of reorganization, which would also provide for PG&amp;E to assume all of its PPAs with the Company.</w:t>
      </w:r>
    </w:p>
    <w:p>
      <w:pPr>
        <w:spacing w:after="0" w:line="181" w:lineRule="exact"/>
        <w:rPr>
          <w:rFonts w:ascii="Arial" w:cs="Arial" w:eastAsia="Arial" w:hAnsi="Arial"/>
          <w:sz w:val="16"/>
          <w:szCs w:val="16"/>
          <w:color w:val="auto"/>
        </w:rPr>
      </w:pP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On January 22, 2020, PG&amp;E announced it had reached an agreement with a group of senior noteholders, and on January 31, 2020, the PG&amp;E Plan was amended to provide for the eventual implementation of such settlement. On February 4, 2020, the Bankruptcy Court approved such settlement, and the noteholders have accordingly agreed to support the PG&amp;E Plan. On February 5, 2020, the noteholders caused the ad hoc noteholder plan to be withdrawn.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w:t>
      </w:r>
    </w:p>
    <w:p>
      <w:pPr>
        <w:spacing w:after="0" w:line="178"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2020 Drop Down Offer</w:t>
      </w:r>
    </w:p>
    <w:p>
      <w:pPr>
        <w:spacing w:after="0" w:line="252" w:lineRule="exact"/>
        <w:rPr>
          <w:sz w:val="20"/>
          <w:szCs w:val="20"/>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On January 8, 2020, CEG offered the Company the opportunity to acquire and invest in a portfolio of the following projects: (i) 100% of the equity interests in Rattlesnake Flat, LLC, which owns the Rattlesnake Wind Project, a 144 net MW wind facility located in Adams County, WA; (ii) CEG's interest in Repowering Partnership II LLC (Repowering 1.0), would give the Company a 100% equity interest in Repowering 1.0; and (iii) a new partnership with CEG to repower the Pinnacle Wind Project, a 55 net MW wind facility located in Mineral County, WV. The Company expects to sign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75" w:right="239" w:bottom="1440" w:gutter="0" w:footer="0" w:header="0"/>
        </w:sectPr>
      </w:pPr>
    </w:p>
    <w:bookmarkStart w:id="44" w:name="page45"/>
    <w:bookmarkEnd w:id="44"/>
    <w:p>
      <w:pPr>
        <w:ind w:left="660"/>
        <w:spacing w:after="0" w:line="277" w:lineRule="auto"/>
        <w:rPr>
          <w:sz w:val="20"/>
          <w:szCs w:val="20"/>
          <w:color w:val="auto"/>
        </w:rPr>
      </w:pPr>
      <w:r>
        <w:rPr>
          <w:rFonts w:ascii="Arial" w:cs="Arial" w:eastAsia="Arial" w:hAnsi="Arial"/>
          <w:sz w:val="18"/>
          <w:szCs w:val="18"/>
          <w:color w:val="auto"/>
        </w:rPr>
        <w:t>binding agreements for the drop down offer in the first half of 2020 though these agreements remain subject to negotiation and approval by the Company's 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 Amendment</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1, 2019, the CEG ROFO Agreement was amended to grant the Company a right of first offer for four additional projects: Rattlesnake, a 144 net MW wind facility located in Adams County, WA with an expected COD in 2020; Repowering 2.0, which will consist of membership interests in one or more partnerships formed to repower certain wind assets owned by the Company using turbines provided by CEG; Black Rock, a 110 MW utility scale wind facility located in West Virginia with an expected COD in 2021; and Wildflower, a 100 MW utility scale solar facility located in Mississippi with an expected COD in 2022. Both Rattlesnake and the Pinnacle repowering were part of January 2020 Drop Down Offer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Drop Down</w:t>
      </w:r>
    </w:p>
    <w:p>
      <w:pPr>
        <w:spacing w:after="0" w:line="90" w:lineRule="exact"/>
        <w:rPr>
          <w:sz w:val="20"/>
          <w:szCs w:val="20"/>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On December 6, 2019, the Company acquired 100% of GIP's membership interests in CBAD Holdings, LLC, which 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secured notes described below. The acquisition was funded with proceeds from the Clearway Energy, Inc. equity issuance, as described further below, as well as borrowings from the Company's revolving credit facility. The Carlsbad acquisition is the result of the Company having elected its option to purchase Carlsbad pursuant to the ROFO agreement, as amended, by and among the Company, CEG and GIP. For further discussion, see Item 15 —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HSD Solar Holdings, LLC Assets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October 8, 2019, the Company, through HSD Solar Holdings, LLC, or HSD, sold 100% of its 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Transaction</w:t>
      </w:r>
    </w:p>
    <w:p>
      <w:pPr>
        <w:spacing w:after="0" w:line="171" w:lineRule="exact"/>
        <w:rPr>
          <w:sz w:val="20"/>
          <w:szCs w:val="20"/>
          <w:color w:val="auto"/>
        </w:rPr>
      </w:pPr>
    </w:p>
    <w:p>
      <w:pPr>
        <w:jc w:val="both"/>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On June 14, 2019, the Company, through an indirect subsidiary, entered into binding equity commitment agreements in the previously announced partnership with CEG to enable the repowering of two of its existing wind assets, Wildorado and Elbow Creek, which total a combined 283 MW. The Company invested $102 million in net corporate capital to fund the repowering of the wind facilities during the fourth quarter of 2019 and the first quarter of 2020. These repowered assets have reached COD. For further discussion, see Item 15 —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Equity Method and Variable Interest Entities.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Solar Partnerships</w:t>
      </w:r>
    </w:p>
    <w:p>
      <w:pPr>
        <w:spacing w:after="0" w:line="167" w:lineRule="exact"/>
        <w:rPr>
          <w:sz w:val="20"/>
          <w:szCs w:val="20"/>
          <w:color w:val="auto"/>
        </w:rPr>
      </w:pPr>
    </w:p>
    <w:p>
      <w:pPr>
        <w:jc w:val="both"/>
        <w:ind w:left="660" w:hanging="328"/>
        <w:spacing w:after="0" w:line="281" w:lineRule="auto"/>
        <w:tabs>
          <w:tab w:leader="none" w:pos="6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Kawailoa Solar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entered into a partnership with Clearway Renew LLC, a subsidiary of CEG, to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finance, operate, and maintain the Kawailoa Solar Partnership, which consists of the Kawailoa Solar project, a 49 MW utility-scale solar generation project located in Oahu, Hawaii. The Company contributed $9 million into the partnership during the year ended December 31, 2019. For further discussion, see Item 15 — Note 5 , </w:t>
      </w:r>
      <w:r>
        <w:rPr>
          <w:rFonts w:ascii="Arial" w:cs="Arial" w:eastAsia="Arial" w:hAnsi="Arial"/>
          <w:sz w:val="17"/>
          <w:szCs w:val="17"/>
          <w:i w:val="1"/>
          <w:iCs w:val="1"/>
          <w:color w:val="auto"/>
        </w:rPr>
        <w:t>Investments Accounted for by the Equity Method and Variable Interest Entities.</w:t>
      </w:r>
    </w:p>
    <w:p>
      <w:pPr>
        <w:spacing w:after="0" w:line="164" w:lineRule="exact"/>
        <w:rPr>
          <w:rFonts w:ascii="Arial" w:cs="Arial" w:eastAsia="Arial" w:hAnsi="Arial"/>
          <w:sz w:val="17"/>
          <w:szCs w:val="17"/>
          <w:i w:val="1"/>
          <w:iCs w:val="1"/>
          <w:color w:val="auto"/>
        </w:rPr>
      </w:pPr>
    </w:p>
    <w:p>
      <w:pPr>
        <w:jc w:val="both"/>
        <w:ind w:left="660" w:hanging="328"/>
        <w:spacing w:after="0" w:line="287"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Oahu Solar Partnership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March 8, 2019, the Company entered into a partnership with Clearway Renew LLC, a subsidiary of CEG, to own,</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PPAs. The Company contributed $20 million into the partnership during the year ended December 31, 2019. For further discussion, see Item 15</w:t>
      </w:r>
    </w:p>
    <w:p>
      <w:pPr>
        <w:spacing w:after="0" w:line="2"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 xml:space="preserve">— Note 5, </w:t>
      </w:r>
      <w:r>
        <w:rPr>
          <w:rFonts w:ascii="Arial" w:cs="Arial" w:eastAsia="Arial" w:hAnsi="Arial"/>
          <w:sz w:val="18"/>
          <w:szCs w:val="18"/>
          <w:i w:val="1"/>
          <w:iCs w:val="1"/>
          <w:color w:val="auto"/>
        </w:rPr>
        <w:t>Investments Accounted for by the Equity Method and Variable Interest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Corporate-Level Financing and Equity Activities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60" w:right="239" w:bottom="1440" w:gutter="0" w:footer="0" w:header="0"/>
        </w:sectPr>
      </w:pPr>
    </w:p>
    <w:bookmarkStart w:id="45" w:name="page46"/>
    <w:bookmarkEnd w:id="45"/>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December 11, 2019, Clearway Energy Operating LLC completed the sale of $600 million aggregate principal amount of senior unsecured notes due 2028, or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2028 Senior Notes were used to partially fund investments into Repowering 1.0, repay the 2024 Senior Notes as described below, and pay transaction fees and expenses.</w:t>
      </w:r>
    </w:p>
    <w:p>
      <w:pPr>
        <w:spacing w:after="0" w:line="110"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On December 13, 2019, the Company repurchased an aggregate principal amount of $412 million or 82.4%, of the 2024 Senior Notes that were validly tendered and not validly withdrawn as part of the previously announced cash tender offer. Concurrently with the launch of the tender offer, the Company exercised its right to optionally redeem any 2024 Senior Notes not validly tendered and purchased in the tender offer, pursuant to the terms of the indenture governing the 2024 Senior Notes. This redemption of the remaining $88 million of outstanding 2024 Senior Notes occurred on January 3, 2020. For further discussion, see Item 15—Note 10,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2, 2019, the Company issued and sold 5,405,405 shares of Class C common stock for net proceeds of $100 million. The Company utilized the proceeds of the offering to acquire 5,405,405 Class C units of Clearway Energy LLC, which used the proceeds to partially fund the acquisition of the Carlsbad Drop Down Asset to pay transaction fees and for general corporate purposes.</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2019, the Company repurchased an aggregate principal amount of $50 million of the 2019 Convertible Notes in open market transactions. The repurchases were funded through a partial repayment of the intercompany note between Clearway Operating LLC and Clearway Energy, Inc. The 2019 Convertible Notes matured on February 1, 2019 and the Company paid off the remaining balance of an aggregate principal amount of $170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4, 2019, Carlsbad Energy Holdings LLC, a subsidiary of GIP and the owner of the Carlsbad Energy Center LLC, issued $216 million of senior secured, non-recourse notes. The notes bear an interest rate of 4.21% and are fully amortizing over 19 years.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the Company's existing liquidity.</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April 29, 2019, the Company, through Tapestry Wind LLC, refinanced $147 million of non-recourse debt due 2021 by issuing $164 million of new non-recourse financing due 2031 at an interest rate of LIBOR plus 1.375%. As a result of this refinancing, the Company received $11 million, net of fees and financing costs.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6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Thermal Activities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September 29, 2019, the Company entered into a tolling agreement with Cayo Largo LLC to supply electricity, 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 The Company incurred $6 million of capital expenditures during the year ended December 31, 2019.</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5, 2019, the Company entered into a purchase and sale agreement with DB Energy Assets, LLC to sell 100% of its interests in Energy Center Dover LLC and Energy Center Smyrna LLC. The transaction is subject to standard regulatory approvals and the completion of certain maintenance activities. The related assets and liabilities are recorded as held for sale as of December 31, 2019. The Company recorded an impairment loss of $19 million related to the project during the second quarter of 2019 and recorded the related assets and liabilities as held for sale as of December 31, 2019.</w:t>
      </w:r>
    </w:p>
    <w:p>
      <w:pPr>
        <w:spacing w:after="0" w:line="13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is party to an Energy Services Agreement with Mylan LLC to supply chilled water, hot water and electricity through a dedicated combined heat and power facility located at Mylan's Caguas, Puerto Rico facility. The Company incurred $4 million and $7 million in capital expenditures during the years ended December 31, 2019 and December 31, 2018, respectively. The project reached COD in the first quarter of 2020.</w:t>
      </w:r>
    </w:p>
    <w:p>
      <w:pPr>
        <w:spacing w:after="0" w:line="92"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On May 1, 2019, the Company, through its indirect subsidiary ECP Uptown Campus LLC, acquired the Duquesne University district 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well as cash on hand. For further discussion see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As part of the acquisition, Duquesne University entered into a 40-year Energy Services Agreement through which ECP Uptown Campus LLC</w:t>
      </w:r>
      <w:r>
        <w:rPr>
          <w:rFonts w:ascii="Arial" w:cs="Arial" w:eastAsia="Arial" w:hAnsi="Arial"/>
          <w:sz w:val="16"/>
          <w:szCs w:val="16"/>
          <w:i w:val="1"/>
          <w:iCs w:val="1"/>
          <w:color w:val="auto"/>
        </w:rPr>
        <w:t xml:space="preserve"> </w:t>
      </w:r>
      <w:r>
        <w:rPr>
          <w:rFonts w:ascii="Arial" w:cs="Arial" w:eastAsia="Arial" w:hAnsi="Arial"/>
          <w:sz w:val="16"/>
          <w:szCs w:val="16"/>
          <w:color w:val="auto"/>
        </w:rPr>
        <w:t>will fulfill the university’s electricity, chilled water and steam requirements in exchange for monthly capacity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360" w:lineRule="exact"/>
        <w:rPr>
          <w:sz w:val="20"/>
          <w:szCs w:val="20"/>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1, 2017, the California Independent System Operator selected a proposal by the Company's Marsh Landing project to provide black start capability in the greater San Francisco Bay Area. The black start service would restart Marsh Landing in the event of a blackout to support the California Independent System Operator’s directed restoration of the electrical grid in response to an emergency condition. The Company has advanced the project and will provide additional details dependent on FERC approval rulings.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CVSR Outage</w:t>
      </w:r>
    </w:p>
    <w:p>
      <w:pPr>
        <w:spacing w:after="0" w:line="171" w:lineRule="exact"/>
        <w:rPr>
          <w:sz w:val="20"/>
          <w:szCs w:val="20"/>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June 5, 2019, a fire occurred at the California Valley Solar Ranch project, which affected approximately 1,200 acres of property. While the fire did not impact solar arrays, damage occurred to associated infrastructure including distribution poles and cabling. The facility was restored to full operations on July 1, 2019. The full year impact of the fire was approximately $8 million of lost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Details of environmental matters and regulatory matters are presented in Item 1 — </w:t>
      </w:r>
      <w:r>
        <w:rPr>
          <w:rFonts w:ascii="Arial" w:cs="Arial" w:eastAsia="Arial" w:hAnsi="Arial"/>
          <w:sz w:val="17"/>
          <w:szCs w:val="17"/>
          <w:i w:val="1"/>
          <w:iCs w:val="1"/>
          <w:color w:val="auto"/>
        </w:rPr>
        <w:t>Business, Regulatory Matters</w:t>
      </w:r>
      <w:r>
        <w:rPr>
          <w:rFonts w:ascii="Arial" w:cs="Arial" w:eastAsia="Arial" w:hAnsi="Arial"/>
          <w:sz w:val="17"/>
          <w:szCs w:val="17"/>
          <w:color w:val="auto"/>
        </w:rPr>
        <w:t xml:space="preserve"> and Item 1A —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of some of this information relate to costs that may impact the Company's financial results.</w:t>
      </w:r>
    </w:p>
    <w:p>
      <w:pPr>
        <w:spacing w:after="0" w:line="153" w:lineRule="exact"/>
        <w:rPr>
          <w:sz w:val="20"/>
          <w:szCs w:val="20"/>
          <w:color w:val="auto"/>
        </w:rPr>
      </w:pPr>
    </w:p>
    <w:p>
      <w:pPr>
        <w:ind w:right="4900"/>
        <w:spacing w:after="0" w:line="440" w:lineRule="auto"/>
        <w:rPr>
          <w:sz w:val="20"/>
          <w:szCs w:val="20"/>
          <w:color w:val="auto"/>
        </w:rPr>
      </w:pPr>
      <w:r>
        <w:rPr>
          <w:rFonts w:ascii="Arial" w:cs="Arial" w:eastAsia="Arial" w:hAnsi="Arial"/>
          <w:sz w:val="18"/>
          <w:szCs w:val="18"/>
          <w:b w:val="1"/>
          <w:bCs w:val="1"/>
          <w:color w:val="auto"/>
        </w:rPr>
        <w:t xml:space="preserve">Trends or Matters Affecting Results of Operations and Future Business Performance </w:t>
      </w:r>
      <w:r>
        <w:rPr>
          <w:rFonts w:ascii="Arial" w:cs="Arial" w:eastAsia="Arial" w:hAnsi="Arial"/>
          <w:sz w:val="18"/>
          <w:szCs w:val="18"/>
          <w:i w:val="1"/>
          <w:iCs w:val="1"/>
          <w:color w:val="auto"/>
        </w:rPr>
        <w:t>PG&amp;E Bankruptcy</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discussed above, the Company continues to assess the potential future impacts of the PG&amp;E Bankruptcy filing as events occur. However, no impact to the Company’s immediate operating activities has occurred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 and Solar Resource Availability</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availability of the wind and solar resources affects the financial performance of the wind and solar facilities, which may impact the Company’s overall financial performance. Due to the variable nature of the wind and solar resources,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79"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Conditions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capital markets in general are often subject to volatility that is unrelated to the operating performance of particular companies. The Company’s growth strategy depends on its ability to identify and acquire additional renewable facilities from CEG and additional conventional and renewable facilities from unaffiliated third parties, which will require access to debt and equity financing to complete such acquisitions or replenish capital for future acquisitions. Any broad market fluctuations may affect the Company’s ability to access such capital through debt or equity financings.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6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264"/>
        </w:trPr>
        <w:tc>
          <w:tcPr>
            <w:tcW w:w="120" w:type="dxa"/>
            <w:vAlign w:val="bottom"/>
          </w:tcPr>
          <w:p>
            <w:pPr>
              <w:spacing w:after="0"/>
              <w:rPr>
                <w:sz w:val="22"/>
                <w:szCs w:val="22"/>
                <w:color w:val="auto"/>
              </w:rPr>
            </w:pPr>
          </w:p>
        </w:tc>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Mark-to-market for economic hedges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2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1,009</w:t>
            </w:r>
          </w:p>
        </w:tc>
      </w:tr>
      <w:tr>
        <w:trPr>
          <w:trHeight w:val="27"/>
        </w:trPr>
        <w:tc>
          <w:tcPr>
            <w:tcW w:w="1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Other costs of operations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2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726</w:t>
            </w:r>
          </w:p>
        </w:tc>
      </w:tr>
      <w:tr>
        <w:trPr>
          <w:trHeight w:val="27"/>
        </w:trPr>
        <w:tc>
          <w:tcPr>
            <w:tcW w:w="1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r>
      <w:tr>
        <w:trPr>
          <w:trHeight w:val="237"/>
        </w:trPr>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12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7"/>
        </w:trPr>
        <w:tc>
          <w:tcPr>
            <w:tcW w:w="1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37"/>
        </w:trPr>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49</w:t>
            </w:r>
          </w:p>
        </w:tc>
      </w:tr>
      <w:tr>
        <w:trPr>
          <w:trHeight w:val="27"/>
        </w:trPr>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r>
      <w:tr>
        <w:trPr>
          <w:trHeight w:val="237"/>
        </w:trPr>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1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Pre-acquisition net income of Drop Down Assets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37"/>
        </w:trPr>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(Loss) Income Excluding Pre-acquisition Net Income of Drop Down Assets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1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57"/>
        </w:trPr>
        <w:tc>
          <w:tcPr>
            <w:tcW w:w="12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Clearway Energy,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440"/>
        </w:trPr>
        <w:tc>
          <w:tcPr>
            <w:tcW w:w="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Business metrics: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r>
      <w:tr>
        <w:trPr>
          <w:trHeight w:val="270"/>
        </w:trPr>
        <w:tc>
          <w:tcPr>
            <w:tcW w:w="7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6,584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7,197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6,844</w:t>
            </w:r>
          </w:p>
        </w:tc>
        <w:tc>
          <w:tcPr>
            <w:tcW w:w="120" w:type="dxa"/>
            <w:vAlign w:val="bottom"/>
          </w:tcPr>
          <w:p>
            <w:pPr>
              <w:spacing w:after="0"/>
              <w:rPr>
                <w:sz w:val="23"/>
                <w:szCs w:val="23"/>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Thermal MWt sold (in thousands)</w:t>
            </w:r>
          </w:p>
        </w:tc>
        <w:tc>
          <w:tcPr>
            <w:tcW w:w="24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2,153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r>
      <w:tr>
        <w:trPr>
          <w:trHeight w:val="27"/>
        </w:trPr>
        <w:tc>
          <w:tcPr>
            <w:tcW w:w="7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7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r>
      <w:tr>
        <w:trPr>
          <w:trHeight w:val="270"/>
        </w:trPr>
        <w:tc>
          <w:tcPr>
            <w:tcW w:w="7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24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1,095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3"/>
                <w:szCs w:val="23"/>
                <w:color w:val="auto"/>
              </w:rPr>
            </w:pPr>
          </w:p>
        </w:tc>
      </w:tr>
      <w:tr>
        <w:trPr>
          <w:trHeight w:val="243"/>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r>
      <w:tr>
        <w:trPr>
          <w:trHeight w:val="27"/>
        </w:trPr>
        <w:tc>
          <w:tcPr>
            <w:tcW w:w="12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Volumes do not include the MWh generated/sold by the Company's equity method investments.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Volumes generated are not sold as the Conventional facilities sell capacity rather than energy.</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MWh sold do not include 108 MWh generated by Dover, a subsidiary of the Company, under the PPA with NRG Power Marketing during the year ended December 31, 2018</w:t>
      </w:r>
      <w:r>
        <w:rPr>
          <w:rFonts w:ascii="Arial" w:cs="Arial" w:eastAsia="Arial" w:hAnsi="Arial"/>
          <w:sz w:val="8"/>
          <w:szCs w:val="8"/>
          <w:color w:val="auto"/>
        </w:rPr>
        <w:t>.</w:t>
      </w:r>
    </w:p>
    <w:p>
      <w:pPr>
        <w:sectPr>
          <w:pgSz w:w="11900" w:h="16838" w:orient="portrait"/>
          <w:cols w:equalWidth="0" w:num="1">
            <w:col w:w="11320"/>
          </w:cols>
          <w:pgMar w:left="240" w:top="675" w:right="339" w:bottom="1440" w:gutter="0" w:footer="0" w:header="0"/>
        </w:sect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20"/>
          </w:cols>
          <w:pgMar w:left="240" w:top="675" w:right="339" w:bottom="1440" w:gutter="0" w:footer="0" w:header="0"/>
          <w:type w:val="continuous"/>
        </w:sectPr>
      </w:pPr>
    </w:p>
    <w:bookmarkStart w:id="49" w:name="page50"/>
    <w:bookmarkEnd w:id="49"/>
    <w:p>
      <w:pPr>
        <w:ind w:right="362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2019 and 2018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years ended December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Mark-to-market for economic hedges</w:t>
            </w: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economic hedging activities</w:t>
            </w:r>
          </w:p>
        </w:tc>
        <w:tc>
          <w:tcPr>
            <w:tcW w:w="2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7"/>
          <w:szCs w:val="17"/>
          <w:color w:val="auto"/>
        </w:rPr>
        <w:t>Gross margin decreased by $21 million during the year ended December 31, 2019, compared to the same period in 2018, primarily due to:</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Increase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Reason for (Decrease) Increase</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Primarily driven by a decrease of $28 million related to unfavorable wind and solar resources across the</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portfolio, an $8 million decrease at CVSR related to the June 2019 outage and $9 million in mark-to-market loss</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on the Elbow Creek forward power sale contract entered into during the first quarter of 2019. This decrease was</w:t>
            </w:r>
          </w:p>
        </w:tc>
        <w:tc>
          <w:tcPr>
            <w:tcW w:w="0" w:type="dxa"/>
            <w:vAlign w:val="bottom"/>
          </w:tcPr>
          <w:p>
            <w:pPr>
              <w:spacing w:after="0"/>
              <w:rPr>
                <w:sz w:val="1"/>
                <w:szCs w:val="1"/>
                <w:color w:val="auto"/>
              </w:rPr>
            </w:pPr>
          </w:p>
        </w:tc>
      </w:tr>
      <w:tr>
        <w:trPr>
          <w:trHeight w:val="216"/>
        </w:trPr>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Renewables: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partially offset by $7 million of revenue generated at the Buckthorn Solar project which reached COD in July</w:t>
            </w:r>
          </w:p>
        </w:tc>
        <w:tc>
          <w:tcPr>
            <w:tcW w:w="0" w:type="dxa"/>
            <w:vAlign w:val="bottom"/>
          </w:tcPr>
          <w:p>
            <w:pPr>
              <w:spacing w:after="0"/>
              <w:rPr>
                <w:sz w:val="1"/>
                <w:szCs w:val="1"/>
                <w:color w:val="auto"/>
              </w:rPr>
            </w:pPr>
          </w:p>
        </w:tc>
      </w:tr>
      <w:tr>
        <w:trPr>
          <w:trHeight w:val="237"/>
        </w:trPr>
        <w:tc>
          <w:tcPr>
            <w:tcW w:w="1600" w:type="dxa"/>
            <w:vAlign w:val="bottom"/>
            <w:tcBorders>
              <w:bottom w:val="single" w:sz="8" w:color="CCEEFF"/>
            </w:tcBorders>
            <w:gridSpan w:val="2"/>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1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Conventional:</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w w:val="95"/>
              </w:rPr>
              <w:t>Increase of $8 million due to the Carlsbad Energy Center acquisition on December 5, 2019 as well as $2</w:t>
            </w:r>
          </w:p>
        </w:tc>
        <w:tc>
          <w:tcPr>
            <w:tcW w:w="0" w:type="dxa"/>
            <w:vAlign w:val="bottom"/>
          </w:tcPr>
          <w:p>
            <w:pPr>
              <w:spacing w:after="0"/>
              <w:rPr>
                <w:sz w:val="1"/>
                <w:szCs w:val="1"/>
                <w:color w:val="auto"/>
              </w:rPr>
            </w:pPr>
          </w:p>
        </w:tc>
      </w:tr>
      <w:tr>
        <w:trPr>
          <w:trHeight w:val="230"/>
        </w:trPr>
        <w:tc>
          <w:tcPr>
            <w:tcW w:w="160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million primarily due to lower outages in 2019 compared to 2018.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Thermal:</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Increase of $5 million due to the acquisition of Duquesne University District Energy System on May 1, 2019,</w:t>
            </w:r>
          </w:p>
        </w:tc>
        <w:tc>
          <w:tcPr>
            <w:tcW w:w="0" w:type="dxa"/>
            <w:vAlign w:val="bottom"/>
          </w:tcPr>
          <w:p>
            <w:pPr>
              <w:spacing w:after="0"/>
              <w:rPr>
                <w:sz w:val="1"/>
                <w:szCs w:val="1"/>
                <w:color w:val="auto"/>
              </w:rPr>
            </w:pPr>
          </w:p>
        </w:tc>
      </w:tr>
      <w:tr>
        <w:trPr>
          <w:trHeight w:val="257"/>
        </w:trPr>
        <w:tc>
          <w:tcPr>
            <w:tcW w:w="1600" w:type="dxa"/>
            <w:vAlign w:val="bottom"/>
            <w:tcBorders>
              <w:bottom w:val="single" w:sz="8" w:color="CCEEFF"/>
            </w:tcBorders>
            <w:gridSpan w:val="2"/>
            <w:vMerge w:val="continue"/>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as well as $2 million related to the UPMC Thermal Project, which was completed in the second quarter of 2018.</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Operations and maintenance expense increased by $7 million during the year ended December 31, 2019 compared to the same period in 2018, primarily driven by higher insurance claims, which lowered expense in 2018, as well higher operations and maintenance costs in the Renewables segment in connection with fire damages at CVSR.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increased by $3 million primarily due to higher insurance costs across the segments, as well as ARO accretion due to certain Renewables projects, which reached COD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Depreciation and amortization expense increased by $65 million during the year ended December 31, 2019, compared to 2018, primarily due to </w:t>
      </w:r>
      <w:r>
        <w:rPr>
          <w:rFonts w:ascii="Arial" w:cs="Arial" w:eastAsia="Arial" w:hAnsi="Arial"/>
          <w:sz w:val="15"/>
          <w:szCs w:val="15"/>
          <w:color w:val="auto"/>
        </w:rPr>
        <w:t xml:space="preserve">accelerated depreciation at the Wildorado Wind and Elbow Creek projects in connection with the repowering activities, which resulted in an additional </w:t>
      </w:r>
      <w:r>
        <w:rPr>
          <w:rFonts w:ascii="Arial" w:cs="Arial" w:eastAsia="Arial" w:hAnsi="Arial"/>
          <w:sz w:val="16"/>
          <w:szCs w:val="16"/>
          <w:color w:val="auto"/>
        </w:rPr>
        <w:t>$54 million</w:t>
      </w:r>
      <w:r>
        <w:rPr>
          <w:rFonts w:ascii="Arial" w:cs="Arial" w:eastAsia="Arial" w:hAnsi="Arial"/>
          <w:sz w:val="15"/>
          <w:szCs w:val="15"/>
          <w:color w:val="auto"/>
        </w:rPr>
        <w:t xml:space="preserve"> of depreciation expense. The remaining increase in depreciation expense is due to several projects in the Renewables segment reaching COD throughout 2018 and 2019, as well as increased acquisition activity in the Thermal and Conventional segments in 2019, as further described in Item 15 </w:t>
      </w:r>
      <w:r>
        <w:rPr>
          <w:rFonts w:ascii="Arial" w:cs="Arial" w:eastAsia="Arial" w:hAnsi="Arial"/>
          <w:sz w:val="16"/>
          <w:szCs w:val="16"/>
          <w:color w:val="auto"/>
        </w:rPr>
        <w:t>—</w:t>
      </w:r>
      <w:r>
        <w:rPr>
          <w:rFonts w:ascii="Arial" w:cs="Arial" w:eastAsia="Arial" w:hAnsi="Arial"/>
          <w:sz w:val="15"/>
          <w:szCs w:val="15"/>
          <w:color w:val="auto"/>
        </w:rPr>
        <w:t xml:space="preserve"> Note 3, </w:t>
      </w:r>
      <w:r>
        <w:rPr>
          <w:rFonts w:ascii="Arial" w:cs="Arial" w:eastAsia="Arial" w:hAnsi="Arial"/>
          <w:sz w:val="15"/>
          <w:szCs w:val="15"/>
          <w:i w:val="1"/>
          <w:iCs w:val="1"/>
          <w:color w:val="auto"/>
        </w:rPr>
        <w:t>Acquisitions and Dispositions.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recorded impairment losses of $33 million for the year ended December 31, 2019, of which $19 million relates to a project within Thermal segment and was recorded in connection with the Company entering into a purchase and sale agreement with DB Energy Assets, LLC on September 9, 2019, as further described in Item 15 —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xml:space="preserve">. The Company also recorded an impairment loss of $14 million related to several wind projects from the Renewables segment, as further described in Item 15 — Note 9, </w:t>
      </w:r>
      <w:r>
        <w:rPr>
          <w:rFonts w:ascii="Arial" w:cs="Arial" w:eastAsia="Arial" w:hAnsi="Arial"/>
          <w:sz w:val="17"/>
          <w:szCs w:val="17"/>
          <w:i w:val="1"/>
          <w:iCs w:val="1"/>
          <w:color w:val="auto"/>
        </w:rPr>
        <w:t>Asset Impairments.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General and administrative expenses increased by $9 million for the year ended December 31, 2019 compared to the same period in 2018 due to increase in headcount, primarily in the Corporate and Thermal segments, resulting from the separation from NRG due to the GIP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Integration Costs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Transaction and integration related costs of $3 million during the year ended December 31, 2019, reflect costs incurred by the Company under the TSA with NRG, as further described in Item 15 — Note 1,</w:t>
      </w:r>
      <w:r>
        <w:rPr>
          <w:rFonts w:ascii="Arial" w:cs="Arial" w:eastAsia="Arial" w:hAnsi="Arial"/>
          <w:sz w:val="17"/>
          <w:szCs w:val="17"/>
          <w:i w:val="1"/>
          <w:iCs w:val="1"/>
          <w:color w:val="auto"/>
        </w:rPr>
        <w:t>Nature of Business</w:t>
      </w:r>
      <w:r>
        <w:rPr>
          <w:rFonts w:ascii="Arial" w:cs="Arial" w:eastAsia="Arial" w:hAnsi="Arial"/>
          <w:sz w:val="17"/>
          <w:szCs w:val="17"/>
          <w:color w:val="auto"/>
        </w:rPr>
        <w:t>, as well as fees paid in connection with the acquisitions that took place in 2019. Transaction and integration costs of $20 million during the year ended December 31, 2018, reflect fees paid to advisors and other costs associated with the GIP Transaction, as well as fees paid in connection with the acquisitions that took place in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7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21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Development costs increased by $2 million during the year ended December 31, 2019 primarily due to higher business development activity within the Thermal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increased by $9 million during the year ended December 31, 2019 compared to the same period in 2018, primarily due to higher income allocated to RPV Holdco in 2019 compared to 2018, partially offset by higher losses at Desert Sunlight, DGPV Holdco entities, as well as GenConn and Avenal.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loss on debt extinguishment of $16 million for the year ended December 31, 2019, $15 million of which relates to the redemption of the 2024 Senior Notes. On December 13, 2019, the Company repurchased an aggregate principal amount of $412 million, or 82.4% of the 2024 Senior Notes, which was effectuated at a premium of 103% for a total consideration of $424 million and as a result, the Company recorded a loss on extinguishment in the amount of $12 million. In addition, the Company recorded a $3 million debt extinguishment loss in connection with the write off of the deferred financing fees related to the 2024 Senior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increased by $98 million during the year ended December 31, 2019 compared to the same period in 2018 primarily due to:</w:t>
      </w:r>
    </w:p>
    <w:p>
      <w:pPr>
        <w:sectPr>
          <w:pgSz w:w="11900" w:h="16838" w:orient="portrait"/>
          <w:cols w:equalWidth="0" w:num="1">
            <w:col w:w="11420"/>
          </w:cols>
          <w:pgMar w:left="240" w:top="733"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Reason for 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23495</wp:posOffset>
            </wp:positionV>
            <wp:extent cx="710057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0570" cy="317500"/>
                    </a:xfrm>
                    <a:prstGeom prst="rect">
                      <a:avLst/>
                    </a:prstGeom>
                    <a:noFill/>
                  </pic:spPr>
                </pic:pic>
              </a:graphicData>
            </a:graphic>
          </wp:anchor>
        </w:drawing>
      </w:r>
    </w:p>
    <w:p>
      <w:pPr>
        <w:spacing w:after="0" w:line="43" w:lineRule="exact"/>
        <w:rPr>
          <w:sz w:val="20"/>
          <w:szCs w:val="20"/>
          <w:color w:val="auto"/>
        </w:rPr>
      </w:pPr>
    </w:p>
    <w:p>
      <w:pPr>
        <w:ind w:left="140" w:right="320" w:firstLine="324"/>
        <w:spacing w:after="0" w:line="277" w:lineRule="auto"/>
        <w:rPr>
          <w:sz w:val="20"/>
          <w:szCs w:val="20"/>
          <w:color w:val="auto"/>
        </w:rPr>
      </w:pPr>
      <w:r>
        <w:rPr>
          <w:rFonts w:ascii="Arial" w:cs="Arial" w:eastAsia="Arial" w:hAnsi="Arial"/>
          <w:sz w:val="18"/>
          <w:szCs w:val="18"/>
          <w:color w:val="auto"/>
        </w:rPr>
        <w:t>Change in fair value of interest rate swaps as well as reclassification of losses previously deferred in AOCI to the statement of operations in connection with project-level debt financing activities</w:t>
      </w:r>
    </w:p>
    <w:p>
      <w:pPr>
        <w:spacing w:after="0" w:line="8" w:lineRule="exact"/>
        <w:rPr>
          <w:sz w:val="20"/>
          <w:szCs w:val="20"/>
          <w:color w:val="auto"/>
        </w:rPr>
      </w:pPr>
    </w:p>
    <w:p>
      <w:pPr>
        <w:ind w:left="140" w:firstLine="324"/>
        <w:spacing w:after="0" w:line="264" w:lineRule="auto"/>
        <w:rPr>
          <w:sz w:val="20"/>
          <w:szCs w:val="20"/>
          <w:color w:val="auto"/>
        </w:rPr>
      </w:pPr>
      <w:r>
        <w:rPr>
          <w:rFonts w:ascii="Arial" w:cs="Arial" w:eastAsia="Arial" w:hAnsi="Arial"/>
          <w:sz w:val="18"/>
          <w:szCs w:val="18"/>
          <w:color w:val="auto"/>
        </w:rPr>
        <w:t>Additional interest expense primarily from the issuance of Energy Center Minneapolis Series E, F, G, H Notes in June 2018 and in connection with acquisitions in the Thermal and Conventional segments, partially offset by lower interest expense due to lower principal balances of project level debt across the segments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80" w:lineRule="exact"/>
        <w:rPr>
          <w:sz w:val="20"/>
          <w:szCs w:val="20"/>
          <w:color w:val="auto"/>
        </w:rPr>
      </w:pPr>
    </w:p>
    <w:p>
      <w:pPr>
        <w:ind w:left="880" w:hanging="876"/>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91</w:t>
      </w:r>
    </w:p>
    <w:p>
      <w:pPr>
        <w:spacing w:after="0" w:line="200" w:lineRule="exact"/>
        <w:rPr>
          <w:sz w:val="20"/>
          <w:szCs w:val="20"/>
          <w:color w:val="auto"/>
        </w:rPr>
      </w:pPr>
    </w:p>
    <w:p>
      <w:pPr>
        <w:spacing w:after="0" w:line="31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ind w:left="880" w:hanging="876"/>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754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63500</wp:posOffset>
            </wp:positionV>
            <wp:extent cx="754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80" w:space="260"/>
            <w:col w:w="1280"/>
          </w:cols>
          <w:pgMar w:left="240" w:top="733" w:right="23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733"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the Company recorded an income tax benefit of $8 million on pretax loss of $104 million. For the same period in 2018, the Company recorded an income tax expense of $62 million on pretax income of $116 million. For the year ended December 31, 2019, the overall effective tax rate was different than the statutory rate of 21% primarily due to the taxable earnings and losses allocated to partners’ interest in Clearway Energy LLC, which includes the effects of applying the hypothetical liquidation at book value, or HLBV, method of accounting for book purposes to certain partnerships.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year ended December 31, 2018, the overall effective tax rate was different than the statutory rate of 21% primarily due to higher state income tax rates following the Company’s separation from NRG, as well as taxable earnings and losses allocated to partners’ interest in Clearway Energy LLC, which includes the effects of applying the hypothetical liquidation at book value, or HLBV, method of accounting for book purposes to certain partnerships.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U.S. federal statutory rate of 21% to the Company's effective rate is as follows:</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264"/>
        </w:trPr>
        <w:tc>
          <w:tcPr>
            <w:tcW w:w="7560" w:type="dxa"/>
            <w:vAlign w:val="bottom"/>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196"/>
        </w:trPr>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r>
      <w:tr>
        <w:trPr>
          <w:trHeight w:val="27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w:t>
            </w: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Tax at 21%</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r>
      <w:tr>
        <w:trPr>
          <w:trHeight w:val="33"/>
        </w:trPr>
        <w:tc>
          <w:tcPr>
            <w:tcW w:w="7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State taxes, net of federal benefit</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37"/>
        </w:trPr>
        <w:tc>
          <w:tcPr>
            <w:tcW w:w="7560" w:type="dxa"/>
            <w:vAlign w:val="bottom"/>
          </w:tcPr>
          <w:p>
            <w:pPr>
              <w:ind w:left="140"/>
              <w:spacing w:after="0"/>
              <w:rPr>
                <w:sz w:val="20"/>
                <w:szCs w:val="20"/>
                <w:color w:val="auto"/>
              </w:rPr>
            </w:pPr>
            <w:r>
              <w:rPr>
                <w:rFonts w:ascii="Arial" w:cs="Arial" w:eastAsia="Arial" w:hAnsi="Arial"/>
                <w:sz w:val="16"/>
                <w:szCs w:val="16"/>
                <w:color w:val="auto"/>
              </w:rPr>
              <w:t>Deferred state rate change due to deconsolidation from NRG</w:t>
            </w:r>
          </w:p>
        </w:tc>
        <w:tc>
          <w:tcPr>
            <w:tcW w:w="10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r>
      <w:tr>
        <w:trPr>
          <w:trHeight w:val="33"/>
        </w:trPr>
        <w:tc>
          <w:tcPr>
            <w:tcW w:w="7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Impact of non-taxable partnership earnings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37"/>
        </w:trPr>
        <w:tc>
          <w:tcPr>
            <w:tcW w:w="7560" w:type="dxa"/>
            <w:vAlign w:val="bottom"/>
          </w:tcPr>
          <w:p>
            <w:pPr>
              <w:ind w:left="140"/>
              <w:spacing w:after="0"/>
              <w:rPr>
                <w:sz w:val="20"/>
                <w:szCs w:val="20"/>
                <w:color w:val="auto"/>
              </w:rPr>
            </w:pPr>
            <w:r>
              <w:rPr>
                <w:rFonts w:ascii="Arial" w:cs="Arial" w:eastAsia="Arial" w:hAnsi="Arial"/>
                <w:sz w:val="16"/>
                <w:szCs w:val="16"/>
                <w:color w:val="auto"/>
              </w:rPr>
              <w:t>Investment tax credits</w:t>
            </w:r>
          </w:p>
        </w:tc>
        <w:tc>
          <w:tcPr>
            <w:tcW w:w="10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Production tax credits, including prior year true-up</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560" w:type="dxa"/>
            <w:vAlign w:val="bottom"/>
          </w:tcPr>
          <w:p>
            <w:pPr>
              <w:ind w:left="140"/>
              <w:spacing w:after="0"/>
              <w:rPr>
                <w:sz w:val="20"/>
                <w:szCs w:val="20"/>
                <w:color w:val="auto"/>
              </w:rPr>
            </w:pPr>
            <w:r>
              <w:rPr>
                <w:rFonts w:ascii="Arial" w:cs="Arial" w:eastAsia="Arial" w:hAnsi="Arial"/>
                <w:sz w:val="16"/>
                <w:szCs w:val="16"/>
                <w:color w:val="auto"/>
              </w:rPr>
              <w:t>Valuation allowance adjustment</w:t>
            </w:r>
          </w:p>
        </w:tc>
        <w:tc>
          <w:tcPr>
            <w:tcW w:w="10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w:t>
            </w:r>
          </w:p>
        </w:tc>
      </w:tr>
      <w:tr>
        <w:trPr>
          <w:trHeight w:val="33"/>
        </w:trPr>
        <w:tc>
          <w:tcPr>
            <w:tcW w:w="7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r>
      <w:tr>
        <w:trPr>
          <w:trHeight w:val="284"/>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expense</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62</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33"/>
        </w:trPr>
        <w:tc>
          <w:tcPr>
            <w:tcW w:w="7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Noncontrolling Interests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the Company had a loss of $14 million attributable to CEG's economic interest in Clearway Energy LLC, as well as $21 million of net losses attributable to CEG's interests in the Repowering, Oahu, and Kawailoa partnerships. The Company also recorded a net loss of $57 million attributable to noncontrolling interests with respect to tax equity financing arrangements and the application of the HLBV method, primarily reflecting tax benefits allocated to tax equity investors in periods immediately subsequent to COD. This was partially offset by $7 million of income attributable to a third party's interest in Kawailoa partnership.</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2018, income attributable to noncontrolling interests of $2 million was comprised of income of $106 million, of which $104 million was attributable to NRG for the period prior to the GIP Transaction and $2 million was attributable to CEG for the period after the GIP Transaction, and losses of $104 million attributable to tax equity investors. These losses were attributable to the application of HLBV, which generally allocates losses to the investors for the first several years after fund formation, including $55 million for the Buckthorn Solar project which generated tax credits allocated primarily to the tax equity investor when it reached COD in July 2018.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7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w:t>
      </w:r>
      <w:r>
        <w:rPr>
          <w:rFonts w:ascii="Arial" w:cs="Arial" w:eastAsia="Arial" w:hAnsi="Arial"/>
          <w:sz w:val="17"/>
          <w:szCs w:val="17"/>
          <w:color w:val="231F20"/>
        </w:rPr>
        <w:t xml:space="preserve"> </w:t>
      </w:r>
      <w:r>
        <w:rPr>
          <w:rFonts w:ascii="Arial" w:cs="Arial" w:eastAsia="Arial" w:hAnsi="Arial"/>
          <w:sz w:val="17"/>
          <w:szCs w:val="17"/>
          <w:color w:val="000000"/>
        </w:rPr>
        <w:t>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the Company's liquidity was approximately $842 million and $1,037 million, respectively, comprised of cash, restricted cash and availability under the Company's revolving credit facility.</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22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48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r>
      <w:tr>
        <w:trPr>
          <w:trHeight w:val="3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8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7"/>
              </w:rPr>
              <w:t>(In millions)</w:t>
            </w:r>
          </w:p>
        </w:tc>
        <w:tc>
          <w:tcPr>
            <w:tcW w:w="480" w:type="dxa"/>
            <w:vAlign w:val="bottom"/>
          </w:tcPr>
          <w:p>
            <w:pPr>
              <w:spacing w:after="0"/>
              <w:rPr>
                <w:sz w:val="18"/>
                <w:szCs w:val="18"/>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Subsidiaries</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Restricted cash:</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accounts</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90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Revolving credit facility availability</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liquidity</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1,037</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 xml:space="preserve">The Company's liquidity includes $262 million and $176 million of restricted cash balances as of December 31, 2019 and </w:t>
      </w:r>
      <w:r>
        <w:rPr>
          <w:rFonts w:ascii="Arial" w:cs="Arial" w:eastAsia="Arial" w:hAnsi="Arial"/>
          <w:sz w:val="17"/>
          <w:szCs w:val="17"/>
          <w:color w:val="000000"/>
        </w:rPr>
        <w:t>2018</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December 31, 2019, these restricted funds comprised of $129 million designated to fund operating expenses, approximately $24</w:t>
      </w:r>
      <w:r>
        <w:rPr>
          <w:rFonts w:ascii="Arial" w:cs="Arial" w:eastAsia="Arial" w:hAnsi="Arial"/>
          <w:sz w:val="17"/>
          <w:szCs w:val="17"/>
          <w:color w:val="231F20"/>
        </w:rPr>
        <w:t xml:space="preserve"> </w:t>
      </w:r>
      <w:r>
        <w:rPr>
          <w:rFonts w:ascii="Arial" w:cs="Arial" w:eastAsia="Arial" w:hAnsi="Arial"/>
          <w:sz w:val="17"/>
          <w:szCs w:val="17"/>
          <w:color w:val="000000"/>
        </w:rPr>
        <w:t>million designated for current debt service payments, and $30 million restricted for reserves including debt service, performance obligations and other reserves, as well as capital expenditures. The remaining $79 million is held in distribution reserve accounts, of which $58 million related to subsidiaries affected by the PG&amp;E Bankruptcy, as discussed further below and may not be distributed during the pendency of the bankruptcy. Such subsidiaries had a total of $177 million in restricted cash as of December 31, 2019.</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xml:space="preserve">, the Company had no borrowings under the revolving credit facility and $70 million of letters of credit were outstanding under the revolving credit facility. </w:t>
      </w:r>
      <w:r>
        <w:rPr>
          <w:rFonts w:ascii="Arial" w:cs="Arial" w:eastAsia="Arial" w:hAnsi="Arial"/>
          <w:sz w:val="18"/>
          <w:szCs w:val="18"/>
          <w:color w:val="000000"/>
        </w:rPr>
        <w:t>The Company had $170 million outstanding under the revolving credit facility and a total of $69 million in letters of credit</w:t>
      </w:r>
      <w:r>
        <w:rPr>
          <w:rFonts w:ascii="Arial" w:cs="Arial" w:eastAsia="Arial" w:hAnsi="Arial"/>
          <w:sz w:val="18"/>
          <w:szCs w:val="18"/>
          <w:color w:val="231F20"/>
        </w:rPr>
        <w:t xml:space="preserve"> </w:t>
      </w:r>
      <w:r>
        <w:rPr>
          <w:rFonts w:ascii="Arial" w:cs="Arial" w:eastAsia="Arial" w:hAnsi="Arial"/>
          <w:sz w:val="18"/>
          <w:szCs w:val="18"/>
          <w:color w:val="000000"/>
        </w:rPr>
        <w:t>outstanding as of February 24, 2020.</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December 31, 2019, all project level cash balances for these subsidiaries were classified as restricted cash.</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12529"/>
        </w:rPr>
        <w:t>On December 20, 2019, each of Clearway Energy Operating LLC, as borrower, and Clearway Energy LLC, as guarantor,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1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75"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credit ratings for the Company and its Senior Notes as of December 31, 2019. The ratings outlook is stable.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Clearway Energy,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5.75% Senior Notes, due 2025</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4.750% Senior Notes, due 2028</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Arial" w:cs="Arial" w:eastAsia="Arial" w:hAnsi="Arial"/>
          <w:sz w:val="16"/>
          <w:szCs w:val="16"/>
          <w:color w:val="000000"/>
        </w:rPr>
        <w:t>— Note 10</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xml:space="preserve">, to the Consolidated Financial Statements, and above in </w:t>
      </w:r>
      <w:r>
        <w:rPr>
          <w:rFonts w:ascii="Arial" w:cs="Arial" w:eastAsia="Arial" w:hAnsi="Arial"/>
          <w:sz w:val="16"/>
          <w:szCs w:val="16"/>
          <w:i w:val="1"/>
          <w:iCs w:val="1"/>
          <w:color w:val="000000"/>
        </w:rPr>
        <w:t>Significant Events During the Year Ended December 31, 2019,</w:t>
      </w:r>
      <w:r>
        <w:rPr>
          <w:rFonts w:ascii="Arial" w:cs="Arial" w:eastAsia="Arial" w:hAnsi="Arial"/>
          <w:sz w:val="16"/>
          <w:szCs w:val="16"/>
          <w:color w:val="231F20"/>
        </w:rPr>
        <w:t xml:space="preserve"> the Company's financing arrangements consist of the equity offering of Class C common stock on September 27, 2018, corporate level debt, which includes Senior Notes, Convertible Notes and the revolving credit facility; the ATM Program; and project-level financings for its various assets.</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2028 Senior Notes </w:t>
      </w:r>
      <w:r>
        <w:rPr>
          <w:rFonts w:ascii="Arial" w:cs="Arial" w:eastAsia="Arial" w:hAnsi="Arial"/>
          <w:sz w:val="17"/>
          <w:szCs w:val="17"/>
          <w:color w:val="auto"/>
        </w:rPr>
        <w:t>— On December 11, 2019, Clearway Energy Operating LLC completed the sale of $600 million aggregate principal amount due</w:t>
      </w:r>
      <w:r>
        <w:rPr>
          <w:rFonts w:ascii="Arial" w:cs="Arial" w:eastAsia="Arial" w:hAnsi="Arial"/>
          <w:sz w:val="17"/>
          <w:szCs w:val="17"/>
          <w:i w:val="1"/>
          <w:iCs w:val="1"/>
          <w:color w:val="auto"/>
        </w:rPr>
        <w:t xml:space="preserve"> </w:t>
      </w:r>
      <w:r>
        <w:rPr>
          <w:rFonts w:ascii="Arial" w:cs="Arial" w:eastAsia="Arial" w:hAnsi="Arial"/>
          <w:sz w:val="17"/>
          <w:szCs w:val="17"/>
          <w:color w:val="auto"/>
        </w:rPr>
        <w:t>2028, or the 2028 Senior Notes. The 2028 Senior Notes bear interest at 4.75% and mature on March 15, 2028. The proceeds from the 2028 Senior Notes were used to partially fund investments into Repowering 1.0, repay the 2024 Senior Notes, and pay transaction fees and expenses.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2019 Equity Offering </w:t>
      </w:r>
      <w:r>
        <w:rPr>
          <w:rFonts w:ascii="Arial" w:cs="Arial" w:eastAsia="Arial" w:hAnsi="Arial"/>
          <w:sz w:val="18"/>
          <w:szCs w:val="18"/>
          <w:color w:val="auto"/>
        </w:rPr>
        <w:t>— On December 2, 2019, the Company issued and sold 5,405,405 shares of Class C common stock for net proceeds of $100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Company utilized the proceeds of the offering to acquire 5,405,405 Class C units of Clearway Energy LLC.</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Company has a total of $425 million available under the revolving credit facility as of December 31,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will continue to be used for general corporate purposes including financing of future acquisitions and posting letters of credit.</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ATM Program </w:t>
      </w:r>
      <w:r>
        <w:rPr>
          <w:rFonts w:ascii="Arial" w:cs="Arial" w:eastAsia="Arial" w:hAnsi="Arial"/>
          <w:sz w:val="18"/>
          <w:szCs w:val="18"/>
          <w:color w:val="auto"/>
        </w:rPr>
        <w:t>— As of December 31, 2019, approximately $36 million of Class C common stock remains available for issuance under the ATM</w:t>
      </w:r>
      <w:r>
        <w:rPr>
          <w:rFonts w:ascii="Arial" w:cs="Arial" w:eastAsia="Arial" w:hAnsi="Arial"/>
          <w:sz w:val="18"/>
          <w:szCs w:val="18"/>
          <w:i w:val="1"/>
          <w:iCs w:val="1"/>
          <w:color w:val="auto"/>
        </w:rPr>
        <w:t xml:space="preserve"> </w:t>
      </w:r>
      <w:r>
        <w:rPr>
          <w:rFonts w:ascii="Arial" w:cs="Arial" w:eastAsia="Arial" w:hAnsi="Arial"/>
          <w:sz w:val="18"/>
          <w:szCs w:val="18"/>
          <w:color w:val="auto"/>
        </w:rPr>
        <w:t>Program.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79"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8"/>
          <w:szCs w:val="18"/>
          <w:color w:val="000000"/>
        </w:rPr>
        <w:t>—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(ii) capital expenditures; (iii) acquisitions and investments; and (iv) cash dividends to investors.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Service Obligations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payments on debt as of December 31, 2019 are due in the following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w:t>
            </w: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7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There-after</w:t>
            </w: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4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Clearway Energy, Inc. Convertible Notes, due 2020</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Clearway Energy Operating LLC Senior Notes, due 2024</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Clearway Energy Operating LLC Senior Notes, due 2025</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Clearway Energy Operating LLC Senior Notes, due 2026</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Clearway Energy Operating LLC Senior Notes, due 2028</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17"/>
        </w:trPr>
        <w:tc>
          <w:tcPr>
            <w:tcW w:w="4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6"/>
                <w:szCs w:val="16"/>
                <w:color w:val="auto"/>
              </w:rPr>
              <w:t>Total Corporate-level debt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1,683</w:t>
            </w:r>
          </w:p>
        </w:tc>
      </w:tr>
      <w:tr>
        <w:trPr>
          <w:trHeight w:val="33"/>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Project-level debt: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 xml:space="preserve">Alpine, due 2022 </w:t>
            </w:r>
            <w:r>
              <w:rPr>
                <w:rFonts w:ascii="Arial" w:cs="Arial" w:eastAsia="Arial" w:hAnsi="Arial"/>
                <w:sz w:val="21"/>
                <w:szCs w:val="21"/>
                <w:color w:val="auto"/>
                <w:vertAlign w:val="superscript"/>
              </w:rPr>
              <w:t>(a)</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I - V lease financing arrangements, due 2034 and 2035</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Buckthorn Solar, due 2025</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Carlsbad Energy Holdings LLC, due 2027</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Carlsbad Holdco, due 2038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CVSR, due 2037 </w:t>
            </w:r>
            <w:r>
              <w:rPr>
                <w:rFonts w:ascii="Arial" w:cs="Arial" w:eastAsia="Arial" w:hAnsi="Arial"/>
                <w:sz w:val="21"/>
                <w:szCs w:val="21"/>
                <w:color w:val="auto"/>
                <w:vertAlign w:val="superscript"/>
              </w:rPr>
              <w:t>(a)</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 xml:space="preserve">CVSR Holdco Notes, due 2037 </w:t>
            </w:r>
            <w:r>
              <w:rPr>
                <w:rFonts w:ascii="Arial" w:cs="Arial" w:eastAsia="Arial" w:hAnsi="Arial"/>
                <w:sz w:val="21"/>
                <w:szCs w:val="21"/>
                <w:color w:val="auto"/>
                <w:vertAlign w:val="superscript"/>
              </w:rPr>
              <w:t>(a)</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182</w:t>
            </w: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Duquesne, due 2059</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El Segundo Energy Center, due 2023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Energy Center Minneapolis Series D, E, F, G, H Notes, due 2025-2037</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 xml:space="preserve">Kansas South, due 2030 </w:t>
            </w:r>
            <w:r>
              <w:rPr>
                <w:rFonts w:ascii="Arial" w:cs="Arial" w:eastAsia="Arial" w:hAnsi="Arial"/>
                <w:sz w:val="21"/>
                <w:szCs w:val="21"/>
                <w:color w:val="auto"/>
                <w:vertAlign w:val="superscript"/>
              </w:rPr>
              <w:t>(a)</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Kawailoa Solar Holdings LLC, due 2026</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Laredo Ridge, due 2028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Marsh Landing, due 2023 </w:t>
            </w:r>
            <w:r>
              <w:rPr>
                <w:rFonts w:ascii="Arial" w:cs="Arial" w:eastAsia="Arial" w:hAnsi="Arial"/>
                <w:sz w:val="21"/>
                <w:szCs w:val="21"/>
                <w:color w:val="auto"/>
                <w:vertAlign w:val="superscript"/>
              </w:rPr>
              <w:t>(a)</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Oahu Solar Holdings LLC, due 2026</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Repowering Partnership Holdco LLC, due 2020</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South Trent Wind, due 2028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Tapestry, due 2031</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7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Utah Solar Portfolio, due 2022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Viento, due 2023</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Walnut Creek, due 2023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17"/>
        </w:trPr>
        <w:tc>
          <w:tcPr>
            <w:tcW w:w="4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6"/>
                <w:szCs w:val="16"/>
                <w:color w:val="auto"/>
              </w:rPr>
              <w:t>Total project-level debt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2,301</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5,175</w:t>
            </w:r>
          </w:p>
        </w:tc>
      </w:tr>
      <w:tr>
        <w:trPr>
          <w:trHeight w:val="33"/>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1,832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478</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319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6,858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341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360" w:firstLine="8"/>
        <w:spacing w:after="0" w:line="272" w:lineRule="auto"/>
        <w:tabs>
          <w:tab w:leader="none" w:pos="185" w:val="left"/>
        </w:tabs>
        <w:numPr>
          <w:ilvl w:val="0"/>
          <w:numId w:val="31"/>
        </w:numPr>
        <w:rPr>
          <w:rFonts w:ascii="Arial" w:cs="Arial" w:eastAsia="Arial" w:hAnsi="Arial"/>
          <w:sz w:val="21"/>
          <w:szCs w:val="21"/>
          <w:color w:val="auto"/>
          <w:vertAlign w:val="superscript"/>
        </w:rPr>
      </w:pPr>
      <w:r>
        <w:rPr>
          <w:rFonts w:ascii="Arial" w:cs="Arial" w:eastAsia="Arial" w:hAnsi="Arial"/>
          <w:sz w:val="12"/>
          <w:szCs w:val="12"/>
          <w:color w:val="auto"/>
        </w:rPr>
        <w:t>Entities affected by PG&amp;E Bankruptcy. The PG&amp;E Bankruptcy triggered defaults under the PPAs with PG&amp;E and such related project-level financing agreements. As a result, the Company classified the affected project-level debt as short-term debt as of December 31,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79"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 xml:space="preserve">For the years ended </w:t>
      </w:r>
      <w:r>
        <w:rPr>
          <w:rFonts w:ascii="Arial" w:cs="Arial" w:eastAsia="Arial" w:hAnsi="Arial"/>
          <w:sz w:val="17"/>
          <w:szCs w:val="17"/>
          <w:color w:val="000000"/>
        </w:rPr>
        <w:t>December 31, 2019</w:t>
      </w:r>
      <w:r>
        <w:rPr>
          <w:rFonts w:ascii="Arial" w:cs="Arial" w:eastAsia="Arial" w:hAnsi="Arial"/>
          <w:sz w:val="17"/>
          <w:szCs w:val="17"/>
          <w:color w:val="231F20"/>
        </w:rPr>
        <w:t xml:space="preserve">, 2018, and 2017, the Company used approximately $228 million, $83 million, and $190 million, respectively, to fund capital expenditures, including </w:t>
      </w:r>
      <w:r>
        <w:rPr>
          <w:rFonts w:ascii="Arial" w:cs="Arial" w:eastAsia="Arial" w:hAnsi="Arial"/>
          <w:sz w:val="17"/>
          <w:szCs w:val="17"/>
          <w:color w:val="000000"/>
        </w:rPr>
        <w:t>maintenance capital</w:t>
      </w:r>
      <w:r>
        <w:rPr>
          <w:rFonts w:ascii="Arial" w:cs="Arial" w:eastAsia="Arial" w:hAnsi="Arial"/>
          <w:sz w:val="17"/>
          <w:szCs w:val="17"/>
          <w:color w:val="231F20"/>
        </w:rPr>
        <w:t xml:space="preserve"> expenditures </w:t>
      </w:r>
      <w:r>
        <w:rPr>
          <w:rFonts w:ascii="Arial" w:cs="Arial" w:eastAsia="Arial" w:hAnsi="Arial"/>
          <w:sz w:val="17"/>
          <w:szCs w:val="17"/>
          <w:color w:val="000000"/>
        </w:rPr>
        <w:t>of $22 million, $36 million and $27 million, respectively.</w:t>
      </w:r>
      <w:r>
        <w:rPr>
          <w:rFonts w:ascii="Arial" w:cs="Arial" w:eastAsia="Arial" w:hAnsi="Arial"/>
          <w:sz w:val="17"/>
          <w:szCs w:val="17"/>
          <w:color w:val="231F20"/>
        </w:rPr>
        <w:t xml:space="preserve"> Growth capital expenditures in 2019 include $180 million </w:t>
      </w:r>
      <w:r>
        <w:rPr>
          <w:rFonts w:ascii="Arial" w:cs="Arial" w:eastAsia="Arial" w:hAnsi="Arial"/>
          <w:sz w:val="17"/>
          <w:szCs w:val="17"/>
          <w:color w:val="000000"/>
        </w:rPr>
        <w:t>in the Renewables segment, $157 million of which were incurred in connection with the Repowering</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 entered by the Company in August 2018, as well as $29 million incurred in the Oahu Partnership and the Kawailoa Partnership, as further described in Item 15 — Note 5, </w:t>
      </w:r>
      <w:r>
        <w:rPr>
          <w:rFonts w:ascii="Arial" w:cs="Arial" w:eastAsia="Arial" w:hAnsi="Arial"/>
          <w:sz w:val="17"/>
          <w:szCs w:val="17"/>
          <w:i w:val="1"/>
          <w:iCs w:val="1"/>
          <w:color w:val="000000"/>
        </w:rPr>
        <w:t>Investments Accounted for by the Equity Method and Variable Interest Entities.</w:t>
      </w:r>
      <w:r>
        <w:rPr>
          <w:rFonts w:ascii="Arial" w:cs="Arial" w:eastAsia="Arial" w:hAnsi="Arial"/>
          <w:sz w:val="17"/>
          <w:szCs w:val="17"/>
          <w:color w:val="000000"/>
        </w:rPr>
        <w:t xml:space="preserve"> The source for these capital expenditures was financing obtained in connection with the Repowering Partnership, as well as tax equity investors contributions. The Company also incurred $26 million of growth capital expenditures in the Thermal segment in connection with various development projects.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Growth capital expenditures in 2018 include $33 million </w:t>
      </w:r>
      <w:r>
        <w:rPr>
          <w:rFonts w:ascii="Arial" w:cs="Arial" w:eastAsia="Arial" w:hAnsi="Arial"/>
          <w:sz w:val="18"/>
          <w:szCs w:val="18"/>
          <w:color w:val="000000"/>
        </w:rPr>
        <w:t>in the Renewables segment in connection with the construction of Buckthorn Solar Drop</w:t>
      </w:r>
      <w:r>
        <w:rPr>
          <w:rFonts w:ascii="Arial" w:cs="Arial" w:eastAsia="Arial" w:hAnsi="Arial"/>
          <w:sz w:val="18"/>
          <w:szCs w:val="18"/>
          <w:color w:val="231F20"/>
        </w:rPr>
        <w:t xml:space="preserve"> </w:t>
      </w:r>
      <w:r>
        <w:rPr>
          <w:rFonts w:ascii="Arial" w:cs="Arial" w:eastAsia="Arial" w:hAnsi="Arial"/>
          <w:sz w:val="18"/>
          <w:szCs w:val="18"/>
          <w:color w:val="000000"/>
        </w:rPr>
        <w:t>Down Asset, of which $10 million was incurred by NRG during the construction of Buckthorn Solar prior to its acquisition by the Company on March 30, 2018, as described below.</w:t>
      </w:r>
    </w:p>
    <w:p>
      <w:pPr>
        <w:spacing w:after="0" w:line="12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Growth capital expenditures in 2017 primarily relate to $159 million incurred by NRG during the construction of Buckthorn Solar prior to its acquisition by the Company. </w:t>
      </w:r>
      <w:r>
        <w:rPr>
          <w:rFonts w:ascii="Arial" w:cs="Arial" w:eastAsia="Arial" w:hAnsi="Arial"/>
          <w:sz w:val="16"/>
          <w:szCs w:val="16"/>
          <w:color w:val="231F20"/>
        </w:rPr>
        <w:t>The Company develops annual capital spending plans based on projected requirements for maintenance and growth capital.</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31F20"/>
        </w:rPr>
        <w:t xml:space="preserve">The Company estimates $32 million of maintenance expenditures for 2020. </w:t>
      </w:r>
      <w:r>
        <w:rPr>
          <w:rFonts w:ascii="Arial" w:cs="Arial" w:eastAsia="Arial" w:hAnsi="Arial"/>
          <w:sz w:val="18"/>
          <w:szCs w:val="18"/>
          <w:color w:val="000000"/>
        </w:rPr>
        <w:t>These estimates are subject to continuing review and adjustment and</w:t>
      </w:r>
      <w:r>
        <w:rPr>
          <w:rFonts w:ascii="Arial" w:cs="Arial" w:eastAsia="Arial" w:hAnsi="Arial"/>
          <w:sz w:val="18"/>
          <w:szCs w:val="18"/>
          <w:color w:val="231F20"/>
        </w:rPr>
        <w:t xml:space="preserve"> </w:t>
      </w:r>
      <w:r>
        <w:rPr>
          <w:rFonts w:ascii="Arial" w:cs="Arial" w:eastAsia="Arial" w:hAnsi="Arial"/>
          <w:sz w:val="18"/>
          <w:szCs w:val="18"/>
          <w:color w:val="000000"/>
        </w:rPr>
        <w:t>actual capital expenditures may vary from these estimates.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Carlsbad Drop Down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6, 2019, the Company acquired 100% of GIP's membership interests in CBAD Holdings, LLC,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notes. For further discussion, see Item 15 —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Cayo Largo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29, 2019, the Company entered into a tolling agreement with Cayo Largo LLC to supply electricity, chilled water, hot</w:t>
      </w:r>
      <w:r>
        <w:rPr>
          <w:rFonts w:ascii="Arial" w:cs="Arial" w:eastAsia="Arial" w:hAnsi="Arial"/>
          <w:sz w:val="17"/>
          <w:szCs w:val="17"/>
          <w:i w:val="1"/>
          <w:iCs w:val="1"/>
          <w:color w:val="auto"/>
        </w:rPr>
        <w:t xml:space="preserve"> </w:t>
      </w:r>
      <w:r>
        <w:rPr>
          <w:rFonts w:ascii="Arial" w:cs="Arial" w:eastAsia="Arial" w:hAnsi="Arial"/>
          <w:sz w:val="17"/>
          <w:szCs w:val="17"/>
          <w:color w:val="auto"/>
        </w:rPr>
        <w:t>water and natural gas to Cayo Largo LLC's customer through a dedicated combined heat and power facility to be constructed by the Company. The Company incurred $6 million in capital expenditures during the year ended December 31, 2019. The Company anticipates the project to total $13 million in capital expenditures and is expected to commence commercial operations in the fourth quarter of 2020.</w:t>
      </w:r>
    </w:p>
    <w:p>
      <w:pPr>
        <w:spacing w:after="0" w:line="111" w:lineRule="exact"/>
        <w:rPr>
          <w:sz w:val="20"/>
          <w:szCs w:val="20"/>
          <w:color w:val="auto"/>
        </w:rPr>
      </w:pPr>
    </w:p>
    <w:p>
      <w:pPr>
        <w:jc w:val="both"/>
        <w:ind w:firstLine="909"/>
        <w:spacing w:after="0" w:line="261" w:lineRule="auto"/>
        <w:rPr>
          <w:sz w:val="20"/>
          <w:szCs w:val="20"/>
          <w:color w:val="auto"/>
        </w:rPr>
      </w:pPr>
      <w:r>
        <w:rPr>
          <w:rFonts w:ascii="Arial" w:cs="Arial" w:eastAsia="Arial" w:hAnsi="Arial"/>
          <w:sz w:val="18"/>
          <w:szCs w:val="18"/>
          <w:i w:val="1"/>
          <w:iCs w:val="1"/>
          <w:color w:val="auto"/>
        </w:rPr>
        <w:t xml:space="preserve">Mylan Pharmaceuticals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party to an Energy Services Agreement with Mylan LLC to supply chilled water, hot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through a dedicated combined heat and power facility constructed at Mylan's Caguas, Puerto Rico facility. The Company incurred $4 million and $7 million in capital expenditures during the years ended December 31, 2019 and December 31, 2018, respectively, and the project reached COD in the first quarter of 2020.</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Repowering Partnership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14, 2019, the Company, through an indirect subsidiary, entered into binding equity commitment agreements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previously announced partnership with CEG to enable the repowering of two of its existing wind assets, Wildorado and Elbow Creek, which total a combined 283 MW. The Company invested $102 million in net corporate capital to fund the repowering of the wind facilities during the fourth quarter of 2019 and the first quarter of 2020. These assets have reached Repowering COD.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79" w:right="239" w:bottom="1440" w:gutter="0" w:footer="0" w:header="0"/>
        </w:sectPr>
      </w:pPr>
    </w:p>
    <w:bookmarkStart w:id="57" w:name="page58"/>
    <w:bookmarkEnd w:id="57"/>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Kawailoa Solar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entered into a partnership with Clearway Renew LLC, a subsidiary of CEG, to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finance, operate, and maintain the Kawailoa Solar Partnership, which consists of the Kawailoa Solar Project, a 49 MW utility-scale solar generation project located in Oahu, Hawaii. The Company contributed $9 million into the partnership during the year ended December 31, 2019. For further discussion, see Item 15 — Note 5, </w:t>
      </w:r>
      <w:r>
        <w:rPr>
          <w:rFonts w:ascii="Arial" w:cs="Arial" w:eastAsia="Arial" w:hAnsi="Arial"/>
          <w:sz w:val="17"/>
          <w:szCs w:val="17"/>
          <w:i w:val="1"/>
          <w:iCs w:val="1"/>
          <w:color w:val="auto"/>
        </w:rPr>
        <w:t>Investments Accounted for by the Equity Method and Variable Interest Entities.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Oahu Solar Partnership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March 8, 2019, the Company entered into a partnership with Clearway Renew LLC, a subsidiary of CEG, to own,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finance, operate, and maintain the Oahu Solar projects, which consist of Lanikuhana and Waipio, 15 MW and 46 MW utility-scale solar generation projects, respectively, located in Oahu, Hawaii, which reached COD on September 19, 2019 and began to sell power to HECO pursuant to the long-term PPAs. The Company contributed $20 million into the partnership during the year ended December 31, 2019. For further discussion, see Item 15 —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Accounted for by the Equity Method and Variable Interest Entities</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Duquesne University District Energy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 2019, the Company, through its indirect subsidiary ECP Uptown Campus LLC,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Duquesne University district energy system, totaling 87 combined MWt, located in Pittsburgh, Pennsylvania. The total investment for the project is $107 million. As part of the acquisition, Duquesne University entered into a 40-year Energy Services Agreement through which ECP Uptown Campus LLC will fulfill the university’s electricity, chilled water and steam requirements in exchange for monthly capacity payments. For further discussion, see Item 15 —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3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i w:val="1"/>
          <w:iCs w:val="1"/>
          <w:color w:val="auto"/>
        </w:rPr>
        <w:t xml:space="preserve">Wind TE Holdco Buyout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2, 2019, the Company bought out 100% of Class A membership interest from the TE Investor, for 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$19 million, as further described in Item 15 —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Agua Caliente Borrower 2 Debt Repayment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through Agua Caliente Borrower</w:t>
      </w:r>
      <w:r>
        <w:rPr>
          <w:rFonts w:ascii="Arial" w:cs="Arial" w:eastAsia="Arial" w:hAnsi="Arial"/>
          <w:sz w:val="18"/>
          <w:szCs w:val="18"/>
          <w:i w:val="1"/>
          <w:iCs w:val="1"/>
          <w:color w:val="auto"/>
        </w:rPr>
        <w:t xml:space="preserve"> 2 </w:t>
      </w:r>
      <w:r>
        <w:rPr>
          <w:rFonts w:ascii="Arial" w:cs="Arial" w:eastAsia="Arial" w:hAnsi="Arial"/>
          <w:sz w:val="18"/>
          <w:szCs w:val="18"/>
          <w:color w:val="auto"/>
        </w:rPr>
        <w:t>LLC, repaid $40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notes balance, including accrued interest and premiums, issued under the Agua Caliente Holdco Financing Agreement. The repayment was funded with the Company's existing liquidity.</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DG Investment Partnerships with CEG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2019, the Company invested approximately $14 million in the DG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partnerships with CEG, bringing total capital invested to $256 million in these investment partnerships.</w:t>
      </w:r>
    </w:p>
    <w:p>
      <w:pPr>
        <w:spacing w:after="0" w:line="10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Senior Notes due 2024 Tender Offer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13, 2019, the Company repurchased an aggregate principal amount of $412 million or 82.4%,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2024 Senior Notes as part of the previously cash tender offer announced on December 11, 2019. Concurrently with the launch of the tender offer, the Company exercised its right to optionally redeem any 2024 Senior Notes not validly tendered and purchased in the tender offer, pursuant to the terms of the indenture governing the 2024 Senior Notes. For further discussion, see Item 15 — Note 10,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31F20"/>
        </w:rPr>
        <w:t xml:space="preserve">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w:t>
      </w:r>
      <w:r>
        <w:rPr>
          <w:rFonts w:ascii="Arial" w:cs="Arial" w:eastAsia="Arial" w:hAnsi="Arial"/>
          <w:sz w:val="16"/>
          <w:szCs w:val="16"/>
          <w:color w:val="000000"/>
        </w:rPr>
        <w:t>adjustments to reflect CAFD generated by unconsolidated investments that are unable to</w:t>
      </w:r>
      <w:r>
        <w:rPr>
          <w:rFonts w:ascii="Arial" w:cs="Arial" w:eastAsia="Arial" w:hAnsi="Arial"/>
          <w:sz w:val="16"/>
          <w:szCs w:val="16"/>
          <w:color w:val="231F20"/>
        </w:rPr>
        <w:t xml:space="preserve"> </w:t>
      </w:r>
      <w:r>
        <w:rPr>
          <w:rFonts w:ascii="Arial" w:cs="Arial" w:eastAsia="Arial" w:hAnsi="Arial"/>
          <w:sz w:val="16"/>
          <w:szCs w:val="16"/>
          <w:color w:val="000000"/>
        </w:rPr>
        <w:t xml:space="preserve">distribute project dividends due to the PG&amp;E Bankruptcy, </w:t>
      </w:r>
      <w:r>
        <w:rPr>
          <w:rFonts w:ascii="Arial" w:cs="Arial" w:eastAsia="Arial" w:hAnsi="Arial"/>
          <w:sz w:val="16"/>
          <w:szCs w:val="16"/>
          <w:color w:val="231F20"/>
        </w:rPr>
        <w:t>cash receipts from notes receivable, less cash distributions to noncontrolling interests, maintenance</w:t>
      </w:r>
      <w:r>
        <w:rPr>
          <w:rFonts w:ascii="Arial" w:cs="Arial" w:eastAsia="Arial" w:hAnsi="Arial"/>
          <w:sz w:val="16"/>
          <w:szCs w:val="16"/>
          <w:color w:val="000000"/>
        </w:rPr>
        <w:t xml:space="preserve"> </w:t>
      </w:r>
      <w:r>
        <w:rPr>
          <w:rFonts w:ascii="Arial" w:cs="Arial" w:eastAsia="Arial" w:hAnsi="Arial"/>
          <w:sz w:val="16"/>
          <w:szCs w:val="16"/>
          <w:color w:val="231F20"/>
        </w:rPr>
        <w:t xml:space="preserve">capital expenditures, pro-rata EBITDA from unconsolidated affiliates, cash interest paid, income taxes paid, principal amortization of indebtedness, </w:t>
      </w:r>
      <w:r>
        <w:rPr>
          <w:rFonts w:ascii="Arial" w:cs="Arial" w:eastAsia="Arial" w:hAnsi="Arial"/>
          <w:sz w:val="16"/>
          <w:szCs w:val="16"/>
          <w:color w:val="000000"/>
        </w:rPr>
        <w:t>Walnut</w:t>
      </w:r>
      <w:r>
        <w:rPr>
          <w:rFonts w:ascii="Arial" w:cs="Arial" w:eastAsia="Arial" w:hAnsi="Arial"/>
          <w:sz w:val="16"/>
          <w:szCs w:val="16"/>
          <w:color w:val="231F20"/>
        </w:rPr>
        <w:t xml:space="preserve"> </w:t>
      </w:r>
      <w:r>
        <w:rPr>
          <w:rFonts w:ascii="Arial" w:cs="Arial" w:eastAsia="Arial" w:hAnsi="Arial"/>
          <w:sz w:val="16"/>
          <w:szCs w:val="16"/>
          <w:color w:val="000000"/>
        </w:rPr>
        <w:t xml:space="preserve">Creek investment payments, </w:t>
      </w:r>
      <w:r>
        <w:rPr>
          <w:rFonts w:ascii="Arial" w:cs="Arial" w:eastAsia="Arial" w:hAnsi="Arial"/>
          <w:sz w:val="16"/>
          <w:szCs w:val="16"/>
          <w:color w:val="231F20"/>
        </w:rPr>
        <w:t>changes in prepaid and accrued capacity payments, and adjusted for development expenses. Dividends on t</w:t>
      </w:r>
      <w:r>
        <w:rPr>
          <w:rFonts w:ascii="Arial" w:cs="Arial" w:eastAsia="Arial" w:hAnsi="Arial"/>
          <w:sz w:val="16"/>
          <w:szCs w:val="16"/>
          <w:color w:val="000000"/>
        </w:rPr>
        <w: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75"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5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0.20</w:t>
            </w:r>
          </w:p>
        </w:tc>
      </w:tr>
    </w:tbl>
    <w:p>
      <w:pPr>
        <w:spacing w:after="0" w:line="1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18, 2020, the Company declared a quarterly dividend on its Class A and Class C common stock of $0.21 per share payable on March 16, 2020, to stockholders of record as of March 2, 2020.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79"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2019 compared to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21"/>
                <w:szCs w:val="21"/>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486"/>
        </w:trPr>
        <w:tc>
          <w:tcPr>
            <w:tcW w:w="8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Net Cash Used In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8"/>
                <w:szCs w:val="18"/>
                <w:color w:val="FFFFFF"/>
              </w:rPr>
              <w:t>Changes to net cash provided by operating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5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Increase in working capital driven primarily by the timing of accounts receivable collections and payment of accounts payable</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29"/>
        </w:trPr>
        <w:tc>
          <w:tcPr>
            <w:tcW w:w="10340" w:type="dxa"/>
            <w:vAlign w:val="bottom"/>
            <w:gridSpan w:val="6"/>
          </w:tcPr>
          <w:p>
            <w:pPr>
              <w:ind w:left="200"/>
              <w:spacing w:after="0"/>
              <w:rPr>
                <w:sz w:val="20"/>
                <w:szCs w:val="20"/>
                <w:color w:val="auto"/>
              </w:rPr>
            </w:pPr>
            <w:r>
              <w:rPr>
                <w:rFonts w:ascii="Arial" w:cs="Arial" w:eastAsia="Arial" w:hAnsi="Arial"/>
                <w:sz w:val="18"/>
                <w:szCs w:val="18"/>
                <w:color w:val="auto"/>
                <w:w w:val="98"/>
              </w:rPr>
              <w:t>Lower distribution from unconsolidated affiliates affected by the PG&amp;E Bankruptcy, partially offset by higher distributions from the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distributed generation investments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in operating income adjusted for non-cash items in 2019 compared to 2018</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ectPr>
          <w:pgSz w:w="11900" w:h="16838" w:orient="portrait"/>
          <w:cols w:equalWidth="0" w:num="1">
            <w:col w:w="11420"/>
          </w:cols>
          <w:pgMar w:left="240" w:top="67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ind w:left="40" w:right="360" w:firstLine="162"/>
        <w:spacing w:after="0" w:line="264" w:lineRule="auto"/>
        <w:rPr>
          <w:sz w:val="20"/>
          <w:szCs w:val="20"/>
          <w:color w:val="auto"/>
        </w:rPr>
      </w:pPr>
      <w:r>
        <w:rPr>
          <w:rFonts w:ascii="Arial" w:cs="Arial" w:eastAsia="Arial" w:hAnsi="Arial"/>
          <w:sz w:val="18"/>
          <w:szCs w:val="18"/>
          <w:color w:val="auto"/>
        </w:rPr>
        <w:t>Increase in growth capital expenditures in the Renewables segment driven primarily by the repowering activities at Elbow Creek and Wildorado, as well as the final construction costs for Oahu and Kawailoa, partially offset by lower growth capital expenditures for construction of the Buckthorn Solar project, which went COD in 2018</w:t>
      </w:r>
    </w:p>
    <w:p>
      <w:pPr>
        <w:spacing w:after="0" w:line="19" w:lineRule="exact"/>
        <w:rPr>
          <w:sz w:val="20"/>
          <w:szCs w:val="20"/>
          <w:color w:val="auto"/>
        </w:rPr>
      </w:pPr>
    </w:p>
    <w:p>
      <w:pPr>
        <w:ind w:left="40" w:firstLine="162"/>
        <w:spacing w:after="0" w:line="298" w:lineRule="auto"/>
        <w:rPr>
          <w:sz w:val="20"/>
          <w:szCs w:val="20"/>
          <w:color w:val="auto"/>
        </w:rPr>
      </w:pPr>
      <w:r>
        <w:rPr>
          <w:rFonts w:ascii="Arial" w:cs="Arial" w:eastAsia="Arial" w:hAnsi="Arial"/>
          <w:sz w:val="17"/>
          <w:szCs w:val="17"/>
          <w:color w:val="auto"/>
        </w:rPr>
        <w:t>Higher payments for Drop Down Asset acquisitions in 2019 compared to 2018, primarily driven by the acquisition of Carlsbad, as well as higher payments in 2019 for the Duquesne acquisition compared to the acquisition of UPMC and Central CA Fuel Cell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Increase in investments in unconsolidated affiliates during 2019, primarily for investments in DGPV Holdco 3 LLC</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sale of HSD Solar Holdings, LLC assets in October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Payment to buy-out the existing tax equity partner of Wind TE Holdco on January 1, 2019</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proceeds from network upgrades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FFFFFF"/>
        </w:rPr>
        <w:t>(In millions)</w:t>
      </w:r>
    </w:p>
    <w:p>
      <w:pPr>
        <w:spacing w:after="0" w:line="200" w:lineRule="exact"/>
        <w:rPr>
          <w:sz w:val="20"/>
          <w:szCs w:val="20"/>
          <w:color w:val="auto"/>
        </w:rPr>
      </w:pPr>
    </w:p>
    <w:p>
      <w:pPr>
        <w:spacing w:after="0" w:line="282" w:lineRule="exact"/>
        <w:rPr>
          <w:sz w:val="20"/>
          <w:szCs w:val="20"/>
          <w:color w:val="auto"/>
        </w:rPr>
      </w:pPr>
    </w:p>
    <w:p>
      <w:pPr>
        <w:ind w:left="789" w:hanging="789"/>
        <w:spacing w:after="0"/>
        <w:tabs>
          <w:tab w:leader="none" w:pos="7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(145)</w:t>
      </w:r>
    </w:p>
    <w:p>
      <w:pPr>
        <w:spacing w:after="0" w:line="290" w:lineRule="exact"/>
        <w:rPr>
          <w:rFonts w:ascii="Arial" w:cs="Arial" w:eastAsia="Arial" w:hAnsi="Arial"/>
          <w:sz w:val="17"/>
          <w:szCs w:val="17"/>
          <w:color w:val="auto"/>
        </w:rPr>
      </w:pPr>
    </w:p>
    <w:p>
      <w:pPr>
        <w:ind w:left="789"/>
        <w:spacing w:after="0"/>
        <w:rPr>
          <w:rFonts w:ascii="Arial" w:cs="Arial" w:eastAsia="Arial" w:hAnsi="Arial"/>
          <w:sz w:val="17"/>
          <w:szCs w:val="17"/>
          <w:color w:val="auto"/>
        </w:rPr>
      </w:pPr>
      <w:r>
        <w:rPr>
          <w:rFonts w:ascii="Arial" w:cs="Arial" w:eastAsia="Arial" w:hAnsi="Arial"/>
          <w:sz w:val="17"/>
          <w:szCs w:val="17"/>
          <w:color w:val="auto"/>
        </w:rPr>
        <w:t>(153)</w:t>
      </w:r>
    </w:p>
    <w:p>
      <w:pPr>
        <w:spacing w:after="0" w:line="74" w:lineRule="exact"/>
        <w:rPr>
          <w:rFonts w:ascii="Arial" w:cs="Arial" w:eastAsia="Arial" w:hAnsi="Arial"/>
          <w:sz w:val="17"/>
          <w:szCs w:val="17"/>
          <w:color w:val="auto"/>
        </w:rPr>
      </w:pPr>
    </w:p>
    <w:p>
      <w:pPr>
        <w:ind w:left="949"/>
        <w:spacing w:after="0"/>
        <w:rPr>
          <w:rFonts w:ascii="Arial" w:cs="Arial" w:eastAsia="Arial" w:hAnsi="Arial"/>
          <w:sz w:val="17"/>
          <w:szCs w:val="17"/>
          <w:color w:val="auto"/>
        </w:rPr>
      </w:pPr>
      <w:r>
        <w:rPr>
          <w:rFonts w:ascii="Arial" w:cs="Arial" w:eastAsia="Arial" w:hAnsi="Arial"/>
          <w:sz w:val="18"/>
          <w:szCs w:val="18"/>
          <w:color w:val="auto"/>
        </w:rPr>
        <w:t>32</w:t>
      </w:r>
    </w:p>
    <w:p>
      <w:pPr>
        <w:spacing w:after="0" w:line="63" w:lineRule="exact"/>
        <w:rPr>
          <w:rFonts w:ascii="Arial" w:cs="Arial" w:eastAsia="Arial" w:hAnsi="Arial"/>
          <w:sz w:val="17"/>
          <w:szCs w:val="17"/>
          <w:color w:val="auto"/>
        </w:rPr>
      </w:pPr>
    </w:p>
    <w:p>
      <w:pPr>
        <w:ind w:left="949"/>
        <w:spacing w:after="0"/>
        <w:rPr>
          <w:rFonts w:ascii="Arial" w:cs="Arial" w:eastAsia="Arial" w:hAnsi="Arial"/>
          <w:sz w:val="17"/>
          <w:szCs w:val="17"/>
          <w:color w:val="auto"/>
        </w:rPr>
      </w:pPr>
      <w:r>
        <w:rPr>
          <w:rFonts w:ascii="Arial" w:cs="Arial" w:eastAsia="Arial" w:hAnsi="Arial"/>
          <w:sz w:val="18"/>
          <w:szCs w:val="18"/>
          <w:color w:val="auto"/>
        </w:rPr>
        <w:t>20</w:t>
      </w:r>
    </w:p>
    <w:p>
      <w:pPr>
        <w:spacing w:after="0" w:line="63" w:lineRule="exact"/>
        <w:rPr>
          <w:rFonts w:ascii="Arial" w:cs="Arial" w:eastAsia="Arial" w:hAnsi="Arial"/>
          <w:sz w:val="17"/>
          <w:szCs w:val="17"/>
          <w:color w:val="auto"/>
        </w:rPr>
      </w:pPr>
    </w:p>
    <w:p>
      <w:pPr>
        <w:ind w:left="889"/>
        <w:spacing w:after="0"/>
        <w:rPr>
          <w:rFonts w:ascii="Arial" w:cs="Arial" w:eastAsia="Arial" w:hAnsi="Arial"/>
          <w:sz w:val="17"/>
          <w:szCs w:val="17"/>
          <w:color w:val="auto"/>
        </w:rPr>
      </w:pPr>
      <w:r>
        <w:rPr>
          <w:rFonts w:ascii="Arial" w:cs="Arial" w:eastAsia="Arial" w:hAnsi="Arial"/>
          <w:sz w:val="16"/>
          <w:szCs w:val="16"/>
          <w:color w:val="auto"/>
        </w:rPr>
        <w:t>(19)</w:t>
      </w:r>
    </w:p>
    <w:p>
      <w:pPr>
        <w:spacing w:after="0" w:line="86" w:lineRule="exact"/>
        <w:rPr>
          <w:rFonts w:ascii="Arial" w:cs="Arial" w:eastAsia="Arial" w:hAnsi="Arial"/>
          <w:sz w:val="17"/>
          <w:szCs w:val="17"/>
          <w:color w:val="auto"/>
        </w:rPr>
      </w:pPr>
    </w:p>
    <w:p>
      <w:pPr>
        <w:ind w:left="889"/>
        <w:spacing w:after="0"/>
        <w:rPr>
          <w:rFonts w:ascii="Arial" w:cs="Arial" w:eastAsia="Arial" w:hAnsi="Arial"/>
          <w:sz w:val="17"/>
          <w:szCs w:val="17"/>
          <w:color w:val="auto"/>
        </w:rPr>
      </w:pPr>
      <w:r>
        <w:rPr>
          <w:rFonts w:ascii="Arial" w:cs="Arial" w:eastAsia="Arial" w:hAnsi="Arial"/>
          <w:sz w:val="16"/>
          <w:szCs w:val="16"/>
          <w:color w:val="auto"/>
        </w:rPr>
        <w:t>(13)</w:t>
      </w:r>
    </w:p>
    <w:p>
      <w:pPr>
        <w:spacing w:after="0" w:line="86"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789" w:hanging="789"/>
        <w:spacing w:after="0"/>
        <w:tabs>
          <w:tab w:leader="none" w:pos="7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797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56515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40" w:space="51"/>
            <w:col w:w="1229"/>
          </w:cols>
          <w:pgMar w:left="240" w:top="675"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675" w:right="239" w:bottom="1440" w:gutter="0" w:footer="0" w:header="0"/>
          <w:type w:val="continuous"/>
        </w:sectPr>
      </w:pPr>
    </w:p>
    <w:bookmarkStart w:id="60" w:name="page61"/>
    <w:bookmarkEnd w:id="60"/>
    <w:p>
      <w:pPr>
        <w:ind w:left="14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60" w:right="360"/>
        <w:spacing w:after="0" w:line="313" w:lineRule="auto"/>
        <w:rPr>
          <w:sz w:val="20"/>
          <w:szCs w:val="20"/>
          <w:color w:val="auto"/>
        </w:rPr>
      </w:pPr>
      <w:r>
        <w:rPr>
          <w:rFonts w:ascii="Arial" w:cs="Arial" w:eastAsia="Arial" w:hAnsi="Arial"/>
          <w:sz w:val="18"/>
          <w:szCs w:val="18"/>
          <w:color w:val="auto"/>
        </w:rPr>
        <w:t>Increase in corporate-level debt payments driven primarily by the repayment of the 2024 Senior Notes and 2019 Convertible Notes Decrease in dividends and distributions paid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60" w:firstLine="162"/>
        <w:spacing w:after="0" w:line="277" w:lineRule="auto"/>
        <w:rPr>
          <w:sz w:val="20"/>
          <w:szCs w:val="20"/>
          <w:color w:val="auto"/>
        </w:rPr>
      </w:pPr>
      <w:r>
        <w:rPr>
          <w:rFonts w:ascii="Arial" w:cs="Arial" w:eastAsia="Arial" w:hAnsi="Arial"/>
          <w:sz w:val="18"/>
          <w:szCs w:val="18"/>
          <w:color w:val="auto"/>
        </w:rPr>
        <w:t>Increase in net contributions from noncontrolling interests in 2019, primarily from tax equity contributions into the Elbow Creek, Oahu and Kawailoa tax equity funds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Higher net payments under the revolving credit facility in 2018 compared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Lower net proceeds from equity issuance in 2019 compared to 2018</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Higher project-level debt amortization in 2019 compared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Lower debt proceeds in connection with the Duquesne University District Energy System acquisition in 2019 compared to the Thermal note purchase and private shelf agreement in 2018</w:t>
      </w:r>
    </w:p>
    <w:p>
      <w:pPr>
        <w:spacing w:after="0" w:line="8"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Higher net borrowings in 2019 to fund construction of the repowering activities at Elbow Creek and Wildorado, offset by the repayment of a portion of the construction debt for the Oahu and Kawailoa projects upon reaching COD in September and November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p>
      <w:pPr>
        <w:ind w:left="789" w:hanging="789"/>
        <w:spacing w:after="0"/>
        <w:tabs>
          <w:tab w:leader="none" w:pos="789" w:val="left"/>
        </w:tabs>
        <w:numPr>
          <w:ilvl w:val="0"/>
          <w:numId w:val="34"/>
        </w:numPr>
        <w:rPr>
          <w:rFonts w:ascii="Arial" w:cs="Arial" w:eastAsia="Arial" w:hAnsi="Arial"/>
          <w:sz w:val="17"/>
          <w:szCs w:val="17"/>
          <w:color w:val="auto"/>
        </w:rPr>
      </w:pPr>
      <w:r>
        <w:rPr>
          <w:rFonts w:ascii="Arial" w:cs="Arial" w:eastAsia="Arial" w:hAnsi="Arial"/>
          <w:sz w:val="17"/>
          <w:szCs w:val="17"/>
          <w:color w:val="auto"/>
        </w:rPr>
        <w:t>(266)</w:t>
      </w:r>
    </w:p>
    <w:p>
      <w:pPr>
        <w:spacing w:after="0" w:line="74" w:lineRule="exact"/>
        <w:rPr>
          <w:rFonts w:ascii="Arial" w:cs="Arial" w:eastAsia="Arial" w:hAnsi="Arial"/>
          <w:sz w:val="17"/>
          <w:szCs w:val="17"/>
          <w:color w:val="auto"/>
        </w:rPr>
      </w:pPr>
    </w:p>
    <w:p>
      <w:pPr>
        <w:ind w:left="949"/>
        <w:spacing w:after="0"/>
        <w:rPr>
          <w:rFonts w:ascii="Arial" w:cs="Arial" w:eastAsia="Arial" w:hAnsi="Arial"/>
          <w:sz w:val="17"/>
          <w:szCs w:val="17"/>
          <w:color w:val="auto"/>
        </w:rPr>
      </w:pPr>
      <w:r>
        <w:rPr>
          <w:rFonts w:ascii="Arial" w:cs="Arial" w:eastAsia="Arial" w:hAnsi="Arial"/>
          <w:sz w:val="18"/>
          <w:szCs w:val="18"/>
          <w:color w:val="auto"/>
        </w:rPr>
        <w:t>83</w:t>
      </w:r>
    </w:p>
    <w:p>
      <w:pPr>
        <w:spacing w:after="0" w:line="279" w:lineRule="exact"/>
        <w:rPr>
          <w:sz w:val="20"/>
          <w:szCs w:val="20"/>
          <w:color w:val="auto"/>
        </w:rPr>
      </w:pPr>
    </w:p>
    <w:p>
      <w:pPr>
        <w:ind w:left="949"/>
        <w:spacing w:after="0"/>
        <w:rPr>
          <w:sz w:val="20"/>
          <w:szCs w:val="20"/>
          <w:color w:val="auto"/>
        </w:rPr>
      </w:pPr>
      <w:r>
        <w:rPr>
          <w:rFonts w:ascii="Arial" w:cs="Arial" w:eastAsia="Arial" w:hAnsi="Arial"/>
          <w:sz w:val="18"/>
          <w:szCs w:val="18"/>
          <w:color w:val="auto"/>
        </w:rPr>
        <w:t>83</w:t>
      </w:r>
    </w:p>
    <w:p>
      <w:pPr>
        <w:spacing w:after="0" w:line="63" w:lineRule="exact"/>
        <w:rPr>
          <w:sz w:val="20"/>
          <w:szCs w:val="20"/>
          <w:color w:val="auto"/>
        </w:rPr>
      </w:pPr>
    </w:p>
    <w:p>
      <w:pPr>
        <w:ind w:left="949"/>
        <w:spacing w:after="0"/>
        <w:rPr>
          <w:sz w:val="20"/>
          <w:szCs w:val="20"/>
          <w:color w:val="auto"/>
        </w:rPr>
      </w:pPr>
      <w:r>
        <w:rPr>
          <w:rFonts w:ascii="Arial" w:cs="Arial" w:eastAsia="Arial" w:hAnsi="Arial"/>
          <w:sz w:val="18"/>
          <w:szCs w:val="18"/>
          <w:color w:val="auto"/>
        </w:rPr>
        <w:t>55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95" w:lineRule="exact"/>
        <w:rPr>
          <w:sz w:val="20"/>
          <w:szCs w:val="20"/>
          <w:color w:val="auto"/>
        </w:rPr>
      </w:pPr>
    </w:p>
    <w:p>
      <w:pPr>
        <w:ind w:left="949"/>
        <w:spacing w:after="0"/>
        <w:rPr>
          <w:sz w:val="20"/>
          <w:szCs w:val="20"/>
          <w:color w:val="auto"/>
        </w:rPr>
      </w:pPr>
      <w:r>
        <w:rPr>
          <w:rFonts w:ascii="Arial" w:cs="Arial" w:eastAsia="Arial" w:hAnsi="Arial"/>
          <w:sz w:val="18"/>
          <w:szCs w:val="18"/>
          <w:color w:val="auto"/>
        </w:rPr>
        <w:t>25</w:t>
      </w:r>
    </w:p>
    <w:p>
      <w:pPr>
        <w:spacing w:after="0" w:line="77" w:lineRule="exact"/>
        <w:rPr>
          <w:sz w:val="20"/>
          <w:szCs w:val="20"/>
          <w:color w:val="auto"/>
        </w:rPr>
      </w:pPr>
    </w:p>
    <w:p>
      <w:pPr>
        <w:ind w:left="789" w:hanging="789"/>
        <w:spacing w:after="0"/>
        <w:tabs>
          <w:tab w:leader="none" w:pos="7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56515</wp:posOffset>
            </wp:positionV>
            <wp:extent cx="7975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60" w:space="191"/>
            <w:col w:w="1189"/>
          </w:cols>
          <w:pgMar w:left="280" w:top="895" w:right="27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40"/>
          </w:cols>
          <w:pgMar w:left="280" w:top="895" w:right="2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2019, the Company has a cumulative federal NOL carry forward balance of $1 billion for financial statement purposes, of which $0.9 billion will begin expiring between 2033 to 2037 if unutilized. The Company does not anticipate any federal income tax payments for 2020. Additionally, as of December 31, 2019, the Company has a cumulative state NOL carryforward balance of $649 million for financial statement purposes, which will expire between 2023 to 2039 if unutilized. The Company does not anticipate significant income tax payments for state and local jurisdictions in 2020.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after 2017 or later subject to an 80% limitation against future taxable income pursuant to the Tax Act.</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December 31, 2019, the Company has an interest disallowance carry forward of $219 million as a result of the proposed §163(j) regulation, which was enacted as part of the Tax Cut and Jobs Act. The disallowed interest deduction has an indefinite carry forward period and any limitations on the utilization of this carry forward have been factored into our valuation allowance analysis. These are proposed regulations which are not final and are subject to change in the regulatory review process.</w:t>
      </w:r>
    </w:p>
    <w:p>
      <w:pPr>
        <w:spacing w:after="0" w:line="133"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jurisdiction and various state jurisdictions. The Company is not subject to U.S. federal or state income tax examinations for years prior to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December 31, 2019,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DGPV Holdco 1 LLC</w:t>
      </w:r>
      <w:r>
        <w:rPr>
          <w:rFonts w:ascii="Arial" w:cs="Arial" w:eastAsia="Arial" w:hAnsi="Arial"/>
          <w:sz w:val="17"/>
          <w:szCs w:val="17"/>
          <w:i w:val="1"/>
          <w:iCs w:val="1"/>
          <w:color w:val="auto"/>
        </w:rPr>
        <w:t>,</w:t>
      </w:r>
      <w:r>
        <w:rPr>
          <w:rFonts w:ascii="Arial" w:cs="Arial" w:eastAsia="Arial" w:hAnsi="Arial"/>
          <w:sz w:val="17"/>
          <w:szCs w:val="17"/>
          <w:color w:val="auto"/>
        </w:rPr>
        <w:t xml:space="preserve"> DGPV Holdco 2 LLC, DGPV Holdco 3 LLC, RPV Holdco 1 LLC and GenConn are variable interest entities for which the Company is not the primary beneficiary. The Company's pro-rata share of non-recourse debt held by unconsolidated affiliates was approximately $889 million as of December 31, 2019. The Company's pro-rata share of non-recourse debt held by unconsolidated affiliates as it related to the projects affected by PG&amp;E bankruptcy was $411 million. This indebtedness may restrict the ability of these subsidiaries to issue dividends or distributions to the Company. See also Item 15 — Note 5, </w:t>
      </w:r>
      <w:r>
        <w:rPr>
          <w:rFonts w:ascii="Arial" w:cs="Arial" w:eastAsia="Arial" w:hAnsi="Arial"/>
          <w:sz w:val="17"/>
          <w:szCs w:val="17"/>
          <w:i w:val="1"/>
          <w:iCs w:val="1"/>
          <w:color w:val="auto"/>
        </w:rPr>
        <w:t>Investments Accounted for by the 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Variable Interest Entities</w:t>
      </w:r>
      <w:r>
        <w:rPr>
          <w:rFonts w:ascii="Arial" w:cs="Arial" w:eastAsia="Arial" w:hAnsi="Arial"/>
          <w:sz w:val="17"/>
          <w:szCs w:val="17"/>
          <w:color w:val="auto"/>
        </w:rPr>
        <w:t>, to the Consolidated Financial Statements.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Company has a variety of contractual obligations and other commercial commitments that represent prospective cash requirements in addition to the Company's capital expenditure programs. The following table summarizes the Company's contractual obligations. See Item 15 — Note 10, </w:t>
      </w:r>
      <w:r>
        <w:rPr>
          <w:rFonts w:ascii="Arial" w:cs="Arial" w:eastAsia="Arial" w:hAnsi="Arial"/>
          <w:sz w:val="17"/>
          <w:szCs w:val="17"/>
          <w:i w:val="1"/>
          <w:iCs w:val="1"/>
          <w:color w:val="auto"/>
        </w:rPr>
        <w:t>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w:t>
      </w:r>
      <w:r>
        <w:rPr>
          <w:rFonts w:ascii="Arial" w:cs="Arial" w:eastAsia="Arial" w:hAnsi="Arial"/>
          <w:sz w:val="17"/>
          <w:szCs w:val="17"/>
          <w:color w:val="auto"/>
        </w:rPr>
        <w:t>and Note 17 ,</w:t>
      </w:r>
      <w:r>
        <w:rPr>
          <w:rFonts w:ascii="Arial" w:cs="Arial" w:eastAsia="Arial" w:hAnsi="Arial"/>
          <w:sz w:val="17"/>
          <w:szCs w:val="17"/>
          <w:i w:val="1"/>
          <w:iCs w:val="1"/>
          <w:color w:val="auto"/>
        </w:rPr>
        <w:t xml:space="preserve"> Commitments and Contingencies</w:t>
      </w:r>
      <w:r>
        <w:rPr>
          <w:rFonts w:ascii="Arial" w:cs="Arial" w:eastAsia="Arial" w:hAnsi="Arial"/>
          <w:sz w:val="17"/>
          <w:szCs w:val="17"/>
          <w:color w:val="auto"/>
        </w:rPr>
        <w:t>, to the Consolidated Financial Statements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7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By Remaining Maturity at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Under</w:t>
            </w: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Over</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(including estimated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 purchase and transportation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2"/>
          <w:szCs w:val="12"/>
          <w:color w:val="auto"/>
        </w:rPr>
        <w:t>Includes water right agreements, service and maintenance agreements, and LTSA commitments.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8"/>
          <w:szCs w:val="18"/>
          <w:color w:val="000000"/>
        </w:rPr>
        <w:t>December 31, 2019</w:t>
      </w:r>
      <w:r>
        <w:rPr>
          <w:rFonts w:ascii="Arial" w:cs="Arial" w:eastAsia="Arial" w:hAnsi="Arial"/>
          <w:sz w:val="18"/>
          <w:szCs w:val="18"/>
          <w:color w:val="231F20"/>
        </w:rPr>
        <w:t xml:space="preserve">, based on their level within the fair value hierarchy defined in ASC 820; and indicate the maturities of contracts at </w:t>
      </w:r>
      <w:r>
        <w:rPr>
          <w:rFonts w:ascii="Arial" w:cs="Arial" w:eastAsia="Arial" w:hAnsi="Arial"/>
          <w:sz w:val="18"/>
          <w:szCs w:val="18"/>
          <w:color w:val="000000"/>
        </w:rPr>
        <w:t>December 31, 2019</w:t>
      </w:r>
      <w:r>
        <w:rPr>
          <w:rFonts w:ascii="Arial" w:cs="Arial" w:eastAsia="Arial" w:hAnsi="Arial"/>
          <w:sz w:val="18"/>
          <w:szCs w:val="18"/>
          <w:color w:val="231F20"/>
        </w:rPr>
        <w:t xml:space="preserve">. For a full discussion of the Company's valuation methodology of its contracts, see </w:t>
      </w:r>
      <w:r>
        <w:rPr>
          <w:rFonts w:ascii="Arial" w:cs="Arial" w:eastAsia="Arial" w:hAnsi="Arial"/>
          <w:sz w:val="18"/>
          <w:szCs w:val="18"/>
          <w:i w:val="1"/>
          <w:iCs w:val="1"/>
          <w:color w:val="231F20"/>
        </w:rPr>
        <w:t>Derivative Fair Value Measurements</w:t>
      </w:r>
      <w:r>
        <w:rPr>
          <w:rFonts w:ascii="Arial" w:cs="Arial" w:eastAsia="Arial" w:hAnsi="Arial"/>
          <w:sz w:val="18"/>
          <w:szCs w:val="18"/>
          <w:color w:val="231F20"/>
        </w:rPr>
        <w:t xml:space="preserve"> in Item 15 </w:t>
      </w:r>
      <w:r>
        <w:rPr>
          <w:rFonts w:ascii="Arial" w:cs="Arial" w:eastAsia="Arial" w:hAnsi="Arial"/>
          <w:sz w:val="18"/>
          <w:szCs w:val="18"/>
          <w:color w:val="000000"/>
        </w:rPr>
        <w:t>— 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Contracts acquired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8"/>
            <w:vMerge w:val="restart"/>
          </w:tcPr>
          <w:p>
            <w:pPr>
              <w:jc w:val="center"/>
              <w:ind w:right="480"/>
              <w:spacing w:after="0"/>
              <w:rPr>
                <w:sz w:val="20"/>
                <w:szCs w:val="20"/>
                <w:color w:val="auto"/>
              </w:rPr>
            </w:pPr>
            <w:r>
              <w:rPr>
                <w:rFonts w:ascii="Arial" w:cs="Arial" w:eastAsia="Arial" w:hAnsi="Arial"/>
                <w:sz w:val="14"/>
                <w:szCs w:val="14"/>
                <w:b w:val="1"/>
                <w:bCs w:val="1"/>
                <w:color w:val="auto"/>
                <w:w w:val="92"/>
              </w:rPr>
              <w:t>Fair value of contracts as of December 31, 2019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Maturity</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Greater Than 1</w:t>
            </w: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Greater Than 3</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Greater Than 5</w:t>
            </w:r>
          </w:p>
        </w:tc>
        <w:tc>
          <w:tcPr>
            <w:tcW w:w="160" w:type="dxa"/>
            <w:vAlign w:val="bottom"/>
          </w:tcPr>
          <w:p>
            <w:pPr>
              <w:spacing w:after="0"/>
              <w:rPr>
                <w:sz w:val="13"/>
                <w:szCs w:val="13"/>
                <w:color w:val="auto"/>
              </w:rPr>
            </w:pPr>
          </w:p>
        </w:tc>
        <w:tc>
          <w:tcPr>
            <w:tcW w:w="9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8"/>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Year to 3 Years</w:t>
            </w:r>
          </w:p>
        </w:tc>
        <w:tc>
          <w:tcPr>
            <w:tcW w:w="12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Years to 5 Years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98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Level 3</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7"/>
          <w:szCs w:val="17"/>
          <w:i w:val="1"/>
          <w:iCs w:val="1"/>
          <w:color w:val="231F20"/>
        </w:rPr>
        <w:t>Quantitative and Qualitative Disclosures about Market Risk -Commodity Price Risk,</w:t>
      </w:r>
      <w:r>
        <w:rPr>
          <w:rFonts w:ascii="Arial" w:cs="Arial" w:eastAsia="Arial" w:hAnsi="Arial"/>
          <w:sz w:val="17"/>
          <w:szCs w:val="17"/>
          <w:color w:val="231F20"/>
        </w:rPr>
        <w:t xml:space="preserve"> the Company </w:t>
      </w:r>
      <w:r>
        <w:rPr>
          <w:rFonts w:ascii="Arial" w:cs="Arial" w:eastAsia="Arial" w:hAnsi="Arial"/>
          <w:sz w:val="17"/>
          <w:szCs w:val="17"/>
          <w:color w:val="000000"/>
        </w:rPr>
        <w:t>measures the</w:t>
      </w:r>
      <w:r>
        <w:rPr>
          <w:rFonts w:ascii="Arial" w:cs="Arial" w:eastAsia="Arial" w:hAnsi="Arial"/>
          <w:sz w:val="17"/>
          <w:szCs w:val="17"/>
          <w:color w:val="231F20"/>
        </w:rPr>
        <w:t xml:space="preserve"> </w:t>
      </w:r>
      <w:r>
        <w:rPr>
          <w:rFonts w:ascii="Arial" w:cs="Arial" w:eastAsia="Arial" w:hAnsi="Arial"/>
          <w:sz w:val="17"/>
          <w:szCs w:val="17"/>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90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99"/>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Taxes and Valuation Allowance for Deferred Tax Assets</w:t>
            </w:r>
          </w:p>
        </w:tc>
        <w:tc>
          <w:tcPr>
            <w:tcW w:w="5360" w:type="dxa"/>
            <w:vAlign w:val="bottom"/>
          </w:tcPr>
          <w:p>
            <w:pPr>
              <w:ind w:left="20"/>
              <w:spacing w:after="0"/>
              <w:rPr>
                <w:sz w:val="20"/>
                <w:szCs w:val="20"/>
                <w:color w:val="auto"/>
              </w:rPr>
            </w:pPr>
            <w:r>
              <w:rPr>
                <w:rFonts w:ascii="Arial" w:cs="Arial" w:eastAsia="Arial" w:hAnsi="Arial"/>
                <w:sz w:val="18"/>
                <w:szCs w:val="18"/>
                <w:color w:val="auto"/>
                <w:w w:val="92"/>
              </w:rPr>
              <w:t>Ability to withstand legal challenges of tax authority decisions or appeals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Anticipated future decisions of tax authorities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Application of tax statutes and regulations to transactions</w:t>
            </w:r>
          </w:p>
        </w:tc>
      </w:tr>
      <w:tr>
        <w:trPr>
          <w:trHeight w:val="256"/>
        </w:trPr>
        <w:tc>
          <w:tcPr>
            <w:tcW w:w="1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8"/>
              </w:rPr>
              <w:t>Ability to utilize tax benefits through carry backs to prior periods and</w:t>
            </w:r>
          </w:p>
        </w:tc>
      </w:tr>
      <w:tr>
        <w:trPr>
          <w:trHeight w:val="230"/>
        </w:trPr>
        <w:tc>
          <w:tcPr>
            <w:tcW w:w="11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carry forwards to future periods</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Impairment of Long Lived Assets</w:t>
            </w:r>
          </w:p>
        </w:tc>
        <w:tc>
          <w:tcPr>
            <w:tcW w:w="5360" w:type="dxa"/>
            <w:vAlign w:val="bottom"/>
          </w:tcPr>
          <w:p>
            <w:pPr>
              <w:ind w:left="20"/>
              <w:spacing w:after="0"/>
              <w:rPr>
                <w:sz w:val="20"/>
                <w:szCs w:val="20"/>
                <w:color w:val="auto"/>
              </w:rPr>
            </w:pPr>
            <w:r>
              <w:rPr>
                <w:rFonts w:ascii="Arial" w:cs="Arial" w:eastAsia="Arial" w:hAnsi="Arial"/>
                <w:sz w:val="18"/>
                <w:szCs w:val="18"/>
                <w:color w:val="auto"/>
              </w:rPr>
              <w:t>Recoverability of investments through future operations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Regulatory and political environments and requirements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Estimated useful lives of assets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Operational limitations and environmental obligations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future cash flows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fair value</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Judgment about triggering events</w:t>
            </w: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 and Valuation Allowance for Deferred Tax Assets</w:t>
      </w:r>
    </w:p>
    <w:p>
      <w:pPr>
        <w:spacing w:after="0" w:line="17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As of December 31, 2019, the Company had a valuation allowance of $15 million. The valuation allowance is related to a deferred tax asset expected to result in a capital loss for which no existing capital gains or tax planning strategies to utilize the asset in the future are available, as well as state net operating losses the Company expects to expire unutilized. Other than for this expected capital loss and state NOL mentioned above, the Company believes it is more likely than not that the results of future operations will generate sufficient taxable income which includes the future reversal of existing taxable temporary differences to realize deferred tax assets. The Company considered the impact of the Tax Cuts and Jobs Act upon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w:t>
      </w:r>
    </w:p>
    <w:p>
      <w:pPr>
        <w:spacing w:after="0" w:line="113"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Considerable judgment is required to determine the tax treatment of a particular item that involves interpretations of complex tax laws. The project-level entities, as former subsidiaries of NRG, are no longer subject to federal audit examination for years prior to 2015 but are subject to state and local audit for multiple years in various jurisdictions. The Company is subject to U.S. federal, state, and local income tax examinations for all years beginning in 2013.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75" w:right="23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b w:val="1"/>
          <w:bCs w:val="1"/>
          <w:i w:val="1"/>
          <w:iCs w:val="1"/>
          <w:color w:val="auto"/>
        </w:rPr>
        <w:t>Evaluation of Assets for Impairment and Other-Than-Temporary Decline in Value</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or ASC 360, property, plant and equipment and certain intangible assets are evaluated for impairment whenever indicators of impairment exist. Examples of such indicators or events are:</w:t>
      </w:r>
    </w:p>
    <w:p>
      <w:pPr>
        <w:spacing w:after="0" w:line="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decrease in the market price of a long-lived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adverse change in the manner an asset is being used or its physical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business climate;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Accumulation of costs significantly in excess of the amount originally expected for the construction or acquisition of an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Current-period loss combined with a history of losses or the projection of future losses;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the assets to the future net cash flows expected to be generated by the asset, through considering project specific assumptions for long-term energy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Annually, during the fourth quarter, the Company revises its views of energy prices, including the Company's fundamental view for long-term power prices, forecasted generation and operating and capital expenditures, in connection with the preparation of its annual budget.</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 recorded certain long-lived asset impairments in 2019, as described below and in Item 15 — Note 9, </w:t>
      </w:r>
      <w:r>
        <w:rPr>
          <w:rFonts w:ascii="Arial" w:cs="Arial" w:eastAsia="Arial" w:hAnsi="Arial"/>
          <w:sz w:val="18"/>
          <w:szCs w:val="18"/>
          <w:i w:val="1"/>
          <w:iCs w:val="1"/>
          <w:color w:val="auto"/>
        </w:rPr>
        <w:t>Asset Impairments</w:t>
      </w:r>
      <w:r>
        <w:rPr>
          <w:rFonts w:ascii="Arial" w:cs="Arial" w:eastAsia="Arial" w:hAnsi="Arial"/>
          <w:sz w:val="18"/>
          <w:szCs w:val="18"/>
          <w:color w:val="auto"/>
        </w:rPr>
        <w:t>, to the Consolidated Financial Statements, with respect to several wind projects.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during the fourth quarter of 2019, as a result of the preparation and review of its annual budget and assessment of long-term merchant prices, the Company updated its estimated future cash flows and determined that the future cash flows for several wind projects from the Renewables segment no longer supported the recoverability of the related long-lived asset. As such, the Company recorded an impairment loss of $14 million to reflect the assets at fair market value. There were no other triggering events identified prior to the fourth quarter annual budget update for these asset groups.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Company is also required to evaluate its equity method investments to determine whether or not they are impaired. ASC 323,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or ASC 323, provides the accounting requirements for these investments. The standard for determining whether an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79" w:right="239" w:bottom="1440" w:gutter="0" w:footer="0" w:header="0"/>
        </w:sectPr>
      </w:pPr>
    </w:p>
    <w:bookmarkStart w:id="65" w:name="page66"/>
    <w:bookmarkEnd w:id="65"/>
    <w:p>
      <w:pPr>
        <w:jc w:val="both"/>
        <w:ind w:firstLine="486"/>
        <w:spacing w:after="0" w:line="312" w:lineRule="auto"/>
        <w:rPr>
          <w:sz w:val="20"/>
          <w:szCs w:val="20"/>
          <w:color w:val="auto"/>
        </w:rPr>
      </w:pPr>
      <w:r>
        <w:rPr>
          <w:rFonts w:ascii="Arial" w:cs="Arial" w:eastAsia="Arial" w:hAnsi="Arial"/>
          <w:sz w:val="16"/>
          <w:szCs w:val="16"/>
          <w:color w:val="auto"/>
        </w:rPr>
        <w:t>Certain of the Company’s projects have useful lives that extend well beyond the contract period and therefore, management’s view of long-term energy prices in the post-contract periods may have a significant impact on the expected future cash flows for these projects. Accordingly, if management lowers its view of long-term energy prices in certain markets, it is possible that some of the Company’s other long-lived assets may be impaired.</w:t>
      </w:r>
    </w:p>
    <w:p>
      <w:pPr>
        <w:spacing w:after="0" w:line="9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has determined that it has no impairment of the long-lived assets or equity method investments associated with these subsidiaries. Assumptions utilized to test these assets for impairment may change based on future events related to the PG&amp;E Bankruptcy, which could result in an impairment loss if the PPAs are rejected or amended, or if the Company is not able to collect its revenues from PG&amp;E in a timely manner.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recent accounting developments.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7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to the Consolidated Financial Statements for more information.</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MMBtu in natural gas prices across the term of the derivative contracts would cause an increase of approximately $3 million to the net value of natural gas derivatives as of </w:t>
      </w:r>
      <w:r>
        <w:rPr>
          <w:rFonts w:ascii="Arial" w:cs="Arial" w:eastAsia="Arial" w:hAnsi="Arial"/>
          <w:sz w:val="18"/>
          <w:szCs w:val="18"/>
          <w:color w:val="000000"/>
        </w:rPr>
        <w:t>December 31, 2019</w:t>
      </w:r>
      <w:r>
        <w:rPr>
          <w:rFonts w:ascii="Arial" w:cs="Arial" w:eastAsia="Arial" w:hAnsi="Arial"/>
          <w:sz w:val="18"/>
          <w:szCs w:val="18"/>
          <w:color w:val="231F20"/>
        </w:rPr>
        <w:t>. The impact of a $0.50 per MWh increase or decrease in power prices across the term of the derivative contracts would cause a change of approximately $1 million to the net value of power derivatives as of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231F20"/>
        </w:rPr>
        <w:t xml:space="preserve"> to the Consolidated Financial Statements for more information.</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for more information about interest rate swaps of the Company's project subsidiaries.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2019</w:t>
      </w:r>
      <w:r>
        <w:rPr>
          <w:rFonts w:ascii="Arial" w:cs="Arial" w:eastAsia="Arial" w:hAnsi="Arial"/>
          <w:sz w:val="18"/>
          <w:szCs w:val="18"/>
          <w:color w:val="231F20"/>
        </w:rPr>
        <w:t>, the Company would have owed the counterparties $84 million.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 2019</w:t>
      </w:r>
      <w:r>
        <w:rPr>
          <w:rFonts w:ascii="Arial" w:cs="Arial" w:eastAsia="Arial" w:hAnsi="Arial"/>
          <w:sz w:val="16"/>
          <w:szCs w:val="16"/>
          <w:color w:val="231F20"/>
        </w:rPr>
        <w:t>, a 1% change in interest rates would result in an approximately $3 million change in interest expense on a rolling twelve-month basis.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2019</w:t>
      </w:r>
      <w:r>
        <w:rPr>
          <w:rFonts w:ascii="Arial" w:cs="Arial" w:eastAsia="Arial" w:hAnsi="Arial"/>
          <w:sz w:val="18"/>
          <w:szCs w:val="18"/>
          <w:color w:val="231F20"/>
        </w:rPr>
        <w:t>, the fair value of the Company's debt was $6,957 million and the carrying value was $6,858 million. The Company estimates that a 1% decrease in market interest rates would have increased the fair value of its long-term debt by $340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6"/>
          <w:szCs w:val="16"/>
          <w:color w:val="000000"/>
        </w:rPr>
        <w:t>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 to the Consolidated Financial Statements for more information about concentration of credit risk.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75" w:right="239" w:bottom="1440" w:gutter="0" w:footer="0" w:header="0"/>
        </w:sectPr>
      </w:pPr>
    </w:p>
    <w:bookmarkStart w:id="67" w:name="page68"/>
    <w:bookmarkEnd w:id="67"/>
    <w:p>
      <w:pPr>
        <w:jc w:val="both"/>
        <w:ind w:firstLine="648"/>
        <w:spacing w:after="0" w:line="257" w:lineRule="auto"/>
        <w:rPr>
          <w:sz w:val="20"/>
          <w:szCs w:val="20"/>
          <w:color w:val="auto"/>
        </w:rPr>
      </w:pPr>
      <w:r>
        <w:rPr>
          <w:rFonts w:ascii="Arial" w:cs="Arial" w:eastAsia="Arial" w:hAnsi="Arial"/>
          <w:sz w:val="18"/>
          <w:szCs w:val="18"/>
          <w:color w:val="231F20"/>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had $5 million in accounts receivable due from PG&amp;E, which relate to the pre-petition period and therefore were recorded in other non-current assets as of December 31, 2019.</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7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are listed in Part IV, Item 15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There were no changes in the Company’s internal control over financial reporting (as such term is defined in Rule 13a-15(f) under the Exchange Act) during the quarter ended December 31, 2019, that materially affected, or are reasonably likely to materially affect, the Company’s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27" w:lineRule="exact"/>
        <w:rPr>
          <w:sz w:val="20"/>
          <w:szCs w:val="20"/>
          <w:color w:val="auto"/>
        </w:rPr>
      </w:pPr>
    </w:p>
    <w:p>
      <w:pPr>
        <w:ind w:left="600" w:hanging="187"/>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94" w:lineRule="exact"/>
        <w:rPr>
          <w:rFonts w:ascii="Arial" w:cs="Arial" w:eastAsia="Arial" w:hAnsi="Arial"/>
          <w:sz w:val="16"/>
          <w:szCs w:val="16"/>
          <w:color w:val="auto"/>
        </w:rPr>
      </w:pPr>
    </w:p>
    <w:p>
      <w:pPr>
        <w:ind w:right="20" w:firstLine="413"/>
        <w:spacing w:after="0" w:line="342" w:lineRule="auto"/>
        <w:tabs>
          <w:tab w:leader="none" w:pos="5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69" w:lineRule="exact"/>
        <w:rPr>
          <w:rFonts w:ascii="Arial" w:cs="Arial" w:eastAsia="Arial" w:hAnsi="Arial"/>
          <w:sz w:val="16"/>
          <w:szCs w:val="16"/>
          <w:color w:val="auto"/>
        </w:rPr>
      </w:pPr>
    </w:p>
    <w:p>
      <w:pPr>
        <w:ind w:firstLine="413"/>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the Company's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Company's management concluded that its internal control over financial reporting was effective as of December 31, 2019.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75" w:right="2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KPMG LLP, the Company's independent registered public accounting firm, as stated in its report which is included in this Form 10-K.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79" w:right="239" w:bottom="1440" w:gutter="0" w:footer="0" w:header="0"/>
        </w:sectPr>
      </w:pPr>
    </w:p>
    <w:bookmarkStart w:id="70" w:name="page71"/>
    <w:bookmarkEnd w:id="7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Clearway Energy,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(loss) income, stockholders’ equity, and cash flows for each of the years in the three-year period ended December 31, 2019, and the related notes and financial statement schedules “Schedule I- Condensed Financial Information of Registrant” and “Schedule II- Valuation and Qualifying Accounts” (collectively, the consolidated financial statements), and our report dated March 2, 2020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7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675" w:right="1440" w:bottom="1440" w:gutter="0" w:footer="0" w:header="0"/>
        </w:sectPr>
      </w:pPr>
    </w:p>
    <w:bookmarkStart w:id="72" w:name="page73"/>
    <w:bookmarkEnd w:id="72"/>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Information about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Nathaniel Anschuetz, 32, </w:t>
      </w:r>
      <w:r>
        <w:rPr>
          <w:rFonts w:ascii="Arial" w:cs="Arial" w:eastAsia="Arial" w:hAnsi="Arial"/>
          <w:sz w:val="18"/>
          <w:szCs w:val="18"/>
          <w:color w:val="auto"/>
        </w:rPr>
        <w:t>has served as a director since August 2018. Mr. Anschuetz is a Principal at GIP. Prior to joining GIP in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Anschuetz was an Analyst in the Power &amp; Utilities Coverage Group at Citigroup from June 2010 through June 2012. 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Jonathan Bram, 54, </w:t>
      </w:r>
      <w:r>
        <w:rPr>
          <w:rFonts w:ascii="Arial" w:cs="Arial" w:eastAsia="Arial" w:hAnsi="Arial"/>
          <w:sz w:val="17"/>
          <w:szCs w:val="17"/>
          <w:color w:val="auto"/>
        </w:rPr>
        <w:t>has served as Chairman of the board of directors of the Company since August 2018. Mr. Bram is a Founding Partner of GIP</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Brian R. Ford, 71, </w:t>
      </w:r>
      <w:r>
        <w:rPr>
          <w:rFonts w:ascii="Arial" w:cs="Arial" w:eastAsia="Arial" w:hAnsi="Arial"/>
          <w:sz w:val="18"/>
          <w:szCs w:val="18"/>
          <w:color w:val="auto"/>
        </w:rPr>
        <w:t>has served as a director since July 2013 and Lead Independent Director since January 2019. Mr. Ford was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the Company's board of directors.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Bruce MacLennan, 53, </w:t>
      </w:r>
      <w:r>
        <w:rPr>
          <w:rFonts w:ascii="Arial" w:cs="Arial" w:eastAsia="Arial" w:hAnsi="Arial"/>
          <w:sz w:val="18"/>
          <w:szCs w:val="18"/>
          <w:color w:val="auto"/>
        </w:rPr>
        <w:t>has served as a director since August 2018. Mr. MacLennan is a Partner of GIP and serves on its Investment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the Company's board of directors.</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Ferrell P. McClean,73, </w:t>
      </w:r>
      <w:r>
        <w:rPr>
          <w:rFonts w:ascii="Arial" w:cs="Arial" w:eastAsia="Arial" w:hAnsi="Arial"/>
          <w:sz w:val="17"/>
          <w:szCs w:val="17"/>
          <w:color w:val="auto"/>
        </w:rPr>
        <w:t>has served as a director since July 2013. Ms. McClean was a Managing Director and the Senior Advisor to the head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the Company's board of directors and management team.</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Daniel B. More, 63, </w:t>
      </w:r>
      <w:r>
        <w:rPr>
          <w:rFonts w:ascii="Arial" w:cs="Arial" w:eastAsia="Arial" w:hAnsi="Arial"/>
          <w:sz w:val="16"/>
          <w:szCs w:val="16"/>
          <w:color w:val="auto"/>
        </w:rPr>
        <w:t>has served as a director since February 2019. Mr. More has been a Senior Advisor with Guggenheim Securities since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More retired as a Managing Director and Global Head of Utility Mergers &amp; Acquisitions of the Investment Banking Division of Morgan Stanley in</w:t>
      </w:r>
    </w:p>
    <w:p>
      <w:pPr>
        <w:jc w:val="both"/>
        <w:spacing w:after="0" w:line="253" w:lineRule="auto"/>
        <w:rPr>
          <w:sz w:val="20"/>
          <w:szCs w:val="20"/>
          <w:color w:val="auto"/>
        </w:rPr>
      </w:pPr>
      <w:r>
        <w:rPr>
          <w:rFonts w:ascii="Arial" w:cs="Arial" w:eastAsia="Arial" w:hAnsi="Arial"/>
          <w:sz w:val="18"/>
          <w:szCs w:val="18"/>
          <w:color w:val="auto"/>
        </w:rPr>
        <w:t>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75" w:right="239" w:bottom="1440" w:gutter="0" w:footer="0" w:header="0"/>
        </w:sectPr>
      </w:pPr>
    </w:p>
    <w:bookmarkStart w:id="73" w:name="page74"/>
    <w:bookmarkEnd w:id="73"/>
    <w:p>
      <w:pPr>
        <w:jc w:val="both"/>
        <w:ind w:firstLine="648"/>
        <w:spacing w:after="0" w:line="317" w:lineRule="auto"/>
        <w:rPr>
          <w:sz w:val="20"/>
          <w:szCs w:val="20"/>
          <w:color w:val="auto"/>
        </w:rPr>
      </w:pPr>
      <w:r>
        <w:rPr>
          <w:rFonts w:ascii="Arial" w:cs="Arial" w:eastAsia="Arial" w:hAnsi="Arial"/>
          <w:sz w:val="17"/>
          <w:szCs w:val="17"/>
          <w:i w:val="1"/>
          <w:iCs w:val="1"/>
          <w:color w:val="auto"/>
        </w:rPr>
        <w:t xml:space="preserve">E. Stanley O'Neal,68, </w:t>
      </w:r>
      <w:r>
        <w:rPr>
          <w:rFonts w:ascii="Arial" w:cs="Arial" w:eastAsia="Arial" w:hAnsi="Arial"/>
          <w:sz w:val="17"/>
          <w:szCs w:val="17"/>
          <w:color w:val="auto"/>
        </w:rPr>
        <w:t>has served as a director since August 2018. Mr. O'Neal</w:t>
      </w:r>
      <w:r>
        <w:rPr>
          <w:rFonts w:ascii="Arial" w:cs="Arial" w:eastAsia="Arial" w:hAnsi="Arial"/>
          <w:sz w:val="17"/>
          <w:szCs w:val="17"/>
          <w:i w:val="1"/>
          <w:iCs w:val="1"/>
          <w:color w:val="auto"/>
        </w:rPr>
        <w:t xml:space="preserve"> </w:t>
      </w:r>
      <w:r>
        <w:rPr>
          <w:rFonts w:ascii="Arial" w:cs="Arial" w:eastAsia="Arial" w:hAnsi="Arial"/>
          <w:sz w:val="20"/>
          <w:szCs w:val="20"/>
          <w:color w:val="auto"/>
        </w:rPr>
        <w:t>s</w:t>
      </w:r>
      <w:r>
        <w:rPr>
          <w:rFonts w:ascii="Arial" w:cs="Arial" w:eastAsia="Arial" w:hAnsi="Arial"/>
          <w:sz w:val="17"/>
          <w:szCs w:val="17"/>
          <w:color w:val="auto"/>
        </w:rPr>
        <w:t>erved as Chairman of the Board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1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Christopher S. Sotos, 48, </w:t>
      </w:r>
      <w:r>
        <w:rPr>
          <w:rFonts w:ascii="Arial" w:cs="Arial" w:eastAsia="Arial" w:hAnsi="Arial"/>
          <w:sz w:val="16"/>
          <w:szCs w:val="16"/>
          <w:color w:val="auto"/>
        </w:rPr>
        <w:t>has served as President and Chief Executive Officer of the Company since May 2016, and as a director since May 2013.</w:t>
      </w:r>
      <w:r>
        <w:rPr>
          <w:rFonts w:ascii="Arial" w:cs="Arial" w:eastAsia="Arial" w:hAnsi="Arial"/>
          <w:sz w:val="16"/>
          <w:szCs w:val="16"/>
          <w:i w:val="1"/>
          <w:iCs w:val="1"/>
          <w:color w:val="auto"/>
        </w:rPr>
        <w:t xml:space="preserve"> </w:t>
      </w:r>
      <w:r>
        <w:rPr>
          <w:rFonts w:ascii="Arial" w:cs="Arial" w:eastAsia="Arial" w:hAnsi="Arial"/>
          <w:sz w:val="16"/>
          <w:szCs w:val="16"/>
          <w:color w:val="auto"/>
        </w:rPr>
        <w:t>Mr. Sotos had also served in various positions 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Scott Stanley, 63, </w:t>
      </w:r>
      <w:r>
        <w:rPr>
          <w:rFonts w:ascii="Arial" w:cs="Arial" w:eastAsia="Arial" w:hAnsi="Arial"/>
          <w:sz w:val="18"/>
          <w:szCs w:val="18"/>
          <w:color w:val="auto"/>
        </w:rPr>
        <w:t>has served as a director since August 2018. Mr. Stanley has been employed by GIP as an Operating Principal since April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the Company's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Christopher S. Sotos </w:t>
      </w:r>
      <w:r>
        <w:rPr>
          <w:rFonts w:ascii="Arial" w:cs="Arial" w:eastAsia="Arial" w:hAnsi="Arial"/>
          <w:sz w:val="18"/>
          <w:szCs w:val="18"/>
          <w:color w:val="auto"/>
        </w:rPr>
        <w:t>has served as President and Chief Executive Officer of the Company since May 2016, and as a director of the Company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2013. For additional biographical information for Mr. Sotos, see above under “Directors.”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Chad Plotkin,44, </w:t>
      </w:r>
      <w:r>
        <w:rPr>
          <w:rFonts w:ascii="Arial" w:cs="Arial" w:eastAsia="Arial" w:hAnsi="Arial"/>
          <w:sz w:val="18"/>
          <w:szCs w:val="18"/>
          <w:color w:val="auto"/>
        </w:rPr>
        <w:t>has served as the Company's Senior Vice President and Chief Financial Officer since November 2016. From January 2016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Mary-Lee Stillwell, 46, </w:t>
      </w:r>
      <w:r>
        <w:rPr>
          <w:rFonts w:ascii="Arial" w:cs="Arial" w:eastAsia="Arial" w:hAnsi="Arial"/>
          <w:sz w:val="17"/>
          <w:szCs w:val="17"/>
          <w:color w:val="auto"/>
        </w:rPr>
        <w:t>has served as Vice President and Chief Accounting Officer since August 31, 2018. Ms. Stillwell previously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 - Integration and Internal Controls of GenOn Energy, Inc., in Houston, Texas, from September 2010 to December 2012, where she was responsible for all Sarbanes-Oxley compliance as well as integrations of mergers and acquisitions.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Kevin P. Malcarney, 53, </w:t>
      </w:r>
      <w:r>
        <w:rPr>
          <w:rFonts w:ascii="Arial" w:cs="Arial" w:eastAsia="Arial" w:hAnsi="Arial"/>
          <w:sz w:val="18"/>
          <w:szCs w:val="18"/>
          <w:color w:val="auto"/>
        </w:rPr>
        <w:t>has served as Senior Vice President, General Counsel and Corporate Secretary since May 11, 2018. Mr. Malcarney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General Counsel of the Company from March 16, 2018. Mr. Malcarney was previously Vice President and Deputy General Counsel and served in various other roles at NRG Energy, Inc. since September 2008. Prior to NRG, Mr. Malcarney worked at two major law firms in Princeton, NJ and Philadelphia, PA, and handled mergers and acquisitions, project financing and general corporate matters.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8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adopted a code of ethics entitled "Clearway Energy, Inc. Code of Business Conduct and Ethics" that applies to all of our directors and employees, including our Officers (e.g., our CEO, CFO, and Principal Accounting Officer). It may be accessed through the "Corporate Governance" section of the Company's website at </w:t>
      </w:r>
      <w:r>
        <w:rPr>
          <w:rFonts w:ascii="Arial" w:cs="Arial" w:eastAsia="Arial" w:hAnsi="Arial"/>
          <w:sz w:val="18"/>
          <w:szCs w:val="18"/>
          <w:i w:val="1"/>
          <w:iCs w:val="1"/>
          <w:color w:val="auto"/>
        </w:rPr>
        <w:t>http://www.clearwayenergy.com.</w:t>
      </w:r>
      <w:r>
        <w:rPr>
          <w:rFonts w:ascii="Arial" w:cs="Arial" w:eastAsia="Arial" w:hAnsi="Arial"/>
          <w:sz w:val="18"/>
          <w:szCs w:val="18"/>
          <w:color w:val="auto"/>
        </w:rPr>
        <w:t xml:space="preserve"> 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information required by this Item will be incorporated by reference to the similarly named section of the Company's Definitive Proxy Statement for its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7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Annual Meeting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the Clearway Energy, Inc. Amended and Restated 2013 Equity Compensation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4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Weighted-Average Exercise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Compensation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2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3"/>
                <w:szCs w:val="13"/>
                <w:color w:val="auto"/>
              </w:rPr>
            </w:pPr>
          </w:p>
        </w:tc>
        <w:tc>
          <w:tcPr>
            <w:tcW w:w="1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Rights</w:t>
            </w:r>
          </w:p>
        </w:tc>
        <w:tc>
          <w:tcPr>
            <w:tcW w:w="1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 xml:space="preserve">in Column (a))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Equity compensation plans approved by security holders - Class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47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A common stock</w:t>
            </w:r>
          </w:p>
        </w:tc>
        <w:tc>
          <w:tcPr>
            <w:tcW w:w="196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CCEEFF"/>
            </w:tcBorders>
            <w:shd w:val="clear" w:color="auto" w:fill="CCEEFF"/>
          </w:tcPr>
          <w:p>
            <w:pPr>
              <w:spacing w:after="0"/>
              <w:rPr>
                <w:sz w:val="10"/>
                <w:szCs w:val="10"/>
                <w:color w:val="auto"/>
              </w:rPr>
            </w:pPr>
          </w:p>
        </w:tc>
        <w:tc>
          <w:tcPr>
            <w:tcW w:w="4760" w:type="dxa"/>
            <w:vAlign w:val="bottom"/>
            <w:tcBorders>
              <w:bottom w:val="single" w:sz="8" w:color="CCEEFF"/>
            </w:tcBorders>
            <w:gridSpan w:val="2"/>
            <w:vMerge w:val="continue"/>
            <w:shd w:val="clear" w:color="auto" w:fill="CCEEFF"/>
          </w:tcPr>
          <w:p>
            <w:pPr>
              <w:spacing w:after="0"/>
              <w:rPr>
                <w:sz w:val="10"/>
                <w:szCs w:val="10"/>
                <w:color w:val="auto"/>
              </w:rPr>
            </w:pPr>
          </w:p>
        </w:tc>
        <w:tc>
          <w:tcPr>
            <w:tcW w:w="19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vMerge w:val="continue"/>
            <w:shd w:val="clear" w:color="auto" w:fill="CCEEFF"/>
          </w:tcPr>
          <w:p>
            <w:pPr>
              <w:spacing w:after="0"/>
              <w:rPr>
                <w:sz w:val="10"/>
                <w:szCs w:val="10"/>
                <w:color w:val="auto"/>
              </w:rPr>
            </w:pPr>
          </w:p>
        </w:tc>
        <w:tc>
          <w:tcPr>
            <w:tcW w:w="1940" w:type="dxa"/>
            <w:vAlign w:val="bottom"/>
            <w:tcBorders>
              <w:bottom w:val="single" w:sz="8" w:color="CCEEFF"/>
            </w:tcBorders>
            <w:gridSpan w:val="2"/>
            <w:vMerge w:val="continue"/>
            <w:shd w:val="clear" w:color="auto" w:fill="CCEEFF"/>
          </w:tcPr>
          <w:p>
            <w:pPr>
              <w:spacing w:after="0"/>
              <w:rPr>
                <w:sz w:val="10"/>
                <w:szCs w:val="10"/>
                <w:color w:val="auto"/>
              </w:rPr>
            </w:pPr>
          </w:p>
        </w:tc>
        <w:tc>
          <w:tcPr>
            <w:tcW w:w="19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800" w:type="dxa"/>
            <w:vAlign w:val="bottom"/>
            <w:gridSpan w:val="3"/>
          </w:tcPr>
          <w:p>
            <w:pPr>
              <w:ind w:left="40"/>
              <w:spacing w:after="0"/>
              <w:rPr>
                <w:sz w:val="20"/>
                <w:szCs w:val="20"/>
                <w:color w:val="auto"/>
              </w:rPr>
            </w:pPr>
            <w:r>
              <w:rPr>
                <w:rFonts w:ascii="Arial" w:cs="Arial" w:eastAsia="Arial" w:hAnsi="Arial"/>
                <w:sz w:val="18"/>
                <w:szCs w:val="18"/>
                <w:color w:val="auto"/>
                <w:w w:val="92"/>
              </w:rPr>
              <w:t>Equity compensation plans approved by security holders - Class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C common stock</w:t>
            </w:r>
          </w:p>
        </w:tc>
        <w:tc>
          <w:tcPr>
            <w:tcW w:w="1960" w:type="dxa"/>
            <w:vAlign w:val="bottom"/>
          </w:tcPr>
          <w:p>
            <w:pPr>
              <w:jc w:val="right"/>
              <w:ind w:right="21"/>
              <w:spacing w:after="0"/>
              <w:rPr>
                <w:sz w:val="20"/>
                <w:szCs w:val="20"/>
                <w:color w:val="auto"/>
              </w:rPr>
            </w:pPr>
            <w:r>
              <w:rPr>
                <w:rFonts w:ascii="Arial" w:cs="Arial" w:eastAsia="Arial" w:hAnsi="Arial"/>
                <w:sz w:val="18"/>
                <w:szCs w:val="18"/>
                <w:color w:val="auto"/>
              </w:rPr>
              <w:t>702,925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22"/>
              <w:spacing w:after="0"/>
              <w:rPr>
                <w:sz w:val="20"/>
                <w:szCs w:val="20"/>
                <w:color w:val="auto"/>
              </w:rPr>
            </w:pPr>
            <w:r>
              <w:rPr>
                <w:rFonts w:ascii="Arial" w:cs="Arial" w:eastAsia="Arial" w:hAnsi="Arial"/>
                <w:sz w:val="18"/>
                <w:szCs w:val="18"/>
                <w:color w:val="auto"/>
              </w:rPr>
              <w:t>1,056,534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721,555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1,056,534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9" w:lineRule="exact"/>
        <w:rPr>
          <w:sz w:val="20"/>
          <w:szCs w:val="20"/>
          <w:color w:val="auto"/>
        </w:rPr>
      </w:pPr>
    </w:p>
    <w:p>
      <w:pPr>
        <w:ind w:right="140" w:firstLine="8"/>
        <w:spacing w:after="0" w:line="285" w:lineRule="auto"/>
        <w:tabs>
          <w:tab w:leader="none" w:pos="162" w:val="left"/>
        </w:tabs>
        <w:numPr>
          <w:ilvl w:val="0"/>
          <w:numId w:val="39"/>
        </w:numPr>
        <w:rPr>
          <w:rFonts w:ascii="Arial" w:cs="Arial" w:eastAsia="Arial" w:hAnsi="Arial"/>
          <w:sz w:val="18"/>
          <w:szCs w:val="18"/>
          <w:color w:val="auto"/>
          <w:vertAlign w:val="superscript"/>
        </w:rPr>
      </w:pPr>
      <w:r>
        <w:rPr>
          <w:rFonts w:ascii="Arial" w:cs="Arial" w:eastAsia="Arial" w:hAnsi="Arial"/>
          <w:sz w:val="12"/>
          <w:szCs w:val="12"/>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information required by this Item will be incorporated by reference to the similarly named section of the Company's Definitive Proxy Statement for its 2020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Annual Meeting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Annual Meeting of Stockholders.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75" w:right="239" w:bottom="1440" w:gutter="0" w:footer="0" w:header="0"/>
        </w:sectPr>
      </w:pPr>
    </w:p>
    <w:bookmarkStart w:id="76" w:name="page77"/>
    <w:bookmarkEnd w:id="76"/>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60" w:hanging="242"/>
        <w:spacing w:after="0" w:line="277" w:lineRule="auto"/>
        <w:rPr>
          <w:sz w:val="20"/>
          <w:szCs w:val="20"/>
          <w:color w:val="auto"/>
        </w:rPr>
      </w:pPr>
      <w:r>
        <w:rPr>
          <w:rFonts w:ascii="Arial" w:cs="Arial" w:eastAsia="Arial" w:hAnsi="Arial"/>
          <w:sz w:val="18"/>
          <w:szCs w:val="18"/>
          <w:color w:val="auto"/>
        </w:rPr>
        <w:t>The following consolidated financial statements of Clearway Energy, Inc. and related notes thereto, together with the reports thereon of KPMG LLP, are included herein: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(Loss) Income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Stockholders' Equity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schedules of Clearway Energy, Inc. are filed as part of Item 15 of this report and should be read in conjunction with the</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Financial Statements:</w:t>
      </w:r>
    </w:p>
    <w:p>
      <w:pPr>
        <w:spacing w:after="0" w:line="157"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Schedule I — Clearway Energy, Inc. Financial Statements for the years ended December 31, 2019, 2018 and 2017, are included in Clearway Energy, Inc.'s Annual Report on Form 10-K pursuant to the requirements of Rule 5-04(c) of Regulation S-X</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240" w:top="675" w:right="5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Clearway Energy, Inc. and subsidiaries (the Company) as of December 31, 2019 and 2018, the related consolidated statements of operations, comprehensive (loss) income, stockholders’ equity, and cash flows for each of the years in the three-year period ended December 31, 2019, and the related notes and financial statement schedules, (“Schedule I- Condensed Financial Information of Registrant” and “Schedule II- Valuation and Qualifying Accounts”)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2020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75"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i w:val="1"/>
          <w:iCs w:val="1"/>
          <w:color w:val="auto"/>
        </w:rPr>
        <w:t>Evaluation over the impairment of long-lived assets</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As discussed in Notes 2 and 9 to the consolidated financial statements, long-lived assets that are held and used are reviewed for impairment whenever events or changes in circumstances indicate their carrying value may not be recoverable. Recoverability of assets to be held and used is measured by a comparison of the carrying amount of the assets to the future net cash flows expected to be generated by the asset, through considering project specific assumptions for contracted energy prices, long-term forecasted energy prices, forecasted generation, future project operating costs, future capital expenditures and expected plant operations. An impairment loss is recognized if the total future undiscounted cash flows expected from an asset are less than its carrying value. An impairment charge is measured as the difference between the asset’s carrying value and its fair value. Generally, fair value is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forecasted generation, future project operating costs, future capital expenditures, expected plant operations and discount rates.</w:t>
      </w:r>
    </w:p>
    <w:p>
      <w:pPr>
        <w:spacing w:after="0" w:line="1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identified the evaluation over the impairment of certain long-lived assets as a critical audit matter. This was due to the especially subjective auditor judgment in evaluating the forecasted energy prices used in the Company’s undiscounted cash flow estimation model. Specifically, for certain asset groups tested for impairment, the forecasted energy prices used in the undiscounted cash flow estimation models were challenging to evaluate as small changes to this assumption could have a significant effect on the Company’s projected future undiscounted cash flows of long-lived assets.</w:t>
      </w:r>
    </w:p>
    <w:p>
      <w:pPr>
        <w:spacing w:after="0" w:line="36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selection of forecasted energy prices used in impairment testing. We involved a valuation professional with specialized skills and knowledge, who assisted in evaluating the forecasted energy prices determined by the Company. Our valuation professional evaluated the energy price curves utilized by the Company by comparing them to energy price curves prepared by reputable third-party vendors that provide energy price forecasts in the applicable power markets.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79"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Pre-acquisition net income of Drop Down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(Loss) Income Excluding Pre-acquisition Net Income (Loss) of Drop Down 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 Attributable to Clearway Energy,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Earnings Per Share Attributable to Clearway Energy,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Class C common shares outstanding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304"/>
        </w:trPr>
        <w:tc>
          <w:tcPr>
            <w:tcW w:w="81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w w:val="98"/>
              </w:rPr>
              <w:t>(Loss) Earnings per Weighted Average Class A and Class C Common Share - 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7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 net of income tax expense of $1, $2, and $7</w:t>
            </w: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Other comprehensive income</w:t>
            </w:r>
          </w:p>
        </w:tc>
        <w:tc>
          <w:tcPr>
            <w:tcW w:w="6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Pre-acquisition net income of Drop Down Assets</w:t>
            </w:r>
          </w:p>
        </w:tc>
        <w:tc>
          <w:tcPr>
            <w:tcW w:w="6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Inc.</w:t>
            </w: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75"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December 31, 2018</w:t>
            </w:r>
          </w:p>
        </w:tc>
      </w:tr>
      <w:tr>
        <w:trPr>
          <w:trHeight w:val="251"/>
        </w:trPr>
        <w:tc>
          <w:tcPr>
            <w:tcW w:w="7680" w:type="dxa"/>
            <w:vAlign w:val="bottom"/>
          </w:tcPr>
          <w:p>
            <w:pPr>
              <w:ind w:left="35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3420" w:type="dxa"/>
            <w:vAlign w:val="bottom"/>
            <w:gridSpan w:val="4"/>
          </w:tcPr>
          <w:p>
            <w:pPr>
              <w:jc w:val="right"/>
              <w:ind w:right="133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407</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76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5,245</w:t>
            </w:r>
          </w:p>
        </w:tc>
      </w:tr>
      <w:tr>
        <w:trPr>
          <w:trHeight w:val="23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1,156</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Right-of-use assets, net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9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9,700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8,500</w:t>
            </w:r>
          </w:p>
        </w:tc>
      </w:tr>
      <w:tr>
        <w:trPr>
          <w:trHeight w:val="237"/>
        </w:trPr>
        <w:tc>
          <w:tcPr>
            <w:tcW w:w="768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r>
      <w:tr>
        <w:trPr>
          <w:trHeight w:val="231"/>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33"/>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5,572</w:t>
            </w:r>
          </w:p>
        </w:tc>
      </w:tr>
      <w:tr>
        <w:trPr>
          <w:trHeight w:val="23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6,276</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6915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266065"/>
                    </a:xfrm>
                    <a:prstGeom prst="rect">
                      <a:avLst/>
                    </a:prstGeom>
                    <a:noFill/>
                  </pic:spPr>
                </pic:pic>
              </a:graphicData>
            </a:graphic>
          </wp:anchor>
        </w:drawing>
      </w:r>
    </w:p>
    <w:p>
      <w:pPr>
        <w:sectPr>
          <w:pgSz w:w="11900" w:h="16838" w:orient="portrait"/>
          <w:cols w:equalWidth="0" w:num="1">
            <w:col w:w="11280"/>
          </w:cols>
          <w:pgMar w:left="320" w:top="675" w:right="299" w:bottom="0" w:gutter="0" w:footer="0" w:header="0"/>
        </w:sectPr>
      </w:pP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35" w:lineRule="exact"/>
        <w:rPr>
          <w:sz w:val="20"/>
          <w:szCs w:val="20"/>
          <w:color w:val="auto"/>
        </w:rPr>
      </w:pPr>
    </w:p>
    <w:p>
      <w:pPr>
        <w:ind w:left="160" w:right="500"/>
        <w:spacing w:after="0" w:line="293"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198,819,999 shares issued and outstanding (Class A 34,599,645, Class B 42,738,750, Class C 78,742,854, Class D 42,738,750) at December 31, 2019 and 193,251,396 shares issued and outstanding (Class A 34,586,250, Class B 42,738,750, Class C 73,187,646, Class D 42,738,750)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71691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691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4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69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00" w:type="dxa"/>
            <w:vAlign w:val="bottom"/>
          </w:tcPr>
          <w:p>
            <w:pPr>
              <w:jc w:val="right"/>
              <w:ind w:right="690"/>
              <w:spacing w:after="0"/>
              <w:rPr>
                <w:sz w:val="20"/>
                <w:szCs w:val="20"/>
                <w:color w:val="auto"/>
              </w:rPr>
            </w:pPr>
            <w:r>
              <w:rPr>
                <w:rFonts w:ascii="Arial" w:cs="Arial" w:eastAsia="Arial" w:hAnsi="Arial"/>
                <w:sz w:val="18"/>
                <w:szCs w:val="18"/>
                <w:color w:val="auto"/>
                <w:w w:val="88"/>
              </w:rPr>
              <w:t>1,936</w:t>
            </w:r>
          </w:p>
        </w:tc>
        <w:tc>
          <w:tcPr>
            <w:tcW w:w="120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0"/>
        </w:trPr>
        <w:tc>
          <w:tcPr>
            <w:tcW w:w="1200" w:type="dxa"/>
            <w:vAlign w:val="bottom"/>
          </w:tcPr>
          <w:p>
            <w:pPr>
              <w:jc w:val="right"/>
              <w:ind w:right="630"/>
              <w:spacing w:after="0"/>
              <w:rPr>
                <w:sz w:val="20"/>
                <w:szCs w:val="20"/>
                <w:color w:val="auto"/>
              </w:rPr>
            </w:pPr>
            <w:r>
              <w:rPr>
                <w:rFonts w:ascii="Arial" w:cs="Arial" w:eastAsia="Arial" w:hAnsi="Arial"/>
                <w:sz w:val="18"/>
                <w:szCs w:val="18"/>
                <w:color w:val="auto"/>
              </w:rPr>
              <w:t>(72)</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200" w:type="dxa"/>
            <w:vAlign w:val="bottom"/>
          </w:tcPr>
          <w:p>
            <w:pPr>
              <w:jc w:val="right"/>
              <w:ind w:right="630"/>
              <w:spacing w:after="0"/>
              <w:rPr>
                <w:sz w:val="20"/>
                <w:szCs w:val="20"/>
                <w:color w:val="auto"/>
              </w:rPr>
            </w:pPr>
            <w:r>
              <w:rPr>
                <w:rFonts w:ascii="Arial" w:cs="Arial" w:eastAsia="Arial" w:hAnsi="Arial"/>
                <w:sz w:val="18"/>
                <w:szCs w:val="18"/>
                <w:color w:val="auto"/>
              </w:rPr>
              <w:t>(15)</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200" w:type="dxa"/>
            <w:vAlign w:val="bottom"/>
          </w:tcPr>
          <w:p>
            <w:pPr>
              <w:jc w:val="right"/>
              <w:ind w:right="690"/>
              <w:spacing w:after="0"/>
              <w:rPr>
                <w:sz w:val="20"/>
                <w:szCs w:val="20"/>
                <w:color w:val="auto"/>
              </w:rPr>
            </w:pPr>
            <w:r>
              <w:rPr>
                <w:rFonts w:ascii="Arial" w:cs="Arial" w:eastAsia="Arial" w:hAnsi="Arial"/>
                <w:sz w:val="18"/>
                <w:szCs w:val="18"/>
                <w:color w:val="auto"/>
              </w:rPr>
              <w:t>413</w:t>
            </w:r>
          </w:p>
        </w:tc>
        <w:tc>
          <w:tcPr>
            <w:tcW w:w="1200" w:type="dxa"/>
            <w:vAlign w:val="bottom"/>
          </w:tcPr>
          <w:p>
            <w:pPr>
              <w:jc w:val="right"/>
              <w:spacing w:after="0"/>
              <w:rPr>
                <w:sz w:val="20"/>
                <w:szCs w:val="20"/>
                <w:color w:val="auto"/>
              </w:rPr>
            </w:pPr>
            <w:r>
              <w:rPr>
                <w:rFonts w:ascii="Arial" w:cs="Arial" w:eastAsia="Arial" w:hAnsi="Arial"/>
                <w:sz w:val="18"/>
                <w:szCs w:val="18"/>
                <w:color w:val="auto"/>
              </w:rPr>
              <w:t>402</w:t>
            </w:r>
          </w:p>
        </w:tc>
      </w:tr>
    </w:tbl>
    <w:p>
      <w:pPr>
        <w:spacing w:after="0" w:line="7" w:lineRule="exact"/>
        <w:rPr>
          <w:sz w:val="20"/>
          <w:szCs w:val="20"/>
          <w:color w:val="auto"/>
        </w:rPr>
      </w:pPr>
    </w:p>
    <w:p>
      <w:pPr>
        <w:sectPr>
          <w:pgSz w:w="11900" w:h="16838" w:orient="portrait"/>
          <w:cols w:equalWidth="0" w:num="2">
            <w:col w:w="8120" w:space="720"/>
            <w:col w:w="2440"/>
          </w:cols>
          <w:pgMar w:left="320" w:top="675" w:right="299" w:bottom="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r>
      <w:tr>
        <w:trPr>
          <w:trHeight w:val="25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r>
      <w:tr>
        <w:trPr>
          <w:trHeight w:val="20"/>
        </w:trPr>
        <w:tc>
          <w:tcPr>
            <w:tcW w:w="7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80"/>
          </w:cols>
          <w:pgMar w:left="320" w:top="675" w:right="299" w:bottom="0" w:gutter="0" w:footer="0" w:header="0"/>
          <w:type w:val="continuous"/>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80"/>
          </w:cols>
          <w:pgMar w:left="320" w:top="675" w:right="299"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460"/>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financing costs and debt discounts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 in deferred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Changes in derivative instruments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asset components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Cash provided by (used in) changes in other working 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prepaid and accrued capacity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Changes in other working capital</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Partnership interest acquisition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Buyout of Wind TE Holdco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Cash receipts from notes receivable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HSD Solar Holdings, LLC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distributions and return of capital to NRG prior to the acquisition of Drop Down Assets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of dividends and distributions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for the revolving credit facility</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498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Interest paid, net of amount capitalized</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(Reductions) Additions to fixed assets for accrued capital expenditures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color w:val="auto"/>
              </w:rPr>
              <w:t>22</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adjustment for change in tax basis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8"/>
        </w:trPr>
        <w:tc>
          <w:tcPr>
            <w:tcW w:w="8120" w:type="dxa"/>
            <w:vAlign w:val="bottom"/>
          </w:tcPr>
          <w:p>
            <w:pPr>
              <w:ind w:left="280"/>
              <w:spacing w:after="0"/>
              <w:rPr>
                <w:sz w:val="20"/>
                <w:szCs w:val="20"/>
                <w:color w:val="auto"/>
              </w:rPr>
            </w:pPr>
            <w:r>
              <w:rPr>
                <w:rFonts w:ascii="Arial" w:cs="Arial" w:eastAsia="Arial" w:hAnsi="Arial"/>
                <w:sz w:val="14"/>
                <w:szCs w:val="14"/>
                <w:color w:val="auto"/>
              </w:rPr>
              <w:t>Non-cash contributions from CEG, NRG, net of distributions</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200" w:lineRule="exact"/>
        <w:rPr>
          <w:sz w:val="20"/>
          <w:szCs w:val="20"/>
          <w:color w:val="auto"/>
        </w:rPr>
      </w:pPr>
    </w:p>
    <w:p>
      <w:pPr>
        <w:sectPr>
          <w:pgSz w:w="11900" w:h="16838" w:orient="portrait"/>
          <w:cols w:equalWidth="0" w:num="1">
            <w:col w:w="11420"/>
          </w:cols>
          <w:pgMar w:left="240" w:top="675" w:right="239" w:bottom="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675" w:right="239"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019"/>
          </w:cols>
          <w:pgMar w:left="1440" w:top="125"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42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2,624</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Pre-acquisition net loss of acquired Drop Down Assets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Unrealized (loss) gain on derivatives,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Cumulative effect of change in accounting principle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Payments for the March 2017, August 2017 and November 2017 Drop</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97"/>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Down Assets</w:t>
            </w: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August 2017 Drop Down Assets contingent consideration</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8"/>
              </w:rPr>
              <w:t>Distributions and returns of capital to NRG, net of contributions, cash</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Contributions from NRG, net of distributions, non-cash</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Capital contributions from tax equity investors, cash</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Non-cash adjustment for change in tax basis of property, plant and</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97"/>
        </w:trPr>
        <w:tc>
          <w:tcPr>
            <w:tcW w:w="4240" w:type="dxa"/>
            <w:vAlign w:val="bottom"/>
            <w:vMerge w:val="restart"/>
          </w:tcPr>
          <w:p>
            <w:pPr>
              <w:ind w:left="4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dividends</w:t>
            </w: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11"/>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Pre-acquisition net loss of acquired Drop Down Assets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Unrealized gain on derivatives,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Cumulative effect of change in accounting principle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Payments for the Buckthorn Solar Drop Down Asset and UPMC</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Equity component of tendered 2020 Convertible Notes and 2019</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97"/>
        </w:trPr>
        <w:tc>
          <w:tcPr>
            <w:tcW w:w="4240" w:type="dxa"/>
            <w:vAlign w:val="bottom"/>
            <w:vMerge w:val="restart"/>
          </w:tcPr>
          <w:p>
            <w:pPr>
              <w:ind w:left="40"/>
              <w:spacing w:after="0"/>
              <w:rPr>
                <w:sz w:val="20"/>
                <w:szCs w:val="20"/>
                <w:color w:val="auto"/>
              </w:rPr>
            </w:pPr>
            <w:r>
              <w:rPr>
                <w:rFonts w:ascii="Arial" w:cs="Arial" w:eastAsia="Arial" w:hAnsi="Arial"/>
                <w:sz w:val="14"/>
                <w:szCs w:val="14"/>
                <w:color w:val="auto"/>
              </w:rPr>
              <w:t>Convertible Notes</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contributions from tax equity investors, net of distributions,</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97"/>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w w:val="99"/>
              </w:rPr>
              <w:t>Distributions and return of capital to NRG, net of contributions, cash</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w w:val="98"/>
              </w:rPr>
              <w:t>Distributions and return of capital to NRG, net of contributions, non-</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97"/>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Non-cash adjustment for change in tax basis of property, plant and</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97"/>
        </w:trPr>
        <w:tc>
          <w:tcPr>
            <w:tcW w:w="4240" w:type="dxa"/>
            <w:vAlign w:val="bottom"/>
            <w:vMerge w:val="restart"/>
          </w:tcPr>
          <w:p>
            <w:pPr>
              <w:ind w:left="4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Common stock dividends</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11"/>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1,897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2,224</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Unrealized gain on derivatives, net of tax</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Buyout of Wind TE Holdco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Carlsbad Drop Down</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tax equity interests, net of distributions, cash</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Distributions to CEG, net of contributions, cash</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change in the accounting principle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Contributions from CEG net of distributions, non-cash</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adjustment for change in tax basis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Common stock dividends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53"/>
        </w:trPr>
        <w:tc>
          <w:tcPr>
            <w:tcW w:w="4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675" w:right="239" w:bottom="1440" w:gutter="0" w:footer="0" w:header="0"/>
          <w:type w:val="continuous"/>
        </w:sectPr>
      </w:pPr>
    </w:p>
    <w:bookmarkStart w:id="85" w:name="page86"/>
    <w:bookmarkEnd w:id="85"/>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733"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9019"/>
          </w:cols>
          <w:pgMar w:left="1440" w:top="733" w:right="1440"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Clearway Energy,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GIP, referred to hereinafter as the GIP Transaction. As a result of the GIP Transaction, GIP indirectly acquired a 45.2% economic interest in Clearway Energy LLC and a 55% voting interest in the Company. GIP is an independent fund manager that invests in infrastructure assets in energy and transport sectors. The Company is sponsored by GIP through its portfolio company, CEG.</w:t>
      </w:r>
    </w:p>
    <w:p>
      <w:pPr>
        <w:spacing w:after="0" w:line="12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5,875</w:t>
      </w:r>
      <w:r>
        <w:rPr>
          <w:rFonts w:ascii="Arial" w:cs="Arial" w:eastAsia="Arial" w:hAnsi="Arial"/>
          <w:sz w:val="16"/>
          <w:szCs w:val="16"/>
          <w:color w:val="auto"/>
        </w:rPr>
        <w:t xml:space="preserve">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w:t>
      </w:r>
      <w:r>
        <w:rPr>
          <w:rFonts w:ascii="Arial" w:cs="Arial" w:eastAsia="Arial" w:hAnsi="Arial"/>
          <w:sz w:val="16"/>
          <w:szCs w:val="16"/>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6"/>
          <w:szCs w:val="16"/>
          <w:color w:val="231F20"/>
        </w:rPr>
        <w:t>13 years as of</w:t>
      </w:r>
      <w:r>
        <w:rPr>
          <w:rFonts w:ascii="Arial" w:cs="Arial" w:eastAsia="Arial" w:hAnsi="Arial"/>
          <w:sz w:val="16"/>
          <w:szCs w:val="16"/>
          <w:color w:val="auto"/>
        </w:rPr>
        <w:t xml:space="preserve"> December 31, 2019 </w:t>
      </w:r>
      <w:r>
        <w:rPr>
          <w:rFonts w:ascii="Arial" w:cs="Arial" w:eastAsia="Arial" w:hAnsi="Arial"/>
          <w:sz w:val="16"/>
          <w:szCs w:val="16"/>
          <w:color w:val="231F20"/>
        </w:rPr>
        <w:t>based on CAFD. The Company also owns thermal</w:t>
      </w:r>
      <w:r>
        <w:rPr>
          <w:rFonts w:ascii="Arial" w:cs="Arial" w:eastAsia="Arial" w:hAnsi="Arial"/>
          <w:sz w:val="16"/>
          <w:szCs w:val="16"/>
          <w:color w:val="auto"/>
        </w:rPr>
        <w:t xml:space="preserve"> </w:t>
      </w:r>
      <w:r>
        <w:rPr>
          <w:rFonts w:ascii="Arial" w:cs="Arial" w:eastAsia="Arial" w:hAnsi="Arial"/>
          <w:sz w:val="16"/>
          <w:szCs w:val="16"/>
          <w:color w:val="231F20"/>
        </w:rPr>
        <w:t>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1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a result of the Class C common stock issuance in December of 2019, the Company owns 57.01% of the economic interests of Clearway Energy LLC, with CEG retaining 42.99% of the economic interests of Clearway Energy LLC as of December 31, 2019. For further discussion, 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12, </w:t>
      </w:r>
      <w:r>
        <w:rPr>
          <w:rFonts w:ascii="Arial" w:cs="Arial" w:eastAsia="Arial" w:hAnsi="Arial"/>
          <w:sz w:val="18"/>
          <w:szCs w:val="18"/>
          <w:i w:val="1"/>
          <w:iCs w:val="1"/>
          <w:color w:val="auto"/>
        </w:rPr>
        <w:t>Stockholders' Equity.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75" w:right="239" w:bottom="1440" w:gutter="0" w:footer="0" w:header="0"/>
        </w:sectPr>
      </w:pPr>
    </w:p>
    <w:bookmarkStart w:id="87" w:name="page88"/>
    <w:bookmarkEnd w:id="87"/>
    <w:p>
      <w:pPr>
        <w:ind w:left="420"/>
        <w:spacing w:after="0"/>
        <w:rPr>
          <w:sz w:val="20"/>
          <w:szCs w:val="20"/>
          <w:color w:val="auto"/>
        </w:rPr>
      </w:pPr>
      <w:r>
        <w:rPr>
          <w:rFonts w:ascii="Arial" w:cs="Arial" w:eastAsia="Arial" w:hAnsi="Arial"/>
          <w:sz w:val="18"/>
          <w:szCs w:val="18"/>
          <w:color w:val="auto"/>
        </w:rPr>
        <w:t>The following table represents the structure of the Company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48895</wp:posOffset>
            </wp:positionV>
            <wp:extent cx="5848985" cy="4391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PG&amp;E Bankruptcy</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2019, the Company had $177 million in restricted cash, $1.4 billion of property, plant and equipment, net, $370 million investments in unconsolidated affiliates and $1.2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w:t>
      </w:r>
    </w:p>
    <w:p>
      <w:pPr>
        <w:spacing w:after="0" w:line="12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79"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left="80" w:firstLine="486"/>
        <w:spacing w:after="0" w:line="272" w:lineRule="auto"/>
        <w:rPr>
          <w:sz w:val="20"/>
          <w:szCs w:val="20"/>
          <w:color w:val="auto"/>
        </w:rPr>
      </w:pPr>
      <w:r>
        <w:rPr>
          <w:rFonts w:ascii="Arial" w:cs="Arial" w:eastAsia="Arial" w:hAnsi="Arial"/>
          <w:sz w:val="17"/>
          <w:szCs w:val="17"/>
          <w:color w:val="auto"/>
        </w:rPr>
        <w:t>As a result of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The Company incurred approximately $1.5 million of expense related to the NRG TSA during the year ended December 31, 2019, which was recorded in transaction and integration costs in the consolidated statements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$125 million and $109 million as of December 31, 2019 and 2018,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360" w:type="dxa"/>
            <w:vAlign w:val="bottom"/>
            <w:tcBorders>
              <w:bottom w:val="single" w:sz="8" w:color="auto"/>
            </w:tcBorders>
            <w:gridSpan w:val="4"/>
          </w:tcPr>
          <w:p>
            <w:pPr>
              <w:jc w:val="center"/>
              <w:ind w:left="422"/>
              <w:spacing w:after="0"/>
              <w:rPr>
                <w:sz w:val="20"/>
                <w:szCs w:val="20"/>
                <w:color w:val="auto"/>
              </w:rPr>
            </w:pPr>
            <w:r>
              <w:rPr>
                <w:rFonts w:ascii="Arial" w:cs="Arial" w:eastAsia="Arial" w:hAnsi="Arial"/>
                <w:sz w:val="14"/>
                <w:szCs w:val="14"/>
                <w:b w:val="1"/>
                <w:bCs w:val="1"/>
                <w:color w:val="auto"/>
                <w:w w:val="92"/>
              </w:rPr>
              <w:t>Year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196"/>
        </w:trPr>
        <w:tc>
          <w:tcPr>
            <w:tcW w:w="8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90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shown in the statements of cash flows</w:t>
            </w:r>
          </w:p>
        </w:tc>
        <w:tc>
          <w:tcPr>
            <w:tcW w:w="9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0"/>
        </w:trPr>
        <w:tc>
          <w:tcPr>
            <w:tcW w:w="8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December 31, 2019, these restricted funds comprised of $129 million designated to fund operating expenses, approximately $24 million designated for current debt service payments, and $30 million restricted for reserves including debt service, performance obligations and other reserves, as well as capital expenditures. The remaining $79 million is held in distributions reserve accounts, of which $58 million related to subsidiaries affected by the PG&amp;E Bankruptcy as discussed further below and may not be distributed during the pendency of the bankruptcy. Such subsidiaries had a total of $177 million in restricted cash as of December 31, 2019.</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On January 29, 2019, PG&amp;E filed for reorganization under Chapter 11 of the U.S. Bankruptcy Code. The Company has non-recourse project-level debt related to each of its subsidiaries that sell their output to PG&amp;E under long-term PPAs. The PG&amp;E Bankruptcy filing is an event of default under the related financing agreements. As of December 31, 2019, all project level cash balances for these subsidiaries were classified as restricted cash.</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79"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Accounts Receivable — Trade and Allowance for Doubtful Accounts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Accounts receivable— trade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2019 and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to the Consolidated Financial Statements.</w:t>
      </w:r>
    </w:p>
    <w:p>
      <w:pPr>
        <w:spacing w:after="0" w:line="1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Long-lived assets that are held and used are reviewed for impairment whenever events or changes in circumstances indicate their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9, </w:t>
      </w:r>
      <w:r>
        <w:rPr>
          <w:rFonts w:ascii="Arial" w:cs="Arial" w:eastAsia="Arial" w:hAnsi="Arial"/>
          <w:sz w:val="17"/>
          <w:szCs w:val="17"/>
          <w:i w:val="1"/>
          <w:iCs w:val="1"/>
          <w:color w:val="auto"/>
        </w:rPr>
        <w:t>Asset Impairments,</w:t>
      </w:r>
      <w:r>
        <w:rPr>
          <w:rFonts w:ascii="Arial" w:cs="Arial" w:eastAsia="Arial" w:hAnsi="Arial"/>
          <w:sz w:val="17"/>
          <w:szCs w:val="17"/>
          <w:color w:val="auto"/>
        </w:rPr>
        <w:t xml:space="preserve"> to the Consolidated Financial Statements.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7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Revenues</w:t>
      </w:r>
    </w:p>
    <w:p>
      <w:pPr>
        <w:spacing w:after="0" w:line="212"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1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2019, 2018 and 2017 was $537 million, $583 million and $559 million, respectively. See Note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 related to the Company's PPAs accounted for as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Credits, or RECs</w:t>
      </w:r>
    </w:p>
    <w:p>
      <w:pPr>
        <w:spacing w:after="0" w:line="2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79"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2019, along with the reportable segment for each category:</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6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4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80" w:type="dxa"/>
            <w:vAlign w:val="bottom"/>
          </w:tcPr>
          <w:p>
            <w:pPr>
              <w:ind w:left="2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3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4"/>
                <w:szCs w:val="24"/>
                <w:color w:val="auto"/>
              </w:rPr>
            </w:pP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78"/>
        </w:trPr>
        <w:tc>
          <w:tcPr>
            <w:tcW w:w="61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8"/>
        </w:trPr>
        <w:tc>
          <w:tcPr>
            <w:tcW w:w="618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78"/>
        </w:trPr>
        <w:tc>
          <w:tcPr>
            <w:tcW w:w="618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200" w:type="dxa"/>
            <w:vAlign w:val="bottom"/>
          </w:tcPr>
          <w:p>
            <w:pPr>
              <w:spacing w:after="0"/>
              <w:rPr>
                <w:sz w:val="24"/>
                <w:szCs w:val="24"/>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44"/>
        </w:trPr>
        <w:tc>
          <w:tcPr>
            <w:tcW w:w="6180" w:type="dxa"/>
            <w:vAlign w:val="bottom"/>
          </w:tcPr>
          <w:p>
            <w:pPr>
              <w:ind w:left="280"/>
              <w:spacing w:after="0"/>
              <w:rPr>
                <w:sz w:val="20"/>
                <w:szCs w:val="20"/>
                <w:color w:val="auto"/>
              </w:rPr>
            </w:pPr>
            <w:r>
              <w:rPr>
                <w:rFonts w:ascii="Arial" w:cs="Arial" w:eastAsia="Arial" w:hAnsi="Arial"/>
                <w:sz w:val="16"/>
                <w:szCs w:val="16"/>
                <w:color w:val="auto"/>
              </w:rPr>
              <w:t>Total revenue from contracts with customers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 xml:space="preserve">See </w:t>
      </w:r>
      <w:r>
        <w:rPr>
          <w:rFonts w:ascii="Arial" w:cs="Arial" w:eastAsia="Arial" w:hAnsi="Arial"/>
          <w:sz w:val="14"/>
          <w:szCs w:val="14"/>
          <w:color w:val="auto"/>
        </w:rPr>
        <w:t>Note 17,</w:t>
      </w:r>
      <w:r>
        <w:rPr>
          <w:rFonts w:ascii="Arial" w:cs="Arial" w:eastAsia="Arial" w:hAnsi="Arial"/>
          <w:sz w:val="15"/>
          <w:szCs w:val="15"/>
          <w:color w:val="auto"/>
        </w:rPr>
        <w:t xml:space="preserve"> </w:t>
      </w:r>
      <w:r>
        <w:rPr>
          <w:rFonts w:ascii="Arial" w:cs="Arial" w:eastAsia="Arial" w:hAnsi="Arial"/>
          <w:sz w:val="14"/>
          <w:szCs w:val="14"/>
          <w:i w:val="1"/>
          <w:iCs w:val="1"/>
          <w:color w:val="auto"/>
        </w:rPr>
        <w:t>Leases</w:t>
      </w:r>
      <w:r>
        <w:rPr>
          <w:rFonts w:ascii="Arial" w:cs="Arial" w:eastAsia="Arial" w:hAnsi="Arial"/>
          <w:sz w:val="15"/>
          <w:szCs w:val="15"/>
          <w:color w:val="auto"/>
        </w:rPr>
        <w:t xml:space="preserve"> for the </w:t>
      </w:r>
      <w:r>
        <w:rPr>
          <w:rFonts w:ascii="Arial" w:cs="Arial" w:eastAsia="Arial" w:hAnsi="Arial"/>
          <w:sz w:val="14"/>
          <w:szCs w:val="14"/>
          <w:color w:val="auto"/>
        </w:rPr>
        <w:t>amounts of energy and capacity revenue that relate to leases and are accounted for under ASC 842.</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2018, along with the reportable segment for each category:</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60" w:type="dxa"/>
            <w:vAlign w:val="bottom"/>
            <w:tcBorders>
              <w:top w:val="single" w:sz="8" w:color="auto"/>
            </w:tcBorders>
          </w:tcPr>
          <w:p>
            <w:pPr>
              <w:spacing w:after="0"/>
              <w:rPr>
                <w:sz w:val="11"/>
                <w:szCs w:val="11"/>
                <w:color w:val="auto"/>
              </w:rPr>
            </w:pPr>
          </w:p>
        </w:tc>
        <w:tc>
          <w:tcPr>
            <w:tcW w:w="4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60" w:type="dxa"/>
            <w:vAlign w:val="bottom"/>
          </w:tcPr>
          <w:p>
            <w:pPr>
              <w:ind w:left="2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31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4"/>
                <w:szCs w:val="24"/>
                <w:color w:val="auto"/>
              </w:rPr>
            </w:pP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78"/>
        </w:trPr>
        <w:tc>
          <w:tcPr>
            <w:tcW w:w="61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1"/>
        </w:trPr>
        <w:tc>
          <w:tcPr>
            <w:tcW w:w="6160" w:type="dxa"/>
            <w:vAlign w:val="bottom"/>
          </w:tcPr>
          <w:p>
            <w:pPr>
              <w:ind w:left="20"/>
              <w:spacing w:after="0"/>
              <w:rPr>
                <w:sz w:val="20"/>
                <w:szCs w:val="20"/>
                <w:color w:val="auto"/>
              </w:rPr>
            </w:pPr>
            <w:r>
              <w:rPr>
                <w:rFonts w:ascii="Arial" w:cs="Arial" w:eastAsia="Arial" w:hAnsi="Arial"/>
                <w:sz w:val="16"/>
                <w:szCs w:val="16"/>
                <w:color w:val="auto"/>
              </w:rPr>
              <w:t>Total operating revenue</w:t>
            </w: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Lease revenue</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78"/>
        </w:trPr>
        <w:tc>
          <w:tcPr>
            <w:tcW w:w="6160" w:type="dxa"/>
            <w:vAlign w:val="bottom"/>
          </w:tcPr>
          <w:p>
            <w:pPr>
              <w:ind w:left="20"/>
              <w:spacing w:after="0"/>
              <w:rPr>
                <w:sz w:val="20"/>
                <w:szCs w:val="20"/>
                <w:color w:val="auto"/>
              </w:rPr>
            </w:pPr>
            <w:r>
              <w:rPr>
                <w:rFonts w:ascii="Arial" w:cs="Arial" w:eastAsia="Arial" w:hAnsi="Arial"/>
                <w:sz w:val="16"/>
                <w:szCs w:val="16"/>
                <w:color w:val="auto"/>
              </w:rPr>
              <w:t>Less: Contract amortization</w:t>
            </w:r>
          </w:p>
        </w:tc>
        <w:tc>
          <w:tcPr>
            <w:tcW w:w="200" w:type="dxa"/>
            <w:vAlign w:val="bottom"/>
          </w:tcPr>
          <w:p>
            <w:pPr>
              <w:spacing w:after="0"/>
              <w:rPr>
                <w:sz w:val="24"/>
                <w:szCs w:val="24"/>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revenue from contracts with customers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3"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4"/>
          <w:szCs w:val="14"/>
          <w:color w:val="auto"/>
        </w:rPr>
        <w:t xml:space="preserve">See Note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the amounts of energy and capacity revenue that relate to leases and are accounted for under ASC 840.</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December 31, 2019:</w:t>
      </w:r>
    </w:p>
    <w:p>
      <w:pPr>
        <w:spacing w:after="0" w:line="352"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380" w:type="dxa"/>
            <w:vAlign w:val="bottom"/>
          </w:tcPr>
          <w:p>
            <w:pPr>
              <w:jc w:val="right"/>
              <w:ind w:right="121"/>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Pr>
          <w:p>
            <w:pPr>
              <w:spacing w:after="0"/>
              <w:rPr>
                <w:sz w:val="16"/>
                <w:szCs w:val="16"/>
                <w:color w:val="auto"/>
              </w:rPr>
            </w:pPr>
          </w:p>
        </w:tc>
        <w:tc>
          <w:tcPr>
            <w:tcW w:w="1360" w:type="dxa"/>
            <w:vAlign w:val="bottom"/>
          </w:tcPr>
          <w:p>
            <w:pPr>
              <w:jc w:val="right"/>
              <w:ind w:right="101"/>
              <w:spacing w:after="0"/>
              <w:rPr>
                <w:sz w:val="20"/>
                <w:szCs w:val="20"/>
                <w:color w:val="auto"/>
              </w:rPr>
            </w:pPr>
            <w:r>
              <w:rPr>
                <w:rFonts w:ascii="Arial" w:cs="Arial" w:eastAsia="Arial" w:hAnsi="Arial"/>
                <w:sz w:val="14"/>
                <w:szCs w:val="14"/>
                <w:b w:val="1"/>
                <w:bCs w:val="1"/>
                <w:color w:val="auto"/>
                <w:w w:val="91"/>
              </w:rPr>
              <w:t>December 31, 2018</w:t>
            </w:r>
          </w:p>
        </w:tc>
      </w:tr>
      <w:tr>
        <w:trPr>
          <w:trHeight w:val="249"/>
        </w:trPr>
        <w:tc>
          <w:tcPr>
            <w:tcW w:w="6900" w:type="dxa"/>
            <w:vAlign w:val="bottom"/>
          </w:tcPr>
          <w:p>
            <w:pPr>
              <w:ind w:left="20"/>
              <w:spacing w:after="0"/>
              <w:rPr>
                <w:sz w:val="20"/>
                <w:szCs w:val="20"/>
                <w:color w:val="auto"/>
              </w:rPr>
            </w:pPr>
            <w:r>
              <w:rPr>
                <w:rFonts w:ascii="Arial" w:cs="Arial" w:eastAsia="Arial" w:hAnsi="Arial"/>
                <w:sz w:val="16"/>
                <w:szCs w:val="16"/>
                <w:color w:val="auto"/>
              </w:rPr>
              <w:t>Accounts receivable, net - Contracts with customers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35</w:t>
            </w:r>
          </w:p>
        </w:tc>
      </w:tr>
      <w:tr>
        <w:trPr>
          <w:trHeight w:val="33"/>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 - Leases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r>
      <w:tr>
        <w:trPr>
          <w:trHeight w:val="257"/>
        </w:trPr>
        <w:tc>
          <w:tcPr>
            <w:tcW w:w="6900" w:type="dxa"/>
            <w:vAlign w:val="bottom"/>
          </w:tcPr>
          <w:p>
            <w:pPr>
              <w:ind w:left="20"/>
              <w:spacing w:after="0"/>
              <w:rPr>
                <w:sz w:val="20"/>
                <w:szCs w:val="20"/>
                <w:color w:val="auto"/>
              </w:rPr>
            </w:pPr>
            <w:r>
              <w:rPr>
                <w:rFonts w:ascii="Arial" w:cs="Arial" w:eastAsia="Arial" w:hAnsi="Arial"/>
                <w:sz w:val="16"/>
                <w:szCs w:val="16"/>
                <w:color w:val="auto"/>
              </w:rPr>
              <w:t>Total 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w:t>
            </w: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733" w:right="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Company accounts for derivative financial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1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7"/>
          <w:szCs w:val="17"/>
          <w:i w:val="1"/>
          <w:iCs w:val="1"/>
          <w:color w:val="auto"/>
        </w:rPr>
        <w:t>Risks related to the PG&amp;E Bankruptcy,</w:t>
      </w:r>
      <w:r>
        <w:rPr>
          <w:rFonts w:ascii="Arial" w:cs="Arial" w:eastAsia="Arial" w:hAnsi="Arial"/>
          <w:sz w:val="17"/>
          <w:szCs w:val="17"/>
          <w:color w:val="auto"/>
        </w:rPr>
        <w:t xml:space="preserve"> for a discussion on the Company’s dependence on major customers</w:t>
      </w:r>
      <w:r>
        <w:rPr>
          <w:rFonts w:ascii="Arial" w:cs="Arial" w:eastAsia="Arial" w:hAnsi="Arial"/>
          <w:sz w:val="17"/>
          <w:szCs w:val="17"/>
          <w:color w:val="1F497D"/>
        </w:rPr>
        <w:t>.</w:t>
      </w:r>
      <w:r>
        <w:rPr>
          <w:rFonts w:ascii="Arial" w:cs="Arial" w:eastAsia="Arial" w:hAnsi="Arial"/>
          <w:sz w:val="17"/>
          <w:szCs w:val="17"/>
          <w:color w:val="auto"/>
        </w:rPr>
        <w:t xml:space="preserv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13, </w:t>
      </w:r>
      <w:r>
        <w:rPr>
          <w:rFonts w:ascii="Arial" w:cs="Arial" w:eastAsia="Arial" w:hAnsi="Arial"/>
          <w:sz w:val="17"/>
          <w:szCs w:val="17"/>
          <w:i w:val="1"/>
          <w:iCs w:val="1"/>
          <w:color w:val="auto"/>
        </w:rPr>
        <w:t>Segment Reporting</w:t>
      </w:r>
      <w:r>
        <w:rPr>
          <w:rFonts w:ascii="Arial" w:cs="Arial" w:eastAsia="Arial" w:hAnsi="Arial"/>
          <w:sz w:val="17"/>
          <w:szCs w:val="17"/>
          <w:color w:val="auto"/>
        </w:rPr>
        <w:t>, for concentration of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fair value of financial instruments.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79"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6"/>
          <w:szCs w:val="16"/>
          <w:color w:val="auto"/>
        </w:rPr>
        <w:t>The following table represents the balance of ARO obligations as of December 31, 2019 and 2018, along with the additions and accretion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ARO obligations for the year ended December 31,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9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Revisions in estimates for current obligations/Additions</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 expense</w:t>
            </w: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2019</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9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79"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Company accounts for its stock-based compensation in accordance with ASC 718, </w:t>
      </w:r>
      <w:r>
        <w:rPr>
          <w:rFonts w:ascii="Arial" w:cs="Arial" w:eastAsia="Arial" w:hAnsi="Arial"/>
          <w:sz w:val="16"/>
          <w:szCs w:val="16"/>
          <w:i w:val="1"/>
          <w:iCs w:val="1"/>
          <w:color w:val="auto"/>
        </w:rPr>
        <w:t>Compensation — Stoc</w:t>
      </w:r>
      <w:r>
        <w:rPr>
          <w:rFonts w:ascii="Arial" w:cs="Arial" w:eastAsia="Arial" w:hAnsi="Arial"/>
          <w:sz w:val="16"/>
          <w:szCs w:val="16"/>
          <w:color w:val="auto"/>
        </w:rPr>
        <w:t xml:space="preserve">k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or ASC 718. The fair value of the Company's relative performance stock units, or RPSUs, are estimated on the date of grant using the Monte Carlo valuation model. The Company uses the Class A and Class C common stock price on the date of grant as the fair value of the Company's restricted stock units, or RSUs.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The Company incurred total stock compensation expense of $4 million and $3 million for the years ended December 31, 2019 and December 31, 2018, respectively, which was primarily recorded in general and administrative expense on the Company's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accounts for income taxes using the liability method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which requires that the Company use the asset and liability method of accounting for deferred income taxes and provide deferred income taxes for all significant temporary differences.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two categories of income tax expense or benefit — current and deferred, as follows:</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income tax expense or benefit consists solely of current taxes payable less applicable tax credits,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Deferred income tax expense or benefit is the change in the net deferred income tax asset or liability, excluding amounts charged or credited to accumulated other comprehensive income.</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including the impact of the Tax Cuts and Jobs Act, the Company considered the profit before tax generated in recent years. A valuation allowance is recorded to reduce the net deferred tax assets to an amount that is more-likely-than-not to be realized.</w:t>
      </w:r>
    </w:p>
    <w:p>
      <w:pPr>
        <w:spacing w:after="0" w:line="11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 The Company recognizes interest and penalties accrued related to uncertain tax benefits as a component of income tax expense.</w:t>
      </w:r>
    </w:p>
    <w:p>
      <w:pPr>
        <w:spacing w:after="0" w:line="96"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color w:val="auto"/>
        </w:rPr>
        <w:t xml:space="preserve">In accordance with ASC 740 and as discussed further in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14, </w:t>
      </w:r>
      <w:r>
        <w:rPr>
          <w:rFonts w:ascii="Arial" w:cs="Arial" w:eastAsia="Arial" w:hAnsi="Arial"/>
          <w:sz w:val="18"/>
          <w:szCs w:val="18"/>
          <w:i w:val="1"/>
          <w:iCs w:val="1"/>
          <w:color w:val="auto"/>
        </w:rPr>
        <w:t>Income Taxes</w:t>
      </w:r>
      <w:r>
        <w:rPr>
          <w:rFonts w:ascii="Arial" w:cs="Arial" w:eastAsia="Arial" w:hAnsi="Arial"/>
          <w:sz w:val="18"/>
          <w:szCs w:val="18"/>
          <w:color w:val="auto"/>
        </w:rPr>
        <w:t>, changes to existing net deferred tax assets, valuation allowances, or changes to uncertain tax benefits, are recorded to income tax expense.</w:t>
      </w:r>
    </w:p>
    <w:p>
      <w:pPr>
        <w:spacing w:after="0" w:line="11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Prior to the GIP Transaction, the Company was included in certain NRG consolidated unitary tax return filings which was reflected in the state effective tax rate. For tax returns filed during December 31, 2019, NRG allocated $22 million to the Company in tax-effected state NOLs, driven primarily from losses generated by NRG after the GIP Transaction. The Company expects to be able to utilize these NOLs in future periods.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Following the GIP Transaction, the Company files under a separate standalone methodology, resulting in a higher state effective tax rate due to a larger percentage of activity allocated to high-tax jurisdictions.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79"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accounts for its business combinations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business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CEG with the offset to noncontrolling interest. Transaction costs are expensed as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that are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79"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Recent Accounting Developments - Adopted in 2019</w:t>
      </w:r>
    </w:p>
    <w:p>
      <w:pPr>
        <w:spacing w:after="0" w:line="171"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i w:val="1"/>
          <w:iCs w:val="1"/>
          <w:color w:val="auto"/>
        </w:rPr>
        <w:t xml:space="preserve">ASU 2016-02 </w:t>
      </w:r>
      <w:r>
        <w:rPr>
          <w:rFonts w:ascii="Arial" w:cs="Arial" w:eastAsia="Arial" w:hAnsi="Arial"/>
          <w:sz w:val="18"/>
          <w:szCs w:val="18"/>
          <w:color w:val="auto"/>
        </w:rPr>
        <w:t>— 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or Topic 842, as amended, with the objective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w:t>
      </w:r>
    </w:p>
    <w:p>
      <w:pPr>
        <w:spacing w:after="0" w:line="134"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 xml:space="preserve">As further described in Note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Company adopted the standard effective January 1, 2019 using the modified retrospective transition method and will not restate prior periods for the impact of Topic 842.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0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Carlsbad Drop Down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December 6, 2019, the Company acquired 100% of GIP's membership interests in CBAD Holdings, LLC, which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owns Carlsbad Energy Center LLC, a 527 megawatt natural gas fired power project located in Carlsbad, California, or the Carlsbad Drop Down Asset. The project has a 20-year power purchase and tolling agreement with San Diego Gas and Electric Company, which expires in 2038. The purchase price for the Carlsbad Drop Down was $184 million in cash, plus assumption of $803 million in project level financing including non-recourse senior notes, as further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acquisition was funded with proceeds from the Clearway Energy, Inc. equity issuance, as described in Note 12, </w:t>
      </w:r>
      <w:r>
        <w:rPr>
          <w:rFonts w:ascii="Arial" w:cs="Arial" w:eastAsia="Arial" w:hAnsi="Arial"/>
          <w:sz w:val="16"/>
          <w:szCs w:val="16"/>
          <w:i w:val="1"/>
          <w:iCs w:val="1"/>
          <w:color w:val="auto"/>
        </w:rPr>
        <w:t xml:space="preserve">Stockholders' Equity, </w:t>
      </w:r>
      <w:r>
        <w:rPr>
          <w:rFonts w:ascii="Arial" w:cs="Arial" w:eastAsia="Arial" w:hAnsi="Arial"/>
          <w:sz w:val="16"/>
          <w:szCs w:val="16"/>
          <w:color w:val="auto"/>
        </w:rPr>
        <w:t>as well as borrowings from the Company's revolving credit facility. The Carlsbad acquisition is the result of the Company having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elected its option to purchase Carlsbad pursuant to the ROFO agreement, as amended, by and among the Company, CEG and GIP. The transaction is reflected in the Company's Conventional segment.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the historical value of the entities' equity was recorded as a distribution to GIP and decreased the balance of its noncontrolling interest. The acquisition was determined to be an asset acquisition and not a business combination, therefore no recast of the historical financial information was deemed necessary.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6,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7"/>
              </w:rPr>
              <w:t>CBAD Holdings, LLC</w:t>
            </w:r>
          </w:p>
        </w:tc>
      </w:tr>
      <w:tr>
        <w:trPr>
          <w:trHeight w:val="264"/>
        </w:trPr>
        <w:tc>
          <w:tcPr>
            <w:tcW w:w="85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5"/>
              </w:rPr>
              <w:t>(In millions)</w:t>
            </w:r>
          </w:p>
        </w:tc>
      </w:tr>
      <w:tr>
        <w:trPr>
          <w:trHeight w:val="33"/>
        </w:trPr>
        <w:tc>
          <w:tcPr>
            <w:tcW w:w="85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572</w:t>
            </w:r>
          </w:p>
        </w:tc>
      </w:tr>
      <w:tr>
        <w:trPr>
          <w:trHeight w:val="27"/>
        </w:trPr>
        <w:tc>
          <w:tcPr>
            <w:tcW w:w="85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7"/>
        </w:trPr>
        <w:tc>
          <w:tcPr>
            <w:tcW w:w="858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996</w:t>
            </w:r>
          </w:p>
        </w:tc>
      </w:tr>
      <w:tr>
        <w:trPr>
          <w:trHeight w:val="318"/>
        </w:trPr>
        <w:tc>
          <w:tcPr>
            <w:tcW w:w="85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(a)</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791</w:t>
            </w:r>
          </w:p>
        </w:tc>
      </w:tr>
      <w:tr>
        <w:trPr>
          <w:trHeight w:val="270"/>
        </w:trPr>
        <w:tc>
          <w:tcPr>
            <w:tcW w:w="8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5"/>
                <w:szCs w:val="25"/>
                <w:color w:val="auto"/>
                <w:vertAlign w:val="superscript"/>
              </w:rPr>
              <w:t>(b)</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w:t>
            </w: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847</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$149</w:t>
            </w:r>
          </w:p>
        </w:tc>
      </w:tr>
      <w:tr>
        <w:trPr>
          <w:trHeight w:val="20"/>
        </w:trPr>
        <w:tc>
          <w:tcPr>
            <w:tcW w:w="858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8"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23"/>
          <w:szCs w:val="23"/>
          <w:color w:val="auto"/>
          <w:vertAlign w:val="superscript"/>
        </w:rPr>
      </w:pPr>
      <w:r>
        <w:rPr>
          <w:rFonts w:ascii="Arial" w:cs="Arial" w:eastAsia="Arial" w:hAnsi="Arial"/>
          <w:sz w:val="13"/>
          <w:szCs w:val="13"/>
          <w:color w:val="auto"/>
        </w:rPr>
        <w:t>Excludes net debt issuance costs of $12 million.</w:t>
      </w:r>
    </w:p>
    <w:p>
      <w:pPr>
        <w:spacing w:after="0" w:line="72" w:lineRule="exact"/>
        <w:rPr>
          <w:rFonts w:ascii="Arial" w:cs="Arial" w:eastAsia="Arial" w:hAnsi="Arial"/>
          <w:sz w:val="23"/>
          <w:szCs w:val="23"/>
          <w:color w:val="auto"/>
          <w:vertAlign w:val="superscript"/>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Other current liabilities and non-current liabilities include a contingent liability of $5 million assumed by the Company during the acquisition.</w:t>
      </w:r>
    </w:p>
    <w:p>
      <w:pPr>
        <w:spacing w:after="0" w:line="15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Duquesne University District Energy System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1, 2019, the Company, through its indirect subsidiary ECP Uptown Campus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acquired the Duquesne University district energy system, totaling 82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is $107 million. This includes $100 million related to the purchase of district energy assets, which was funded through a combination of issuance of non-recourse debt in the amount of $95 million, as further discussed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as well as cash 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79" w:right="239" w:bottom="1440" w:gutter="0" w:footer="0" w:header="0"/>
        </w:sectPr>
      </w:pPr>
    </w:p>
    <w:bookmarkStart w:id="97" w:name="page98"/>
    <w:bookmarkEnd w:id="97"/>
    <w:p>
      <w:pPr>
        <w:jc w:val="both"/>
        <w:spacing w:after="0" w:line="264" w:lineRule="auto"/>
        <w:rPr>
          <w:sz w:val="20"/>
          <w:szCs w:val="20"/>
          <w:color w:val="auto"/>
        </w:rPr>
      </w:pPr>
      <w:r>
        <w:rPr>
          <w:rFonts w:ascii="Arial" w:cs="Arial" w:eastAsia="Arial" w:hAnsi="Arial"/>
          <w:sz w:val="18"/>
          <w:szCs w:val="18"/>
          <w:color w:val="auto"/>
        </w:rPr>
        <w:t>hand. The remaining $7 million related to $3 million of restricted cash funded as part of acquisition, as well as $4 million related to future capital expenditures. The acquisition was determined to be an asset acquisition under ASC 805, with a significant majority of the purchase price allocated to property, plant and equipment as of the acquisition date.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20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UPMC Thermal Project Asset Acquisition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19, 2018, upon reaching substantial completion, the Company acquired from NRG the UPMC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Thermal Project for cash consideration of $84 million. In addition, the Company had a payable of $4 million to NRG as of December 31, 2018, $3 million of which was paid in January 2019 upon final completion of the project pursuant to the EPC agreement, and $1 million was paid in January 2020. The project added 73 MWt of thermal equivalent capacity and 7.5 MW of emergency backup electrical capacity to the Company's portfolio. The transaction was reflected in the Company's Thermal segment. The acquisition was funded with the proceeds from the sale of the Series E Notes and Series F Notes, as further described in Item 15 </w:t>
      </w:r>
      <w:r>
        <w:rPr>
          <w:rFonts w:ascii="Arial" w:cs="Arial" w:eastAsia="Arial" w:hAnsi="Arial"/>
          <w:sz w:val="16"/>
          <w:szCs w:val="16"/>
          <w:b w:val="1"/>
          <w:bCs w:val="1"/>
          <w:color w:val="auto"/>
        </w:rPr>
        <w:t>—</w:t>
      </w:r>
      <w:r>
        <w:rPr>
          <w:rFonts w:ascii="Arial" w:cs="Arial" w:eastAsia="Arial" w:hAnsi="Arial"/>
          <w:sz w:val="16"/>
          <w:szCs w:val="16"/>
          <w:color w:val="auto"/>
        </w:rPr>
        <w:t xml:space="preserv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assets transferred to the Company relate to interests under common control by NRG and were recorded at book value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purchase price and book value of the assets was recorded as a distribution to NRG and decreased the balance of its noncontrolling interest. The acquisition was determined to be an asset acquisition and not a business combination, therefore no recast of the historical financial information was deemed necessary.</w:t>
      </w:r>
    </w:p>
    <w:p>
      <w:pPr>
        <w:spacing w:after="0" w:line="10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 FuelCell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Finance, Inc. for cash consideration of $11 million. The project added 2.8 MW of thermal capacity to the Company's portfolio, with a 20-year PPA contract with the City of Tulare. The transaction was reflected in the Company's Thermal segment.</w:t>
      </w:r>
    </w:p>
    <w:p>
      <w:pPr>
        <w:spacing w:after="0" w:line="12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b w:val="1"/>
          <w:bCs w:val="1"/>
          <w:i w:val="1"/>
          <w:iCs w:val="1"/>
          <w:color w:val="auto"/>
        </w:rPr>
        <w:t xml:space="preserve">Buckthorn Solar Drop Down Asset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30, 2018, the Company acquired 100% of NRG's interests in Buckthorn Renewables,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owns a 154 MW construction-stage utility-scale solar generation project located in Texas, or the Buckthorn Solar Drop Down Asset, for cash consideration of $42 million. The Company also assumed non-recourse debt of $183 million and non-controlling interest of $19 million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Combinations</w:t>
      </w:r>
    </w:p>
    <w:p>
      <w:pPr>
        <w:spacing w:after="0" w:line="2" w:lineRule="exact"/>
        <w:rPr>
          <w:sz w:val="20"/>
          <w:szCs w:val="20"/>
          <w:color w:val="auto"/>
        </w:rPr>
      </w:pPr>
    </w:p>
    <w:p>
      <w:pPr>
        <w:jc w:val="both"/>
        <w:ind w:firstLine="8"/>
        <w:spacing w:after="0" w:line="254" w:lineRule="auto"/>
        <w:tabs>
          <w:tab w:leader="none" w:pos="118"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Related Issue</w:t>
      </w:r>
      <w:r>
        <w:rPr>
          <w:rFonts w:ascii="Arial" w:cs="Arial" w:eastAsia="Arial" w:hAnsi="Arial"/>
          <w:sz w:val="18"/>
          <w:szCs w:val="18"/>
          <w:color w:val="auto"/>
        </w:rPr>
        <w:t>s. The difference between the cash paid and historical value of the entities' equity was recorded as a distribution to NRG and decreased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its noncontrolling interest. Since the transaction constituted a transfer of net asset under common control, the guidance required retrospective combination of the entities for all periods presented as if the combination had been in effect since the inception of common control. The project sells power under a 25-year PPA to the City of Georgetown, Texas, which commenced in July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208" w:lineRule="exact"/>
        <w:rPr>
          <w:sz w:val="20"/>
          <w:szCs w:val="20"/>
          <w:color w:val="auto"/>
        </w:rPr>
      </w:pPr>
    </w:p>
    <w:p>
      <w:pPr>
        <w:jc w:val="both"/>
        <w:ind w:firstLine="392"/>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Issues</w:t>
      </w:r>
      <w:r>
        <w:rPr>
          <w:rFonts w:ascii="Arial" w:cs="Arial" w:eastAsia="Arial" w:hAnsi="Arial"/>
          <w:sz w:val="16"/>
          <w:szCs w:val="16"/>
          <w:color w:val="auto"/>
        </w:rPr>
        <w:t>. The difference between the cash paid and historical value of the entities' equity was recorded as a contribution from NRG and increased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noncontrolling interest. Since the transaction constituted a transfer of net assets under common control, the guidance required retrospective combination of the entities for all periods presented as if the combination had been in effect since the inception of common control.</w:t>
      </w:r>
    </w:p>
    <w:p>
      <w:pPr>
        <w:spacing w:after="0" w:line="100"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b w:val="1"/>
          <w:bCs w:val="1"/>
          <w:i w:val="1"/>
          <w:iCs w:val="1"/>
          <w:color w:val="auto"/>
        </w:rPr>
        <w:t xml:space="preserve">August 2017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1, 2017, the Company acquired the remaining 25% interest in Wind TE Holdco, a portfolio of 12 wind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projects, from NRG for total cash consideration of $44 million. The purchase agreement also included potential additional payments to NRG dependent upon actual energy prices for merchant periods beginning in 2027, which were estimated and accrued as contingent consideration in the amount of $8 million.</w:t>
      </w:r>
    </w:p>
    <w:p>
      <w:pPr>
        <w:spacing w:after="0" w:line="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As the Company had reflected NRG's 25% ownership of Wind TE Holdco 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79" w:right="2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18"/>
          <w:szCs w:val="18"/>
          <w:color w:val="auto"/>
        </w:rPr>
        <w:t>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27, 2017, the Company acquired the following interests from NRG: (i) Agua Caliente Borrower 2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The Company paid cash consideration of $128 million. The acquisition of the March 2017 Drop Down Assets was funded with cash on hand. The Company recorded the acquired interests as equity method investments.</w:t>
      </w:r>
    </w:p>
    <w:p>
      <w:pPr>
        <w:spacing w:after="0" w:line="13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The difference between the cash paid and the historical value of the entities' equity of $8 million was recorded as an adjustment to noncontrolling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Dispositions and Assets Held for Sale</w:t>
      </w:r>
    </w:p>
    <w:p>
      <w:pPr>
        <w:spacing w:after="0" w:line="167"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i w:val="1"/>
          <w:iCs w:val="1"/>
          <w:color w:val="auto"/>
        </w:rPr>
        <w:t xml:space="preserve">Sale of Energy Center Dover LLC and Energy Center Smyrna LLC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September 5, 2019, the Company entered into a purchase and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DB Energy Assets, LLC to sell 100% of its interests in Energy Center Dover LLC and Energy Center Smyrna LLC. Energy Center Dover LLC owns a 103 MW natural gas-fired cogeneration facility located in Dover, DE (Energy Center Dover). The transaction is subject to standard regulatory approvals and the completion of certain maintenance activities. The related assets and liabilities were classified as held for sale and recorded to other current assets and non-current assets, as well as current liabilities on the Company’s consolidated balance sheets as of December 31, 2019.</w:t>
      </w:r>
    </w:p>
    <w:p>
      <w:pPr>
        <w:spacing w:after="0" w:line="100"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i w:val="1"/>
          <w:iCs w:val="1"/>
          <w:color w:val="auto"/>
        </w:rPr>
        <w:t xml:space="preserve">Sale of HSD Solar Holdings, LLC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8, 2019, the Company, through HSD Solar Holdings, LLC, or HSD, sold 100% of its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79"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9"/>
              </w:rPr>
              <w:t>December 31, 2018</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2 - 45 Years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4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Pr>
          <w:p>
            <w:pPr>
              <w:spacing w:after="0"/>
              <w:rPr>
                <w:sz w:val="20"/>
                <w:szCs w:val="20"/>
                <w:color w:val="auto"/>
              </w:rPr>
            </w:pP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406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firstLine="8"/>
        <w:spacing w:after="0" w:line="280" w:lineRule="auto"/>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As of December 31, 2019 and 2018, construction in progress includes $10 million and $6 million of capital expenditures that relate to prepaid long-term service agreements in the Conventional segment, respectively.</w:t>
      </w:r>
    </w:p>
    <w:p>
      <w:pPr>
        <w:spacing w:after="0" w:line="1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Depreciation expense related to property, plant and equipment during the years ended December 31, 2019 and December 31, 2018 was $395 million and $330 million, respectively. The Company accelerated depreciation of </w:t>
      </w:r>
      <w:r>
        <w:rPr>
          <w:rFonts w:ascii="Arial" w:cs="Arial" w:eastAsia="Arial" w:hAnsi="Arial"/>
          <w:sz w:val="17"/>
          <w:szCs w:val="17"/>
          <w:color w:val="auto"/>
        </w:rPr>
        <w:t>the Wildorado Wind and Elbow Creek projects in connection with the repowering</w:t>
      </w:r>
      <w:r>
        <w:rPr>
          <w:rFonts w:ascii="Arial" w:cs="Arial" w:eastAsia="Arial" w:hAnsi="Arial"/>
          <w:sz w:val="18"/>
          <w:szCs w:val="18"/>
          <w:color w:val="auto"/>
        </w:rPr>
        <w:t xml:space="preserve"> </w:t>
      </w:r>
      <w:r>
        <w:rPr>
          <w:rFonts w:ascii="Arial" w:cs="Arial" w:eastAsia="Arial" w:hAnsi="Arial"/>
          <w:sz w:val="17"/>
          <w:szCs w:val="17"/>
          <w:color w:val="auto"/>
        </w:rPr>
        <w:t>project</w:t>
      </w:r>
      <w:r>
        <w:rPr>
          <w:rFonts w:ascii="Arial" w:cs="Arial" w:eastAsia="Arial" w:hAnsi="Arial"/>
          <w:sz w:val="18"/>
          <w:szCs w:val="18"/>
          <w:color w:val="auto"/>
        </w:rPr>
        <w:t>, which resulted in additional depreciation expense in the amount of $54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Company recorded long-lived asset impairments during the year ended December 31, 2019, as further described in Note 9, </w:t>
      </w:r>
      <w:r>
        <w:rPr>
          <w:rFonts w:ascii="Arial" w:cs="Arial" w:eastAsia="Arial" w:hAnsi="Arial"/>
          <w:sz w:val="17"/>
          <w:szCs w:val="17"/>
          <w:i w:val="1"/>
          <w:iCs w:val="1"/>
          <w:color w:val="auto"/>
        </w:rPr>
        <w:t>Asset Impairments.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7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equity method investments as of December 31, 2019:</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2600" w:type="dxa"/>
            <w:vAlign w:val="bottom"/>
            <w:gridSpan w:val="2"/>
          </w:tcPr>
          <w:p>
            <w:pPr>
              <w:ind w:left="620"/>
              <w:spacing w:after="0"/>
              <w:rPr>
                <w:sz w:val="20"/>
                <w:szCs w:val="20"/>
                <w:color w:val="auto"/>
              </w:rPr>
            </w:pPr>
            <w:r>
              <w:rPr>
                <w:rFonts w:ascii="Arial" w:cs="Arial" w:eastAsia="Arial" w:hAnsi="Arial"/>
                <w:sz w:val="16"/>
                <w:szCs w:val="16"/>
                <w:b w:val="1"/>
                <w:bCs w:val="1"/>
                <w:color w:val="auto"/>
              </w:rPr>
              <w:t>Economic Interest</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Investment Balance</w:t>
            </w:r>
          </w:p>
        </w:tc>
      </w:tr>
      <w:tr>
        <w:trPr>
          <w:trHeight w:val="33"/>
        </w:trPr>
        <w:tc>
          <w:tcPr>
            <w:tcW w:w="6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(In millions)</w:t>
            </w:r>
          </w:p>
        </w:tc>
      </w:tr>
      <w:tr>
        <w:trPr>
          <w:trHeight w:val="33"/>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Utah Solar Portfolio </w:t>
            </w:r>
            <w:r>
              <w:rPr>
                <w:rFonts w:ascii="Arial" w:cs="Arial" w:eastAsia="Arial" w:hAnsi="Arial"/>
                <w:sz w:val="21"/>
                <w:szCs w:val="21"/>
                <w:color w:val="auto"/>
                <w:vertAlign w:val="superscript"/>
              </w:rPr>
              <w:t>(a)</w:t>
            </w: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$285</w:t>
            </w:r>
          </w:p>
        </w:tc>
      </w:tr>
      <w:tr>
        <w:trPr>
          <w:trHeight w:val="27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Desert Sunlight</w:t>
            </w:r>
            <w:r>
              <w:rPr>
                <w:rFonts w:ascii="Arial" w:cs="Arial" w:eastAsia="Arial" w:hAnsi="Arial"/>
                <w:sz w:val="21"/>
                <w:szCs w:val="21"/>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274</w:t>
            </w:r>
          </w:p>
        </w:tc>
      </w:tr>
      <w:tr>
        <w:trPr>
          <w:trHeight w:val="2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GenConn</w:t>
            </w:r>
            <w:r>
              <w:rPr>
                <w:rFonts w:ascii="Arial" w:cs="Arial" w:eastAsia="Arial" w:hAnsi="Arial"/>
                <w:sz w:val="21"/>
                <w:szCs w:val="21"/>
                <w:color w:val="auto"/>
                <w:vertAlign w:val="superscript"/>
              </w:rPr>
              <w:t>(b)</w:t>
            </w: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w:t>
            </w:r>
          </w:p>
        </w:tc>
      </w:tr>
      <w:tr>
        <w:trPr>
          <w:trHeight w:val="27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Agua Caliente Solar</w:t>
            </w:r>
            <w:r>
              <w:rPr>
                <w:rFonts w:ascii="Arial" w:cs="Arial" w:eastAsia="Arial" w:hAnsi="Arial"/>
                <w:sz w:val="21"/>
                <w:szCs w:val="21"/>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96</w:t>
            </w:r>
          </w:p>
        </w:tc>
      </w:tr>
      <w:tr>
        <w:trPr>
          <w:trHeight w:val="250"/>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Elkhorn Ridge</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237"/>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San Juan Mesa</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75%</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49</w:t>
            </w:r>
          </w:p>
        </w:tc>
      </w:tr>
      <w:tr>
        <w:trPr>
          <w:trHeight w:val="33"/>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DGPV Holdco 1 LLC </w:t>
            </w:r>
            <w:r>
              <w:rPr>
                <w:rFonts w:ascii="Arial" w:cs="Arial" w:eastAsia="Arial" w:hAnsi="Arial"/>
                <w:sz w:val="21"/>
                <w:szCs w:val="21"/>
                <w:color w:val="auto"/>
                <w:vertAlign w:val="superscript"/>
              </w:rPr>
              <w:t>(c)</w:t>
            </w: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81</w:t>
            </w:r>
          </w:p>
        </w:tc>
      </w:tr>
      <w:tr>
        <w:trPr>
          <w:trHeight w:val="27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 xml:space="preserve">DGPV Holdco 2 LLC </w:t>
            </w:r>
            <w:r>
              <w:rPr>
                <w:rFonts w:ascii="Arial" w:cs="Arial" w:eastAsia="Arial" w:hAnsi="Arial"/>
                <w:sz w:val="21"/>
                <w:szCs w:val="21"/>
                <w:color w:val="auto"/>
                <w:vertAlign w:val="superscript"/>
              </w:rPr>
              <w:t>(c)</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68</w:t>
            </w:r>
          </w:p>
        </w:tc>
      </w:tr>
      <w:tr>
        <w:trPr>
          <w:trHeight w:val="2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DGPV Holdco 3 LLC </w:t>
            </w:r>
            <w:r>
              <w:rPr>
                <w:rFonts w:ascii="Arial" w:cs="Arial" w:eastAsia="Arial" w:hAnsi="Arial"/>
                <w:sz w:val="21"/>
                <w:szCs w:val="21"/>
                <w:color w:val="auto"/>
                <w:vertAlign w:val="superscript"/>
              </w:rPr>
              <w:t>(c)</w:t>
            </w: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99%</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w:t>
            </w:r>
          </w:p>
        </w:tc>
      </w:tr>
      <w:tr>
        <w:trPr>
          <w:trHeight w:val="27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RPV Holdco 1 LLC</w:t>
            </w:r>
            <w:r>
              <w:rPr>
                <w:rFonts w:ascii="Arial" w:cs="Arial" w:eastAsia="Arial" w:hAnsi="Arial"/>
                <w:sz w:val="21"/>
                <w:szCs w:val="21"/>
                <w:color w:val="auto"/>
                <w:vertAlign w:val="superscript"/>
              </w:rPr>
              <w:t>(c)</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Avenal</w:t>
            </w:r>
            <w:r>
              <w:rPr>
                <w:rFonts w:ascii="Arial" w:cs="Arial" w:eastAsia="Arial" w:hAnsi="Arial"/>
                <w:sz w:val="21"/>
                <w:szCs w:val="21"/>
                <w:color w:val="auto"/>
                <w:vertAlign w:val="superscript"/>
              </w:rPr>
              <w:t>(d)</w:t>
            </w: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217"/>
        </w:trPr>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$1,183</w:t>
            </w:r>
          </w:p>
        </w:tc>
      </w:tr>
      <w:tr>
        <w:trPr>
          <w:trHeight w:val="33"/>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81" w:lineRule="exact"/>
        <w:rPr>
          <w:sz w:val="20"/>
          <w:szCs w:val="20"/>
          <w:color w:val="auto"/>
        </w:rPr>
      </w:pPr>
    </w:p>
    <w:p>
      <w:pPr>
        <w:ind w:firstLine="8"/>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6"/>
          <w:szCs w:val="16"/>
          <w:color w:val="auto"/>
        </w:rPr>
        <w:t>Economic interest based on cash to be distributed. Four Brothers Solar, LLC, Granite Mountain Holdings, LLC and Iron Springs Holdings, LLC are tax equity structures and VIEs. The related allocations are described below.</w:t>
      </w:r>
    </w:p>
    <w:p>
      <w:pPr>
        <w:spacing w:after="0" w:line="10" w:lineRule="exact"/>
        <w:rPr>
          <w:rFonts w:ascii="Arial" w:cs="Arial" w:eastAsia="Arial" w:hAnsi="Arial"/>
          <w:sz w:val="9"/>
          <w:szCs w:val="9"/>
          <w:color w:val="auto"/>
        </w:rPr>
      </w:pPr>
    </w:p>
    <w:p>
      <w:pPr>
        <w:ind w:left="180" w:hanging="172"/>
        <w:spacing w:after="0"/>
        <w:tabs>
          <w:tab w:leader="none" w:pos="180" w:val="left"/>
        </w:tabs>
        <w:numPr>
          <w:ilvl w:val="0"/>
          <w:numId w:val="48"/>
        </w:numPr>
        <w:rPr>
          <w:rFonts w:ascii="Arial" w:cs="Arial" w:eastAsia="Arial" w:hAnsi="Arial"/>
          <w:sz w:val="11"/>
          <w:szCs w:val="11"/>
          <w:color w:val="auto"/>
        </w:rPr>
      </w:pPr>
      <w:r>
        <w:rPr>
          <w:rFonts w:ascii="Arial" w:cs="Arial" w:eastAsia="Arial" w:hAnsi="Arial"/>
          <w:sz w:val="16"/>
          <w:szCs w:val="16"/>
          <w:color w:val="auto"/>
        </w:rPr>
        <w:t>GenConn is a variable interest entity.</w:t>
      </w:r>
    </w:p>
    <w:p>
      <w:pPr>
        <w:spacing w:after="0" w:line="32" w:lineRule="exact"/>
        <w:rPr>
          <w:rFonts w:ascii="Arial" w:cs="Arial" w:eastAsia="Arial" w:hAnsi="Arial"/>
          <w:sz w:val="11"/>
          <w:szCs w:val="11"/>
          <w:color w:val="auto"/>
        </w:rPr>
      </w:pPr>
    </w:p>
    <w:p>
      <w:pPr>
        <w:ind w:firstLine="8"/>
        <w:spacing w:after="0"/>
        <w:tabs>
          <w:tab w:leader="none" w:pos="147" w:val="left"/>
        </w:tabs>
        <w:numPr>
          <w:ilvl w:val="0"/>
          <w:numId w:val="48"/>
        </w:numPr>
        <w:rPr>
          <w:rFonts w:ascii="Arial" w:cs="Arial" w:eastAsia="Arial" w:hAnsi="Arial"/>
          <w:sz w:val="11"/>
          <w:szCs w:val="11"/>
          <w:color w:val="auto"/>
        </w:rPr>
      </w:pPr>
      <w:r>
        <w:rPr>
          <w:rFonts w:ascii="Arial" w:cs="Arial" w:eastAsia="Arial" w:hAnsi="Arial"/>
          <w:sz w:val="16"/>
          <w:szCs w:val="16"/>
          <w:color w:val="auto"/>
        </w:rPr>
        <w:t>Economic interest based on cash to be distributed. DGPV Holdco 1 LLC, DGPV Holdco 2 LLC, DGPV Holdco 3 LLC and RPV Holdco 1 LLC are tax equity structures and VIEs. The related allocations are described below.</w:t>
      </w:r>
    </w:p>
    <w:p>
      <w:pPr>
        <w:spacing w:after="0" w:line="10" w:lineRule="exact"/>
        <w:rPr>
          <w:rFonts w:ascii="Arial" w:cs="Arial" w:eastAsia="Arial" w:hAnsi="Arial"/>
          <w:sz w:val="11"/>
          <w:szCs w:val="11"/>
          <w:color w:val="auto"/>
        </w:rPr>
      </w:pPr>
    </w:p>
    <w:p>
      <w:pPr>
        <w:jc w:val="both"/>
        <w:ind w:firstLine="8"/>
        <w:spacing w:after="0" w:line="258" w:lineRule="auto"/>
        <w:tabs>
          <w:tab w:leader="none" w:pos="180" w:val="left"/>
        </w:tabs>
        <w:numPr>
          <w:ilvl w:val="0"/>
          <w:numId w:val="48"/>
        </w:numPr>
        <w:rPr>
          <w:rFonts w:ascii="Arial" w:cs="Arial" w:eastAsia="Arial" w:hAnsi="Arial"/>
          <w:sz w:val="10"/>
          <w:szCs w:val="10"/>
          <w:color w:val="231F20"/>
        </w:rPr>
      </w:pPr>
      <w:r>
        <w:rPr>
          <w:rFonts w:ascii="Arial" w:cs="Arial" w:eastAsia="Arial" w:hAnsi="Arial"/>
          <w:sz w:val="14"/>
          <w:szCs w:val="14"/>
          <w:color w:val="231F20"/>
        </w:rPr>
        <w:t>Entities that have PPAs with PG&amp;E. 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and 2018, the Company had $138 million and $87 million, respectively, of undistributed earnings from its equity method investments.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over the related useful life of the underlying assets acquired.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Company's pro-rata share of non-recourse debt held by unconsolidated affiliates was $889 million as of December 31, 2019. This included $411 million attributable to Desert Sunlight, Agua Caliente Solar, and Avenal, the unconsolidated affiliates that sell output to PG&amp;E under long-term PPAs.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891" w:right="239" w:bottom="1440" w:gutter="0" w:footer="0" w:header="0"/>
        </w:sectPr>
      </w:pPr>
    </w:p>
    <w:bookmarkStart w:id="101" w:name="page102"/>
    <w:bookmarkEnd w:id="101"/>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3"/>
        </w:trPr>
        <w:tc>
          <w:tcPr>
            <w:tcW w:w="6380" w:type="dxa"/>
            <w:vAlign w:val="bottom"/>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w w:val="96"/>
              </w:rPr>
              <w:t>2017</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GenConn</w:t>
            </w:r>
          </w:p>
        </w:tc>
        <w:tc>
          <w:tcPr>
            <w:tcW w:w="1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65</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71</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Desert Sunlight</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20" w:type="dxa"/>
            <w:vAlign w:val="bottom"/>
          </w:tcPr>
          <w:p>
            <w:pPr>
              <w:spacing w:after="0"/>
              <w:rPr>
                <w:sz w:val="21"/>
                <w:szCs w:val="21"/>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208</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207</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84</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80</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DGPV entities </w:t>
            </w:r>
            <w:r>
              <w:rPr>
                <w:rFonts w:ascii="Arial" w:cs="Arial" w:eastAsia="Arial" w:hAnsi="Arial"/>
                <w:sz w:val="21"/>
                <w:szCs w:val="21"/>
                <w:b w:val="1"/>
                <w:bCs w:val="1"/>
                <w:color w:val="auto"/>
                <w:vertAlign w:val="superscript"/>
              </w:rPr>
              <w:t>(a)</w:t>
            </w: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20" w:type="dxa"/>
            <w:vAlign w:val="bottom"/>
          </w:tcPr>
          <w:p>
            <w:pPr>
              <w:spacing w:after="0"/>
              <w:rPr>
                <w:sz w:val="21"/>
                <w:szCs w:val="21"/>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69</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37</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(b)</w:t>
            </w: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20" w:type="dxa"/>
            <w:vAlign w:val="bottom"/>
          </w:tcPr>
          <w:p>
            <w:pPr>
              <w:spacing w:after="0"/>
              <w:rPr>
                <w:sz w:val="21"/>
                <w:szCs w:val="21"/>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263</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263</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75</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59</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1"/>
                <w:szCs w:val="21"/>
                <w:color w:val="auto"/>
              </w:rPr>
            </w:pPr>
          </w:p>
        </w:tc>
      </w:tr>
      <w:tr>
        <w:trPr>
          <w:trHeight w:val="263"/>
        </w:trPr>
        <w:tc>
          <w:tcPr>
            <w:tcW w:w="6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w w:val="96"/>
              </w:rPr>
              <w:t>2018</w:t>
            </w:r>
          </w:p>
        </w:tc>
      </w:tr>
      <w:tr>
        <w:trPr>
          <w:trHeight w:val="245"/>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49"/>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GenConn</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3"/>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342</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358</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176</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182</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Desert Sunlight</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209</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133</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1,296</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545</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58</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484</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962</w:t>
            </w:r>
          </w:p>
        </w:tc>
      </w:tr>
      <w:tr>
        <w:trPr>
          <w:trHeight w:val="27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 xml:space="preserve">DGPV entities </w:t>
            </w:r>
            <w:r>
              <w:rPr>
                <w:rFonts w:ascii="Arial" w:cs="Arial" w:eastAsia="Arial" w:hAnsi="Arial"/>
                <w:sz w:val="21"/>
                <w:szCs w:val="21"/>
                <w:b w:val="1"/>
                <w:bCs w:val="1"/>
                <w:color w:val="auto"/>
                <w:vertAlign w:val="superscript"/>
              </w:rPr>
              <w:t>(a)</w:t>
            </w: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84</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898</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784</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411</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314</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(b)</w:t>
            </w: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195</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2,514</w:t>
            </w:r>
          </w:p>
        </w:tc>
        <w:tc>
          <w:tcPr>
            <w:tcW w:w="6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2,684</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767</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89</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3009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54"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1"/>
          <w:szCs w:val="11"/>
          <w:color w:val="auto"/>
        </w:rPr>
      </w:pPr>
      <w:r>
        <w:rPr>
          <w:rFonts w:ascii="Arial" w:cs="Arial" w:eastAsia="Arial" w:hAnsi="Arial"/>
          <w:sz w:val="16"/>
          <w:szCs w:val="16"/>
          <w:color w:val="auto"/>
        </w:rPr>
        <w:t>Includes DGPV Holdco 1, DGPV Holdco 2 and DGPV Holdco 3.</w:t>
      </w:r>
    </w:p>
    <w:p>
      <w:pPr>
        <w:ind w:left="160" w:hanging="152"/>
        <w:spacing w:after="0"/>
        <w:tabs>
          <w:tab w:leader="none" w:pos="160" w:val="left"/>
        </w:tabs>
        <w:numPr>
          <w:ilvl w:val="0"/>
          <w:numId w:val="49"/>
        </w:numPr>
        <w:rPr>
          <w:rFonts w:ascii="Arial" w:cs="Arial" w:eastAsia="Arial" w:hAnsi="Arial"/>
          <w:sz w:val="11"/>
          <w:szCs w:val="11"/>
          <w:color w:val="auto"/>
        </w:rPr>
      </w:pPr>
      <w:r>
        <w:rPr>
          <w:rFonts w:ascii="Arial" w:cs="Arial" w:eastAsia="Arial" w:hAnsi="Arial"/>
          <w:sz w:val="16"/>
          <w:szCs w:val="16"/>
          <w:color w:val="auto"/>
        </w:rPr>
        <w:t>Includes Agua Caliente, Elkhorn Ridge, RPV Holdco 1, Utah Solar Portfolio and San Juan Mesa.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and are further described below.</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Kawailoa Partnership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31, 2018, the Company entered into an agreement with Clearway Renew LLC, a subsidiary of CEG,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A membership interests in the Kawailoa Solar Partnership LLC, or Kawailoa Partnership,</w:t>
      </w:r>
    </w:p>
    <w:p>
      <w:pPr>
        <w:sectPr>
          <w:pgSz w:w="11900" w:h="16838" w:orient="portrait"/>
          <w:cols w:equalWidth="0" w:num="1">
            <w:col w:w="11420"/>
          </w:cols>
          <w:pgMar w:left="240" w:top="679" w:right="239" w:bottom="175"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679" w:right="239" w:bottom="175" w:gutter="0" w:footer="0" w:header="0"/>
          <w:type w:val="continuous"/>
        </w:sectPr>
      </w:pPr>
    </w:p>
    <w:bookmarkStart w:id="102" w:name="page103"/>
    <w:bookmarkEnd w:id="102"/>
    <w:p>
      <w:pPr>
        <w:jc w:val="both"/>
        <w:spacing w:after="0" w:line="269" w:lineRule="auto"/>
        <w:rPr>
          <w:sz w:val="20"/>
          <w:szCs w:val="20"/>
          <w:color w:val="auto"/>
        </w:rPr>
      </w:pPr>
      <w:r>
        <w:rPr>
          <w:rFonts w:ascii="Arial" w:cs="Arial" w:eastAsia="Arial" w:hAnsi="Arial"/>
          <w:sz w:val="17"/>
          <w:szCs w:val="17"/>
          <w:color w:val="auto"/>
        </w:rPr>
        <w:t>for $9 million in cash consideration. The purpose of the partnership is to own, finance, operate, and maintain the Kawailoa Solar 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Issues</w:t>
      </w:r>
      <w:r>
        <w:rPr>
          <w:rFonts w:ascii="Arial" w:cs="Arial" w:eastAsia="Arial" w:hAnsi="Arial"/>
          <w:sz w:val="17"/>
          <w:szCs w:val="17"/>
          <w:color w:val="auto"/>
        </w:rPr>
        <w:t>. The difference between the cash paid and payable recorded and the historical value of the assets was recorded as a distribution to CEG and</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the balance of its noncontrolling interest.</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The Company recorded $14 million of loss attributable to noncontrolling interest during the period ended December 31, 2019.</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LLC, a subsidiary of CEG, to acquire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 further described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10</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payable recorded and the historical value of the assets was recorded as a contribution from CEG and increased the balance of its noncontrolling interest.</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reaching COD in September 2019, the Oahu Solar projects' fixed assets were placed in service and began to depreciate and on November 12, 2019 the tax equity investor made its final tax-equity contribution of $71 million.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The Company recorded $32 million of loss attributable to noncontrolling interest during the period ended December 31, 2019.</w:t>
      </w:r>
    </w:p>
    <w:p>
      <w:pPr>
        <w:spacing w:after="0" w:line="1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 xml:space="preserve">Repowering Partnership II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30, 2018, Wind TE Holdco, an indirect subsidiary of the Company, formed Repowering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14, 2019, Repowering Partnership LLC was replaced with Repowering Partnership II LLC as the owner of the Elbow Creek and Wildorado Wind projects, as well as Repowering Partnership Holdco LLC, which concurrently entered into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679"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financing agreement for construction debt of total commitment of $352 million, as further described in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Repowering of the Elbow Creek project was completed and on November 26, 2019, a third 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tax equity investor. The Company 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 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15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On February 7, 2020, the same third party tax equity investor purchased 100% of the Class A membership interests in Wildorado Repowering tax equity Holdco LLC, or Wildorado Holdco LLC, for $148 million. The Company also contributed $112 million. The repowering of the Elbow Creek and Wildorado assets is being referred to as Repowering 1.0 in Item 7 — </w:t>
      </w:r>
      <w:r>
        <w:rPr>
          <w:rFonts w:ascii="Arial" w:cs="Arial" w:eastAsia="Arial" w:hAnsi="Arial"/>
          <w:sz w:val="18"/>
          <w:szCs w:val="18"/>
          <w:i w:val="1"/>
          <w:iCs w:val="1"/>
          <w:color w:val="auto"/>
        </w:rPr>
        <w:t>Management's Discussion and Analysis of Financial Condition and the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11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Buckthorn Renewables,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Item 15</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March 30, 2018, the Company acquired 100%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NRG’s interest in a 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for income or loss allocation to the tax equity investor's noncontrolling interest. The Company recorded $25 million of income attributable to noncontrolling interest in Buckthorn Renewables, LLC during the period ended December 31, 2019.</w:t>
      </w:r>
    </w:p>
    <w:p>
      <w:pPr>
        <w:spacing w:after="0" w:line="10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Wind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2018, Wind TE Holdco was a VIE and the Company, as the holder of Class B shares and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beneficiary through its position as managing member consolidated Wind TE Holdco. The Class A shares of Wind TE Holdco were owned by a tax equity investor, who received 99% of allocations of taxable income and other items.</w:t>
      </w:r>
    </w:p>
    <w:p>
      <w:pPr>
        <w:spacing w:after="0" w:line="12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January 2, 2019, the Company bought out 100% of the Class A membership interests from the TE Investor,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Alta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2015, the Company sold an economic interest in Alta TE Holdco to a financial institution in order to monetize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Spring Canyon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holds 90.1% of the Class B interests in Spring Canyon II, a 32 MW wind facility, and Spring Canyon III, a 28 MW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675" w:right="239" w:bottom="1440" w:gutter="0" w:footer="0" w:header="0"/>
        </w:sectPr>
      </w:pPr>
    </w:p>
    <w:bookmarkStart w:id="104" w:name="page105"/>
    <w:bookmarkEnd w:id="104"/>
    <w:p>
      <w:pPr>
        <w:jc w:val="both"/>
        <w:spacing w:after="0" w:line="264" w:lineRule="auto"/>
        <w:rPr>
          <w:sz w:val="20"/>
          <w:szCs w:val="20"/>
          <w:color w:val="auto"/>
        </w:rPr>
      </w:pPr>
      <w:r>
        <w:rPr>
          <w:rFonts w:ascii="Arial" w:cs="Arial" w:eastAsia="Arial" w:hAnsi="Arial"/>
          <w:sz w:val="18"/>
          <w:szCs w:val="18"/>
          <w:color w:val="auto"/>
        </w:rPr>
        <w:t>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2019:</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Oahu Solar</w:t>
            </w:r>
          </w:p>
        </w:tc>
        <w:tc>
          <w:tcPr>
            <w:tcW w:w="240" w:type="dxa"/>
            <w:vAlign w:val="bottom"/>
          </w:tcPr>
          <w:p>
            <w:pPr>
              <w:spacing w:after="0"/>
              <w:rPr>
                <w:sz w:val="14"/>
                <w:szCs w:val="14"/>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Kawailoa</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Repowering</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Alta TE</w:t>
            </w:r>
          </w:p>
        </w:tc>
        <w:tc>
          <w:tcPr>
            <w:tcW w:w="16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Spring</w:t>
            </w:r>
          </w:p>
        </w:tc>
        <w:tc>
          <w:tcPr>
            <w:tcW w:w="14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Buckthorn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Partnership II</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Renewables,</w:t>
            </w:r>
          </w:p>
        </w:tc>
        <w:tc>
          <w:tcPr>
            <w:tcW w:w="260" w:type="dxa"/>
            <w:vAlign w:val="bottom"/>
          </w:tcPr>
          <w:p>
            <w:pPr>
              <w:spacing w:after="0"/>
              <w:rPr>
                <w:sz w:val="12"/>
                <w:szCs w:val="12"/>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192"/>
        </w:trPr>
        <w:tc>
          <w:tcPr>
            <w:tcW w:w="3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Partnership</w:t>
            </w:r>
          </w:p>
        </w:tc>
        <w:tc>
          <w:tcPr>
            <w:tcW w:w="24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Partnership</w:t>
            </w: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Canyon</w:t>
            </w:r>
          </w:p>
        </w:tc>
        <w:tc>
          <w:tcPr>
            <w:tcW w:w="1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rPr>
              <w:t>LLC</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215</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60" w:type="dxa"/>
            <w:vAlign w:val="bottom"/>
          </w:tcPr>
          <w:p>
            <w:pPr>
              <w:ind w:left="480"/>
              <w:spacing w:after="0"/>
              <w:rPr>
                <w:sz w:val="20"/>
                <w:szCs w:val="20"/>
                <w:color w:val="auto"/>
              </w:rPr>
            </w:pPr>
            <w:r>
              <w:rPr>
                <w:rFonts w:ascii="Arial" w:cs="Arial" w:eastAsia="Arial" w:hAnsi="Arial"/>
                <w:sz w:val="18"/>
                <w:szCs w:val="18"/>
                <w:color w:val="auto"/>
              </w:rPr>
              <w:t>Net assets less noncontrolling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143</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2"/>
        </w:trPr>
        <w:tc>
          <w:tcPr>
            <w:tcW w:w="326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3009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firstLine="8"/>
        <w:spacing w:after="0" w:line="227" w:lineRule="auto"/>
        <w:tabs>
          <w:tab w:leader="none" w:pos="185" w:val="left"/>
        </w:tabs>
        <w:numPr>
          <w:ilvl w:val="0"/>
          <w:numId w:val="50"/>
        </w:numPr>
        <w:rPr>
          <w:rFonts w:ascii="Arial" w:cs="Arial" w:eastAsia="Arial" w:hAnsi="Arial"/>
          <w:sz w:val="21"/>
          <w:szCs w:val="21"/>
          <w:color w:val="auto"/>
          <w:vertAlign w:val="superscript"/>
        </w:rPr>
      </w:pPr>
      <w:r>
        <w:rPr>
          <w:rFonts w:ascii="Arial" w:cs="Arial" w:eastAsia="Arial" w:hAnsi="Arial"/>
          <w:sz w:val="14"/>
          <w:szCs w:val="14"/>
          <w:color w:val="auto"/>
        </w:rPr>
        <w:t>Other is comprised of Crosswinds and Hardin projects, that were determined to be VIEs during the year ended December 31, 2019. Previously reported as part of Wind TE Holdco that is no longer a VIE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Utah Solar Portfolio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in Item 15</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as part of the March 2017 Drop Down Assets acquisition,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2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DGPV Holdco 1 LLC partnership, or DGPV Holdco 1, the purpose of which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or purchase solar power generation projects and other ancillary related assets from Clearway Energy Group LLC or its subsidiaries via intermediate funds. The Company owns approximately 52 MW of Distributed Solar capacity, based on cash to be distributed, with a weighted average contract life of 16 years. Under this partnership, the Company committed to fund up to $100 million of capital.</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DGPV Holdco 2 LLC partnership, or DGPV Holdco 2, the purpose of which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or hold solar power generation projects as well as other ancillary related assets from Clearway Energy Group LLC or its subsidiaries. The Company owns approximately 113 MW of Distributed Solar capacity, based on cash to be distributed, with a weighted average contract life of 19 years. Under this partnership, the Company committed to fund up to $60 million of capital.</w:t>
      </w:r>
    </w:p>
    <w:p>
      <w:pPr>
        <w:spacing w:after="0" w:line="126"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i w:val="1"/>
          <w:iCs w:val="1"/>
          <w:color w:val="auto"/>
        </w:rPr>
        <w:t xml:space="preserve">DGPV Holdco 3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CEG are parties to the DGPV Holdco 3 LLC partnership, or DGPV Holdco 3, in which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would invest up to $70 million in an operating portfolio of distributed solar assets, primarily comprised of community solar projects, developed by CEG. The Company owns approximately 112 MW of distributed solar capacity, based on cash to be distributed, with a weighted average contract life of approximately 21 years as of December 31, 2019. The Company had a $14 million payable due to DGPV Holdco 3 LLC as of December 31, 2019.</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679" w:right="239" w:bottom="1440" w:gutter="0" w:footer="0" w:header="0"/>
        </w:sectPr>
      </w:pPr>
    </w:p>
    <w:bookmarkStart w:id="105" w:name="page106"/>
    <w:bookmarkEnd w:id="105"/>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DGPV Holdco 2 and DGPV Holdco 3, which was $318 million on a combined basis.</w:t>
      </w:r>
    </w:p>
    <w:p>
      <w:pPr>
        <w:spacing w:after="0" w:line="11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CEG are parties to the RPV Holdco 1 LLC partnership, or RPV Holdco, the purpose of which is to 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portfolios of residential solar assets developed by NRG's residential solar business, including: (i) an existing, unlevered portfolio of approximately 2,200 leases across nine states representing approximately 14 MW, based on cash to be distributed, with a weighted average remaining lease term of approximately 13 years that was acquired outside of the partnership; and (ii) a tax equity-financed portfolio of approximately 5,300 leases representing approximately 31 MW, based on cash to be distributed, with a weighted average remaining lease term for the existing and new leases of approximately 15 years. The Company fully funded the partnership as of December 31, 2017.</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maximum exposure to loss is limited to its equity investment, which was $24 million as of December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w w:val="98"/>
              </w:rPr>
              <w:t>As of December 31, 2018</w:t>
            </w:r>
          </w:p>
        </w:tc>
      </w:tr>
      <w:tr>
        <w:trPr>
          <w:trHeight w:val="264"/>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341"/>
        </w:trPr>
        <w:tc>
          <w:tcPr>
            <w:tcW w:w="6060" w:type="dxa"/>
            <w:vAlign w:val="bottom"/>
          </w:tcPr>
          <w:p>
            <w:pPr>
              <w:ind w:left="18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5"/>
                <w:szCs w:val="25"/>
                <w:color w:val="auto"/>
                <w:vertAlign w:val="superscript"/>
              </w:rPr>
              <w:t>(a)</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6,858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6,043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5,943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4147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2019 and 2018:</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2018</w:t>
            </w:r>
          </w:p>
        </w:tc>
      </w:tr>
      <w:tr>
        <w:trPr>
          <w:trHeight w:val="264"/>
        </w:trPr>
        <w:tc>
          <w:tcPr>
            <w:tcW w:w="4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1,736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1,620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4,323</w:t>
            </w:r>
          </w:p>
        </w:tc>
      </w:tr>
      <w:tr>
        <w:trPr>
          <w:trHeight w:val="594"/>
        </w:trPr>
        <w:tc>
          <w:tcPr>
            <w:tcW w:w="438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December 31,</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 December 31,</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As of December 31,</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line="264"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(a)</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340"/>
              <w:spacing w:after="0" w:line="264"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(a)</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70"/>
              <w:spacing w:after="0" w:line="264"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(a)</w:t>
            </w:r>
          </w:p>
        </w:tc>
        <w:tc>
          <w:tcPr>
            <w:tcW w:w="0" w:type="dxa"/>
            <w:vAlign w:val="bottom"/>
          </w:tcPr>
          <w:p>
            <w:pPr>
              <w:spacing w:after="0"/>
              <w:rPr>
                <w:sz w:val="1"/>
                <w:szCs w:val="1"/>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3</w:t>
            </w:r>
          </w:p>
        </w:tc>
        <w:tc>
          <w:tcPr>
            <w:tcW w:w="2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Level 2</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5"/>
                <w:szCs w:val="25"/>
                <w:b w:val="1"/>
                <w:bCs w:val="1"/>
                <w:color w:val="auto"/>
                <w:vertAlign w:val="superscript"/>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240" w:type="dxa"/>
            <w:vAlign w:val="bottom"/>
            <w:tcBorders>
              <w:bottom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4"/>
          <w:szCs w:val="14"/>
          <w:color w:val="auto"/>
        </w:rPr>
        <w:t>There were no derivative assets or liabilities classified as Level 1 December 31, 2019 and 2018</w:t>
      </w:r>
      <w:r>
        <w:rPr>
          <w:rFonts w:ascii="Arial" w:cs="Arial" w:eastAsia="Arial" w:hAnsi="Arial"/>
          <w:sz w:val="12"/>
          <w:szCs w:val="12"/>
          <w:color w:val="auto"/>
        </w:rPr>
        <w:t>.</w:t>
      </w:r>
    </w:p>
    <w:p>
      <w:pPr>
        <w:spacing w:after="0" w:line="14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11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9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Twelve months ended December 31,</w:t>
            </w:r>
          </w:p>
        </w:tc>
        <w:tc>
          <w:tcPr>
            <w:tcW w:w="5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480" w:type="dxa"/>
            <w:vAlign w:val="bottom"/>
            <w:tcBorders>
              <w:bottom w:val="single" w:sz="8" w:color="auto"/>
            </w:tcBorders>
            <w:gridSpan w:val="5"/>
          </w:tcPr>
          <w:p>
            <w:pPr>
              <w:spacing w:after="0"/>
              <w:rPr>
                <w:sz w:val="2"/>
                <w:szCs w:val="2"/>
                <w:color w:val="auto"/>
              </w:rPr>
            </w:pPr>
          </w:p>
        </w:tc>
      </w:tr>
      <w:tr>
        <w:trPr>
          <w:trHeight w:val="218"/>
        </w:trPr>
        <w:tc>
          <w:tcPr>
            <w:tcW w:w="6440" w:type="dxa"/>
            <w:vAlign w:val="bottom"/>
          </w:tcPr>
          <w:p>
            <w:pPr>
              <w:spacing w:after="0"/>
              <w:rPr>
                <w:sz w:val="18"/>
                <w:szCs w:val="18"/>
                <w:color w:val="auto"/>
              </w:rPr>
            </w:pPr>
          </w:p>
        </w:tc>
        <w:tc>
          <w:tcPr>
            <w:tcW w:w="4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Fair Value Measurement Using Significant Unobservable</w:t>
            </w:r>
          </w:p>
        </w:tc>
      </w:tr>
      <w:tr>
        <w:trPr>
          <w:trHeight w:val="234"/>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20"/>
                <w:szCs w:val="20"/>
                <w:color w:val="auto"/>
              </w:rPr>
            </w:pPr>
          </w:p>
        </w:tc>
        <w:tc>
          <w:tcPr>
            <w:tcW w:w="246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92"/>
              </w:rPr>
              <w:t>Inputs (Level 3)</w:t>
            </w:r>
          </w:p>
        </w:tc>
        <w:tc>
          <w:tcPr>
            <w:tcW w:w="580" w:type="dxa"/>
            <w:vAlign w:val="bottom"/>
          </w:tcPr>
          <w:p>
            <w:pPr>
              <w:spacing w:after="0"/>
              <w:rPr>
                <w:sz w:val="20"/>
                <w:szCs w:val="20"/>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44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640" w:firstLine="648"/>
        <w:spacing w:after="0" w:line="277" w:lineRule="auto"/>
        <w:rPr>
          <w:sz w:val="20"/>
          <w:szCs w:val="20"/>
          <w:color w:val="auto"/>
        </w:rPr>
      </w:pPr>
      <w:r>
        <w:rPr>
          <w:rFonts w:ascii="Arial" w:cs="Arial" w:eastAsia="Arial" w:hAnsi="Arial"/>
          <w:sz w:val="18"/>
          <w:szCs w:val="18"/>
          <w:color w:val="auto"/>
        </w:rPr>
        <w:t>There were losses of $3 million for the period included in earnings attributable to the change in unrealized losses relating to assets or liabilities still held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December 31, 2019, contracts valued with prices provided by models and other valuation techniques make up 10% of derivative liabilities.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679" w:right="239" w:bottom="1440" w:gutter="0" w:footer="0" w:header="0"/>
        </w:sectPr>
      </w:pPr>
    </w:p>
    <w:bookmarkStart w:id="107" w:name="page108"/>
    <w:bookmarkEnd w:id="107"/>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quantify the significant unobservable inputs used in developing the fair value of the Company's Level 3 positions as of December 31, 2019:</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6"/>
                <w:szCs w:val="16"/>
                <w:b w:val="1"/>
                <w:bCs w:val="1"/>
                <w:color w:val="auto"/>
              </w:rPr>
              <w:t>December 31, 2019</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Fair Value</w:t>
            </w:r>
          </w:p>
        </w:tc>
        <w:tc>
          <w:tcPr>
            <w:tcW w:w="1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Input/Range</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Valuation</w:t>
            </w:r>
          </w:p>
        </w:tc>
        <w:tc>
          <w:tcPr>
            <w:tcW w:w="1780" w:type="dxa"/>
            <w:vAlign w:val="bottom"/>
            <w:shd w:val="clear" w:color="auto" w:fill="CCEEFF"/>
          </w:tcPr>
          <w:p>
            <w:pPr>
              <w:jc w:val="center"/>
              <w:ind w:right="99"/>
              <w:spacing w:after="0"/>
              <w:rPr>
                <w:sz w:val="20"/>
                <w:szCs w:val="20"/>
                <w:color w:val="auto"/>
              </w:rPr>
            </w:pPr>
            <w:r>
              <w:rPr>
                <w:rFonts w:ascii="Arial" w:cs="Arial" w:eastAsia="Arial" w:hAnsi="Arial"/>
                <w:sz w:val="16"/>
                <w:szCs w:val="16"/>
                <w:b w:val="1"/>
                <w:bCs w:val="1"/>
                <w:color w:val="auto"/>
                <w:w w:val="92"/>
              </w:rPr>
              <w:t>Significant</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Assets</w:t>
            </w:r>
          </w:p>
        </w:tc>
        <w:tc>
          <w:tcPr>
            <w:tcW w:w="1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Liabilities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Technique</w:t>
            </w:r>
          </w:p>
        </w:tc>
        <w:tc>
          <w:tcPr>
            <w:tcW w:w="17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2"/>
              </w:rPr>
              <w:t>Unobservable Input</w:t>
            </w:r>
          </w:p>
        </w:tc>
        <w:tc>
          <w:tcPr>
            <w:tcW w:w="11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Low</w:t>
            </w:r>
          </w:p>
        </w:tc>
        <w:tc>
          <w:tcPr>
            <w:tcW w:w="13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b w:val="1"/>
                <w:bCs w:val="1"/>
                <w:color w:val="auto"/>
                <w:w w:val="95"/>
              </w:rPr>
              <w:t>High</w:t>
            </w:r>
          </w:p>
        </w:tc>
        <w:tc>
          <w:tcPr>
            <w:tcW w:w="11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31"/>
        </w:trPr>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Power Contracts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Discounted Cash</w:t>
            </w:r>
          </w:p>
        </w:tc>
        <w:tc>
          <w:tcPr>
            <w:tcW w:w="17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4"/>
              </w:rPr>
              <w:t>Forward Market Price</w:t>
            </w:r>
          </w:p>
        </w:tc>
        <w:tc>
          <w:tcPr>
            <w:tcW w:w="1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7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5"/>
              </w:rPr>
              <w:t>(per MWh)</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December 31, 2019:</w:t>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3"/>
              </w:rPr>
              <w:t>Impact on Fair Value</w:t>
            </w:r>
          </w:p>
        </w:tc>
      </w:tr>
      <w:tr>
        <w:trPr>
          <w:trHeight w:val="210"/>
        </w:trPr>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92"/>
              </w:rPr>
              <w:t>Significant Observable Input</w:t>
            </w:r>
          </w:p>
        </w:tc>
        <w:tc>
          <w:tcPr>
            <w:tcW w:w="2160" w:type="dxa"/>
            <w:vAlign w:val="bottom"/>
          </w:tcPr>
          <w:p>
            <w:pPr>
              <w:jc w:val="center"/>
              <w:ind w:left="179"/>
              <w:spacing w:after="0"/>
              <w:rPr>
                <w:sz w:val="20"/>
                <w:szCs w:val="20"/>
                <w:color w:val="auto"/>
              </w:rPr>
            </w:pPr>
            <w:r>
              <w:rPr>
                <w:rFonts w:ascii="Arial" w:cs="Arial" w:eastAsia="Arial" w:hAnsi="Arial"/>
                <w:sz w:val="16"/>
                <w:szCs w:val="16"/>
                <w:b w:val="1"/>
                <w:bCs w:val="1"/>
                <w:color w:val="auto"/>
                <w:w w:val="85"/>
              </w:rPr>
              <w:t>Position</w:t>
            </w:r>
          </w:p>
        </w:tc>
        <w:tc>
          <w:tcPr>
            <w:tcW w:w="2400" w:type="dxa"/>
            <w:vAlign w:val="bottom"/>
          </w:tcPr>
          <w:p>
            <w:pPr>
              <w:jc w:val="center"/>
              <w:ind w:left="139"/>
              <w:spacing w:after="0"/>
              <w:rPr>
                <w:sz w:val="20"/>
                <w:szCs w:val="20"/>
                <w:color w:val="auto"/>
              </w:rPr>
            </w:pPr>
            <w:r>
              <w:rPr>
                <w:rFonts w:ascii="Arial" w:cs="Arial" w:eastAsia="Arial" w:hAnsi="Arial"/>
                <w:sz w:val="16"/>
                <w:szCs w:val="16"/>
                <w:b w:val="1"/>
                <w:bCs w:val="1"/>
                <w:color w:val="auto"/>
                <w:w w:val="94"/>
              </w:rPr>
              <w:t>Change In Input</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Measurement</w:t>
            </w:r>
          </w:p>
        </w:tc>
      </w:tr>
      <w:tr>
        <w:trPr>
          <w:trHeight w:val="33"/>
        </w:trPr>
        <w:tc>
          <w:tcPr>
            <w:tcW w:w="39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Forward Market Price Power</w:t>
            </w:r>
          </w:p>
        </w:tc>
        <w:tc>
          <w:tcPr>
            <w:tcW w:w="2160" w:type="dxa"/>
            <w:vAlign w:val="bottom"/>
            <w:tcBorders>
              <w:bottom w:val="single" w:sz="8" w:color="CCEEFF"/>
            </w:tcBorders>
            <w:shd w:val="clear" w:color="auto" w:fill="CCEEFF"/>
          </w:tcPr>
          <w:p>
            <w:pPr>
              <w:jc w:val="center"/>
              <w:ind w:left="179"/>
              <w:spacing w:after="0"/>
              <w:rPr>
                <w:sz w:val="20"/>
                <w:szCs w:val="20"/>
                <w:color w:val="auto"/>
              </w:rPr>
            </w:pPr>
            <w:r>
              <w:rPr>
                <w:rFonts w:ascii="Arial" w:cs="Arial" w:eastAsia="Arial" w:hAnsi="Arial"/>
                <w:sz w:val="16"/>
                <w:szCs w:val="16"/>
                <w:color w:val="auto"/>
                <w:w w:val="94"/>
              </w:rPr>
              <w:t>Buy</w:t>
            </w:r>
          </w:p>
        </w:tc>
        <w:tc>
          <w:tcPr>
            <w:tcW w:w="240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89"/>
              </w:rPr>
              <w:t>Increase/(Decrease)</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Higher/(Lower)</w:t>
            </w:r>
          </w:p>
        </w:tc>
      </w:tr>
      <w:tr>
        <w:trPr>
          <w:trHeight w:val="224"/>
        </w:trPr>
        <w:tc>
          <w:tcPr>
            <w:tcW w:w="3900" w:type="dxa"/>
            <w:vAlign w:val="bottom"/>
          </w:tcPr>
          <w:p>
            <w:pPr>
              <w:jc w:val="center"/>
              <w:spacing w:after="0"/>
              <w:rPr>
                <w:sz w:val="20"/>
                <w:szCs w:val="20"/>
                <w:color w:val="auto"/>
              </w:rPr>
            </w:pPr>
            <w:r>
              <w:rPr>
                <w:rFonts w:ascii="Arial" w:cs="Arial" w:eastAsia="Arial" w:hAnsi="Arial"/>
                <w:sz w:val="16"/>
                <w:szCs w:val="16"/>
                <w:color w:val="auto"/>
                <w:w w:val="92"/>
              </w:rPr>
              <w:t>Forward Market Price Power</w:t>
            </w:r>
          </w:p>
        </w:tc>
        <w:tc>
          <w:tcPr>
            <w:tcW w:w="2160" w:type="dxa"/>
            <w:vAlign w:val="bottom"/>
          </w:tcPr>
          <w:p>
            <w:pPr>
              <w:jc w:val="center"/>
              <w:ind w:left="179"/>
              <w:spacing w:after="0"/>
              <w:rPr>
                <w:sz w:val="20"/>
                <w:szCs w:val="20"/>
                <w:color w:val="auto"/>
              </w:rPr>
            </w:pPr>
            <w:r>
              <w:rPr>
                <w:rFonts w:ascii="Arial" w:cs="Arial" w:eastAsia="Arial" w:hAnsi="Arial"/>
                <w:sz w:val="16"/>
                <w:szCs w:val="16"/>
                <w:color w:val="auto"/>
                <w:w w:val="97"/>
              </w:rPr>
              <w:t>Sell</w:t>
            </w:r>
          </w:p>
        </w:tc>
        <w:tc>
          <w:tcPr>
            <w:tcW w:w="2400" w:type="dxa"/>
            <w:vAlign w:val="bottom"/>
          </w:tcPr>
          <w:p>
            <w:pPr>
              <w:jc w:val="center"/>
              <w:ind w:left="139"/>
              <w:spacing w:after="0"/>
              <w:rPr>
                <w:sz w:val="20"/>
                <w:szCs w:val="20"/>
                <w:color w:val="auto"/>
              </w:rPr>
            </w:pPr>
            <w:r>
              <w:rPr>
                <w:rFonts w:ascii="Arial" w:cs="Arial" w:eastAsia="Arial" w:hAnsi="Arial"/>
                <w:sz w:val="16"/>
                <w:szCs w:val="16"/>
                <w:color w:val="auto"/>
                <w:w w:val="89"/>
              </w:rPr>
              <w:t>Increase/(Decrease)</w:t>
            </w:r>
          </w:p>
        </w:tc>
        <w:tc>
          <w:tcPr>
            <w:tcW w:w="2300" w:type="dxa"/>
            <w:vAlign w:val="bottom"/>
          </w:tcPr>
          <w:p>
            <w:pPr>
              <w:jc w:val="center"/>
              <w:spacing w:after="0"/>
              <w:rPr>
                <w:sz w:val="20"/>
                <w:szCs w:val="20"/>
                <w:color w:val="auto"/>
              </w:rPr>
            </w:pPr>
            <w:r>
              <w:rPr>
                <w:rFonts w:ascii="Arial" w:cs="Arial" w:eastAsia="Arial" w:hAnsi="Arial"/>
                <w:sz w:val="16"/>
                <w:szCs w:val="16"/>
                <w:color w:val="auto"/>
                <w:w w:val="96"/>
              </w:rPr>
              <w:t>Lower/(Higher)</w:t>
            </w:r>
          </w:p>
        </w:tc>
      </w:tr>
    </w:tbl>
    <w:p>
      <w:pPr>
        <w:spacing w:after="0" w:line="3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2019, the non-performance reserve was a $4 million gain recorded primarily to interest expense in the consolidated statement of operations. It is possible that future market prices could vary from those used in recording assets and liabilities and such variations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addition to the credit risk discussion as disclosed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679" w:right="239" w:bottom="1440" w:gutter="0" w:footer="0" w:header="0"/>
        </w:sectPr>
      </w:pPr>
    </w:p>
    <w:bookmarkStart w:id="108" w:name="page109"/>
    <w:bookmarkEnd w:id="108"/>
    <w:p>
      <w:pPr>
        <w:jc w:val="both"/>
        <w:spacing w:after="0" w:line="255" w:lineRule="auto"/>
        <w:rPr>
          <w:sz w:val="20"/>
          <w:szCs w:val="20"/>
          <w:color w:val="auto"/>
        </w:rPr>
      </w:pPr>
      <w:r>
        <w:rPr>
          <w:rFonts w:ascii="Arial" w:cs="Arial" w:eastAsia="Arial" w:hAnsi="Arial"/>
          <w:sz w:val="18"/>
          <w:szCs w:val="18"/>
          <w:color w:val="auto"/>
        </w:rPr>
        <w:t>and records its interest in the other solar facilities as equity method investments. The Company had $16 million in accounts receivable due from PG&amp;E for its consolidated projects, of which $5 million was recorded to non-current assets as of December 31, 2019. As of March 2, 2020, the Company's contracts with PG&amp;E have operated in the normal course and the Company currently expects these contracts to continue as such.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2019, the Company had forward contracts for the sale of electricity from renewable energy assets through 2029, forward contracts for the purchase of fuel commodities relating to the forecasted usage of the Company’s district energy centers extending through 2021, and electricity contracts to supply retail power to the Company's district energy centers extending through 2020. At December 31, 2019, these contracts were not designated as cash flow or fair value hedges.</w:t>
      </w:r>
    </w:p>
    <w:p>
      <w:pPr>
        <w:spacing w:after="0" w:line="13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Also, as of December 31, 2019, the Company had other energy-related contracts that did not meet the definition of a derivative instrument or qualified for the NPNS exception and were therefore exempt from fair value accounting treatment as follows:</w:t>
      </w:r>
    </w:p>
    <w:p>
      <w:pPr>
        <w:spacing w:after="0" w:line="11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Power purchase agreements through 2043,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Natural gas transportation contracts through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is exposed to changes in interest rates through the issuance of variable rate debt. In order to manage interest rate risk, it enters into interest rate swap agreements.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2019, the Company had interest rate derivative instruments on non-recourse debt extending through 2041, a portion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4"/>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December 31, 2019</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2018</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3"/>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Power</w:t>
            </w:r>
          </w:p>
        </w:tc>
        <w:tc>
          <w:tcPr>
            <w:tcW w:w="2360" w:type="dxa"/>
            <w:vAlign w:val="bottom"/>
            <w:gridSpan w:val="2"/>
          </w:tcPr>
          <w:p>
            <w:pPr>
              <w:spacing w:after="0"/>
              <w:rPr>
                <w:sz w:val="20"/>
                <w:szCs w:val="20"/>
                <w:color w:val="auto"/>
              </w:rPr>
            </w:pPr>
            <w:r>
              <w:rPr>
                <w:rFonts w:ascii="Arial" w:cs="Arial" w:eastAsia="Arial" w:hAnsi="Arial"/>
                <w:sz w:val="18"/>
                <w:szCs w:val="18"/>
                <w:color w:val="auto"/>
              </w:rPr>
              <w:t>MWh</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4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810"/>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80" w:type="dxa"/>
            <w:vAlign w:val="bottom"/>
          </w:tcPr>
          <w:p>
            <w:pPr>
              <w:jc w:val="right"/>
              <w:ind w:right="173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514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5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560" w:type="dxa"/>
            <w:vAlign w:val="bottom"/>
          </w:tcPr>
          <w:p>
            <w:pPr>
              <w:jc w:val="right"/>
              <w:ind w:right="135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5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5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5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Commodity contracts long-term</w:t>
            </w:r>
          </w:p>
        </w:tc>
        <w:tc>
          <w:tcPr>
            <w:tcW w:w="15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560" w:type="dxa"/>
            <w:vAlign w:val="bottom"/>
            <w:tcBorders>
              <w:top w:val="single" w:sz="8" w:color="auto"/>
              <w:bottom w:val="single" w:sz="8" w:color="auto"/>
            </w:tcBorders>
          </w:tcPr>
          <w:p>
            <w:pPr>
              <w:jc w:val="right"/>
              <w:ind w:right="135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9"/>
          <w:szCs w:val="9"/>
          <w:color w:val="auto"/>
        </w:rPr>
      </w:pPr>
      <w:r>
        <w:rPr>
          <w:rFonts w:ascii="Arial" w:cs="Arial" w:eastAsia="Arial" w:hAnsi="Arial"/>
          <w:sz w:val="14"/>
          <w:szCs w:val="14"/>
          <w:color w:val="auto"/>
        </w:rPr>
        <w:t>Derivative Asset balances classified as current are included within the prepayments and other current assets line item of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December 31, 2019 and 2018, there was no outstanding collateral paid or received. As of December 31, 2018, the commodity balances were not material. The following tables summarize the offsetting of derivatives by counterparty master agreement level: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1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900" w:type="dxa"/>
            <w:vAlign w:val="bottom"/>
          </w:tcPr>
          <w:p>
            <w:pPr>
              <w:spacing w:after="0"/>
              <w:rPr>
                <w:sz w:val="24"/>
                <w:szCs w:val="24"/>
                <w:color w:val="auto"/>
              </w:rPr>
            </w:pPr>
          </w:p>
        </w:tc>
        <w:tc>
          <w:tcPr>
            <w:tcW w:w="2060" w:type="dxa"/>
            <w:vAlign w:val="bottom"/>
            <w:gridSpan w:val="2"/>
          </w:tcPr>
          <w:p>
            <w:pPr>
              <w:jc w:val="right"/>
              <w:ind w:right="39"/>
              <w:spacing w:after="0"/>
              <w:rPr>
                <w:sz w:val="20"/>
                <w:szCs w:val="20"/>
                <w:color w:val="auto"/>
              </w:rPr>
            </w:pPr>
            <w:r>
              <w:rPr>
                <w:rFonts w:ascii="Arial" w:cs="Arial" w:eastAsia="Arial" w:hAnsi="Arial"/>
                <w:sz w:val="18"/>
                <w:szCs w:val="18"/>
                <w:color w:val="auto"/>
              </w:rPr>
              <w:t>109</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760" w:type="dxa"/>
            <w:vAlign w:val="bottom"/>
          </w:tcPr>
          <w:p>
            <w:pPr>
              <w:ind w:left="200"/>
              <w:spacing w:after="0"/>
              <w:rPr>
                <w:sz w:val="20"/>
                <w:szCs w:val="20"/>
                <w:color w:val="auto"/>
              </w:rPr>
            </w:pPr>
            <w:r>
              <w:rPr>
                <w:rFonts w:ascii="Arial" w:cs="Arial" w:eastAsia="Arial" w:hAnsi="Arial"/>
                <w:sz w:val="18"/>
                <w:szCs w:val="18"/>
                <w:color w:val="auto"/>
                <w:w w:val="98"/>
              </w:rPr>
              <w:t>Reclassified from accumulated OCL to income due to realization of previously deferred amounts</w:t>
            </w:r>
          </w:p>
        </w:tc>
        <w:tc>
          <w:tcPr>
            <w:tcW w:w="76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w:t>
            </w:r>
          </w:p>
        </w:tc>
      </w:tr>
      <w:tr>
        <w:trPr>
          <w:trHeight w:val="27"/>
        </w:trPr>
        <w:tc>
          <w:tcPr>
            <w:tcW w:w="7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9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 net of income tax benefit of $6, $7 and $9, respectively</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Inc.</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Losses expected to be realized from OCL during the next 12 months, net of income tax benefit of $3</w:t>
            </w:r>
          </w:p>
        </w:tc>
        <w:tc>
          <w:tcPr>
            <w:tcW w:w="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
        </w:trPr>
        <w:tc>
          <w:tcPr>
            <w:tcW w:w="77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marks these derivatives to market through the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years ended December 31, 2019, 2018 and 2017 the impact to the consolidated statements of income was a loss of $65 million, a gain of $15 million and a gain of $6 million, respectively.</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2019, Elbow Creek entered into a new long-term power hedge, and the impact to the Company's consolidated statement of operations was a $9 million loss for the period recorded in total operating revenues.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operations for these contracts.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2019 and 2018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116" w:lineRule="exact"/>
        <w:rPr>
          <w:sz w:val="20"/>
          <w:szCs w:val="20"/>
          <w:color w:val="auto"/>
        </w:rPr>
      </w:pPr>
    </w:p>
    <w:p>
      <w:pPr>
        <w:ind w:left="660" w:hanging="328"/>
        <w:spacing w:after="0" w:line="308" w:lineRule="auto"/>
        <w:tabs>
          <w:tab w:leader="none" w:pos="660"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PPAs </w:t>
      </w:r>
      <w:r>
        <w:rPr>
          <w:rFonts w:ascii="Arial" w:cs="Arial" w:eastAsia="Arial" w:hAnsi="Arial"/>
          <w:sz w:val="17"/>
          <w:szCs w:val="17"/>
          <w:color w:val="auto"/>
        </w:rPr>
        <w:t>— Established predominantly with the acquisitions of the Alta Wind Portfolio, Walnut Creek, Tapestry, Laredo Ridge and Carlsbad Energy</w:t>
      </w:r>
      <w:r>
        <w:rPr>
          <w:rFonts w:ascii="Arial" w:cs="Arial" w:eastAsia="Arial" w:hAnsi="Arial"/>
          <w:sz w:val="17"/>
          <w:szCs w:val="17"/>
          <w:i w:val="1"/>
          <w:iCs w:val="1"/>
          <w:color w:val="auto"/>
        </w:rPr>
        <w:t xml:space="preserve"> </w:t>
      </w:r>
      <w:r>
        <w:rPr>
          <w:rFonts w:ascii="Arial" w:cs="Arial" w:eastAsia="Arial" w:hAnsi="Arial"/>
          <w:sz w:val="17"/>
          <w:szCs w:val="17"/>
          <w:color w:val="auto"/>
        </w:rPr>
        <w:t>Center. These represent the fair value of the PPAs acquired. These are amortized on a straight-line basis, over the term of the PPA.</w:t>
      </w:r>
    </w:p>
    <w:p>
      <w:pPr>
        <w:spacing w:after="0" w:line="38" w:lineRule="exact"/>
        <w:rPr>
          <w:rFonts w:ascii="Arial" w:cs="Arial" w:eastAsia="Arial" w:hAnsi="Arial"/>
          <w:sz w:val="17"/>
          <w:szCs w:val="17"/>
          <w:i w:val="1"/>
          <w:iCs w:val="1"/>
          <w:color w:val="auto"/>
        </w:rPr>
      </w:pPr>
    </w:p>
    <w:p>
      <w:pPr>
        <w:ind w:left="660" w:hanging="328"/>
        <w:spacing w:after="0" w:line="264" w:lineRule="auto"/>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These are amortized as a reduction to operating revenue on a straight-line basis over the term of the PPAs.</w:t>
      </w:r>
    </w:p>
    <w:p>
      <w:pPr>
        <w:spacing w:after="0" w:line="73" w:lineRule="exact"/>
        <w:rPr>
          <w:rFonts w:ascii="Arial" w:cs="Arial" w:eastAsia="Arial" w:hAnsi="Arial"/>
          <w:sz w:val="18"/>
          <w:szCs w:val="18"/>
          <w:i w:val="1"/>
          <w:iCs w:val="1"/>
          <w:color w:val="auto"/>
        </w:rPr>
      </w:pPr>
    </w:p>
    <w:p>
      <w:pPr>
        <w:ind w:left="660" w:right="80" w:hanging="328"/>
        <w:spacing w:after="0" w:line="28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Customer relationships </w:t>
      </w:r>
      <w:r>
        <w:rPr>
          <w:rFonts w:ascii="Arial" w:cs="Arial" w:eastAsia="Arial" w:hAnsi="Arial"/>
          <w:sz w:val="17"/>
          <w:szCs w:val="17"/>
          <w:color w:val="auto"/>
        </w:rPr>
        <w:t>— Established with the acquisition of Energy Center Omaha and Energy Center Phoenix, these intangibles represent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at the acquisition date of the businesses' customer base. The customer relationships related to Energy Center Omaha are amortized as a reduction to operating revenue, which approximates the expected discounted future net cash flows by year.</w:t>
      </w:r>
    </w:p>
    <w:p>
      <w:pPr>
        <w:spacing w:after="0" w:line="57"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 contracts </w:t>
      </w:r>
      <w:r>
        <w:rPr>
          <w:rFonts w:ascii="Arial" w:cs="Arial" w:eastAsia="Arial" w:hAnsi="Arial"/>
          <w:sz w:val="18"/>
          <w:szCs w:val="18"/>
          <w:color w:val="auto"/>
        </w:rPr>
        <w:t>— Established with the acquisition of Energy Center Phoenix, these intangibles represent the fair value at the acquisition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primarily provide chilled water, steam and electricity to its customers.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79"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color w:val="auto"/>
        </w:rPr>
        <w:t>These contracts are amortized to revenues based on expected volumes.</w:t>
      </w:r>
    </w:p>
    <w:p>
      <w:pPr>
        <w:spacing w:after="0" w:line="30" w:lineRule="exact"/>
        <w:rPr>
          <w:sz w:val="20"/>
          <w:szCs w:val="20"/>
          <w:color w:val="auto"/>
        </w:rPr>
      </w:pPr>
    </w:p>
    <w:p>
      <w:pPr>
        <w:jc w:val="both"/>
        <w:ind w:left="660" w:hanging="328"/>
        <w:spacing w:after="0" w:line="276" w:lineRule="auto"/>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Walnut Creek</w:t>
      </w:r>
      <w:r>
        <w:rPr>
          <w:rFonts w:ascii="Arial" w:cs="Arial" w:eastAsia="Arial" w:hAnsi="Arial"/>
          <w:sz w:val="18"/>
          <w:szCs w:val="18"/>
          <w:i w:val="1"/>
          <w:iCs w:val="1"/>
          <w:color w:val="auto"/>
        </w:rPr>
        <w:t xml:space="preserve"> </w:t>
      </w:r>
      <w:r>
        <w:rPr>
          <w:rFonts w:ascii="Arial" w:cs="Arial" w:eastAsia="Arial" w:hAnsi="Arial"/>
          <w:sz w:val="18"/>
          <w:szCs w:val="18"/>
          <w:color w:val="auto"/>
        </w:rPr>
        <w:t>and Carlsbad Energy Center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12"/>
          <w:szCs w:val="12"/>
          <w:color w:val="auto"/>
        </w:rPr>
        <w:t>2</w:t>
      </w:r>
      <w:r>
        <w:rPr>
          <w:rFonts w:ascii="Arial" w:cs="Arial" w:eastAsia="Arial" w:hAnsi="Arial"/>
          <w:sz w:val="18"/>
          <w:szCs w:val="18"/>
          <w:color w:val="auto"/>
        </w:rPr>
        <w:t xml:space="preserve"> allowances amortized based on units of production.</w:t>
      </w:r>
    </w:p>
    <w:p>
      <w:pPr>
        <w:spacing w:after="0" w:line="6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b) development rights related to certain solar businesses acquired in 2010 and 2011.</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20" w:type="dxa"/>
            <w:vAlign w:val="bottom"/>
          </w:tcPr>
          <w:p>
            <w:pPr>
              <w:spacing w:after="0"/>
              <w:rPr>
                <w:sz w:val="14"/>
                <w:szCs w:val="14"/>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Leasehold Rights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Customer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Emission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Allowances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9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January 1, 2019</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Acquisition of Carlsbad Energy Center</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December 31, 2019</w:t>
            </w: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1,283</w:t>
            </w: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20" w:type="dxa"/>
            <w:vAlign w:val="bottom"/>
          </w:tcPr>
          <w:p>
            <w:pPr>
              <w:spacing w:after="0"/>
              <w:rPr>
                <w:sz w:val="24"/>
                <w:szCs w:val="24"/>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9"/>
              </w:rPr>
              <w:t>Leasehold Rights</w:t>
            </w:r>
          </w:p>
        </w:tc>
        <w:tc>
          <w:tcPr>
            <w:tcW w:w="18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Customer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Emission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Allowances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9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December 31, 2018</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recorded amortization expense of $73 million during the year ended December 31, 2019 and $71 million for the years ended December 31, 2018 and December 31, 2017. Of these amounts, $72 million for the year ended December 31, 2019 and $70 million for the years ended December 31, 2018 and December 31, 2017, were recorded to contract amortization expense and reduced operating revenues in the consolidated statements of operations. The Company estimates the future amortization expense for its intangibles for the next five years as follows:</w:t>
      </w:r>
    </w:p>
    <w:p>
      <w:pPr>
        <w:spacing w:after="0" w:line="294" w:lineRule="exact"/>
        <w:rPr>
          <w:sz w:val="20"/>
          <w:szCs w:val="20"/>
          <w:color w:val="auto"/>
        </w:rPr>
      </w:pPr>
    </w:p>
    <w:tbl>
      <w:tblPr>
        <w:tblLayout w:type="fixed"/>
        <w:tblInd w:w="348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2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487"/>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jc w:val="right"/>
              <w:ind w:right="2319"/>
              <w:spacing w:after="0"/>
              <w:rPr>
                <w:sz w:val="20"/>
                <w:szCs w:val="20"/>
                <w:color w:val="auto"/>
              </w:rPr>
            </w:pPr>
            <w:r>
              <w:rPr>
                <w:rFonts w:ascii="Arial" w:cs="Arial" w:eastAsia="Arial" w:hAnsi="Arial"/>
                <w:sz w:val="16"/>
                <w:szCs w:val="16"/>
                <w:color w:val="auto"/>
                <w:w w:val="95"/>
              </w:rPr>
              <w:t>2021</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4"/>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2022</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jc w:val="right"/>
              <w:ind w:right="2319"/>
              <w:spacing w:after="0"/>
              <w:rPr>
                <w:sz w:val="20"/>
                <w:szCs w:val="20"/>
                <w:color w:val="auto"/>
              </w:rPr>
            </w:pPr>
            <w:r>
              <w:rPr>
                <w:rFonts w:ascii="Arial" w:cs="Arial" w:eastAsia="Arial" w:hAnsi="Arial"/>
                <w:sz w:val="16"/>
                <w:szCs w:val="16"/>
                <w:color w:val="auto"/>
                <w:w w:val="95"/>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24"/>
        </w:trPr>
        <w:tc>
          <w:tcPr>
            <w:tcW w:w="2760" w:type="dxa"/>
            <w:vAlign w:val="bottom"/>
          </w:tcPr>
          <w:p>
            <w:pPr>
              <w:jc w:val="right"/>
              <w:ind w:right="2319"/>
              <w:spacing w:after="0"/>
              <w:rPr>
                <w:sz w:val="20"/>
                <w:szCs w:val="20"/>
                <w:color w:val="auto"/>
              </w:rPr>
            </w:pPr>
            <w:r>
              <w:rPr>
                <w:rFonts w:ascii="Arial" w:cs="Arial" w:eastAsia="Arial" w:hAnsi="Arial"/>
                <w:sz w:val="16"/>
                <w:szCs w:val="16"/>
                <w:color w:val="auto"/>
                <w:w w:val="95"/>
              </w:rPr>
              <w:t>2024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Asset Impairments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Impairment Losses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ectPr>
          <w:pgSz w:w="11900" w:h="16838" w:orient="portrait"/>
          <w:cols w:equalWidth="0" w:num="1">
            <w:col w:w="11420"/>
          </w:cols>
          <w:pgMar w:left="240" w:top="679"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679" w:right="239" w:bottom="1440" w:gutter="0" w:footer="0" w:header="0"/>
          <w:type w:val="continuous"/>
        </w:sectPr>
      </w:pPr>
    </w:p>
    <w:bookmarkStart w:id="112" w:name="page113"/>
    <w:bookmarkEnd w:id="112"/>
    <w:p>
      <w:pPr>
        <w:jc w:val="both"/>
        <w:ind w:firstLine="405"/>
        <w:spacing w:after="0" w:line="273" w:lineRule="auto"/>
        <w:rPr>
          <w:sz w:val="20"/>
          <w:szCs w:val="20"/>
          <w:color w:val="auto"/>
        </w:rPr>
      </w:pPr>
      <w:r>
        <w:rPr>
          <w:rFonts w:ascii="Arial" w:cs="Arial" w:eastAsia="Arial" w:hAnsi="Arial"/>
          <w:sz w:val="17"/>
          <w:szCs w:val="17"/>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from the Renewables segment no longer supported the recoverability of the related long-lived asset. As such, the Company recorded an impairment loss of $14 million to reflect the assets at fair market value.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Losses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fourth quarter of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8"/>
          <w:szCs w:val="18"/>
          <w:i w:val="1"/>
          <w:iCs w:val="1"/>
          <w:color w:val="auto"/>
        </w:rPr>
        <w:t>Intangible Assets</w:t>
      </w:r>
      <w:r>
        <w:rPr>
          <w:rFonts w:ascii="Arial" w:cs="Arial" w:eastAsia="Arial" w:hAnsi="Arial"/>
          <w:sz w:val="18"/>
          <w:szCs w:val="18"/>
          <w:color w:val="auto"/>
        </w:rPr>
        <w:t>. In accordance with the guidance for transfer of assets under common control, the impairment is reflected in the pre-acquisition net income of Drop Down Assets of the Company's consolidated statements of operations for the period ended December 31, 2017.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679"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10 — Long-term Debt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borrowings, including short term and long term portions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Letters of Credit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8"/>
                <w:szCs w:val="8"/>
                <w:b w:val="1"/>
                <w:bCs w:val="1"/>
                <w:color w:val="auto"/>
              </w:rPr>
              <w:t>(a)</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at December</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31, 2019</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(In millions, except rates)</w:t>
            </w: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 Convertible Notes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2020 Convertible Notes</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2024 Senior Notes </w:t>
            </w:r>
            <w:r>
              <w:rPr>
                <w:rFonts w:ascii="Arial" w:cs="Arial" w:eastAsia="Arial" w:hAnsi="Arial"/>
                <w:sz w:val="8"/>
                <w:szCs w:val="8"/>
                <w:color w:val="auto"/>
              </w:rPr>
              <w:t>(b)</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40"/>
              <w:spacing w:after="0"/>
              <w:rPr>
                <w:sz w:val="20"/>
                <w:szCs w:val="20"/>
                <w:color w:val="auto"/>
              </w:rPr>
            </w:pPr>
            <w:r>
              <w:rPr>
                <w:rFonts w:ascii="Arial" w:cs="Arial" w:eastAsia="Arial" w:hAnsi="Arial"/>
                <w:sz w:val="14"/>
                <w:szCs w:val="14"/>
                <w:color w:val="auto"/>
              </w:rPr>
              <w:t>2025 Senior Notes</w:t>
            </w:r>
          </w:p>
        </w:tc>
        <w:tc>
          <w:tcPr>
            <w:tcW w:w="44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2026 Senior Notes</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2028 Senior Notes</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Clearway Energy LLC and Clearway Energy Operating LLC Revolving Credit Facility, due</w:t>
            </w: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2019 </w:t>
            </w:r>
            <w:r>
              <w:rPr>
                <w:rFonts w:ascii="Arial" w:cs="Arial" w:eastAsia="Arial" w:hAnsi="Arial"/>
                <w:sz w:val="8"/>
                <w:szCs w:val="8"/>
                <w:color w:val="auto"/>
              </w:rPr>
              <w:t>(c)</w:t>
            </w:r>
          </w:p>
        </w:tc>
        <w:tc>
          <w:tcPr>
            <w:tcW w:w="4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Project-level debt:</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Agua Caliente Borrower 2, due 2038 </w:t>
            </w:r>
            <w:r>
              <w:rPr>
                <w:rFonts w:ascii="Arial" w:cs="Arial" w:eastAsia="Arial" w:hAnsi="Arial"/>
                <w:sz w:val="8"/>
                <w:szCs w:val="8"/>
                <w:color w:val="auto"/>
              </w:rPr>
              <w:t>(d)</w:t>
            </w:r>
          </w:p>
        </w:tc>
        <w:tc>
          <w:tcPr>
            <w:tcW w:w="4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 xml:space="preserve">Alpine, due 2022 </w:t>
            </w:r>
            <w:r>
              <w:rPr>
                <w:rFonts w:ascii="Arial" w:cs="Arial" w:eastAsia="Arial" w:hAnsi="Arial"/>
                <w:sz w:val="8"/>
                <w:szCs w:val="8"/>
                <w:color w:val="auto"/>
              </w:rPr>
              <w:t>(d)</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L+2.00</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 - V lease financing arrangements, due 2034 and 2035</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886</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5.696 - 7.015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Buckthorn Solar, due 2025</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Carlsbad Holdco, due 2038</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Carlsbad Energy Holdings LLC, due 2027</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 +1.625/4.12</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CVSR, due 2037 </w:t>
            </w:r>
            <w:r>
              <w:rPr>
                <w:rFonts w:ascii="Arial" w:cs="Arial" w:eastAsia="Arial" w:hAnsi="Arial"/>
                <w:sz w:val="8"/>
                <w:szCs w:val="8"/>
                <w:color w:val="auto"/>
              </w:rPr>
              <w:t>(d)</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 xml:space="preserve">CVSR Holdco Notes, due 2037 </w:t>
            </w:r>
            <w:r>
              <w:rPr>
                <w:rFonts w:ascii="Arial" w:cs="Arial" w:eastAsia="Arial" w:hAnsi="Arial"/>
                <w:sz w:val="8"/>
                <w:szCs w:val="8"/>
                <w:color w:val="auto"/>
              </w:rPr>
              <w:t>(d)</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Duquesne, due 2059</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El Segundo Energy Center, due 2023</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L+1.75 - L+2.375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Center Minneapolis Series D, E, F, G, H Notes, due 2025-2037</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various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Laredo Ridge, due 2028</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L+2.125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Kansas South, due 2030 </w:t>
            </w:r>
            <w:r>
              <w:rPr>
                <w:rFonts w:ascii="Arial" w:cs="Arial" w:eastAsia="Arial" w:hAnsi="Arial"/>
                <w:sz w:val="8"/>
                <w:szCs w:val="8"/>
                <w:color w:val="auto"/>
              </w:rPr>
              <w:t>(d)</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L+2.25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Kawailoa Solar Holdings LLC, due 2026</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Marsh Landing, due 2023 </w:t>
            </w:r>
            <w:r>
              <w:rPr>
                <w:rFonts w:ascii="Arial" w:cs="Arial" w:eastAsia="Arial" w:hAnsi="Arial"/>
                <w:sz w:val="8"/>
                <w:szCs w:val="8"/>
                <w:color w:val="auto"/>
              </w:rPr>
              <w:t>(d)</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L+2.125</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Oahu Solar Holdings LLC, due 2026</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Repowering Partnership Holdco LLC, due 2020</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L+.85</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5360" w:type="dxa"/>
            <w:vAlign w:val="bottom"/>
          </w:tcPr>
          <w:p>
            <w:pPr>
              <w:ind w:left="40"/>
              <w:spacing w:after="0"/>
              <w:rPr>
                <w:sz w:val="20"/>
                <w:szCs w:val="20"/>
                <w:color w:val="auto"/>
              </w:rPr>
            </w:pPr>
            <w:r>
              <w:rPr>
                <w:rFonts w:ascii="Arial" w:cs="Arial" w:eastAsia="Arial" w:hAnsi="Arial"/>
                <w:sz w:val="14"/>
                <w:szCs w:val="14"/>
                <w:color w:val="auto"/>
              </w:rPr>
              <w:t>South Trent Wind, due 2028</w:t>
            </w:r>
          </w:p>
        </w:tc>
        <w:tc>
          <w:tcPr>
            <w:tcW w:w="44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L+1.350</w:t>
            </w:r>
          </w:p>
        </w:tc>
        <w:tc>
          <w:tcPr>
            <w:tcW w:w="20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Tapestry, due 2031</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Utah Solar Portfolio, due 2022</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L+2.625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Viento, due 2023</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3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L+2.00</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Walnut Creek, due 2023</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34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L+1.75</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various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Subtotal project-level debt</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4,329</w:t>
            </w:r>
          </w:p>
        </w:tc>
        <w:tc>
          <w:tcPr>
            <w:tcW w:w="3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6,858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6,044</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Less current maturities</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w:t>
            </w: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debt issuance costs</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 xml:space="preserve">Less discounts </w:t>
            </w:r>
            <w:r>
              <w:rPr>
                <w:rFonts w:ascii="Arial" w:cs="Arial" w:eastAsia="Arial" w:hAnsi="Arial"/>
                <w:sz w:val="8"/>
                <w:szCs w:val="8"/>
                <w:color w:val="auto"/>
              </w:rPr>
              <w:t>(e)</w:t>
            </w:r>
          </w:p>
        </w:tc>
        <w:tc>
          <w:tcPr>
            <w:tcW w:w="44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long-term debt</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97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6" w:lineRule="exact"/>
        <w:rPr>
          <w:sz w:val="20"/>
          <w:szCs w:val="20"/>
          <w:color w:val="auto"/>
        </w:rPr>
      </w:pPr>
    </w:p>
    <w:p>
      <w:pPr>
        <w:ind w:left="260" w:hanging="252"/>
        <w:spacing w:after="0" w:line="236" w:lineRule="auto"/>
        <w:tabs>
          <w:tab w:leader="none" w:pos="157" w:val="left"/>
        </w:tabs>
        <w:numPr>
          <w:ilvl w:val="0"/>
          <w:numId w:val="58"/>
        </w:numPr>
        <w:rPr>
          <w:rFonts w:ascii="Arial" w:cs="Arial" w:eastAsia="Arial" w:hAnsi="Arial"/>
          <w:sz w:val="9"/>
          <w:szCs w:val="9"/>
          <w:color w:val="auto"/>
        </w:rPr>
      </w:pPr>
      <w:r>
        <w:rPr>
          <w:rFonts w:ascii="Arial" w:cs="Arial" w:eastAsia="Arial" w:hAnsi="Arial"/>
          <w:sz w:val="14"/>
          <w:szCs w:val="14"/>
          <w:color w:val="auto"/>
        </w:rPr>
        <w:t>As of December 31, 2019, L+ equals 3 month LIBOR plus x%, except for Viento, due 2023 and Kansas South, due 2030; where L+ equals 6 month LIBOR plus 2.00% and Utah Solar Portfolio and Repowering Partnership Holdco LLC, where L+equals 1 month LIBOR plus x%</w:t>
      </w:r>
    </w:p>
    <w:p>
      <w:pPr>
        <w:spacing w:after="0" w:line="7" w:lineRule="exact"/>
        <w:rPr>
          <w:rFonts w:ascii="Arial" w:cs="Arial" w:eastAsia="Arial" w:hAnsi="Arial"/>
          <w:sz w:val="9"/>
          <w:szCs w:val="9"/>
          <w:color w:val="auto"/>
        </w:rPr>
      </w:pP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4"/>
          <w:szCs w:val="14"/>
          <w:color w:val="auto"/>
        </w:rPr>
        <w:t>Repurchased in January 2020 as part of the 2024 Senior Notes Tender Offer, as further described below</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4"/>
          <w:szCs w:val="14"/>
          <w:color w:val="auto"/>
        </w:rPr>
        <w:t>Applicable rate is determined by the borrower leverage ratio, as defined in the credit agreement</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4"/>
          <w:szCs w:val="14"/>
          <w:color w:val="auto"/>
        </w:rPr>
        <w:t>Entities affected by PG&amp;E Bankruptcy, see further discussion below</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4"/>
          <w:szCs w:val="14"/>
          <w:color w:val="auto"/>
        </w:rPr>
        <w:t>Discounts relate to the 2020 Convertible Notes</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December 31, 2019, the Company was in compliance with all of the required covenants.</w:t>
      </w:r>
    </w:p>
    <w:p>
      <w:pPr>
        <w:sectPr>
          <w:pgSz w:w="11900" w:h="16838" w:orient="portrait"/>
          <w:cols w:equalWidth="0" w:num="1">
            <w:col w:w="11420"/>
          </w:cols>
          <w:pgMar w:left="240" w:top="67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675" w:right="239" w:bottom="1440" w:gutter="0" w:footer="0" w:header="0"/>
          <w:type w:val="continuous"/>
        </w:sectPr>
      </w:pPr>
    </w:p>
    <w:bookmarkStart w:id="114" w:name="page115"/>
    <w:bookmarkEnd w:id="114"/>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L+1.75% as of December 31, 2019. The facility will continue to be used for general corporate purposes including financing of future acquisitions and posting letters of credit.</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made borrowings in the amount $152 million during the year ended December 31, 2019 under the revolving credit facility in order to partially finance the Carlsbad Drop Down acquisition, as well as for general business purposes. </w:t>
      </w:r>
      <w:r>
        <w:rPr>
          <w:rFonts w:ascii="Arial" w:cs="Arial" w:eastAsia="Arial" w:hAnsi="Arial"/>
          <w:sz w:val="18"/>
          <w:szCs w:val="18"/>
          <w:color w:val="231F20"/>
        </w:rPr>
        <w:t>As of</w:t>
      </w:r>
      <w:r>
        <w:rPr>
          <w:rFonts w:ascii="Arial" w:cs="Arial" w:eastAsia="Arial" w:hAnsi="Arial"/>
          <w:sz w:val="18"/>
          <w:szCs w:val="18"/>
          <w:color w:val="auto"/>
        </w:rPr>
        <w:t xml:space="preserve"> December 31, 2019</w:t>
      </w:r>
      <w:r>
        <w:rPr>
          <w:rFonts w:ascii="Arial" w:cs="Arial" w:eastAsia="Arial" w:hAnsi="Arial"/>
          <w:sz w:val="18"/>
          <w:szCs w:val="18"/>
          <w:color w:val="231F20"/>
        </w:rPr>
        <w:t>, there were no outstanding</w:t>
      </w:r>
      <w:r>
        <w:rPr>
          <w:rFonts w:ascii="Arial" w:cs="Arial" w:eastAsia="Arial" w:hAnsi="Arial"/>
          <w:sz w:val="18"/>
          <w:szCs w:val="18"/>
          <w:color w:val="auto"/>
        </w:rPr>
        <w:t xml:space="preserve"> </w:t>
      </w:r>
      <w:r>
        <w:rPr>
          <w:rFonts w:ascii="Arial" w:cs="Arial" w:eastAsia="Arial" w:hAnsi="Arial"/>
          <w:sz w:val="18"/>
          <w:szCs w:val="18"/>
          <w:color w:val="231F20"/>
        </w:rPr>
        <w:t xml:space="preserve">borrowings under the revolving credit facility and the Company had $70 million of letters of credit outstanding. </w:t>
      </w:r>
      <w:r>
        <w:rPr>
          <w:rFonts w:ascii="Arial" w:cs="Arial" w:eastAsia="Arial" w:hAnsi="Arial"/>
          <w:sz w:val="18"/>
          <w:szCs w:val="18"/>
          <w:color w:val="000000"/>
        </w:rPr>
        <w:t>The Company had $170 million outstanding</w:t>
      </w:r>
      <w:r>
        <w:rPr>
          <w:rFonts w:ascii="Arial" w:cs="Arial" w:eastAsia="Arial" w:hAnsi="Arial"/>
          <w:sz w:val="18"/>
          <w:szCs w:val="18"/>
          <w:color w:val="231F20"/>
        </w:rPr>
        <w:t xml:space="preserve"> </w:t>
      </w:r>
      <w:r>
        <w:rPr>
          <w:rFonts w:ascii="Arial" w:cs="Arial" w:eastAsia="Arial" w:hAnsi="Arial"/>
          <w:sz w:val="18"/>
          <w:szCs w:val="18"/>
          <w:color w:val="000000"/>
        </w:rPr>
        <w:t>under the revolving credit facility and a total of $69 million in letters of credit outstanding as of February 24, 2020.</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11, 2019, Clearway Energy Operating LLC completed the sale of $600 million aggregate principal amount of Senior Unsecured Notes due 2028, or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2028 Senior Notes were partially used to repay the 2024 Senior Notes, as further described below.</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2024 Senior Notes Tender Offer</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13, 2019, the Company repurchased an aggregate principal amount of $412 million or 82.4%, of the 2024 Senior Notes as part of the previously cash tender offer announced on December 11, 2019. Concurrently with the launch of the tender offer, the Company exercised its right to optionally redeem any 2024 Senior Notes not validly tendered and purchased in the tender offer, pursuant to the terms of the indenture governing the 2024 Senior Notes. The redemption of the Senior Notes due 2024 in December were effectuated at a premium of 103% for a total consideration of $424 million and as a result, the Company recorded a loss on extinguishment in the amount of $12 million. In addition, the Company recorded a $2 million debt extinguishment loss in connection with the write off of the deferred financing fees related to the 2024 Senior Notes. The redemption of the remaining $88 million of outstanding 2024 Senior Notes occurred on January 3, 2020.</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The 2025 Senior Notes are unsecured obligations of Clearway Energy Operating LLC and are guaranteed by Clearway Energy LLC and by certain of Clearway Energy Operating LLC's wholly owned current and future subsidiaries. The proceeds from the 2025 Senior Notes were partially used to repay the 2019 Convertible Notes.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2020 Convertible Senior Notes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outstanding $45 million aggregate principal amount of 3.25% Convertible Senior Notes due 2020, or the 2020 Convertible Notes. The 2020 Convertible Notes are convertible into cash at an initial conversion price of $27.50 per Class C common share, which is equivalent to a conversion rate of approximately 36.3636 shares of Class C common stock per $1,000 principal amount of notes. Interest on the 2020 Convertible Notes is payable semi-annually in arrears on June 1 and December 1 of each year. The 2020 Convertible Notes are convertible at any time until the close of business on the second scheduled trading day immediately preceding the maturity date. The 2020 Convertible Notes are guaranteed by Clearway Energy Operating LLC and Clearway Energy LLC.</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separately accounts for the liability (debt) and equity (conversion option) components of the 2020 Convertible Notes and recognized $23 million as the value for the equity component in 2015 with the offset to debt discount. The debt discount is amortized to interest expense using the effective interest method through its maturity date of June 2020.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679" w:right="239" w:bottom="1440" w:gutter="0" w:footer="0" w:header="0"/>
        </w:sectPr>
      </w:pPr>
    </w:p>
    <w:bookmarkStart w:id="115" w:name="page116"/>
    <w:bookmarkEnd w:id="115"/>
    <w:p>
      <w:pPr>
        <w:jc w:val="both"/>
        <w:ind w:firstLine="324"/>
        <w:spacing w:after="0" w:line="264" w:lineRule="auto"/>
        <w:rPr>
          <w:sz w:val="20"/>
          <w:szCs w:val="20"/>
          <w:color w:val="auto"/>
        </w:rPr>
      </w:pPr>
      <w:r>
        <w:rPr>
          <w:rFonts w:ascii="Arial" w:cs="Arial" w:eastAsia="Arial" w:hAnsi="Arial"/>
          <w:sz w:val="18"/>
          <w:szCs w:val="18"/>
          <w:color w:val="auto"/>
        </w:rPr>
        <w:t>As a result of the tender offer effectuated on September 10, 2018, an aggregate principal amount of $243 million of the 2020 Convertible Notes were tendered on or prior to the expiration date of October 9, 2018 and accepted by the Company for purchase. The Company recorded a loss on extinguishment in the amount $7 million primarily related to the repurchase of the 2020 Convertible Notes.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2019, the 2020 Convertible Notes were trading at approximately 99.55% of their face value, resulting in a total market value of $44 million. The actual conversion value of the 2020 Convertible Notes is based on the product of the conversion rate and the market price of the Company's Class C common stock, as defined in the 2020 Convertible Notes indenture. As of December 31, 2019, the Company's Class C common stock closed at $19.95 per share, resulting in a pro forma conversion value for the 2020 Convertible Notes of approximately $32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2018, the Company repurchased an aggregate principal amount of $16 million of the 2019 Convertible Notes in open market transactions. The repurchases were funded through a partial repayment of the intercompany note between Clearway Energy Operating LLC and Clearway Energy, Inc., which was reduced by $16 million.</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10, 2018, pursuant to the tender offer, an aggregate principal amount of $109 million of the 2019 Convertible Notes were tendered on or prior to the expiration date of October 9, 2018 and accepted by the Company for purchase.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2019, the Company repurchased an additional aggregate principal amount of $50 million of the 2019 Convertible Notes in open market transactions. The repurchase was funded through a partial repayment of the intercompany note between Clearway Energy Operating LLC and Clearway Energy, Inc., which was reduced by $50 million.</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2019 Convertible Notes matured on February 1, 2019 and the Company paid off the remaining balance of an aggregate principal amount of $170 million.</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years ended December 31, 2019 and 2018, the Company recorded the following expenses in relation to the 2020 and 2019 Convertible Notes on a combined basis at the effective rates of 5.10% and 5.00%,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6"/>
                <w:szCs w:val="16"/>
                <w:color w:val="auto"/>
              </w:rPr>
            </w:pPr>
          </w:p>
        </w:tc>
        <w:tc>
          <w:tcPr>
            <w:tcW w:w="148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62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(a)</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Debt discount amortization</w:t>
            </w: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37"/>
        </w:trPr>
        <w:tc>
          <w:tcPr>
            <w:tcW w:w="62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6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163195</wp:posOffset>
            </wp:positionV>
            <wp:extent cx="1629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39" w:lineRule="exact"/>
        <w:rPr>
          <w:sz w:val="20"/>
          <w:szCs w:val="20"/>
          <w:color w:val="auto"/>
        </w:rPr>
      </w:pPr>
    </w:p>
    <w:p>
      <w:pPr>
        <w:ind w:left="540" w:hanging="127"/>
        <w:spacing w:after="0"/>
        <w:tabs>
          <w:tab w:leader="none" w:pos="540" w:val="left"/>
        </w:tabs>
        <w:numPr>
          <w:ilvl w:val="0"/>
          <w:numId w:val="59"/>
        </w:numPr>
        <w:rPr>
          <w:rFonts w:ascii="Arial" w:cs="Arial" w:eastAsia="Arial" w:hAnsi="Arial"/>
          <w:sz w:val="9"/>
          <w:szCs w:val="9"/>
          <w:color w:val="auto"/>
        </w:rPr>
      </w:pPr>
      <w:r>
        <w:rPr>
          <w:rFonts w:ascii="Arial" w:cs="Arial" w:eastAsia="Arial" w:hAnsi="Arial"/>
          <w:sz w:val="14"/>
          <w:szCs w:val="14"/>
          <w:color w:val="auto"/>
        </w:rPr>
        <w:t>Interest expense is calculated using coupon rate of 3.25% and 3.50% for 2020 and 2019 Convertible Notes,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level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 xml:space="preserve">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on January 29, 2019</w:t>
      </w:r>
      <w:r>
        <w:rPr>
          <w:rFonts w:ascii="Arial" w:cs="Arial" w:eastAsia="Arial" w:hAnsi="Arial"/>
          <w:sz w:val="16"/>
          <w:szCs w:val="16"/>
          <w:i w:val="1"/>
          <w:iCs w:val="1"/>
          <w:color w:val="auto"/>
        </w:rPr>
        <w:t>,</w:t>
      </w:r>
      <w:r>
        <w:rPr>
          <w:rFonts w:ascii="Arial" w:cs="Arial" w:eastAsia="Arial" w:hAnsi="Arial"/>
          <w:sz w:val="16"/>
          <w:szCs w:val="16"/>
          <w:color w:val="auto"/>
        </w:rPr>
        <w:t xml:space="preserve"> PG&amp;E filed for reorganization under Chapter 11 of the U.S. Bankruptcy Code in the U.S. Bankruptcy Court for the Northern District of California, or the Bankruptcy Court. Certain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$1.2 billion of principal, net of the related unamortized debt issuance costs, as short-term debt as of December 31, 2019. In addition, distributions from these projects to Clearway Operating LLC are prohibited under the related debt agreements. As of March 2, 2020,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Drop Down Asset Debt</w:t>
      </w:r>
    </w:p>
    <w:p>
      <w:pPr>
        <w:spacing w:after="0" w:line="17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 xml:space="preserve">On December 6, 2019, as part of the Carlsbad Drop Down acquisition, as further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Company assumed $803 million of senior secured, non-recourse notes related to Carlsbad Holdco LLC and Carlsbad Energy Holding LLC. The Carlsbad Holdco LLC notes bear an interest rate of 4.21%, and are fully amortizing over 19 years. In addition, Carlsbad Holdco LLC is party to a letter of credit facility agreement with the issuing banks for an aggregate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679" w:right="239" w:bottom="1440" w:gutter="0" w:footer="0" w:header="0"/>
        </w:sectPr>
      </w:pPr>
    </w:p>
    <w:bookmarkStart w:id="116" w:name="page117"/>
    <w:bookmarkEnd w:id="116"/>
    <w:p>
      <w:pPr>
        <w:jc w:val="both"/>
        <w:ind w:right="20"/>
        <w:spacing w:after="0" w:line="277" w:lineRule="auto"/>
        <w:rPr>
          <w:sz w:val="20"/>
          <w:szCs w:val="20"/>
          <w:color w:val="auto"/>
        </w:rPr>
      </w:pPr>
      <w:r>
        <w:rPr>
          <w:rFonts w:ascii="Arial" w:cs="Arial" w:eastAsia="Arial" w:hAnsi="Arial"/>
          <w:sz w:val="18"/>
          <w:szCs w:val="18"/>
          <w:color w:val="auto"/>
        </w:rPr>
        <w:t>principal amount not to exceed $10 million. Fees on the unused commitment are 0.65%. As of December 31, 2019, there were $5 million in letters of credit in support of the project issued and $216 million of notes were outstanding.</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Carlsbad Energy Holdings LLC is party to a note payable agreement with financial institutions for the issuance of up to $407 million of senior secured notes that bear interest at a rate of 4.12%, and mature on October 31, 2038. Carlsbad Energy Holdings LLC is also party to a term loan agreement with issuing banks for an aggregate principal amount of $194 million at an issuance rate of LIBOR plus an applicable margin of 1.625% until February 25, 2022, 1.750% until February 25, 2025, and 1.875% until maturity. Fees on the unused commitment are 0.50%. upon completion of the project. The agreement also includes a letter of credit facility with an aggregate principal amount not to exceed $83 million, and a working capital loan facility with an aggregate principal amount not to exceed $4 million. As of December 31, 2019, $175 million was outstanding under the term loan and $87 million of letters of credit were issued.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Agua Caliente Borrower 2 Debt Repayment</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October 21, 2019</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through Agua Caliente Borrower </w:t>
      </w:r>
      <w:r>
        <w:rPr>
          <w:rFonts w:ascii="Arial" w:cs="Arial" w:eastAsia="Arial" w:hAnsi="Arial"/>
          <w:sz w:val="16"/>
          <w:szCs w:val="16"/>
          <w:i w:val="1"/>
          <w:iCs w:val="1"/>
          <w:color w:val="auto"/>
        </w:rPr>
        <w:t>2</w:t>
      </w:r>
      <w:r>
        <w:rPr>
          <w:rFonts w:ascii="Arial" w:cs="Arial" w:eastAsia="Arial" w:hAnsi="Arial"/>
          <w:sz w:val="16"/>
          <w:szCs w:val="16"/>
          <w:color w:val="auto"/>
        </w:rPr>
        <w:t xml:space="preserve"> LLC, repaid $40 million of the outstanding notes balance, including accrued interest and premiums, issued under the Agua Caliente Holdco Financing Agreement. The repayment was funded with Company's existing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14, 2019, as part of the Repowering Partnership, the Company entered into a financing agreement for non-recourse debt for a total commitment amount of $352 million related to the construction for the repowering activities at Wildorado and Elbow Creek. The debt consists of a construction loan at an interest rate of LIBOR plus 0.85%. The Company borrowings were utilized to repay $109 million of the outstanding balance, including accrued interest, under the Viento financing agreement, to reimburse Clearway Renew LLC for previous contributions into the Repowering Partnership and pay construction invoices. On November 26, 2019, the construction loan of $93 million related to the repowering activities at Elbow Creek was repaid with the proceeds from the tax equity investor. On February 7, 2020 the construction loan of $260 million related to the repowering activities at Wildorado was repaid with the proceeds from the tax equity investor.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Duquesne University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 2019</w:t>
      </w:r>
      <w:r>
        <w:rPr>
          <w:rFonts w:ascii="Arial" w:cs="Arial" w:eastAsia="Arial" w:hAnsi="Arial"/>
          <w:sz w:val="17"/>
          <w:szCs w:val="17"/>
          <w:i w:val="1"/>
          <w:iCs w:val="1"/>
          <w:color w:val="auto"/>
        </w:rPr>
        <w:t>,</w:t>
      </w:r>
      <w:r>
        <w:rPr>
          <w:rFonts w:ascii="Arial" w:cs="Arial" w:eastAsia="Arial" w:hAnsi="Arial"/>
          <w:sz w:val="17"/>
          <w:szCs w:val="17"/>
          <w:color w:val="auto"/>
        </w:rPr>
        <w:t xml:space="preserve"> as part of the Duquesne University district energy system acquisition, ECP Uptown Campus LLC issued non-recourse debt of $95 million, excluding financing fees. The debt consists of senior notes at an interest rate of 4.62% that mature on May 1, 2059</w:t>
      </w:r>
      <w:r>
        <w:rPr>
          <w:rFonts w:ascii="Arial" w:cs="Arial" w:eastAsia="Arial" w:hAnsi="Arial"/>
          <w:sz w:val="17"/>
          <w:szCs w:val="17"/>
          <w:i w:val="1"/>
          <w:iCs w:val="1"/>
          <w:color w:val="auto"/>
        </w:rPr>
        <w:t>.</w:t>
      </w:r>
      <w:r>
        <w:rPr>
          <w:rFonts w:ascii="Arial" w:cs="Arial" w:eastAsia="Arial" w:hAnsi="Arial"/>
          <w:sz w:val="17"/>
          <w:szCs w:val="17"/>
          <w:color w:val="auto"/>
        </w:rPr>
        <w:t xml:space="preserve"> Interest on the notes are payable semi-annually in arrears. The proceeds of the debt, along with cash on hand, were utilized to fund the purchase price of the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Oahu Solar Holdings LLC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Due to the Company consolidating the Oahu Partnership, as further described in Note 5,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the Company assumed non-recourse debt of $143 million related to Oahu Solar Holdings, LLC. The debt consists of a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an ITC bridge loan with a total commitment amount of $162 million, both at an interest rate of LIBOR plus 1.375%. On November 13, 2019, $90 million of non-recourse debt was converted to a term loan with an expected maturity of November 2026, and the remainder of the non-recourse debt was repaid with the final contribution from the tax equity investor in the amount of $67 million upon the project reaching substantial completion. Interest on the term loan is payable quarterly in arrears.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Kawailoa Solar Holdings LLC</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Due to the Company consolidating the Kawailoa Partnership, as further described in Note 5, </w:t>
      </w:r>
      <w:r>
        <w:rPr>
          <w:rFonts w:ascii="Arial" w:cs="Arial" w:eastAsia="Arial" w:hAnsi="Arial"/>
          <w:sz w:val="18"/>
          <w:szCs w:val="18"/>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the Company assumed non-recourse debt of $120 million related to Kawailoa Solar Holdings, LLC. The debt consists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loan and an ITC bridge loan, with a total commitment amount of $137 million both at an interest rate of LIBOR plus 1.375%. On December 23, 2019, $82 million of non-recourse debt was converted to a term loan with an expected maturity of December 2026, and the remainder of the non-recourse debt was repaid with the final contribution from the tax equity investor in the amount of $57 million upon the project reaching substantial completion. Interest on the term loan is payable quarterly in arrears.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Trent Refinancing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679"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Tapestry Refinancing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Center Minneapolis Series E, F, G, H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18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 Center Minneapolis Series E Notes, due 2033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Energy Center Minneapolis Series F Notes, due 2033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86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33"/>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 Center Minneapolis Series G Notes, due 2035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Energy Center Minneapolis Series H Notes, due 2037</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86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33"/>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proceeds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860" w:type="dxa"/>
            <w:vAlign w:val="bottom"/>
            <w:tcBorders>
              <w:bottom w:val="single" w:sz="8" w:color="CCEEFF"/>
            </w:tcBorders>
            <w:shd w:val="clear" w:color="auto" w:fill="CCEEFF"/>
          </w:tcPr>
          <w:p>
            <w:pPr>
              <w:spacing w:after="0"/>
              <w:rPr>
                <w:sz w:val="20"/>
                <w:szCs w:val="20"/>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Repayment of Energy Center Minneapolis Series C Notes, due 2025</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c>
          <w:tcPr>
            <w:tcW w:w="186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33"/>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borrowings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Series G Notes were used to refinance the Series C Notes as noted above in the table. The Series H Notes were used to make a dividend to Clearway Energy Operating LLC.</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amended and restated Thermal note purchase and private shelf agreement also established a private shelf facility for the future issuance of notes in the amount of $40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Drop Down Asset Debt</w:t>
      </w:r>
    </w:p>
    <w:p>
      <w:pPr>
        <w:spacing w:after="0" w:line="171"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As part of the Buckthorn Solar Drop Down Asset acquisition,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1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679" w:right="239" w:bottom="1440" w:gutter="0" w:footer="0" w:header="0"/>
        </w:sectPr>
      </w:pPr>
    </w:p>
    <w:bookmarkStart w:id="118" w:name="page119"/>
    <w:bookmarkEnd w:id="118"/>
    <w:p>
      <w:pPr>
        <w:ind w:left="420"/>
        <w:spacing w:after="0"/>
        <w:rPr>
          <w:sz w:val="20"/>
          <w:szCs w:val="20"/>
          <w:color w:val="auto"/>
        </w:rPr>
      </w:pPr>
      <w:r>
        <w:rPr>
          <w:rFonts w:ascii="Arial" w:cs="Arial" w:eastAsia="Arial" w:hAnsi="Arial"/>
          <w:sz w:val="17"/>
          <w:szCs w:val="17"/>
          <w:color w:val="auto"/>
        </w:rPr>
        <w:t>The following table summarizes the swaps, some of which are forward starting as indicated, related to the Company's project level debt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Fixed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Notional Amount at</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Interest</w:t>
            </w: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Floating Interest</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December 31, 2019 (In</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0"/>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Principal</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580" w:type="dxa"/>
            <w:vAlign w:val="bottom"/>
            <w:gridSpan w:val="2"/>
          </w:tcPr>
          <w:p>
            <w:pPr>
              <w:ind w:left="580"/>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18"/>
                <w:szCs w:val="18"/>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2040" w:type="dxa"/>
            <w:vAlign w:val="bottom"/>
            <w:gridSpan w:val="2"/>
          </w:tcPr>
          <w:p>
            <w:pPr>
              <w:ind w:left="480"/>
              <w:spacing w:after="0"/>
              <w:rPr>
                <w:sz w:val="20"/>
                <w:szCs w:val="20"/>
                <w:color w:val="auto"/>
              </w:rPr>
            </w:pPr>
            <w:r>
              <w:rPr>
                <w:rFonts w:ascii="Arial" w:cs="Arial" w:eastAsia="Arial" w:hAnsi="Arial"/>
                <w:sz w:val="16"/>
                <w:szCs w:val="16"/>
                <w:b w:val="1"/>
                <w:bCs w:val="1"/>
                <w:color w:val="auto"/>
              </w:rPr>
              <w:t>Effective Date</w:t>
            </w:r>
          </w:p>
        </w:tc>
        <w:tc>
          <w:tcPr>
            <w:tcW w:w="1920" w:type="dxa"/>
            <w:vAlign w:val="bottom"/>
          </w:tcPr>
          <w:p>
            <w:pPr>
              <w:jc w:val="right"/>
              <w:ind w:right="379"/>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Alpine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Avra Valley</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30, 2012</w:t>
            </w:r>
          </w:p>
        </w:tc>
        <w:tc>
          <w:tcPr>
            <w:tcW w:w="1920" w:type="dxa"/>
            <w:vAlign w:val="bottom"/>
          </w:tcPr>
          <w:p>
            <w:pPr>
              <w:jc w:val="right"/>
              <w:spacing w:after="0"/>
              <w:rPr>
                <w:sz w:val="20"/>
                <w:szCs w:val="20"/>
                <w:color w:val="auto"/>
              </w:rPr>
            </w:pPr>
            <w:r>
              <w:rPr>
                <w:rFonts w:ascii="Arial" w:cs="Arial" w:eastAsia="Arial" w:hAnsi="Arial"/>
                <w:sz w:val="16"/>
                <w:szCs w:val="16"/>
                <w:color w:val="auto"/>
              </w:rPr>
              <w:t>November 30, 2030</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AWAM</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22, 2013</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15, 2031</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Blythe</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3.563%</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June 25, 2010</w:t>
            </w:r>
          </w:p>
        </w:tc>
        <w:tc>
          <w:tcPr>
            <w:tcW w:w="1920" w:type="dxa"/>
            <w:vAlign w:val="bottom"/>
          </w:tcPr>
          <w:p>
            <w:pPr>
              <w:jc w:val="right"/>
              <w:spacing w:after="0"/>
              <w:rPr>
                <w:sz w:val="20"/>
                <w:szCs w:val="20"/>
                <w:color w:val="auto"/>
              </w:rPr>
            </w:pPr>
            <w:r>
              <w:rPr>
                <w:rFonts w:ascii="Arial" w:cs="Arial" w:eastAsia="Arial" w:hAnsi="Arial"/>
                <w:sz w:val="16"/>
                <w:szCs w:val="16"/>
                <w:color w:val="auto"/>
              </w:rPr>
              <w:t>June 25, 2028</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Buckthorn Solar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28, 2018</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31, 2041</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El Segundo</w:t>
            </w: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tcPr>
          <w:p>
            <w:pPr>
              <w:jc w:val="right"/>
              <w:spacing w:after="0"/>
              <w:rPr>
                <w:sz w:val="20"/>
                <w:szCs w:val="20"/>
                <w:color w:val="auto"/>
              </w:rPr>
            </w:pPr>
            <w:r>
              <w:rPr>
                <w:rFonts w:ascii="Arial" w:cs="Arial" w:eastAsia="Arial" w:hAnsi="Arial"/>
                <w:sz w:val="16"/>
                <w:szCs w:val="16"/>
                <w:color w:val="auto"/>
              </w:rPr>
              <w:t>various</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Kansas South</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6-Month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31, 2030</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Laredo Ridge</w:t>
            </w: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17, 2014</w:t>
            </w:r>
          </w:p>
        </w:tc>
        <w:tc>
          <w:tcPr>
            <w:tcW w:w="1920" w:type="dxa"/>
            <w:vAlign w:val="bottom"/>
          </w:tcPr>
          <w:p>
            <w:pPr>
              <w:jc w:val="right"/>
              <w:spacing w:after="0"/>
              <w:rPr>
                <w:sz w:val="20"/>
                <w:szCs w:val="20"/>
                <w:color w:val="auto"/>
              </w:rPr>
            </w:pPr>
            <w:r>
              <w:rPr>
                <w:rFonts w:ascii="Arial" w:cs="Arial" w:eastAsia="Arial" w:hAnsi="Arial"/>
                <w:sz w:val="16"/>
                <w:szCs w:val="16"/>
                <w:color w:val="auto"/>
              </w:rPr>
              <w:t>December 31, 2028</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Marsh Landing</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30, 2023</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Roadrunner</w:t>
            </w: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30, 2011</w:t>
            </w:r>
          </w:p>
        </w:tc>
        <w:tc>
          <w:tcPr>
            <w:tcW w:w="1920" w:type="dxa"/>
            <w:vAlign w:val="bottom"/>
          </w:tcPr>
          <w:p>
            <w:pPr>
              <w:jc w:val="right"/>
              <w:spacing w:after="0"/>
              <w:rPr>
                <w:sz w:val="20"/>
                <w:szCs w:val="20"/>
                <w:color w:val="auto"/>
              </w:rPr>
            </w:pPr>
            <w:r>
              <w:rPr>
                <w:rFonts w:ascii="Arial" w:cs="Arial" w:eastAsia="Arial" w:hAnsi="Arial"/>
                <w:sz w:val="16"/>
                <w:szCs w:val="16"/>
                <w:color w:val="auto"/>
              </w:rPr>
              <w:t>December 31, 2029</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Trent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14, 2019</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30, 2028</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Tapestry</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April 19, 2019</w:t>
            </w:r>
          </w:p>
        </w:tc>
        <w:tc>
          <w:tcPr>
            <w:tcW w:w="1920" w:type="dxa"/>
            <w:vAlign w:val="bottom"/>
          </w:tcPr>
          <w:p>
            <w:pPr>
              <w:jc w:val="right"/>
              <w:spacing w:after="0"/>
              <w:rPr>
                <w:sz w:val="20"/>
                <w:szCs w:val="20"/>
                <w:color w:val="auto"/>
              </w:rPr>
            </w:pPr>
            <w:r>
              <w:rPr>
                <w:rFonts w:ascii="Arial" w:cs="Arial" w:eastAsia="Arial" w:hAnsi="Arial"/>
                <w:sz w:val="16"/>
                <w:szCs w:val="16"/>
                <w:color w:val="auto"/>
              </w:rPr>
              <w:t>December 31, 2031</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Tapestry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21, 2021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21, 2029</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Utah Solar Portfolio</w:t>
            </w: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1-Month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tcPr>
          <w:p>
            <w:pPr>
              <w:jc w:val="right"/>
              <w:spacing w:after="0"/>
              <w:rPr>
                <w:sz w:val="20"/>
                <w:szCs w:val="20"/>
                <w:color w:val="auto"/>
              </w:rPr>
            </w:pPr>
            <w:r>
              <w:rPr>
                <w:rFonts w:ascii="Arial" w:cs="Arial" w:eastAsia="Arial" w:hAnsi="Arial"/>
                <w:sz w:val="16"/>
                <w:szCs w:val="16"/>
                <w:color w:val="auto"/>
              </w:rPr>
              <w:t>September 30, 2036</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Viento Funding II</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6-Month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Viento Funding II</w:t>
            </w: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4.985%</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6-Month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July 11, 2023</w:t>
            </w:r>
          </w:p>
        </w:tc>
        <w:tc>
          <w:tcPr>
            <w:tcW w:w="1920" w:type="dxa"/>
            <w:vAlign w:val="bottom"/>
          </w:tcPr>
          <w:p>
            <w:pPr>
              <w:jc w:val="right"/>
              <w:spacing w:after="0"/>
              <w:rPr>
                <w:sz w:val="20"/>
                <w:szCs w:val="20"/>
                <w:color w:val="auto"/>
              </w:rPr>
            </w:pPr>
            <w:r>
              <w:rPr>
                <w:rFonts w:ascii="Arial" w:cs="Arial" w:eastAsia="Arial" w:hAnsi="Arial"/>
                <w:sz w:val="16"/>
                <w:szCs w:val="16"/>
                <w:color w:val="auto"/>
              </w:rPr>
              <w:t>June 30, 2028</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Walnut Creek Energy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31, 2023</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WCEP Holdings</w:t>
            </w: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4.003%</w:t>
            </w:r>
          </w:p>
        </w:tc>
        <w:tc>
          <w:tcPr>
            <w:tcW w:w="1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June 28, 2013</w:t>
            </w:r>
          </w:p>
        </w:tc>
        <w:tc>
          <w:tcPr>
            <w:tcW w:w="1920" w:type="dxa"/>
            <w:vAlign w:val="bottom"/>
          </w:tcPr>
          <w:p>
            <w:pPr>
              <w:jc w:val="right"/>
              <w:spacing w:after="0"/>
              <w:rPr>
                <w:sz w:val="20"/>
                <w:szCs w:val="20"/>
                <w:color w:val="auto"/>
              </w:rPr>
            </w:pPr>
            <w:r>
              <w:rPr>
                <w:rFonts w:ascii="Arial" w:cs="Arial" w:eastAsia="Arial" w:hAnsi="Arial"/>
                <w:sz w:val="16"/>
                <w:szCs w:val="16"/>
                <w:color w:val="auto"/>
              </w:rPr>
              <w:t>May 31, 2023</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Oahu Solar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30, 2019</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31, 2040</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Kawailoa Renew</w:t>
            </w: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gridSpan w:val="2"/>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30, 2019</w:t>
            </w:r>
          </w:p>
        </w:tc>
        <w:tc>
          <w:tcPr>
            <w:tcW w:w="1920" w:type="dxa"/>
            <w:vAlign w:val="bottom"/>
          </w:tcPr>
          <w:p>
            <w:pPr>
              <w:jc w:val="right"/>
              <w:spacing w:after="0"/>
              <w:rPr>
                <w:sz w:val="20"/>
                <w:szCs w:val="20"/>
                <w:color w:val="auto"/>
              </w:rPr>
            </w:pPr>
            <w:r>
              <w:rPr>
                <w:rFonts w:ascii="Arial" w:cs="Arial" w:eastAsia="Arial" w:hAnsi="Arial"/>
                <w:sz w:val="16"/>
                <w:szCs w:val="16"/>
                <w:color w:val="auto"/>
              </w:rPr>
              <w:t>October 31, 2040</w:t>
            </w:r>
          </w:p>
        </w:tc>
      </w:tr>
      <w:tr>
        <w:trPr>
          <w:trHeight w:val="33"/>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Carlsbad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various</w:t>
            </w: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3-Month LIBOR</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31, 2018</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30, 2027</w:t>
            </w:r>
          </w:p>
        </w:tc>
      </w:tr>
      <w:tr>
        <w:trPr>
          <w:trHeight w:val="244"/>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Annual payments based on the maturities of the Company's debt, for the years ending after December 31,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ind w:right="49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w:t>
            </w:r>
          </w:p>
        </w:tc>
      </w:tr>
      <w:tr>
        <w:trPr>
          <w:trHeight w:val="224"/>
        </w:trPr>
        <w:tc>
          <w:tcPr>
            <w:tcW w:w="9280" w:type="dxa"/>
            <w:vAlign w:val="bottom"/>
          </w:tcPr>
          <w:p>
            <w:pPr>
              <w:ind w:left="40"/>
              <w:spacing w:after="0"/>
              <w:rPr>
                <w:sz w:val="20"/>
                <w:szCs w:val="20"/>
                <w:color w:val="auto"/>
              </w:rPr>
            </w:pPr>
            <w:r>
              <w:rPr>
                <w:rFonts w:ascii="Arial" w:cs="Arial" w:eastAsia="Arial" w:hAnsi="Arial"/>
                <w:sz w:val="16"/>
                <w:szCs w:val="16"/>
                <w:color w:val="auto"/>
              </w:rPr>
              <w:t>2021</w:t>
            </w:r>
          </w:p>
        </w:tc>
        <w:tc>
          <w:tcPr>
            <w:tcW w:w="34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33"/>
        </w:trPr>
        <w:tc>
          <w:tcPr>
            <w:tcW w:w="9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r>
      <w:tr>
        <w:trPr>
          <w:trHeight w:val="224"/>
        </w:trPr>
        <w:tc>
          <w:tcPr>
            <w:tcW w:w="9280" w:type="dxa"/>
            <w:vAlign w:val="bottom"/>
          </w:tcPr>
          <w:p>
            <w:pPr>
              <w:ind w:left="40"/>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9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24"/>
        </w:trPr>
        <w:tc>
          <w:tcPr>
            <w:tcW w:w="92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3,851</w:t>
            </w:r>
          </w:p>
        </w:tc>
      </w:tr>
      <w:tr>
        <w:trPr>
          <w:trHeight w:val="33"/>
        </w:trPr>
        <w:tc>
          <w:tcPr>
            <w:tcW w:w="9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6,858</w:t>
            </w:r>
          </w:p>
        </w:tc>
      </w:tr>
      <w:tr>
        <w:trPr>
          <w:trHeight w:val="20"/>
        </w:trPr>
        <w:tc>
          <w:tcPr>
            <w:tcW w:w="9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(Loss)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679" w:right="239" w:bottom="1440" w:gutter="0" w:footer="0" w:header="0"/>
        </w:sectPr>
      </w:pPr>
    </w:p>
    <w:bookmarkStart w:id="119" w:name="page120"/>
    <w:bookmarkEnd w:id="119"/>
    <w:p>
      <w:pPr>
        <w:ind w:left="420"/>
        <w:spacing w:after="0"/>
        <w:rPr>
          <w:sz w:val="20"/>
          <w:szCs w:val="20"/>
          <w:color w:val="auto"/>
        </w:rPr>
      </w:pPr>
      <w:r>
        <w:rPr>
          <w:rFonts w:ascii="Arial" w:cs="Arial" w:eastAsia="Arial" w:hAnsi="Arial"/>
          <w:sz w:val="18"/>
          <w:szCs w:val="18"/>
          <w:color w:val="auto"/>
        </w:rPr>
        <w:t>The reconciliation of the Company's basic and diluted (loss) earnings per share is shown in the following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2018</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2"/>
                <w:szCs w:val="12"/>
                <w:b w:val="1"/>
                <w:bCs w:val="1"/>
                <w:color w:val="auto"/>
              </w:rPr>
              <w:t>(a)</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7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Class C</w:t>
            </w:r>
          </w:p>
        </w:tc>
        <w:tc>
          <w:tcPr>
            <w:tcW w:w="120" w:type="dxa"/>
            <w:vAlign w:val="bottom"/>
          </w:tcPr>
          <w:p>
            <w:pPr>
              <w:spacing w:after="0"/>
              <w:rPr>
                <w:sz w:val="13"/>
                <w:szCs w:val="13"/>
                <w:color w:val="auto"/>
              </w:rPr>
            </w:pPr>
          </w:p>
        </w:tc>
        <w:tc>
          <w:tcPr>
            <w:tcW w:w="6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Class C</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3"/>
                <w:szCs w:val="13"/>
                <w:color w:val="auto"/>
              </w:rPr>
            </w:pPr>
          </w:p>
        </w:tc>
        <w:tc>
          <w:tcPr>
            <w:tcW w:w="760" w:type="dxa"/>
            <w:vAlign w:val="bottom"/>
          </w:tcPr>
          <w:p>
            <w:pPr>
              <w:jc w:val="right"/>
              <w:ind w:right="137"/>
              <w:spacing w:after="0" w:line="158" w:lineRule="exact"/>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38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Basic and diluted earnings (loss) per share attributable to Clearway</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Energy, Inc. common stockholders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460"/>
              <w:spacing w:after="0"/>
              <w:rPr>
                <w:sz w:val="20"/>
                <w:szCs w:val="20"/>
                <w:color w:val="auto"/>
              </w:rPr>
            </w:pPr>
            <w:r>
              <w:rPr>
                <w:rFonts w:ascii="Arial" w:cs="Arial" w:eastAsia="Arial" w:hAnsi="Arial"/>
                <w:sz w:val="18"/>
                <w:szCs w:val="18"/>
                <w:color w:val="auto"/>
              </w:rPr>
              <w:t>Net (loss) income attributable to Clearway Energy,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1"/>
              </w:rPr>
              <w:t>Weighted average number of common shares outstanding — basic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340" w:type="dxa"/>
            <w:vAlign w:val="bottom"/>
            <w:gridSpan w:val="2"/>
          </w:tcPr>
          <w:p>
            <w:pPr>
              <w:ind w:left="500"/>
              <w:spacing w:after="0" w:line="205" w:lineRule="exact"/>
              <w:rPr>
                <w:sz w:val="20"/>
                <w:szCs w:val="20"/>
                <w:color w:val="auto"/>
              </w:rPr>
            </w:pPr>
            <w:r>
              <w:rPr>
                <w:rFonts w:ascii="Arial" w:cs="Arial" w:eastAsia="Arial" w:hAnsi="Arial"/>
                <w:sz w:val="18"/>
                <w:szCs w:val="18"/>
                <w:b w:val="1"/>
                <w:bCs w:val="1"/>
                <w:color w:val="auto"/>
                <w:w w:val="90"/>
              </w:rPr>
              <w:t>(Loss) Earnings per weighted average common share — basic</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0"/>
                <w:szCs w:val="20"/>
                <w:color w:val="auto"/>
              </w:rPr>
            </w:pPr>
          </w:p>
        </w:tc>
        <w:tc>
          <w:tcPr>
            <w:tcW w:w="5340" w:type="dxa"/>
            <w:vAlign w:val="bottom"/>
            <w:gridSpan w:val="2"/>
          </w:tcPr>
          <w:p>
            <w:pPr>
              <w:ind w:left="460"/>
              <w:spacing w:after="0"/>
              <w:rPr>
                <w:sz w:val="20"/>
                <w:szCs w:val="20"/>
                <w:color w:val="auto"/>
              </w:rPr>
            </w:pPr>
            <w:r>
              <w:rPr>
                <w:rFonts w:ascii="Arial" w:cs="Arial" w:eastAsia="Arial" w:hAnsi="Arial"/>
                <w:sz w:val="18"/>
                <w:szCs w:val="18"/>
                <w:b w:val="1"/>
                <w:bCs w:val="1"/>
                <w:color w:val="auto"/>
              </w:rPr>
              <w:t>and diluted</w:t>
            </w:r>
          </w:p>
        </w:tc>
        <w:tc>
          <w:tcPr>
            <w:tcW w:w="1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60" w:hanging="152"/>
        <w:spacing w:after="0"/>
        <w:tabs>
          <w:tab w:leader="none" w:pos="16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Net (loss) income attributable to Clearway Energy, Inc. and basic and diluted (loss) earnings per share might not recalculate due to presenting values in millions rather than whole dollars.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216"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1700" w:type="dxa"/>
            <w:vAlign w:val="bottom"/>
          </w:tcPr>
          <w:p>
            <w:pPr>
              <w:jc w:val="right"/>
              <w:ind w:right="703"/>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6"/>
              </w:rPr>
              <w:t>(In millions of shares)</w:t>
            </w:r>
          </w:p>
        </w:tc>
        <w:tc>
          <w:tcPr>
            <w:tcW w:w="1040" w:type="dxa"/>
            <w:vAlign w:val="bottom"/>
            <w:tcBorders>
              <w:top w:val="single" w:sz="8" w:color="auto"/>
            </w:tcBorders>
          </w:tcPr>
          <w:p>
            <w:pPr>
              <w:spacing w:after="0"/>
              <w:rPr>
                <w:sz w:val="17"/>
                <w:szCs w:val="17"/>
                <w:color w:val="auto"/>
              </w:rPr>
            </w:pPr>
          </w:p>
        </w:tc>
      </w:tr>
      <w:tr>
        <w:trPr>
          <w:trHeight w:val="256"/>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 Convertible Notes - Common Class A</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2020 Convertible Notes - Common Class C</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700" w:type="dxa"/>
            <w:vAlign w:val="bottom"/>
          </w:tcPr>
          <w:p>
            <w:pPr>
              <w:jc w:val="right"/>
              <w:ind w:right="343"/>
              <w:spacing w:after="0"/>
              <w:rPr>
                <w:sz w:val="20"/>
                <w:szCs w:val="20"/>
                <w:color w:val="auto"/>
              </w:rPr>
            </w:pPr>
            <w:r>
              <w:rPr>
                <w:rFonts w:ascii="Arial" w:cs="Arial" w:eastAsia="Arial" w:hAnsi="Arial"/>
                <w:sz w:val="16"/>
                <w:szCs w:val="16"/>
                <w:color w:val="auto"/>
              </w:rPr>
              <w:t>8</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10</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Class C Common Stock Issuance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sold a total of 5,405,405 shares of Class C common stock for net proceeds of $100 million on December 2, 2019. The Company utilized the proceeds of the offering to acquire 5,405,405 Class C units of Clearway Energy LLC. As a result of the Class C common stock issuance, the Company owns 57.01% of the economic interests of Clearway Energy LLC, with CEG retaining 42.99% of the economic interests of Clearway Energy LLC as of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Class C Common Stock Issuance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27, 2018, Clearway Energy, Inc. issued and sold 3,916,449 shares of Class C common stock for net proceeds of $75 million. The Company utilized the proceeds of the offering to acquire 3,916,449 Class C units of Clearway Energy LLC.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At-the-Market Equity Offering Program, or the ATM Program</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may offer and sell shares of its Class C common stock par value $0.01 per share, from time to time through the sales agents up to an aggregate sales price of $150 million through an at-the-market equity offering program, or the ATM Program. Clearway Energy, Inc. may also sell shares of its Class C common stock to any of the sales agents, as principals for its own account, at a price agreed upon at the time of sale.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sold a total of 4,492,473 shares of Class C common stock for gross proceeds of $79 million during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commission fees of $790 thousand during the year ended December 31, 2018.</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sold a total of 6,414,339 shares of Class C common stock for gross proceeds of $114 million since the inception of the ATM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$36 million of Class C common stock remains available for issuance under the ATM Program as of December 31, 2019.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679"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and Class C common stock during the year ended December 31, 2019:</w:t>
      </w: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Second Quarter</w:t>
            </w:r>
          </w:p>
        </w:tc>
        <w:tc>
          <w:tcPr>
            <w:tcW w:w="14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5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0.20</w:t>
            </w:r>
          </w:p>
        </w:tc>
      </w:tr>
    </w:tbl>
    <w:p>
      <w:pPr>
        <w:spacing w:after="0" w:line="35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w:t>
      </w:r>
    </w:p>
    <w:p>
      <w:pPr>
        <w:spacing w:after="0" w:line="1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18, 2020, the Company declared a quarterly dividend on its Class A and Class C common stock of $0.21 per share payable on March 16, 2020, to stockholders of record as of March 2,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also authorized 10,000,000 shares of preferred stock, par value $0.01 per share. None of the shares of preferred stock have been issued.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CEG in 2019</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to CEG during the year ended December 31, 2019 on Clearway Energy LLC's Class B and D units:</w:t>
      </w:r>
    </w:p>
    <w:p>
      <w:pPr>
        <w:spacing w:after="0" w:line="32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Second Quarter</w:t>
            </w:r>
          </w:p>
        </w:tc>
        <w:tc>
          <w:tcPr>
            <w:tcW w:w="14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5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B unit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D unit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0.20</w:t>
            </w:r>
          </w:p>
        </w:tc>
      </w:tr>
    </w:tbl>
    <w:p>
      <w:pPr>
        <w:spacing w:after="0" w:line="3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18, 2020, Clearway Energy LLC declared a quarterly distribution on its Class B and Class D units of $0.21 per unit payable to CEG on March 16,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Distributions/Contributions to/from NRG in 2018</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2018 the Company acquired the Drop Down Assets from NRG, as described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difference between the cash paid and historical value of the acquired Drop Down Assets was recorded as a distribution to/contribution from NRG with the offset to noncontrolling interest. As the projects were owned by NRG prior to the Drop Down Assets acquisitions, the pre-acquisition income (loss) of such projects were recorded as attributable to NRG's noncontrolling interest. Prior to the date of acquisition, certain of the projects made distributions to NRG and NRG made contributions into certain projects. These amounts are reflected within the Company’s statement of stockholders’ equity as changes in the noncontrolling interest balance.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679" w:right="239" w:bottom="1440" w:gutter="0" w:footer="0" w:header="0"/>
        </w:sectPr>
      </w:pPr>
    </w:p>
    <w:bookmarkStart w:id="121" w:name="page122"/>
    <w:bookmarkEnd w:id="121"/>
    <w:p>
      <w:pPr>
        <w:ind w:left="420"/>
        <w:spacing w:after="0"/>
        <w:rPr>
          <w:sz w:val="20"/>
          <w:szCs w:val="20"/>
          <w:color w:val="auto"/>
        </w:rPr>
      </w:pPr>
      <w:r>
        <w:rPr>
          <w:rFonts w:ascii="Arial" w:cs="Arial" w:eastAsia="Arial" w:hAnsi="Arial"/>
          <w:sz w:val="17"/>
          <w:szCs w:val="17"/>
          <w:color w:val="auto"/>
        </w:rPr>
        <w:t>The Company generated more than 10% of its revenues from the following customers for the years ended December 31, 2019,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Customer</w:t>
            </w: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Conventional (%)</w:t>
            </w: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Renewables (%)</w:t>
            </w:r>
          </w:p>
        </w:tc>
        <w:tc>
          <w:tcPr>
            <w:tcW w:w="40" w:type="dxa"/>
            <w:vAlign w:val="bottom"/>
          </w:tcPr>
          <w:p>
            <w:pPr>
              <w:spacing w:after="0"/>
              <w:rPr>
                <w:sz w:val="22"/>
                <w:szCs w:val="22"/>
                <w:color w:val="auto"/>
              </w:rPr>
            </w:pPr>
          </w:p>
        </w:tc>
        <w:tc>
          <w:tcPr>
            <w:tcW w:w="1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Conventional (%)</w:t>
            </w: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Renewables (%)</w:t>
            </w:r>
          </w:p>
        </w:tc>
        <w:tc>
          <w:tcPr>
            <w:tcW w:w="1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Conventional (%)</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Renewables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SCE</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center"/>
              <w:ind w:right="360"/>
              <w:spacing w:after="0"/>
              <w:rPr>
                <w:sz w:val="20"/>
                <w:szCs w:val="20"/>
                <w:color w:val="auto"/>
              </w:rPr>
            </w:pPr>
            <w:r>
              <w:rPr>
                <w:rFonts w:ascii="Arial" w:cs="Arial" w:eastAsia="Arial" w:hAnsi="Arial"/>
                <w:sz w:val="16"/>
                <w:szCs w:val="16"/>
                <w:color w:val="auto"/>
                <w:w w:val="93"/>
              </w:rPr>
              <w:t>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center"/>
              <w:ind w:right="340"/>
              <w:spacing w:after="0"/>
              <w:rPr>
                <w:sz w:val="20"/>
                <w:szCs w:val="20"/>
                <w:color w:val="auto"/>
              </w:rPr>
            </w:pPr>
            <w:r>
              <w:rPr>
                <w:rFonts w:ascii="Arial" w:cs="Arial" w:eastAsia="Arial" w:hAnsi="Arial"/>
                <w:sz w:val="16"/>
                <w:szCs w:val="16"/>
                <w:color w:val="auto"/>
                <w:w w:val="93"/>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380"/>
              <w:spacing w:after="0"/>
              <w:rPr>
                <w:sz w:val="20"/>
                <w:szCs w:val="20"/>
                <w:color w:val="auto"/>
              </w:rPr>
            </w:pPr>
            <w:r>
              <w:rPr>
                <w:rFonts w:ascii="Arial" w:cs="Arial" w:eastAsia="Arial" w:hAnsi="Arial"/>
                <w:sz w:val="16"/>
                <w:szCs w:val="16"/>
                <w:color w:val="auto"/>
              </w:rPr>
              <w:t>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20%</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PG&amp;E</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360"/>
              <w:spacing w:after="0"/>
              <w:rPr>
                <w:sz w:val="20"/>
                <w:szCs w:val="20"/>
                <w:color w:val="auto"/>
              </w:rPr>
            </w:pPr>
            <w:r>
              <w:rPr>
                <w:rFonts w:ascii="Arial" w:cs="Arial" w:eastAsia="Arial" w:hAnsi="Arial"/>
                <w:sz w:val="16"/>
                <w:szCs w:val="16"/>
                <w:color w:val="auto"/>
                <w:w w:val="93"/>
              </w:rPr>
              <w:t>10%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340"/>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80"/>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center"/>
              <w:ind w:left="660"/>
              <w:spacing w:after="0"/>
              <w:rPr>
                <w:sz w:val="20"/>
                <w:szCs w:val="20"/>
                <w:color w:val="auto"/>
              </w:rPr>
            </w:pPr>
            <w:r>
              <w:rPr>
                <w:rFonts w:ascii="Arial" w:cs="Arial" w:eastAsia="Arial" w:hAnsi="Arial"/>
                <w:sz w:val="14"/>
                <w:szCs w:val="14"/>
                <w:b w:val="1"/>
                <w:bCs w:val="1"/>
                <w:color w:val="auto"/>
                <w:w w:val="91"/>
              </w:rPr>
              <w:t>Year ended December 31, 2019</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Renewables</w:t>
            </w:r>
          </w:p>
        </w:tc>
        <w:tc>
          <w:tcPr>
            <w:tcW w:w="120" w:type="dxa"/>
            <w:vAlign w:val="bottom"/>
            <w:gridSpan w:val="2"/>
            <w:vMerge w:val="restart"/>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Thermal</w:t>
            </w:r>
          </w:p>
        </w:tc>
        <w:tc>
          <w:tcPr>
            <w:tcW w:w="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Generation</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346</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Cost of operations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Impairment losses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4"/>
          </w:tcPr>
          <w:p>
            <w:pPr>
              <w:ind w:left="160"/>
              <w:spacing w:after="0"/>
              <w:rPr>
                <w:sz w:val="20"/>
                <w:szCs w:val="20"/>
                <w:color w:val="auto"/>
              </w:rPr>
            </w:pPr>
            <w:r>
              <w:rPr>
                <w:rFonts w:ascii="Arial" w:cs="Arial" w:eastAsia="Arial" w:hAnsi="Arial"/>
                <w:sz w:val="16"/>
                <w:szCs w:val="16"/>
                <w:color w:val="auto"/>
              </w:rPr>
              <w:t>Acquisition-related transaction and integration costs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Development costs</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183</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Equity in earnings of unconsolidated affiliates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Other income,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debt extinguishment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Interest expense, net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Income tax benefit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135</w:t>
            </w: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Equity investment in affiliates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1,089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2,753</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38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accruals.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679"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Development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89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7"/>
                <w:szCs w:val="17"/>
                <w:color w:val="auto"/>
                <w:vertAlign w:val="superscript"/>
              </w:rPr>
              <w:t>(a)</w:t>
            </w:r>
            <w:r>
              <w:rPr>
                <w:rFonts w:ascii="Arial" w:cs="Arial" w:eastAsia="Arial" w:hAnsi="Arial"/>
                <w:sz w:val="14"/>
                <w:szCs w:val="14"/>
                <w:color w:val="auto"/>
              </w:rPr>
              <w:t xml:space="preserve"> Includes accruals.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90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consisted of the following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gridSpan w:val="7"/>
          </w:tcPr>
          <w:p>
            <w:pPr>
              <w:jc w:val="center"/>
              <w:spacing w:after="0"/>
              <w:rPr>
                <w:sz w:val="20"/>
                <w:szCs w:val="20"/>
                <w:color w:val="auto"/>
              </w:rPr>
            </w:pPr>
            <w:r>
              <w:rPr>
                <w:rFonts w:ascii="Arial" w:cs="Arial" w:eastAsia="Arial" w:hAnsi="Arial"/>
                <w:sz w:val="16"/>
                <w:szCs w:val="16"/>
                <w:b w:val="1"/>
                <w:bCs w:val="1"/>
                <w:color w:val="auto"/>
                <w:w w:val="89"/>
              </w:rPr>
              <w:t>(In millions, except percentages)</w:t>
            </w:r>
          </w:p>
        </w:tc>
        <w:tc>
          <w:tcPr>
            <w:tcW w:w="11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 current</w:t>
            </w: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 deferred</w:t>
            </w: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6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income tax (benefit) expense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reconciliation of the U.S. federal statutory rate of 21% beginning for the year-ended December 31, 2018 and 35% for the year-ended December 31, 2017 to the Company's effective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320" w:type="dxa"/>
            <w:vAlign w:val="bottom"/>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r>
      <w:tr>
        <w:trPr>
          <w:trHeight w:val="223"/>
        </w:trPr>
        <w:tc>
          <w:tcPr>
            <w:tcW w:w="6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6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FFFFFF"/>
              </w:rPr>
              <w:t>(In millions, except percentages)</w:t>
            </w:r>
          </w:p>
        </w:tc>
        <w:tc>
          <w:tcPr>
            <w:tcW w:w="1180" w:type="dxa"/>
            <w:vAlign w:val="bottom"/>
          </w:tcPr>
          <w:p>
            <w:pPr>
              <w:spacing w:after="0"/>
              <w:rPr>
                <w:sz w:val="19"/>
                <w:szCs w:val="19"/>
                <w:color w:val="auto"/>
              </w:rPr>
            </w:pP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r>
      <w:tr>
        <w:trPr>
          <w:trHeight w:val="20"/>
        </w:trPr>
        <w:tc>
          <w:tcPr>
            <w:tcW w:w="6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6320" w:type="dxa"/>
            <w:vAlign w:val="bottom"/>
          </w:tcPr>
          <w:p>
            <w:pPr>
              <w:ind w:left="40"/>
              <w:spacing w:after="0"/>
              <w:rPr>
                <w:sz w:val="20"/>
                <w:szCs w:val="20"/>
                <w:color w:val="auto"/>
              </w:rPr>
            </w:pPr>
            <w:r>
              <w:rPr>
                <w:rFonts w:ascii="Arial" w:cs="Arial" w:eastAsia="Arial" w:hAnsi="Arial"/>
                <w:sz w:val="16"/>
                <w:szCs w:val="16"/>
                <w:color w:val="auto"/>
              </w:rPr>
              <w:t>Tax at 21%/35%</w:t>
            </w:r>
          </w:p>
        </w:tc>
        <w:tc>
          <w:tcPr>
            <w:tcW w:w="106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17</w:t>
            </w: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taxes, net of federal benefit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6320" w:type="dxa"/>
            <w:vAlign w:val="bottom"/>
          </w:tcPr>
          <w:p>
            <w:pPr>
              <w:ind w:left="180"/>
              <w:spacing w:after="0"/>
              <w:rPr>
                <w:sz w:val="20"/>
                <w:szCs w:val="20"/>
                <w:color w:val="auto"/>
              </w:rPr>
            </w:pPr>
            <w:r>
              <w:rPr>
                <w:rFonts w:ascii="Arial" w:cs="Arial" w:eastAsia="Arial" w:hAnsi="Arial"/>
                <w:sz w:val="16"/>
                <w:szCs w:val="16"/>
                <w:color w:val="auto"/>
              </w:rPr>
              <w:t>Deferred state rate change due to deconsolidation from NRG</w:t>
            </w:r>
          </w:p>
        </w:tc>
        <w:tc>
          <w:tcPr>
            <w:tcW w:w="10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Cuts and Jobs Act - tax rate change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r>
      <w:tr>
        <w:trPr>
          <w:trHeight w:val="237"/>
        </w:trPr>
        <w:tc>
          <w:tcPr>
            <w:tcW w:w="6320" w:type="dxa"/>
            <w:vAlign w:val="bottom"/>
          </w:tcPr>
          <w:p>
            <w:pPr>
              <w:ind w:left="180"/>
              <w:spacing w:after="0"/>
              <w:rPr>
                <w:sz w:val="20"/>
                <w:szCs w:val="20"/>
                <w:color w:val="auto"/>
              </w:rPr>
            </w:pPr>
            <w:r>
              <w:rPr>
                <w:rFonts w:ascii="Arial" w:cs="Arial" w:eastAsia="Arial" w:hAnsi="Arial"/>
                <w:sz w:val="16"/>
                <w:szCs w:val="16"/>
                <w:color w:val="auto"/>
              </w:rPr>
              <w:t>Impact of non-taxable equity earnings</w:t>
            </w:r>
          </w:p>
        </w:tc>
        <w:tc>
          <w:tcPr>
            <w:tcW w:w="106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tax credits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37"/>
        </w:trPr>
        <w:tc>
          <w:tcPr>
            <w:tcW w:w="6320" w:type="dxa"/>
            <w:vAlign w:val="bottom"/>
          </w:tcPr>
          <w:p>
            <w:pPr>
              <w:ind w:left="180"/>
              <w:spacing w:after="0"/>
              <w:rPr>
                <w:sz w:val="20"/>
                <w:szCs w:val="20"/>
                <w:color w:val="auto"/>
              </w:rPr>
            </w:pPr>
            <w:r>
              <w:rPr>
                <w:rFonts w:ascii="Arial" w:cs="Arial" w:eastAsia="Arial" w:hAnsi="Arial"/>
                <w:sz w:val="16"/>
                <w:szCs w:val="16"/>
                <w:color w:val="auto"/>
              </w:rPr>
              <w:t>Production tax credits, including prior year true-up</w:t>
            </w:r>
          </w:p>
        </w:tc>
        <w:tc>
          <w:tcPr>
            <w:tcW w:w="10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Valuation allowance adjustment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6320" w:type="dxa"/>
            <w:vAlign w:val="bottom"/>
          </w:tcPr>
          <w:p>
            <w:pPr>
              <w:ind w:left="18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w:t>
            </w:r>
          </w:p>
        </w:tc>
      </w:tr>
      <w:tr>
        <w:trPr>
          <w:trHeight w:val="33"/>
        </w:trPr>
        <w:tc>
          <w:tcPr>
            <w:tcW w:w="6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r>
      <w:tr>
        <w:trPr>
          <w:trHeight w:val="20"/>
        </w:trPr>
        <w:tc>
          <w:tcPr>
            <w:tcW w:w="6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632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w:t>
            </w:r>
          </w:p>
        </w:tc>
      </w:tr>
    </w:tbl>
    <w:p>
      <w:pPr>
        <w:spacing w:after="0" w:line="3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2019, the overall effective tax rate was different than the statutory rate of 21% primarily due to the taxable earnings and losses allocated to partners’ interest in Clearway Energy LLC, which includes the effects of applying HLBV method of accounting for book purposes of certain partnerships.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2018, the overall effective tax rate was different than the statutory rate of 21% primarily due to higher state income tax rate following the Company’s separation from NRG, as well as taxable earnings and losses allocated to partners’ interest in Clearway Energy LLC, which includes the effects of applying HLBV method of accounting for book purposes of certain partnerships. In 2018, the Company has completed the accounting for all of the income tax effects related to the Tax Cuts and Jobs Act, which resulted in no material adjustments in 2018 to the provisional amounts recorded in 2017.</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 In December 2017, the SEC staff issued Staff Accounting Bulletin No. 118, which addresses how a company may recognize provisional amounts for the effect of the changes related to the Tax Act. Consistent with that guidance, the Company recognized provisional amounts at December 31, 2017, based upon its interpretation of the tax laws and estimates which require significant judgments.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ectPr>
          <w:pgSz w:w="11900" w:h="16838" w:orient="portrait"/>
          <w:cols w:equalWidth="0" w:num="1">
            <w:col w:w="11420"/>
          </w:cols>
          <w:pgMar w:left="240" w:top="837" w:right="239" w:bottom="1161"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837" w:right="239" w:bottom="1161" w:gutter="0" w:footer="0" w:header="0"/>
          <w:type w:val="continuous"/>
        </w:sectPr>
      </w:pPr>
    </w:p>
    <w:bookmarkStart w:id="124" w:name="page125"/>
    <w:bookmarkEnd w:id="124"/>
    <w:p>
      <w:pPr>
        <w:ind w:left="420"/>
        <w:spacing w:after="0"/>
        <w:rPr>
          <w:sz w:val="20"/>
          <w:szCs w:val="20"/>
          <w:color w:val="auto"/>
        </w:rPr>
      </w:pPr>
      <w:r>
        <w:rPr>
          <w:rFonts w:ascii="Arial" w:cs="Arial" w:eastAsia="Arial" w:hAnsi="Arial"/>
          <w:sz w:val="18"/>
          <w:szCs w:val="18"/>
          <w:color w:val="auto"/>
        </w:rPr>
        <w:t>The temporary differences, which gave rise to the Company's deferred tax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7"/>
                <w:szCs w:val="17"/>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Investment in projects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192</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disallowance carryforward - Investment in Projects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Production tax credits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tax credits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U.S. Federal net operating loss carryforwards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199</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loss carryforwards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State net operating loss carryforwards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deferred tax assets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Valuation allowance</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deferred tax assets, net of valuation allowance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deferred noncurrent tax asset</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57</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primary driver for the increase in the net deferred tax asset from $57 million to $92 million as of December 31, 2019, is the increase in federal and state NOLs and interest expense disallowance carryforwards, partially offset by tax losses reducing the Company's investment in Clearway Energy, LLC. As discussed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NRG allocated $22 million to the Company in tax-effected state NOLs, which was recorded as a non-cash adjustment to the consolidated statements of stockholders' equity for the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and Payable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the Company has no current or long term tax receivable or payable to be recorded.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Net deferred tax balance </w:t>
      </w:r>
      <w:r>
        <w:rPr>
          <w:rFonts w:ascii="Arial" w:cs="Arial" w:eastAsia="Arial" w:hAnsi="Arial"/>
          <w:sz w:val="18"/>
          <w:szCs w:val="18"/>
          <w:color w:val="auto"/>
        </w:rPr>
        <w:t>— As of December 31, 2019 and 2018, the Company recorded a net deferred tax asset of $92 million and $57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$15 million, a deferred tax asset, for which there are no existing capital gains or available tax planning strategies to utilize the asset in the future may not be realized, resulting in the recording of a valuation allowance.</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NOL carryforwards </w:t>
      </w:r>
      <w:r>
        <w:rPr>
          <w:rFonts w:ascii="Arial" w:cs="Arial" w:eastAsia="Arial" w:hAnsi="Arial"/>
          <w:sz w:val="18"/>
          <w:szCs w:val="18"/>
          <w:color w:val="auto"/>
        </w:rPr>
        <w:t>— As of December 31, 2019, the Company had domestic NOLs carryforwards for federal income tax purposes of $215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state NOLs of $43 million tax-effected.</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disallowance carryforward </w:t>
      </w:r>
      <w:r>
        <w:rPr>
          <w:rFonts w:ascii="Arial" w:cs="Arial" w:eastAsia="Arial" w:hAnsi="Arial"/>
          <w:sz w:val="18"/>
          <w:szCs w:val="18"/>
          <w:color w:val="auto"/>
        </w:rPr>
        <w:t>— As of December 31, 2019, the Company has a deferred tax asset of $50 million related to disallowed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proposed IRC §163(j) regulation.</w:t>
      </w:r>
    </w:p>
    <w:p>
      <w:pPr>
        <w:spacing w:after="0" w:line="11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disallowed interest deduction has an indefinite carry forward period and any limitations on the utilization of this carryforward have been factored into the valuation allowance analysis. These are proposed regulations which are not final and are subject to change in the regulatory review process.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no identified uncertain tax positions that require evaluation as of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w:t>
      </w:r>
    </w:p>
    <w:p>
      <w:pPr>
        <w:sectPr>
          <w:pgSz w:w="11900" w:h="16838" w:orient="portrait"/>
          <w:cols w:equalWidth="0" w:num="1">
            <w:col w:w="11420"/>
          </w:cols>
          <w:pgMar w:left="240" w:top="67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679" w:right="239" w:bottom="1440" w:gutter="0" w:footer="0" w:header="0"/>
          <w:type w:val="continuous"/>
        </w:sectPr>
      </w:pPr>
    </w:p>
    <w:bookmarkStart w:id="125" w:name="page126"/>
    <w:bookmarkEnd w:id="125"/>
    <w:p>
      <w:pPr>
        <w:jc w:val="both"/>
        <w:spacing w:after="0" w:line="277" w:lineRule="auto"/>
        <w:rPr>
          <w:sz w:val="20"/>
          <w:szCs w:val="20"/>
          <w:color w:val="auto"/>
        </w:rPr>
      </w:pPr>
      <w:r>
        <w:rPr>
          <w:rFonts w:ascii="Arial" w:cs="Arial" w:eastAsia="Arial" w:hAnsi="Arial"/>
          <w:sz w:val="18"/>
          <w:szCs w:val="18"/>
          <w:color w:val="auto"/>
        </w:rPr>
        <w:t>in the Company's balance sheet. The disclosures below summarize the Company's material related party transactions with CEG and its subsidiaries that are included in the Company's operating revenues and operating costs.</w:t>
      </w:r>
    </w:p>
    <w:p>
      <w:pPr>
        <w:spacing w:after="0" w:line="11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As discussed in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on August 31, 2018, NRG sold 100% of its interest in CEG to GIP, and as a result, CEG and its subsidiaries are considered related parties during the year ended December 31, 2019, and NRG and its subsidiaries were considered related parties during the first eight months of the year ended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or O&amp;M, services to these subsidiaries. The Company incurred total expenses for these services of $31 million for the year ended December 31, 2019. The Company incurred total expenses of $11 million for the period from September 1, 2018 to December 31, 2018. There was a balance of $7 million and $6 million due to RENOM as of December 31,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(formerly NRG Asset Services) and Clearway Solar Asset Management (formerly NRG Solar Asset Management), two wholly-owned subsidiaries of CEG, which provide various administrative services to the Company's subsidiaries. The Company incurred expenses under these agreements of $7 million for the year ended December 31, 2019. The Company incurred expenses under these agreements of $3 million for the period from September 1, 2018 to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 There was a balance of $1 million in accounts payable — affiliate due to CEG under the Master Services Agreement as of December 31, 2019, which was paid in January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entities prior to the GIP Transaction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NRG Renew Operation &amp; Maintenance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Various wholly-owned subsidiaries of the Company in the Renewables segment were party to administrative services agreements with NRG Renew Operation &amp; Maintenance LLC, or RENOM, formerly wholly-owned subsidiary of NRG, which provided O&amp;M, services to these subsidiaries. The Company incurred total expenses for these services of $29 million for the eight months ended August 31, 2018. The Company incurred total expenses of $23 million for the year ended December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Various wholly-owned subsidiaries of the Company were parties to administrative services agreements with Clearway Asset Services (formerly NRG Asset Services) and Clearway Solar Asset Management (formerly NRG Solar Asset Management), two wholly-owned subsidiaries of CEG, which provided various administrative asset services to the Company's subsidiaries prior to GIP Transaction. The Company reimbursed costs under this agreement of $6 million for the eight months ended August 31, 2018. The Company reimbursed costs under this agreement of $6 million for the year ended December 31,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679"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Elbow Creek and Dover were parties to PPAs with NRG Power Marketing and generate revenue under the PPAs, which were recorded to operating revenues in the Company's consolidated statements of operations. For the eight months ended August 31, 2018, Elbow Creek and Dover, collectively, generated revenues of $8 million. For the year ended December 31, 2017, Elbow Creek and Dover, collectively, generated revenues of $12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Energy Center Dover LLC, Energy Center Minneapolis, Energy Center Phoenix LLC and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eight months ended August 31, 2018, the Thermal entities purchased $7 million of natural gas from NRG Power Marketing. The Thermal entities purchased a total of $9 million of natural gas during the year ended December 31,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$27 million for the eight months ended August 31, 2018 and $39 million for the year ended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GenConn incurs fees under two O&amp;M agreements with wholly-owned subsidiaries of NRG. For the eight months ended August 31, 2018, the aggregate fees incurred under the agreements were $4 million. The fees incurred under the agreements were $5 million for the year ended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Marsh Landing is a party to an administrative services agreement with NRG West Coast LLC, a wholly owned subsidiary of NRG. The Company reimbursed costs under this agreement of $11 million for the eight months ended August 31, 2018. The Company reimbursed costs under this agreement of approximately $15 million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Administrative Services Agreement by and between ESEC and NRG West Coast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were $7 million for the eight months ended August 31, 2018. Costs incurred under this agreement were approximately $10 million for the year ended December 31, 2017. The costs incurred under the Management Services Agreement included certain direct expenses incurred by NRG on behalf of the Company in addition to the base management fee.</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1,</w:t>
      </w:r>
      <w:r>
        <w:rPr>
          <w:rFonts w:ascii="Arial" w:cs="Arial" w:eastAsia="Arial" w:hAnsi="Arial"/>
          <w:sz w:val="17"/>
          <w:szCs w:val="17"/>
          <w:i w:val="1"/>
          <w:iCs w:val="1"/>
          <w:color w:val="auto"/>
        </w:rPr>
        <w:t>Nature of Business.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679" w:right="239" w:bottom="1440" w:gutter="0" w:footer="0" w:header="0"/>
        </w:sectPr>
      </w:pPr>
    </w:p>
    <w:bookmarkStart w:id="127" w:name="page128"/>
    <w:bookmarkEnd w:id="127"/>
    <w:p>
      <w:pPr>
        <w:jc w:val="both"/>
        <w:ind w:firstLine="648"/>
        <w:spacing w:after="0" w:line="259" w:lineRule="auto"/>
        <w:rPr>
          <w:sz w:val="20"/>
          <w:szCs w:val="20"/>
          <w:color w:val="auto"/>
        </w:rPr>
      </w:pPr>
      <w:r>
        <w:rPr>
          <w:rFonts w:ascii="Arial" w:cs="Arial" w:eastAsia="Arial" w:hAnsi="Arial"/>
          <w:sz w:val="18"/>
          <w:szCs w:val="18"/>
          <w:color w:val="auto"/>
        </w:rPr>
        <w:t>Subsequent to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Agreement by and between ECP and NRG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NRG Business Services LLC, a subsidiary of NRG, and Energy Center Pittsburgh LLC, or ECP, a wholly owned subsidiary of the Company, entered into an EPC agreement for the construction of a 73 MWt district energy system for ECP to provide 150 pph of steam, 6,750 tons of chilled water and 7.5 MW of emergency backup power service to UPMC Mercy. The initial term of the energy services agreement with UPMC Mercy will be for a period of twenty years from the service commencement date. On June 19, 2018, as discussed in Item 15 </w:t>
      </w:r>
      <w:r>
        <w:rPr>
          <w:rFonts w:ascii="Arial" w:cs="Arial" w:eastAsia="Arial" w:hAnsi="Arial"/>
          <w:sz w:val="17"/>
          <w:szCs w:val="17"/>
          <w:b w:val="1"/>
          <w:bCs w:val="1"/>
          <w:color w:val="auto"/>
        </w:rPr>
        <w:t>—</w:t>
      </w:r>
      <w:r>
        <w:rPr>
          <w:rFonts w:ascii="Arial" w:cs="Arial" w:eastAsia="Arial" w:hAnsi="Arial"/>
          <w:sz w:val="17"/>
          <w:szCs w:val="17"/>
          <w:color w:val="auto"/>
        </w:rPr>
        <w:t xml:space="preserve">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has entered into contractual arrangements to procure power, fuel and associated transportation services. For the years ended December 31, 2019, 2018 and 2017, the Company purchased $38 million, $39 million and $34 million, respectively, under such arrangements. As further described in Note 15,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 and $9 million during the year ended December 31, 2017.</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Company's commitments under such outstanding agreements are estimated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2021</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2023</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11, 2019, Nebraska Public Power District, or NPPD, sent written notice to certain of the Company’s subsidiaries which own the Laredo Ridge and Elkhorn Ridge wind projects alleging an event of default under each of the PPAs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679" w:right="239" w:bottom="1440" w:gutter="0" w:footer="0" w:header="0"/>
        </w:sectPr>
      </w:pPr>
    </w:p>
    <w:bookmarkStart w:id="128" w:name="page129"/>
    <w:bookmarkEnd w:id="128"/>
    <w:p>
      <w:pPr>
        <w:jc w:val="both"/>
        <w:spacing w:after="0" w:line="288" w:lineRule="auto"/>
        <w:rPr>
          <w:sz w:val="20"/>
          <w:szCs w:val="20"/>
          <w:color w:val="auto"/>
        </w:rPr>
      </w:pPr>
      <w:r>
        <w:rPr>
          <w:rFonts w:ascii="Arial" w:cs="Arial" w:eastAsia="Arial" w:hAnsi="Arial"/>
          <w:sz w:val="16"/>
          <w:szCs w:val="16"/>
          <w:color w:val="auto"/>
        </w:rPr>
        <w:t>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Additionally, Elkhorn Ridge was added as a third-party defendant to the litigation in the U.S. District Court. On September 23, 2019, NPPD filed amended complaints in the U.S. District Court, to which Laredo Ridge and Elkhorn Ridge responded on October 7, 2019. A motion for summary judgment was filed by the Company on December 19, 2019, which was opposed by NPPD on February 12, 2020. Judicial review is pending. The Company believes the allegations of NPPD are meritless and the Company is vigorously defending its rights under the PPAs.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Buckthorn Solar Litigation</w:t>
      </w:r>
    </w:p>
    <w:p>
      <w:pPr>
        <w:spacing w:after="0" w:line="18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adopted ASU No. 2016-02,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standard resulted in the recording of operating lease liabilities of $165 million and related ROU assets of $159 million. There was no impact to the Company’s consolidated statement of operations or cash flows. The Company utilized its incremental borrowing rate at adoption date, ranging from 4.04% - 4.67%, to determine the amount of the lease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0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679"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Lease expense for the year ended December 31, 2019 was comprised of the following:</w:t>
      </w:r>
    </w:p>
    <w:p>
      <w:pPr>
        <w:spacing w:after="0" w:line="351" w:lineRule="exact"/>
        <w:rPr>
          <w:sz w:val="20"/>
          <w:szCs w:val="20"/>
          <w:color w:val="auto"/>
        </w:rPr>
      </w:pPr>
    </w:p>
    <w:tbl>
      <w:tblPr>
        <w:tblLayout w:type="fixed"/>
        <w:tblInd w:w="2420" w:type="dxa"/>
        <w:tblCellMar>
          <w:top w:w="0" w:type="dxa"/>
          <w:left w:w="0" w:type="dxa"/>
          <w:bottom w:w="0" w:type="dxa"/>
          <w:right w:w="0" w:type="dxa"/>
        </w:tblCellMar>
      </w:tblPr>
      <w:tr>
        <w:trPr>
          <w:trHeight w:val="206"/>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 millions)</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Total lease cost</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Lease expense under operating leases was $18 million and $17 million for the years ended December 31,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information as of December 31,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186690</wp:posOffset>
            </wp:positionV>
            <wp:extent cx="71691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0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millions, except term and rate)</w:t>
      </w:r>
    </w:p>
    <w:p>
      <w:pPr>
        <w:sectPr>
          <w:pgSz w:w="11900" w:h="16838" w:orient="portrait"/>
          <w:cols w:equalWidth="0" w:num="1">
            <w:col w:w="11260"/>
          </w:cols>
          <w:pgMar w:left="240" w:top="679" w:right="399" w:bottom="1440" w:gutter="0" w:footer="0" w:header="0"/>
        </w:sectPr>
      </w:pP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 Assets -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20574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Short-term lease liability - operating leases </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2540</wp:posOffset>
            </wp:positionV>
            <wp:extent cx="71691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lease liability - operating leases</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34290</wp:posOffset>
            </wp:positionV>
            <wp:extent cx="716915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222885"/>
                    </a:xfrm>
                    <a:prstGeom prst="rect">
                      <a:avLst/>
                    </a:prstGeom>
                    <a:noFill/>
                  </pic:spPr>
                </pic:pic>
              </a:graphicData>
            </a:graphic>
          </wp:anchor>
        </w:drawing>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71691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remaining lease term</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4147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223</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14319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57"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46355</wp:posOffset>
            </wp:positionV>
            <wp:extent cx="14319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640" w:type="dxa"/>
            <w:vAlign w:val="bottom"/>
          </w:tcPr>
          <w:p>
            <w:pPr>
              <w:spacing w:after="0"/>
              <w:rPr>
                <w:sz w:val="23"/>
                <w:szCs w:val="23"/>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ectPr>
          <w:pgSz w:w="11900" w:h="16838" w:orient="portrait"/>
          <w:cols w:equalWidth="0" w:num="2">
            <w:col w:w="8420" w:space="720"/>
            <w:col w:w="2120"/>
          </w:cols>
          <w:pgMar w:left="240" w:top="679" w:right="399" w:bottom="1440" w:gutter="0" w:footer="0" w:header="0"/>
          <w:type w:val="continuous"/>
        </w:sectPr>
      </w:pPr>
    </w:p>
    <w:p>
      <w:pPr>
        <w:spacing w:after="0" w:line="132"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7517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892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9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Total lease liability - operating leases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Maturities of operating lease liabilities as of December 31, 2018 under the ASC 840 were as follows:</w:t>
            </w: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2019</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8920" w:type="dxa"/>
            <w:vAlign w:val="bottom"/>
          </w:tcPr>
          <w:p>
            <w:pPr>
              <w:ind w:left="920"/>
              <w:spacing w:after="0"/>
              <w:rPr>
                <w:sz w:val="20"/>
                <w:szCs w:val="20"/>
                <w:color w:val="auto"/>
              </w:rPr>
            </w:pPr>
            <w:r>
              <w:rPr>
                <w:rFonts w:ascii="Arial" w:cs="Arial" w:eastAsia="Arial" w:hAnsi="Arial"/>
                <w:sz w:val="18"/>
                <w:szCs w:val="18"/>
                <w:b w:val="1"/>
                <w:bCs w:val="1"/>
                <w:color w:val="auto"/>
              </w:rPr>
              <w:t>Total lease payments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679" w:right="399" w:bottom="1440" w:gutter="0" w:footer="0" w:header="0"/>
          <w:type w:val="continuous"/>
        </w:sect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260"/>
          </w:cols>
          <w:pgMar w:left="240" w:top="679" w:right="39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14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$21 million and corresponding right-of-use asset of $19 million related to the leases as of December 31,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of this Form 10-K.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The following amounts of energy and capacity revenue are related to the Company’s leases:</w:t>
      </w: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Period ended December 31, 2019</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37"/>
        </w:trPr>
        <w:tc>
          <w:tcPr>
            <w:tcW w:w="3200" w:type="dxa"/>
            <w:vAlign w:val="bottom"/>
          </w:tcPr>
          <w:p>
            <w:pPr>
              <w:ind w:left="26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revenue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r>
      <w:tr>
        <w:trPr>
          <w:trHeight w:val="555"/>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Period ended December 31, 2018</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Conventional Generation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Renewables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Thermal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Energy revenue</w:t>
            </w: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r>
      <w:tr>
        <w:trPr>
          <w:trHeight w:val="237"/>
        </w:trPr>
        <w:tc>
          <w:tcPr>
            <w:tcW w:w="3200" w:type="dxa"/>
            <w:vAlign w:val="bottom"/>
          </w:tcPr>
          <w:p>
            <w:pPr>
              <w:ind w:left="26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3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revenue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534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r>
      <w:tr>
        <w:trPr>
          <w:trHeight w:val="33"/>
        </w:trPr>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 payments for the remaining periods relate to the Conventional segment and were as follows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28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r>
      <w:tr>
        <w:trPr>
          <w:trHeight w:val="257"/>
        </w:trPr>
        <w:tc>
          <w:tcPr>
            <w:tcW w:w="6660" w:type="dxa"/>
            <w:vAlign w:val="bottom"/>
          </w:tcPr>
          <w:p>
            <w:pPr>
              <w:ind w:left="480"/>
              <w:spacing w:after="0"/>
              <w:rPr>
                <w:sz w:val="20"/>
                <w:szCs w:val="20"/>
                <w:color w:val="auto"/>
              </w:rPr>
            </w:pPr>
            <w:r>
              <w:rPr>
                <w:rFonts w:ascii="Arial" w:cs="Arial" w:eastAsia="Arial" w:hAnsi="Arial"/>
                <w:sz w:val="18"/>
                <w:szCs w:val="18"/>
                <w:b w:val="1"/>
                <w:bCs w:val="1"/>
                <w:color w:val="auto"/>
              </w:rPr>
              <w:t>Total lease payments</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related to the Company’s operating leases were as follows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28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6,942</w:t>
            </w:r>
          </w:p>
        </w:tc>
      </w:tr>
      <w:tr>
        <w:trPr>
          <w:trHeight w:val="27"/>
        </w:trPr>
        <w:tc>
          <w:tcPr>
            <w:tcW w:w="6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5,293</w:t>
            </w: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67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18 — Unaudited Quarterly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summarized unaudited quarterly financial data for the periods ending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96"/>
              </w:rPr>
              <w:t>Quarter Ended</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1101"/>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3"/>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(In millions, except per share data)</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Clearway Energy, Inc.</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Class A common shares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outstanding — basic</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20"/>
        </w:trPr>
        <w:tc>
          <w:tcPr>
            <w:tcW w:w="5040" w:type="dxa"/>
            <w:vAlign w:val="bottom"/>
          </w:tcPr>
          <w:p>
            <w:pPr>
              <w:ind w:left="180"/>
              <w:spacing w:after="0"/>
              <w:rPr>
                <w:sz w:val="20"/>
                <w:szCs w:val="20"/>
                <w:color w:val="auto"/>
              </w:rPr>
            </w:pPr>
            <w:r>
              <w:rPr>
                <w:rFonts w:ascii="Arial" w:cs="Arial" w:eastAsia="Arial" w:hAnsi="Arial"/>
                <w:sz w:val="16"/>
                <w:szCs w:val="16"/>
                <w:color w:val="auto"/>
              </w:rPr>
              <w:t>Weighted average number of Class A common shares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outstanding — diluted</w:t>
            </w:r>
          </w:p>
        </w:tc>
        <w:tc>
          <w:tcPr>
            <w:tcW w:w="220" w:type="dxa"/>
            <w:vAlign w:val="bottom"/>
          </w:tcPr>
          <w:p>
            <w:pPr>
              <w:spacing w:after="0"/>
              <w:rPr>
                <w:sz w:val="17"/>
                <w:szCs w:val="17"/>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Class C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outstanding — basic</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w w:val="91"/>
              </w:rPr>
              <w:t>Weighted average number of Class C common shares outstanding — diluted</w:t>
            </w:r>
          </w:p>
        </w:tc>
        <w:tc>
          <w:tcPr>
            <w:tcW w:w="2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Earnings per Weighted Average Common Share Basic and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33"/>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left="921"/>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(In millions, except per share data)</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Clearway Energy, Inc.</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2"/>
              </w:rPr>
              <w:t>Weighted average number of Class A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rPr>
              <w:t>Weighted average number of Class A common shares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5160" w:type="dxa"/>
            <w:vAlign w:val="bottom"/>
          </w:tcPr>
          <w:p>
            <w:pPr>
              <w:ind w:left="340"/>
              <w:spacing w:after="0"/>
              <w:rPr>
                <w:sz w:val="20"/>
                <w:szCs w:val="20"/>
                <w:color w:val="auto"/>
              </w:rPr>
            </w:pPr>
            <w:r>
              <w:rPr>
                <w:rFonts w:ascii="Arial" w:cs="Arial" w:eastAsia="Arial" w:hAnsi="Arial"/>
                <w:sz w:val="16"/>
                <w:szCs w:val="16"/>
                <w:color w:val="auto"/>
              </w:rPr>
              <w:t>outstanding — diluted</w:t>
            </w:r>
          </w:p>
        </w:tc>
        <w:tc>
          <w:tcPr>
            <w:tcW w:w="22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2"/>
              </w:rPr>
              <w:t>Weighted average number of Class C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w w:val="91"/>
              </w:rPr>
              <w:t>Weighted average number of Class C common shares outstanding — diluted</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(Loss) Earnings per Weighted Average Class A and Class C Common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Share -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w w:val="92"/>
              </w:rPr>
              <w:t>(Loss) Earnings per Weighted Average Class A Common Share -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(0.63)</w:t>
            </w:r>
          </w:p>
        </w:tc>
        <w:tc>
          <w:tcPr>
            <w:tcW w:w="2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0.16</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2"/>
              </w:rPr>
              <w:t>(Loss) Earnings per Weighted Average Class C Common Share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r>
      <w:tr>
        <w:trPr>
          <w:trHeight w:val="33"/>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67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b w:val="1"/>
                <w:bCs w:val="1"/>
                <w:color w:val="auto"/>
              </w:rPr>
              <w:t>Schedule I</w:t>
            </w:r>
          </w:p>
        </w:tc>
      </w:tr>
      <w:tr>
        <w:trPr>
          <w:trHeight w:val="378"/>
        </w:trPr>
        <w:tc>
          <w:tcPr>
            <w:tcW w:w="7080" w:type="dxa"/>
            <w:vAlign w:val="bottom"/>
          </w:tcPr>
          <w:p>
            <w:pPr>
              <w:jc w:val="center"/>
              <w:ind w:left="4271"/>
              <w:spacing w:after="0"/>
              <w:rPr>
                <w:sz w:val="20"/>
                <w:szCs w:val="20"/>
                <w:color w:val="auto"/>
              </w:rPr>
            </w:pPr>
            <w:r>
              <w:rPr>
                <w:rFonts w:ascii="Arial" w:cs="Arial" w:eastAsia="Arial" w:hAnsi="Arial"/>
                <w:sz w:val="18"/>
                <w:szCs w:val="18"/>
                <w:b w:val="1"/>
                <w:bCs w:val="1"/>
                <w:color w:val="auto"/>
                <w:w w:val="92"/>
              </w:rPr>
              <w:t>Clearway Energy, Inc. (Parent)</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580" w:type="dxa"/>
            <w:vAlign w:val="bottom"/>
            <w:gridSpan w:val="2"/>
          </w:tcPr>
          <w:p>
            <w:pPr>
              <w:jc w:val="center"/>
              <w:ind w:left="3751"/>
              <w:spacing w:after="0"/>
              <w:rPr>
                <w:sz w:val="20"/>
                <w:szCs w:val="20"/>
                <w:color w:val="auto"/>
              </w:rPr>
            </w:pPr>
            <w:r>
              <w:rPr>
                <w:rFonts w:ascii="Arial" w:cs="Arial" w:eastAsia="Arial" w:hAnsi="Arial"/>
                <w:sz w:val="18"/>
                <w:szCs w:val="18"/>
                <w:b w:val="1"/>
                <w:bCs w:val="1"/>
                <w:color w:val="auto"/>
                <w:w w:val="91"/>
              </w:rPr>
              <w:t>Condensed Financial Information of Registrant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580" w:type="dxa"/>
            <w:vAlign w:val="bottom"/>
            <w:gridSpan w:val="2"/>
          </w:tcPr>
          <w:p>
            <w:pPr>
              <w:jc w:val="center"/>
              <w:ind w:left="3771"/>
              <w:spacing w:after="0"/>
              <w:rPr>
                <w:sz w:val="20"/>
                <w:szCs w:val="20"/>
                <w:color w:val="auto"/>
              </w:rPr>
            </w:pPr>
            <w:r>
              <w:rPr>
                <w:rFonts w:ascii="Arial" w:cs="Arial" w:eastAsia="Arial" w:hAnsi="Arial"/>
                <w:sz w:val="18"/>
                <w:szCs w:val="18"/>
                <w:b w:val="1"/>
                <w:bCs w:val="1"/>
                <w:color w:val="auto"/>
                <w:w w:val="88"/>
              </w:rPr>
              <w:t>Condensed Statements of Operations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96"/>
        </w:trPr>
        <w:tc>
          <w:tcPr>
            <w:tcW w:w="70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Equity in earnings of consolidated subsidiaries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Pre-acquisition net income of Drop Down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Less: Net (loss) income attributable to noncontrolling interests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Clearway Energy, Inc.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756"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297"/>
        </w:trPr>
        <w:tc>
          <w:tcPr>
            <w:tcW w:w="8560" w:type="dxa"/>
            <w:vAlign w:val="bottom"/>
          </w:tcPr>
          <w:p>
            <w:pPr>
              <w:ind w:left="4500"/>
              <w:spacing w:after="0"/>
              <w:rPr>
                <w:sz w:val="20"/>
                <w:szCs w:val="20"/>
                <w:color w:val="auto"/>
              </w:rPr>
            </w:pPr>
            <w:r>
              <w:rPr>
                <w:rFonts w:ascii="Arial" w:cs="Arial" w:eastAsia="Arial" w:hAnsi="Arial"/>
                <w:sz w:val="18"/>
                <w:szCs w:val="18"/>
                <w:b w:val="1"/>
                <w:bCs w:val="1"/>
                <w:color w:val="auto"/>
              </w:rPr>
              <w:t>Clearway Energy, Inc. (Parent)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ind w:left="4680"/>
              <w:spacing w:after="0"/>
              <w:rPr>
                <w:sz w:val="20"/>
                <w:szCs w:val="20"/>
                <w:color w:val="auto"/>
              </w:rPr>
            </w:pPr>
            <w:r>
              <w:rPr>
                <w:rFonts w:ascii="Arial" w:cs="Arial" w:eastAsia="Arial" w:hAnsi="Arial"/>
                <w:sz w:val="18"/>
                <w:szCs w:val="18"/>
                <w:b w:val="1"/>
                <w:bCs w:val="1"/>
                <w:color w:val="auto"/>
              </w:rPr>
              <w:t>Condensed Balance Sheets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3"/>
        </w:trPr>
        <w:tc>
          <w:tcPr>
            <w:tcW w:w="8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5"/>
        </w:trPr>
        <w:tc>
          <w:tcPr>
            <w:tcW w:w="856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26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336"/>
        </w:trPr>
        <w:tc>
          <w:tcPr>
            <w:tcW w:w="8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Note receivable - Clearway Energy Operating LLC</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Investment in consolidated subsidiaries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 receivable - Clearway Energy Operating LLC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3773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00"/>
          </w:cols>
          <w:pgMar w:left="260" w:top="675" w:right="2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p>
      <w:pPr>
        <w:spacing w:after="0" w:line="144" w:lineRule="exact"/>
        <w:rPr>
          <w:sz w:val="20"/>
          <w:szCs w:val="20"/>
          <w:color w:val="auto"/>
        </w:rPr>
      </w:pPr>
    </w:p>
    <w:p>
      <w:pPr>
        <w:ind w:left="160" w:right="160"/>
        <w:spacing w:after="0" w:line="276" w:lineRule="auto"/>
        <w:rPr>
          <w:sz w:val="20"/>
          <w:szCs w:val="20"/>
          <w:color w:val="auto"/>
        </w:rPr>
      </w:pPr>
      <w:r>
        <w:rPr>
          <w:rFonts w:ascii="Arial" w:cs="Arial" w:eastAsia="Arial" w:hAnsi="Arial"/>
          <w:sz w:val="17"/>
          <w:szCs w:val="17"/>
          <w:color w:val="auto"/>
        </w:rPr>
        <w:t>Class A, Class B, Class C and Class D common stock, $0.01 par value; 3,000,000,000 shares authorized (Class A 500,000,000, Class B 500,000,000, Class C 1,000,000,000, Class D 1,000,000,000); 198,819,999 shares issued and outstanding (Class A 34,599,645, Class B 42,738,750, Class C 78,742,854, Class D 42,738,750) at December 31, 2019 and 193,251,396 shares issued and outstanding (Class A 34,586,250, Class B 42,738,750, Class C 73,187,646, Class D 42,738,750)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72377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23773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7730" cy="274320"/>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other comprehensive loss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40"/>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1,936</w:t>
            </w:r>
          </w:p>
        </w:tc>
        <w:tc>
          <w:tcPr>
            <w:tcW w:w="940" w:type="dxa"/>
            <w:vAlign w:val="bottom"/>
          </w:tcPr>
          <w:p>
            <w:pPr>
              <w:jc w:val="right"/>
              <w:spacing w:after="0"/>
              <w:rPr>
                <w:sz w:val="20"/>
                <w:szCs w:val="20"/>
                <w:color w:val="auto"/>
              </w:rPr>
            </w:pPr>
            <w:r>
              <w:rPr>
                <w:rFonts w:ascii="Arial" w:cs="Arial" w:eastAsia="Arial" w:hAnsi="Arial"/>
                <w:sz w:val="18"/>
                <w:szCs w:val="18"/>
                <w:color w:val="auto"/>
              </w:rPr>
              <w:t>1,897</w:t>
            </w:r>
          </w:p>
        </w:tc>
      </w:tr>
    </w:tbl>
    <w:p>
      <w:pPr>
        <w:spacing w:after="0" w:line="40" w:lineRule="exact"/>
        <w:rPr>
          <w:sz w:val="20"/>
          <w:szCs w:val="20"/>
          <w:color w:val="auto"/>
        </w:rPr>
      </w:pPr>
    </w:p>
    <w:p>
      <w:pPr>
        <w:ind w:left="1640" w:hanging="1467"/>
        <w:spacing w:after="0"/>
        <w:tabs>
          <w:tab w:leader="none" w:pos="1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(58)</w:t>
      </w:r>
    </w:p>
    <w:p>
      <w:pPr>
        <w:spacing w:after="0" w:line="248" w:lineRule="exact"/>
        <w:rPr>
          <w:sz w:val="20"/>
          <w:szCs w:val="20"/>
          <w:color w:val="auto"/>
        </w:rPr>
      </w:pPr>
    </w:p>
    <w:p>
      <w:pPr>
        <w:ind w:left="1640" w:hanging="1467"/>
        <w:spacing w:after="0"/>
        <w:tabs>
          <w:tab w:leader="none" w:pos="1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(18)</w:t>
      </w:r>
    </w:p>
    <w:p>
      <w:pPr>
        <w:spacing w:after="0" w:line="248"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413</w:t>
      </w:r>
      <w:r>
        <w:rPr>
          <w:rFonts w:ascii="Arial" w:cs="Arial" w:eastAsia="Arial" w:hAnsi="Arial"/>
          <w:sz w:val="15"/>
          <w:szCs w:val="15"/>
          <w:color w:val="auto"/>
        </w:rPr>
        <w:t>402</w:t>
      </w:r>
    </w:p>
    <w:p>
      <w:pPr>
        <w:spacing w:after="0" w:line="30" w:lineRule="exact"/>
        <w:rPr>
          <w:sz w:val="20"/>
          <w:szCs w:val="20"/>
          <w:color w:val="auto"/>
        </w:rPr>
      </w:pPr>
    </w:p>
    <w:p>
      <w:pPr>
        <w:sectPr>
          <w:pgSz w:w="11900" w:h="16838" w:orient="portrait"/>
          <w:cols w:equalWidth="0" w:num="2">
            <w:col w:w="8680" w:space="720"/>
            <w:col w:w="2000"/>
          </w:cols>
          <w:pgMar w:left="260" w:top="675"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r>
      <w:tr>
        <w:trPr>
          <w:trHeight w:val="25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2,498</w:t>
            </w:r>
          </w:p>
        </w:tc>
      </w:tr>
      <w:tr>
        <w:trPr>
          <w:trHeight w:val="20"/>
        </w:trPr>
        <w:tc>
          <w:tcPr>
            <w:tcW w:w="8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60" w:top="675" w:right="2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r>
      <w:tr>
        <w:trPr>
          <w:trHeight w:val="378"/>
        </w:trPr>
        <w:tc>
          <w:tcPr>
            <w:tcW w:w="4240" w:type="dxa"/>
            <w:vAlign w:val="bottom"/>
          </w:tcPr>
          <w:p>
            <w:pPr>
              <w:spacing w:after="0"/>
              <w:rPr>
                <w:sz w:val="24"/>
                <w:szCs w:val="24"/>
                <w:color w:val="auto"/>
              </w:rPr>
            </w:pPr>
          </w:p>
        </w:tc>
        <w:tc>
          <w:tcPr>
            <w:tcW w:w="374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Clearway Energy, Inc. (Parent)</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4240" w:type="dxa"/>
            <w:vAlign w:val="bottom"/>
          </w:tcPr>
          <w:p>
            <w:pPr>
              <w:spacing w:after="0"/>
              <w:rPr>
                <w:sz w:val="24"/>
                <w:szCs w:val="24"/>
                <w:color w:val="auto"/>
              </w:rPr>
            </w:pPr>
          </w:p>
        </w:tc>
        <w:tc>
          <w:tcPr>
            <w:tcW w:w="37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w w:val="88"/>
              </w:rPr>
              <w:t>Condensed Statements of Cash Flows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50"/>
        </w:trPr>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
        </w:trPr>
        <w:tc>
          <w:tcPr>
            <w:tcW w:w="42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8"/>
        </w:trPr>
        <w:tc>
          <w:tcPr>
            <w:tcW w:w="4240" w:type="dxa"/>
            <w:vAlign w:val="bottom"/>
          </w:tcPr>
          <w:p>
            <w:pPr>
              <w:spacing w:after="0"/>
              <w:rPr>
                <w:sz w:val="22"/>
                <w:szCs w:val="22"/>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Net Cash (Used in) Provided by Operating Activities</w:t>
            </w:r>
          </w:p>
        </w:tc>
        <w:tc>
          <w:tcPr>
            <w:tcW w:w="37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consolidated affiliates</w:t>
            </w:r>
          </w:p>
        </w:tc>
        <w:tc>
          <w:tcPr>
            <w:tcW w:w="2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received from notes receivable - affiliate</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Net Cash Provided by (Used in) Investing Activities</w:t>
            </w:r>
          </w:p>
        </w:tc>
        <w:tc>
          <w:tcPr>
            <w:tcW w:w="2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long-term debt</w:t>
            </w:r>
          </w:p>
        </w:tc>
        <w:tc>
          <w:tcPr>
            <w:tcW w:w="2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Proceeds from the issuance of common stock</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70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received from Clearway Energy LLC for the payment of dividends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Payment of dividends</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2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Net Cash (Used in) Provided by Financing Activities</w:t>
            </w:r>
          </w:p>
        </w:tc>
        <w:tc>
          <w:tcPr>
            <w:tcW w:w="2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w w:val="89"/>
              </w:rPr>
              <w:t>Net (Decrease) Increase in Cash and Cash Equivalents</w:t>
            </w:r>
          </w:p>
        </w:tc>
        <w:tc>
          <w:tcPr>
            <w:tcW w:w="2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Cash and Cash Equivalents at Beginning of Period</w:t>
            </w:r>
          </w:p>
        </w:tc>
        <w:tc>
          <w:tcPr>
            <w:tcW w:w="28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840" w:type="dxa"/>
            <w:vAlign w:val="bottom"/>
          </w:tcPr>
          <w:p>
            <w:pPr>
              <w:spacing w:after="0"/>
              <w:rPr>
                <w:sz w:val="20"/>
                <w:szCs w:val="20"/>
                <w:color w:val="auto"/>
              </w:rPr>
            </w:pP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56" w:right="239" w:bottom="1440" w:gutter="0" w:footer="0" w:header="0"/>
        </w:sectPr>
      </w:pPr>
    </w:p>
    <w:bookmarkStart w:id="135" w:name="page136"/>
    <w:bookmarkEnd w:id="135"/>
    <w:p>
      <w:pPr>
        <w:ind w:left="10620"/>
        <w:spacing w:after="0"/>
        <w:rPr>
          <w:sz w:val="20"/>
          <w:szCs w:val="20"/>
          <w:color w:val="auto"/>
        </w:rPr>
      </w:pPr>
      <w:r>
        <w:rPr>
          <w:rFonts w:ascii="Arial" w:cs="Arial" w:eastAsia="Arial" w:hAnsi="Arial"/>
          <w:sz w:val="15"/>
          <w:szCs w:val="15"/>
          <w:b w:val="1"/>
          <w:bCs w:val="1"/>
          <w:color w:val="auto"/>
        </w:rPr>
        <w:t>Schedule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(Parent)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Global Infrastructure Partners III, or GIP, referred to hereinafter as the NRG Transaction. As a result of the NRG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13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Company’s environmentally-sound asset portfolio includes approximately </w:t>
      </w:r>
      <w:r>
        <w:rPr>
          <w:rFonts w:ascii="Arial" w:cs="Arial" w:eastAsia="Arial" w:hAnsi="Arial"/>
          <w:sz w:val="17"/>
          <w:szCs w:val="17"/>
          <w:color w:val="231F20"/>
        </w:rPr>
        <w:t>5,875</w:t>
      </w:r>
      <w:r>
        <w:rPr>
          <w:rFonts w:ascii="Arial" w:cs="Arial" w:eastAsia="Arial" w:hAnsi="Arial"/>
          <w:sz w:val="17"/>
          <w:szCs w:val="17"/>
          <w:color w:val="auto"/>
        </w:rPr>
        <w:t xml:space="preserve"> MW of wind, solar and natural gas-fired power generation facilities, as well as district energy systems as of December 31, 2019. Through this diversified and contracted portfolio, the Company endeavors to provide its investors with stable and growing dividend income. The weighted average remaining contract duration of these offtake agreements was approximately </w:t>
      </w:r>
      <w:r>
        <w:rPr>
          <w:rFonts w:ascii="Arial" w:cs="Arial" w:eastAsia="Arial" w:hAnsi="Arial"/>
          <w:sz w:val="17"/>
          <w:szCs w:val="17"/>
          <w:color w:val="231F20"/>
        </w:rPr>
        <w:t>13</w:t>
      </w:r>
      <w:r>
        <w:rPr>
          <w:rFonts w:ascii="Arial" w:cs="Arial" w:eastAsia="Arial" w:hAnsi="Arial"/>
          <w:sz w:val="17"/>
          <w:szCs w:val="17"/>
          <w:color w:val="auto"/>
        </w:rPr>
        <w:t xml:space="preserve"> </w:t>
      </w:r>
      <w:r>
        <w:rPr>
          <w:rFonts w:ascii="Arial" w:cs="Arial" w:eastAsia="Arial" w:hAnsi="Arial"/>
          <w:sz w:val="17"/>
          <w:szCs w:val="17"/>
          <w:color w:val="231F20"/>
        </w:rPr>
        <w:t xml:space="preserve">years as of </w:t>
      </w:r>
      <w:r>
        <w:rPr>
          <w:rFonts w:ascii="Arial" w:cs="Arial" w:eastAsia="Arial" w:hAnsi="Arial"/>
          <w:sz w:val="17"/>
          <w:szCs w:val="17"/>
          <w:color w:val="000000"/>
        </w:rPr>
        <w:t>December 31, 2019</w:t>
      </w:r>
      <w:r>
        <w:rPr>
          <w:rFonts w:ascii="Arial" w:cs="Arial" w:eastAsia="Arial" w:hAnsi="Arial"/>
          <w:sz w:val="17"/>
          <w:szCs w:val="17"/>
          <w:color w:val="231F20"/>
        </w:rPr>
        <w:t xml:space="preserve"> based on CAFD. The 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additional issuance of 5,405,405 Class C common shares on December 2, 2019, the Company currently owns 57.01% of the economic interests of Clearway Energy LLC, with CEG retaining 42.99% of the economic interests of Clearway Energy LLC.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On December 6, 2019, the Company acquired 100% of GIP's membership interests in CBAD Holdings, LLC, which indirectly owns Carlsbad Energy Center LLC, a 527 megawatt natural gas fired power project located in Carlsbad, California, or the Carlsbad Drop Down Asset. The assets transferred to the Company relate to interests under common control by GIP and were recorded at book value in accordance with ASC 805-50, </w:t>
      </w:r>
      <w:r>
        <w:rPr>
          <w:rFonts w:ascii="Arial" w:cs="Arial" w:eastAsia="Arial" w:hAnsi="Arial"/>
          <w:sz w:val="16"/>
          <w:szCs w:val="16"/>
          <w:i w:val="1"/>
          <w:iCs w:val="1"/>
          <w:color w:val="auto"/>
        </w:rPr>
        <w:t>Business Combinations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purchase price and book value of the assets was recorded as a distribution to CEG and decreased the balance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noncontrolling interest. The acquisition was determined to be an asset acquisition and not a business combination, therefore no recast of the historical financial information was deemed necessary. For further discussion, see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Long-Term Debt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For a discussion of Clearway Energy, Inc.’s financing arrangements,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to the Company's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Contingencies and Guarantees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 for a detailed discussion of Clearway Energy, Inc.’s commitments and contingencies.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756"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Note 4 — Dividends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Cash distributions paid to Clearway Energy, Inc. by its subsidiary, Clearway Energy LLC, were $87 million, $130 million, and $108 million for the years ended December 31, 2019, 2018, and 2017, respectively.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67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300" w:type="dxa"/>
            <w:vAlign w:val="bottom"/>
          </w:tcPr>
          <w:p>
            <w:pPr>
              <w:jc w:val="center"/>
              <w:ind w:right="364"/>
              <w:spacing w:after="0"/>
              <w:rPr>
                <w:sz w:val="20"/>
                <w:szCs w:val="20"/>
                <w:color w:val="auto"/>
              </w:rPr>
            </w:pPr>
            <w:r>
              <w:rPr>
                <w:rFonts w:ascii="Arial" w:cs="Arial" w:eastAsia="Arial" w:hAnsi="Arial"/>
                <w:sz w:val="14"/>
                <w:szCs w:val="14"/>
                <w:b w:val="1"/>
                <w:bCs w:val="1"/>
                <w:color w:val="auto"/>
                <w:w w:val="94"/>
              </w:rPr>
              <w:t>Charged to</w:t>
            </w:r>
          </w:p>
        </w:tc>
        <w:tc>
          <w:tcPr>
            <w:tcW w:w="1520" w:type="dxa"/>
            <w:vAlign w:val="bottom"/>
            <w:vMerge w:val="restart"/>
          </w:tcPr>
          <w:p>
            <w:pPr>
              <w:jc w:val="center"/>
              <w:ind w:right="363"/>
              <w:spacing w:after="0"/>
              <w:rPr>
                <w:sz w:val="20"/>
                <w:szCs w:val="20"/>
                <w:color w:val="auto"/>
              </w:rPr>
            </w:pPr>
            <w:r>
              <w:rPr>
                <w:rFonts w:ascii="Arial" w:cs="Arial" w:eastAsia="Arial" w:hAnsi="Arial"/>
                <w:sz w:val="14"/>
                <w:szCs w:val="14"/>
                <w:b w:val="1"/>
                <w:bCs w:val="1"/>
                <w:color w:val="auto"/>
                <w:w w:val="91"/>
              </w:rPr>
              <w:t>Charged to</w:t>
            </w:r>
          </w:p>
        </w:tc>
        <w:tc>
          <w:tcPr>
            <w:tcW w:w="11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00" w:type="dxa"/>
            <w:vAlign w:val="bottom"/>
          </w:tcPr>
          <w:p>
            <w:pPr>
              <w:jc w:val="center"/>
              <w:ind w:right="384"/>
              <w:spacing w:after="0" w:line="149" w:lineRule="exact"/>
              <w:rPr>
                <w:sz w:val="20"/>
                <w:szCs w:val="20"/>
                <w:color w:val="auto"/>
              </w:rPr>
            </w:pPr>
            <w:r>
              <w:rPr>
                <w:rFonts w:ascii="Arial" w:cs="Arial" w:eastAsia="Arial" w:hAnsi="Arial"/>
                <w:sz w:val="14"/>
                <w:szCs w:val="14"/>
                <w:b w:val="1"/>
                <w:bCs w:val="1"/>
                <w:color w:val="auto"/>
                <w:w w:val="88"/>
              </w:rPr>
              <w:t>Costs and</w:t>
            </w:r>
          </w:p>
        </w:tc>
        <w:tc>
          <w:tcPr>
            <w:tcW w:w="15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88"/>
              </w:rPr>
              <w:t>Expenses</w:t>
            </w:r>
          </w:p>
        </w:tc>
        <w:tc>
          <w:tcPr>
            <w:tcW w:w="1520" w:type="dxa"/>
            <w:vAlign w:val="bottom"/>
            <w:tcBorders>
              <w:bottom w:val="single" w:sz="8" w:color="auto"/>
            </w:tcBorders>
          </w:tcPr>
          <w:p>
            <w:pPr>
              <w:jc w:val="center"/>
              <w:ind w:right="363"/>
              <w:spacing w:after="0"/>
              <w:rPr>
                <w:sz w:val="20"/>
                <w:szCs w:val="20"/>
                <w:color w:val="auto"/>
              </w:rPr>
            </w:pPr>
            <w:r>
              <w:rPr>
                <w:rFonts w:ascii="Arial" w:cs="Arial" w:eastAsia="Arial" w:hAnsi="Arial"/>
                <w:sz w:val="14"/>
                <w:szCs w:val="14"/>
                <w:b w:val="1"/>
                <w:bCs w:val="1"/>
                <w:color w:val="auto"/>
                <w:w w:val="91"/>
              </w:rPr>
              <w:t>Other Accounts</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2"/>
          </w:tcPr>
          <w:p>
            <w:pPr>
              <w:ind w:left="86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valuation allowance, deducted from deferred tax</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1520" w:type="dxa"/>
            <w:vAlign w:val="bottom"/>
          </w:tcPr>
          <w:p>
            <w:pPr>
              <w:ind w:left="980"/>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rPr>
              <w:t>5</w:t>
            </w:r>
          </w:p>
        </w:tc>
        <w:tc>
          <w:tcPr>
            <w:tcW w:w="15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Year Ended December 31, 2017</w:t>
            </w: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300" w:type="dxa"/>
            <w:vAlign w:val="bottom"/>
          </w:tcPr>
          <w:p>
            <w:pPr>
              <w:jc w:val="right"/>
              <w:ind w:right="244"/>
              <w:spacing w:after="0"/>
              <w:rPr>
                <w:sz w:val="20"/>
                <w:szCs w:val="20"/>
                <w:color w:val="auto"/>
              </w:rPr>
            </w:pPr>
            <w:r>
              <w:rPr>
                <w:rFonts w:ascii="Arial" w:cs="Arial" w:eastAsia="Arial" w:hAnsi="Arial"/>
                <w:sz w:val="16"/>
                <w:szCs w:val="16"/>
                <w:color w:val="auto"/>
              </w:rPr>
              <w:t>(6)</w:t>
            </w:r>
          </w:p>
        </w:tc>
        <w:tc>
          <w:tcPr>
            <w:tcW w:w="1520" w:type="dxa"/>
            <w:vAlign w:val="bottom"/>
          </w:tcPr>
          <w:p>
            <w:pPr>
              <w:ind w:left="9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060"/>
          </w:cols>
          <w:pgMar w:left="920" w:top="675" w:right="9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13"/>
          </w:tcPr>
          <w:p>
            <w:pPr>
              <w:ind w:left="4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840" w:type="dxa"/>
            <w:vAlign w:val="bottom"/>
            <w:gridSpan w:val="18"/>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9"/>
          </w:tcPr>
          <w:p>
            <w:pPr>
              <w:spacing w:after="0"/>
              <w:rPr>
                <w:rFonts w:ascii="Arial" w:cs="Arial" w:eastAsia="Arial" w:hAnsi="Arial"/>
                <w:sz w:val="16"/>
                <w:szCs w:val="16"/>
                <w:color w:val="0000FF"/>
                <w:w w:val="89"/>
              </w:rPr>
            </w:pPr>
            <w:hyperlink r:id="rId73">
              <w:r>
                <w:rPr>
                  <w:rFonts w:ascii="Arial" w:cs="Arial" w:eastAsia="Arial" w:hAnsi="Arial"/>
                  <w:sz w:val="16"/>
                  <w:szCs w:val="16"/>
                  <w:color w:val="0000FF"/>
                  <w:w w:val="89"/>
                </w:rPr>
                <w:t>Purchase and Sale Agreement, dated as of May 5, 2014, by and between NRG Gas</w:t>
              </w:r>
            </w:hyperlink>
          </w:p>
        </w:tc>
        <w:tc>
          <w:tcPr>
            <w:tcW w:w="4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73">
              <w:r>
                <w:rPr>
                  <w:rFonts w:ascii="Arial" w:cs="Arial" w:eastAsia="Arial" w:hAnsi="Arial"/>
                  <w:sz w:val="16"/>
                  <w:szCs w:val="16"/>
                  <w:color w:val="0000FF"/>
                  <w:w w:val="93"/>
                </w:rPr>
                <w:t>Development Company, LLC and NRG Yield Operating LLC.</w:t>
              </w:r>
            </w:hyperlink>
          </w:p>
        </w:tc>
        <w:tc>
          <w:tcPr>
            <w:tcW w:w="18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5"/>
          </w:tcPr>
          <w:p>
            <w:pPr>
              <w:spacing w:after="0"/>
              <w:rPr>
                <w:rFonts w:ascii="Arial" w:cs="Arial" w:eastAsia="Arial" w:hAnsi="Arial"/>
                <w:sz w:val="16"/>
                <w:szCs w:val="16"/>
                <w:color w:val="0000FF"/>
                <w:w w:val="90"/>
              </w:rPr>
            </w:pPr>
            <w:hyperlink r:id="rId74">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5"/>
          </w:tcPr>
          <w:p>
            <w:pPr>
              <w:spacing w:after="0"/>
              <w:rPr>
                <w:rFonts w:ascii="Arial" w:cs="Arial" w:eastAsia="Arial" w:hAnsi="Arial"/>
                <w:sz w:val="16"/>
                <w:szCs w:val="16"/>
                <w:color w:val="0000FF"/>
                <w:w w:val="90"/>
              </w:rPr>
            </w:pPr>
            <w:hyperlink r:id="rId75">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7"/>
          </w:tcPr>
          <w:p>
            <w:pPr>
              <w:spacing w:after="0"/>
              <w:rPr>
                <w:rFonts w:ascii="Arial" w:cs="Arial" w:eastAsia="Arial" w:hAnsi="Arial"/>
                <w:sz w:val="16"/>
                <w:szCs w:val="16"/>
                <w:color w:val="0000FF"/>
                <w:w w:val="90"/>
              </w:rPr>
            </w:pPr>
            <w:hyperlink r:id="rId76">
              <w:r>
                <w:rPr>
                  <w:rFonts w:ascii="Arial" w:cs="Arial" w:eastAsia="Arial" w:hAnsi="Arial"/>
                  <w:sz w:val="16"/>
                  <w:szCs w:val="16"/>
                  <w:color w:val="0000FF"/>
                  <w:w w:val="90"/>
                </w:rPr>
                <w:t>Purchase and Sale Agreement, dated June 3, 2014, by and among NRG Yield, Inc., NRG</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w w:val="96"/>
              </w:rPr>
            </w:pPr>
            <w:hyperlink r:id="rId76">
              <w:r>
                <w:rPr>
                  <w:rFonts w:ascii="Arial" w:cs="Arial" w:eastAsia="Arial" w:hAnsi="Arial"/>
                  <w:sz w:val="16"/>
                  <w:szCs w:val="16"/>
                  <w:color w:val="0000FF"/>
                  <w:w w:val="96"/>
                </w:rPr>
                <w:t>Yield Operating LLC, Terra-Gen Finance Company, LLC, NTD AWAM Holdings, LLC,</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5"/>
              </w:rPr>
            </w:pPr>
            <w:hyperlink r:id="rId76">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8"/>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Company,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2.5</w:t>
            </w:r>
          </w:p>
        </w:tc>
        <w:tc>
          <w:tcPr>
            <w:tcW w:w="5840" w:type="dxa"/>
            <w:vAlign w:val="bottom"/>
            <w:tcBorders>
              <w:bottom w:val="single" w:sz="8" w:color="0000FF"/>
            </w:tcBorders>
            <w:gridSpan w:val="18"/>
          </w:tcPr>
          <w:p>
            <w:pPr>
              <w:spacing w:after="0"/>
              <w:rPr>
                <w:rFonts w:ascii="Arial" w:cs="Arial" w:eastAsia="Arial" w:hAnsi="Arial"/>
                <w:sz w:val="16"/>
                <w:szCs w:val="16"/>
                <w:color w:val="0000FF"/>
                <w:w w:val="90"/>
              </w:rPr>
            </w:pPr>
            <w:hyperlink r:id="rId77">
              <w:r>
                <w:rPr>
                  <w:rFonts w:ascii="Arial" w:cs="Arial" w:eastAsia="Arial" w:hAnsi="Arial"/>
                  <w:sz w:val="16"/>
                  <w:szCs w:val="16"/>
                  <w:color w:val="0000FF"/>
                  <w:w w:val="90"/>
                </w:rPr>
                <w:t>Purchase and Sale Agreement, dated as of November 4, 2014, by and between NRG Wind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2.6</w:t>
            </w:r>
          </w:p>
        </w:tc>
        <w:tc>
          <w:tcPr>
            <w:tcW w:w="5840" w:type="dxa"/>
            <w:vAlign w:val="bottom"/>
            <w:gridSpan w:val="18"/>
          </w:tcPr>
          <w:p>
            <w:pPr>
              <w:spacing w:after="0"/>
              <w:rPr>
                <w:rFonts w:ascii="Arial" w:cs="Arial" w:eastAsia="Arial" w:hAnsi="Arial"/>
                <w:sz w:val="16"/>
                <w:szCs w:val="16"/>
                <w:color w:val="0000FF"/>
                <w:w w:val="96"/>
              </w:rPr>
            </w:pPr>
            <w:hyperlink r:id="rId78">
              <w:r>
                <w:rPr>
                  <w:rFonts w:ascii="Arial" w:cs="Arial" w:eastAsia="Arial" w:hAnsi="Arial"/>
                  <w:sz w:val="16"/>
                  <w:szCs w:val="16"/>
                  <w:color w:val="0000FF"/>
                  <w:w w:val="96"/>
                </w:rPr>
                <w:t>Purchase and Sale Agreement, dated as of November 4, 2014, by and between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Arroyo Nogales LLC and NRG Yield Operating LLC.</w:t>
              </w:r>
            </w:hyperlink>
          </w:p>
        </w:tc>
        <w:tc>
          <w:tcPr>
            <w:tcW w:w="4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2.7*^</w:t>
            </w:r>
          </w:p>
        </w:tc>
        <w:tc>
          <w:tcPr>
            <w:tcW w:w="5560" w:type="dxa"/>
            <w:vAlign w:val="bottom"/>
            <w:tcBorders>
              <w:bottom w:val="single" w:sz="8" w:color="0000FF"/>
            </w:tcBorders>
            <w:gridSpan w:val="12"/>
          </w:tcPr>
          <w:p>
            <w:pPr>
              <w:spacing w:after="0"/>
              <w:rPr>
                <w:rFonts w:ascii="Arial" w:cs="Arial" w:eastAsia="Arial" w:hAnsi="Arial"/>
                <w:sz w:val="16"/>
                <w:szCs w:val="16"/>
                <w:color w:val="0000FF"/>
                <w:w w:val="89"/>
              </w:rPr>
            </w:pPr>
            <w:hyperlink r:id="rId79">
              <w:r>
                <w:rPr>
                  <w:rFonts w:ascii="Arial" w:cs="Arial" w:eastAsia="Arial" w:hAnsi="Arial"/>
                  <w:sz w:val="16"/>
                  <w:szCs w:val="16"/>
                  <w:color w:val="0000FF"/>
                  <w:w w:val="89"/>
                </w:rPr>
                <w:t>Purchase and Sale Agreement, dated as of June 17, 2015, by and between EFS Desert</w:t>
              </w:r>
            </w:hyperlink>
          </w:p>
        </w:tc>
        <w:tc>
          <w:tcPr>
            <w:tcW w:w="2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FF"/>
            </w:tcBorders>
            <w:gridSpan w:val="3"/>
          </w:tcPr>
          <w:p>
            <w:pPr>
              <w:spacing w:after="0" w:line="183" w:lineRule="exact"/>
              <w:rPr>
                <w:rFonts w:ascii="Arial" w:cs="Arial" w:eastAsia="Arial" w:hAnsi="Arial"/>
                <w:sz w:val="16"/>
                <w:szCs w:val="16"/>
                <w:color w:val="0000FF"/>
                <w:w w:val="94"/>
              </w:rPr>
            </w:pPr>
            <w:hyperlink r:id="rId79">
              <w:r>
                <w:rPr>
                  <w:rFonts w:ascii="Arial" w:cs="Arial" w:eastAsia="Arial" w:hAnsi="Arial"/>
                  <w:sz w:val="16"/>
                  <w:szCs w:val="16"/>
                  <w:color w:val="0000FF"/>
                  <w:w w:val="94"/>
                </w:rPr>
                <w:t>Sun, LLC and NRG Yield Operating LLC.</w:t>
              </w:r>
            </w:hyperlink>
          </w:p>
        </w:tc>
        <w:tc>
          <w:tcPr>
            <w:tcW w:w="30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0"/>
                <w:szCs w:val="20"/>
                <w:color w:val="auto"/>
              </w:rPr>
            </w:pPr>
            <w:r>
              <w:rPr>
                <w:rFonts w:ascii="Arial" w:cs="Arial" w:eastAsia="Arial" w:hAnsi="Arial"/>
                <w:sz w:val="16"/>
                <w:szCs w:val="16"/>
                <w:color w:val="auto"/>
              </w:rPr>
              <w:t>2.8</w:t>
            </w:r>
          </w:p>
        </w:tc>
        <w:tc>
          <w:tcPr>
            <w:tcW w:w="5540" w:type="dxa"/>
            <w:vAlign w:val="bottom"/>
            <w:gridSpan w:val="11"/>
            <w:vMerge w:val="restart"/>
          </w:tcPr>
          <w:p>
            <w:pPr>
              <w:spacing w:after="0"/>
              <w:rPr>
                <w:rFonts w:ascii="Arial" w:cs="Arial" w:eastAsia="Arial" w:hAnsi="Arial"/>
                <w:sz w:val="16"/>
                <w:szCs w:val="16"/>
                <w:color w:val="0000FF"/>
                <w:w w:val="89"/>
              </w:rPr>
            </w:pPr>
            <w:hyperlink r:id="rId80">
              <w:r>
                <w:rPr>
                  <w:rFonts w:ascii="Arial" w:cs="Arial" w:eastAsia="Arial" w:hAnsi="Arial"/>
                  <w:sz w:val="16"/>
                  <w:szCs w:val="16"/>
                  <w:color w:val="0000FF"/>
                  <w:w w:val="89"/>
                </w:rPr>
                <w:t>Purchase and Sale Agreement, dated as of September 17, 2015, by and between NRG</w:t>
              </w:r>
            </w:hyperlink>
          </w:p>
        </w:tc>
        <w:tc>
          <w:tcPr>
            <w:tcW w:w="300" w:type="dxa"/>
            <w:vAlign w:val="bottom"/>
            <w:gridSpan w:val="7"/>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40" w:type="dxa"/>
            <w:vAlign w:val="bottom"/>
            <w:tcBorders>
              <w:bottom w:val="single" w:sz="8" w:color="0000FF"/>
            </w:tcBorders>
            <w:gridSpan w:val="11"/>
            <w:vMerge w:val="continue"/>
          </w:tcPr>
          <w:p>
            <w:pPr>
              <w:spacing w:after="0"/>
              <w:rPr>
                <w:sz w:val="4"/>
                <w:szCs w:val="4"/>
                <w:color w:val="auto"/>
              </w:rPr>
            </w:pPr>
          </w:p>
        </w:tc>
        <w:tc>
          <w:tcPr>
            <w:tcW w:w="3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Energy Gas &amp; Wind Holdings, Inc.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2.9</w:t>
            </w: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840" w:type="dxa"/>
            <w:vAlign w:val="bottom"/>
            <w:gridSpan w:val="18"/>
            <w:vMerge w:val="restart"/>
          </w:tcPr>
          <w:p>
            <w:pPr>
              <w:spacing w:after="0"/>
              <w:rPr>
                <w:rFonts w:ascii="Arial" w:cs="Arial" w:eastAsia="Arial" w:hAnsi="Arial"/>
                <w:sz w:val="16"/>
                <w:szCs w:val="16"/>
                <w:color w:val="0000FF"/>
                <w:w w:val="94"/>
              </w:rPr>
            </w:pPr>
            <w:hyperlink r:id="rId81">
              <w:r>
                <w:rPr>
                  <w:rFonts w:ascii="Arial" w:cs="Arial" w:eastAsia="Arial" w:hAnsi="Arial"/>
                  <w:sz w:val="16"/>
                  <w:szCs w:val="16"/>
                  <w:color w:val="0000FF"/>
                  <w:w w:val="94"/>
                </w:rPr>
                <w:t>Purchase and Sale Agreement, dated as of August 8, 2016, between NRG Solar CVSR</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top w:val="single" w:sz="8" w:color="0000FF"/>
            </w:tcBorders>
            <w:gridSpan w:val="13"/>
          </w:tcPr>
          <w:p>
            <w:pPr>
              <w:spacing w:after="0" w:line="183" w:lineRule="exact"/>
              <w:rPr>
                <w:rFonts w:ascii="Arial" w:cs="Arial" w:eastAsia="Arial" w:hAnsi="Arial"/>
                <w:sz w:val="16"/>
                <w:szCs w:val="16"/>
                <w:color w:val="0000FF"/>
              </w:rPr>
            </w:pPr>
            <w:hyperlink r:id="rId81">
              <w:r>
                <w:rPr>
                  <w:rFonts w:ascii="Arial" w:cs="Arial" w:eastAsia="Arial" w:hAnsi="Arial"/>
                  <w:sz w:val="16"/>
                  <w:szCs w:val="16"/>
                  <w:color w:val="0000FF"/>
                </w:rPr>
                <w:t>Holdings 2 LLC and NRG Yield Operating LLC.</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sz w:val="20"/>
                <w:szCs w:val="20"/>
                <w:color w:val="auto"/>
              </w:rPr>
            </w:pPr>
            <w:r>
              <w:rPr>
                <w:rFonts w:ascii="Arial" w:cs="Arial" w:eastAsia="Arial" w:hAnsi="Arial"/>
                <w:sz w:val="16"/>
                <w:szCs w:val="16"/>
                <w:color w:val="auto"/>
              </w:rPr>
              <w:t>2.10*</w:t>
            </w:r>
          </w:p>
        </w:tc>
        <w:tc>
          <w:tcPr>
            <w:tcW w:w="5840" w:type="dxa"/>
            <w:vAlign w:val="bottom"/>
            <w:gridSpan w:val="18"/>
          </w:tcPr>
          <w:p>
            <w:pPr>
              <w:spacing w:after="0"/>
              <w:rPr>
                <w:rFonts w:ascii="Arial" w:cs="Arial" w:eastAsia="Arial" w:hAnsi="Arial"/>
                <w:sz w:val="16"/>
                <w:szCs w:val="16"/>
                <w:color w:val="0000FF"/>
                <w:w w:val="92"/>
              </w:rPr>
            </w:pPr>
            <w:hyperlink r:id="rId82">
              <w:r>
                <w:rPr>
                  <w:rFonts w:ascii="Arial" w:cs="Arial" w:eastAsia="Arial" w:hAnsi="Arial"/>
                  <w:sz w:val="16"/>
                  <w:szCs w:val="16"/>
                  <w:color w:val="0000FF"/>
                  <w:w w:val="92"/>
                </w:rPr>
                <w:t>Purchase and Sale Agreement, dated as of February 6, 2018, by and between NRG Gas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82">
              <w:r>
                <w:rPr>
                  <w:rFonts w:ascii="Arial" w:cs="Arial" w:eastAsia="Arial" w:hAnsi="Arial"/>
                  <w:sz w:val="16"/>
                  <w:szCs w:val="16"/>
                  <w:color w:val="0000FF"/>
                  <w:w w:val="93"/>
                </w:rPr>
                <w:t>Development Company, LLC and NRG Yield Operating LLC.</w:t>
              </w:r>
            </w:hyperlink>
          </w:p>
        </w:tc>
        <w:tc>
          <w:tcPr>
            <w:tcW w:w="1600" w:type="dxa"/>
            <w:vAlign w:val="bottom"/>
            <w:tcBorders>
              <w:top w:val="single" w:sz="8" w:color="0000FF"/>
            </w:tcBorders>
            <w:gridSpan w:val="8"/>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2.1 to the Company’s Current Report on Form 8-K filed on May 9, 2014.</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2.2 to the Company’s Current Report on Form 8-K filed on May 9, 2014.</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2.3 to the Company’s Current Report on Form 8-K filed on May 9, 2014.</w:t>
      </w:r>
    </w:p>
    <w:p>
      <w:pPr>
        <w:spacing w:after="0" w:line="1"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June 9, 2014.</w:t>
      </w:r>
    </w:p>
    <w:p>
      <w:pPr>
        <w:spacing w:after="0" w:line="369"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2.1 to the Company's Current Report on Form 8-K filed on November 7, 2014.</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2.2 to the Company's Current Report on Form 8-K filed on November 7, 2014.</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2.1 to the Company's Quarterly Report on Form 10-Q filed on August 4, 2015.</w:t>
      </w:r>
    </w:p>
    <w:p>
      <w:pPr>
        <w:spacing w:after="0" w:line="45"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2.1 to the Company's Current Report on Form 8-K filed on September 21, 2015.</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2.1 to the Registrant's Current Report on Form 8-K, filed on August 9, 2016.</w:t>
      </w:r>
    </w:p>
    <w:p>
      <w:pPr>
        <w:spacing w:after="0" w:line="329"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Incorporated herein by reference to Exhibit 2.10 to the Registrant's Annual Report on Form 10-K, filed on March 1, 2018.</w:t>
      </w:r>
    </w:p>
    <w:p>
      <w:pPr>
        <w:spacing w:after="0" w:line="91" w:lineRule="exact"/>
        <w:rPr>
          <w:sz w:val="20"/>
          <w:szCs w:val="20"/>
          <w:color w:val="auto"/>
        </w:rPr>
      </w:pPr>
    </w:p>
    <w:p>
      <w:pPr>
        <w:sectPr>
          <w:pgSz w:w="11900" w:h="16838" w:orient="portrait"/>
          <w:cols w:equalWidth="0" w:num="2">
            <w:col w:w="6880" w:space="200"/>
            <w:col w:w="4240"/>
          </w:cols>
          <w:pgMar w:left="280" w:top="675" w:right="299" w:bottom="1440" w:gutter="0" w:footer="0" w:header="0"/>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2.11*</w:t>
            </w:r>
          </w:p>
        </w:tc>
        <w:tc>
          <w:tcPr>
            <w:tcW w:w="5760" w:type="dxa"/>
            <w:vAlign w:val="bottom"/>
            <w:gridSpan w:val="13"/>
          </w:tcPr>
          <w:p>
            <w:pPr>
              <w:spacing w:after="0"/>
              <w:rPr>
                <w:rFonts w:ascii="Arial" w:cs="Arial" w:eastAsia="Arial" w:hAnsi="Arial"/>
                <w:sz w:val="16"/>
                <w:szCs w:val="16"/>
                <w:color w:val="0000FF"/>
                <w:w w:val="90"/>
              </w:rPr>
            </w:pPr>
            <w:hyperlink r:id="rId83">
              <w:r>
                <w:rPr>
                  <w:rFonts w:ascii="Arial" w:cs="Arial" w:eastAsia="Arial" w:hAnsi="Arial"/>
                  <w:sz w:val="16"/>
                  <w:szCs w:val="16"/>
                  <w:color w:val="0000FF"/>
                  <w:w w:val="90"/>
                </w:rPr>
                <w:t>Purchase and Sale Agreement, dated as of December 6, 2019, by and between Clearway</w:t>
              </w:r>
            </w:hyperlink>
          </w:p>
        </w:tc>
      </w:tr>
      <w:tr>
        <w:trPr>
          <w:trHeight w:val="183"/>
        </w:trPr>
        <w:tc>
          <w:tcPr>
            <w:tcW w:w="1040" w:type="dxa"/>
            <w:vAlign w:val="bottom"/>
          </w:tcPr>
          <w:p>
            <w:pPr>
              <w:spacing w:after="0"/>
              <w:rPr>
                <w:sz w:val="15"/>
                <w:szCs w:val="15"/>
                <w:color w:val="auto"/>
              </w:rPr>
            </w:pPr>
          </w:p>
        </w:tc>
        <w:tc>
          <w:tcPr>
            <w:tcW w:w="570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83">
              <w:r>
                <w:rPr>
                  <w:rFonts w:ascii="Arial" w:cs="Arial" w:eastAsia="Arial" w:hAnsi="Arial"/>
                  <w:sz w:val="16"/>
                  <w:szCs w:val="16"/>
                  <w:color w:val="0000FF"/>
                </w:rPr>
                <w:t>Energy Operating LLC and GIP III Zephyr Carlsbad Holdings, LLC.</w:t>
              </w:r>
            </w:hyperlink>
          </w:p>
        </w:tc>
        <w:tc>
          <w:tcPr>
            <w:tcW w:w="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3"/>
        </w:trPr>
        <w:tc>
          <w:tcPr>
            <w:tcW w:w="1040" w:type="dxa"/>
            <w:vAlign w:val="bottom"/>
          </w:tcPr>
          <w:p>
            <w:pPr>
              <w:spacing w:after="0"/>
              <w:rPr>
                <w:sz w:val="20"/>
                <w:szCs w:val="20"/>
                <w:color w:val="auto"/>
              </w:rPr>
            </w:pPr>
            <w:r>
              <w:rPr>
                <w:rFonts w:ascii="Arial" w:cs="Arial" w:eastAsia="Arial" w:hAnsi="Arial"/>
                <w:sz w:val="16"/>
                <w:szCs w:val="16"/>
                <w:color w:val="auto"/>
              </w:rPr>
              <w:t>3.1</w:t>
            </w:r>
          </w:p>
        </w:tc>
        <w:tc>
          <w:tcPr>
            <w:tcW w:w="5760" w:type="dxa"/>
            <w:vAlign w:val="bottom"/>
            <w:gridSpan w:val="13"/>
          </w:tcPr>
          <w:p>
            <w:pPr>
              <w:spacing w:after="0"/>
              <w:rPr>
                <w:rFonts w:ascii="Arial" w:cs="Arial" w:eastAsia="Arial" w:hAnsi="Arial"/>
                <w:sz w:val="16"/>
                <w:szCs w:val="16"/>
                <w:color w:val="0000FF"/>
              </w:rPr>
            </w:pPr>
            <w:hyperlink r:id="rId84">
              <w:r>
                <w:rPr>
                  <w:rFonts w:ascii="Arial" w:cs="Arial" w:eastAsia="Arial" w:hAnsi="Arial"/>
                  <w:sz w:val="16"/>
                  <w:szCs w:val="16"/>
                  <w:color w:val="0000FF"/>
                </w:rPr>
                <w:t>Restated Certificate of Incorporation of NRG Yield, Inc., dated as of May 2, 2016.</w:t>
              </w:r>
            </w:hyperlink>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5760" w:type="dxa"/>
            <w:vAlign w:val="bottom"/>
            <w:gridSpan w:val="13"/>
          </w:tcPr>
          <w:p>
            <w:pPr>
              <w:spacing w:after="0"/>
              <w:rPr>
                <w:rFonts w:ascii="Arial" w:cs="Arial" w:eastAsia="Arial" w:hAnsi="Arial"/>
                <w:sz w:val="16"/>
                <w:szCs w:val="16"/>
                <w:color w:val="0000FF"/>
                <w:w w:val="98"/>
              </w:rPr>
            </w:pPr>
            <w:hyperlink r:id="rId85">
              <w:r>
                <w:rPr>
                  <w:rFonts w:ascii="Arial" w:cs="Arial" w:eastAsia="Arial" w:hAnsi="Arial"/>
                  <w:sz w:val="16"/>
                  <w:szCs w:val="16"/>
                  <w:color w:val="0000FF"/>
                  <w:w w:val="98"/>
                </w:rPr>
                <w:t>Certificate of Amendment for the Restated Certificate of Incorporation of Clearway</w:t>
              </w:r>
            </w:hyperlink>
          </w:p>
        </w:tc>
      </w:tr>
      <w:tr>
        <w:trPr>
          <w:trHeight w:val="183"/>
        </w:trPr>
        <w:tc>
          <w:tcPr>
            <w:tcW w:w="1040" w:type="dxa"/>
            <w:vAlign w:val="bottom"/>
          </w:tcPr>
          <w:p>
            <w:pPr>
              <w:spacing w:after="0"/>
              <w:rPr>
                <w:sz w:val="15"/>
                <w:szCs w:val="15"/>
                <w:color w:val="auto"/>
              </w:rPr>
            </w:pPr>
          </w:p>
        </w:tc>
        <w:tc>
          <w:tcPr>
            <w:tcW w:w="542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85">
              <w:r>
                <w:rPr>
                  <w:rFonts w:ascii="Arial" w:cs="Arial" w:eastAsia="Arial" w:hAnsi="Arial"/>
                  <w:sz w:val="16"/>
                  <w:szCs w:val="16"/>
                  <w:color w:val="0000FF"/>
                </w:rPr>
                <w:t>Energy, Inc., dated August 31, 2018.</w:t>
              </w:r>
            </w:hyperlink>
          </w:p>
        </w:tc>
        <w:tc>
          <w:tcPr>
            <w:tcW w:w="34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3.3</w:t>
            </w:r>
          </w:p>
        </w:tc>
        <w:tc>
          <w:tcPr>
            <w:tcW w:w="5760" w:type="dxa"/>
            <w:vAlign w:val="bottom"/>
            <w:gridSpan w:val="13"/>
          </w:tcPr>
          <w:p>
            <w:pPr>
              <w:spacing w:after="0"/>
              <w:rPr>
                <w:rFonts w:ascii="Arial" w:cs="Arial" w:eastAsia="Arial" w:hAnsi="Arial"/>
                <w:sz w:val="16"/>
                <w:szCs w:val="16"/>
                <w:color w:val="0000FF"/>
                <w:w w:val="91"/>
              </w:rPr>
            </w:pPr>
            <w:hyperlink r:id="rId86">
              <w:r>
                <w:rPr>
                  <w:rFonts w:ascii="Arial" w:cs="Arial" w:eastAsia="Arial" w:hAnsi="Arial"/>
                  <w:sz w:val="16"/>
                  <w:szCs w:val="16"/>
                  <w:color w:val="0000FF"/>
                  <w:w w:val="91"/>
                </w:rPr>
                <w:t>Fourth Amended and Restated Bylaws of Clearway Energy, Inc., dated August 31, 2018.</w:t>
              </w:r>
            </w:hyperlink>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4.1</w:t>
            </w:r>
          </w:p>
        </w:tc>
        <w:tc>
          <w:tcPr>
            <w:tcW w:w="552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3"/>
              </w:rPr>
            </w:pPr>
            <w:hyperlink r:id="rId87">
              <w:r>
                <w:rPr>
                  <w:rFonts w:ascii="Arial" w:cs="Arial" w:eastAsia="Arial" w:hAnsi="Arial"/>
                  <w:sz w:val="16"/>
                  <w:szCs w:val="16"/>
                  <w:color w:val="0000FF"/>
                  <w:w w:val="93"/>
                </w:rPr>
                <w:t>Fourth Amended and Restated Limited Liability Company Agreement of NRG Yield</w:t>
              </w:r>
            </w:hyperlink>
          </w:p>
        </w:tc>
        <w:tc>
          <w:tcPr>
            <w:tcW w:w="220" w:type="dxa"/>
            <w:vAlign w:val="bottom"/>
            <w:tcBorders>
              <w:top w:val="single" w:sz="8" w:color="0000FF"/>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760" w:type="dxa"/>
            <w:vAlign w:val="bottom"/>
            <w:gridSpan w:val="13"/>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LLC, dated as of August 31, 2018, by and between NRG Yield, Inc. and Zephyr</w:t>
              </w:r>
            </w:hyperlink>
          </w:p>
        </w:tc>
      </w:tr>
      <w:tr>
        <w:trPr>
          <w:trHeight w:val="183"/>
        </w:trPr>
        <w:tc>
          <w:tcPr>
            <w:tcW w:w="1040" w:type="dxa"/>
            <w:vAlign w:val="bottom"/>
          </w:tcPr>
          <w:p>
            <w:pPr>
              <w:spacing w:after="0"/>
              <w:rPr>
                <w:sz w:val="15"/>
                <w:szCs w:val="15"/>
                <w:color w:val="auto"/>
              </w:rPr>
            </w:pPr>
          </w:p>
        </w:tc>
        <w:tc>
          <w:tcPr>
            <w:tcW w:w="518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Renewables LLC.</w:t>
              </w:r>
            </w:hyperlink>
          </w:p>
        </w:tc>
        <w:tc>
          <w:tcPr>
            <w:tcW w:w="580" w:type="dxa"/>
            <w:vAlign w:val="bottom"/>
            <w:gridSpan w:val="7"/>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6"/>
                <w:szCs w:val="16"/>
                <w:color w:val="auto"/>
              </w:rPr>
              <w:t>4.2</w:t>
            </w:r>
          </w:p>
        </w:tc>
        <w:tc>
          <w:tcPr>
            <w:tcW w:w="5760" w:type="dxa"/>
            <w:vAlign w:val="bottom"/>
            <w:gridSpan w:val="13"/>
          </w:tcPr>
          <w:p>
            <w:pPr>
              <w:spacing w:after="0"/>
              <w:rPr>
                <w:rFonts w:ascii="Arial" w:cs="Arial" w:eastAsia="Arial" w:hAnsi="Arial"/>
                <w:sz w:val="16"/>
                <w:szCs w:val="16"/>
                <w:color w:val="0000FF"/>
                <w:w w:val="92"/>
              </w:rPr>
            </w:pPr>
            <w:hyperlink r:id="rId88">
              <w:r>
                <w:rPr>
                  <w:rFonts w:ascii="Arial" w:cs="Arial" w:eastAsia="Arial" w:hAnsi="Arial"/>
                  <w:sz w:val="16"/>
                  <w:szCs w:val="16"/>
                  <w:color w:val="0000FF"/>
                  <w:w w:val="92"/>
                </w:rPr>
                <w:t>Indenture, dated February 11, 2014, among NRG Yield, Inc., NRG Yield Operating LLC</w:t>
              </w:r>
            </w:hyperlink>
          </w:p>
        </w:tc>
      </w:tr>
      <w:tr>
        <w:trPr>
          <w:trHeight w:val="183"/>
        </w:trPr>
        <w:tc>
          <w:tcPr>
            <w:tcW w:w="104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2"/>
              </w:rPr>
            </w:pPr>
            <w:hyperlink r:id="rId88">
              <w:r>
                <w:rPr>
                  <w:rFonts w:ascii="Arial" w:cs="Arial" w:eastAsia="Arial" w:hAnsi="Arial"/>
                  <w:sz w:val="16"/>
                  <w:szCs w:val="16"/>
                  <w:color w:val="0000FF"/>
                  <w:w w:val="92"/>
                </w:rPr>
                <w:t>and NRG Yield LLC, as Guarantors, and Wilmington Trust, National Association, as</w:t>
              </w:r>
            </w:hyperlink>
          </w:p>
        </w:tc>
        <w:tc>
          <w:tcPr>
            <w:tcW w:w="2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760" w:type="dxa"/>
            <w:vAlign w:val="bottom"/>
            <w:gridSpan w:val="13"/>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trustee, re: the Company’s 3.50% Convertible Senior Notes due 2019.</w:t>
              </w:r>
            </w:hyperlink>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4.3</w:t>
            </w:r>
          </w:p>
        </w:tc>
        <w:tc>
          <w:tcPr>
            <w:tcW w:w="4520" w:type="dxa"/>
            <w:vAlign w:val="bottom"/>
            <w:tcBorders>
              <w:top w:val="single" w:sz="8" w:color="0000FF"/>
            </w:tcBorders>
            <w:gridSpan w:val="5"/>
          </w:tcPr>
          <w:p>
            <w:pPr>
              <w:spacing w:after="0"/>
              <w:rPr>
                <w:rFonts w:ascii="Arial" w:cs="Arial" w:eastAsia="Arial" w:hAnsi="Arial"/>
                <w:sz w:val="16"/>
                <w:szCs w:val="16"/>
                <w:color w:val="0000FF"/>
              </w:rPr>
            </w:pPr>
            <w:hyperlink r:id="rId88">
              <w:r>
                <w:rPr>
                  <w:rFonts w:ascii="Arial" w:cs="Arial" w:eastAsia="Arial" w:hAnsi="Arial"/>
                  <w:sz w:val="16"/>
                  <w:szCs w:val="16"/>
                  <w:color w:val="0000FF"/>
                </w:rPr>
                <w:t>Form of 3.50% Convertible Senior Note due 2019.</w:t>
              </w:r>
            </w:hyperlink>
          </w:p>
        </w:tc>
        <w:tc>
          <w:tcPr>
            <w:tcW w:w="1240" w:type="dxa"/>
            <w:vAlign w:val="bottom"/>
            <w:gridSpan w:val="8"/>
          </w:tcPr>
          <w:p>
            <w:pPr>
              <w:spacing w:after="0"/>
              <w:rPr>
                <w:sz w:val="20"/>
                <w:szCs w:val="20"/>
                <w:color w:val="auto"/>
              </w:rPr>
            </w:pPr>
          </w:p>
        </w:tc>
      </w:tr>
      <w:tr>
        <w:trPr>
          <w:trHeight w:val="682"/>
        </w:trPr>
        <w:tc>
          <w:tcPr>
            <w:tcW w:w="1040" w:type="dxa"/>
            <w:vAlign w:val="bottom"/>
          </w:tcPr>
          <w:p>
            <w:pPr>
              <w:spacing w:after="0"/>
              <w:rPr>
                <w:sz w:val="24"/>
                <w:szCs w:val="24"/>
                <w:color w:val="auto"/>
              </w:rPr>
            </w:pPr>
          </w:p>
        </w:tc>
        <w:tc>
          <w:tcPr>
            <w:tcW w:w="3280" w:type="dxa"/>
            <w:vAlign w:val="bottom"/>
            <w:tcBorders>
              <w:top w:val="single" w:sz="8" w:color="0000FF"/>
            </w:tcBorders>
            <w:gridSpan w:val="3"/>
          </w:tcPr>
          <w:p>
            <w:pPr>
              <w:spacing w:after="0"/>
              <w:rPr>
                <w:sz w:val="24"/>
                <w:szCs w:val="24"/>
                <w:color w:val="auto"/>
              </w:rPr>
            </w:pP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2.1 to the Registrant's Current Report on Form 8-K, filed on December 9, 2019.</w:t>
      </w:r>
    </w:p>
    <w:p>
      <w:pPr>
        <w:spacing w:after="0" w:line="200" w:lineRule="exact"/>
        <w:rPr>
          <w:sz w:val="20"/>
          <w:szCs w:val="20"/>
          <w:color w:val="auto"/>
        </w:rPr>
      </w:pPr>
    </w:p>
    <w:p>
      <w:pPr>
        <w:spacing w:after="0" w:line="210"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3.1 to the Company's Quarterly Report on Form 10-Q filed on May 5, 2016.</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3.1 to the Company's Current Report on Form 8-K filed on September 5, 2018.</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3.2 to the Company's Current Report on Form 8-K filed on September 5, 2018.</w:t>
      </w:r>
    </w:p>
    <w:p>
      <w:pPr>
        <w:spacing w:after="0" w:line="4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10.6 to the Company's Current Report on Form 8-K filed on September 5, 2018.</w:t>
      </w:r>
    </w:p>
    <w:p>
      <w:pPr>
        <w:spacing w:after="0" w:line="103"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11, 2014.</w:t>
      </w:r>
    </w:p>
    <w:p>
      <w:pPr>
        <w:spacing w:after="0" w:line="167"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February 11, 2014.</w:t>
      </w:r>
    </w:p>
    <w:p>
      <w:pPr>
        <w:sectPr>
          <w:pgSz w:w="11900" w:h="16838" w:orient="portrait"/>
          <w:cols w:equalWidth="0" w:num="2">
            <w:col w:w="6800" w:space="280"/>
            <w:col w:w="4240"/>
          </w:cols>
          <w:pgMar w:left="280" w:top="675" w:right="29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4.4</w:t>
            </w:r>
          </w:p>
        </w:tc>
        <w:tc>
          <w:tcPr>
            <w:tcW w:w="5420" w:type="dxa"/>
            <w:vAlign w:val="bottom"/>
            <w:tcBorders>
              <w:bottom w:val="single" w:sz="8" w:color="0000FF"/>
            </w:tcBorders>
            <w:gridSpan w:val="3"/>
          </w:tcPr>
          <w:p>
            <w:pPr>
              <w:spacing w:after="0"/>
              <w:rPr>
                <w:rFonts w:ascii="Arial" w:cs="Arial" w:eastAsia="Arial" w:hAnsi="Arial"/>
                <w:sz w:val="16"/>
                <w:szCs w:val="16"/>
                <w:color w:val="0000FF"/>
                <w:w w:val="91"/>
              </w:rPr>
            </w:pPr>
            <w:hyperlink r:id="rId89">
              <w:r>
                <w:rPr>
                  <w:rFonts w:ascii="Arial" w:cs="Arial" w:eastAsia="Arial" w:hAnsi="Arial"/>
                  <w:sz w:val="16"/>
                  <w:szCs w:val="16"/>
                  <w:color w:val="0000FF"/>
                  <w:w w:val="91"/>
                </w:rPr>
                <w:t>Indenture, dated August 5, 2014, among NRG Yield Operating LLC, the guarantors</w:t>
              </w:r>
            </w:hyperlink>
          </w:p>
        </w:tc>
        <w:tc>
          <w:tcPr>
            <w:tcW w:w="440" w:type="dxa"/>
            <w:vAlign w:val="bottom"/>
            <w:gridSpan w:val="5"/>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4900" w:type="dxa"/>
            <w:vAlign w:val="bottom"/>
            <w:tcBorders>
              <w:bottom w:val="single" w:sz="8" w:color="0000FF"/>
            </w:tcBorders>
            <w:gridSpan w:val="2"/>
          </w:tcPr>
          <w:p>
            <w:pPr>
              <w:spacing w:after="0" w:line="183" w:lineRule="exact"/>
              <w:rPr>
                <w:rFonts w:ascii="Arial" w:cs="Arial" w:eastAsia="Arial" w:hAnsi="Arial"/>
                <w:sz w:val="16"/>
                <w:szCs w:val="16"/>
                <w:color w:val="0000FF"/>
                <w:w w:val="91"/>
              </w:rPr>
            </w:pPr>
            <w:hyperlink r:id="rId89">
              <w:r>
                <w:rPr>
                  <w:rFonts w:ascii="Arial" w:cs="Arial" w:eastAsia="Arial" w:hAnsi="Arial"/>
                  <w:sz w:val="16"/>
                  <w:szCs w:val="16"/>
                  <w:color w:val="0000FF"/>
                  <w:w w:val="91"/>
                </w:rPr>
                <w:t>named therein and Law Debenture Trust Company of New York, as trustee.</w:t>
              </w:r>
            </w:hyperlink>
          </w:p>
        </w:tc>
        <w:tc>
          <w:tcPr>
            <w:tcW w:w="960" w:type="dxa"/>
            <w:vAlign w:val="bottom"/>
            <w:gridSpan w:val="6"/>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4.5</w:t>
            </w:r>
          </w:p>
        </w:tc>
        <w:tc>
          <w:tcPr>
            <w:tcW w:w="5860" w:type="dxa"/>
            <w:vAlign w:val="bottom"/>
            <w:gridSpan w:val="8"/>
          </w:tcPr>
          <w:p>
            <w:pPr>
              <w:spacing w:after="0"/>
              <w:rPr>
                <w:rFonts w:ascii="Arial" w:cs="Arial" w:eastAsia="Arial" w:hAnsi="Arial"/>
                <w:sz w:val="16"/>
                <w:szCs w:val="16"/>
                <w:color w:val="0000FF"/>
              </w:rPr>
            </w:pPr>
            <w:hyperlink r:id="rId89">
              <w:r>
                <w:rPr>
                  <w:rFonts w:ascii="Arial" w:cs="Arial" w:eastAsia="Arial" w:hAnsi="Arial"/>
                  <w:sz w:val="16"/>
                  <w:szCs w:val="16"/>
                  <w:color w:val="0000FF"/>
                </w:rPr>
                <w:t>Form of 5.375% Senior Note due 2024.</w:t>
              </w:r>
            </w:hyperlink>
          </w:p>
        </w:tc>
      </w:tr>
      <w:tr>
        <w:trPr>
          <w:trHeight w:val="20"/>
        </w:trPr>
        <w:tc>
          <w:tcPr>
            <w:tcW w:w="104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4.6</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2"/>
              </w:rPr>
            </w:pPr>
            <w:hyperlink r:id="rId90">
              <w:r>
                <w:rPr>
                  <w:rFonts w:ascii="Arial" w:cs="Arial" w:eastAsia="Arial" w:hAnsi="Arial"/>
                  <w:sz w:val="16"/>
                  <w:szCs w:val="16"/>
                  <w:color w:val="0000FF"/>
                  <w:w w:val="92"/>
                </w:rPr>
                <w:t>Registration Rights Agreement, dated August 5, 2014, among NRG Yield Operating LLC,</w:t>
              </w:r>
            </w:hyperlink>
          </w:p>
        </w:tc>
      </w:tr>
      <w:tr>
        <w:trPr>
          <w:trHeight w:val="183"/>
        </w:trPr>
        <w:tc>
          <w:tcPr>
            <w:tcW w:w="1040" w:type="dxa"/>
            <w:vAlign w:val="bottom"/>
          </w:tcPr>
          <w:p>
            <w:pPr>
              <w:spacing w:after="0"/>
              <w:rPr>
                <w:sz w:val="15"/>
                <w:szCs w:val="15"/>
                <w:color w:val="auto"/>
              </w:rPr>
            </w:pPr>
          </w:p>
        </w:tc>
        <w:tc>
          <w:tcPr>
            <w:tcW w:w="5800" w:type="dxa"/>
            <w:vAlign w:val="bottom"/>
            <w:tcBorders>
              <w:bottom w:val="single" w:sz="8" w:color="0000FF"/>
            </w:tcBorders>
            <w:gridSpan w:val="7"/>
          </w:tcPr>
          <w:p>
            <w:pPr>
              <w:spacing w:after="0" w:line="183"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the guarantors named therein and Merrill Lynch, Pierce, Fenner &amp; Smith Incorporated, as</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256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representative of the initial purchasers.</w:t>
              </w:r>
            </w:hyperlink>
          </w:p>
        </w:tc>
        <w:tc>
          <w:tcPr>
            <w:tcW w:w="3300" w:type="dxa"/>
            <w:vAlign w:val="bottom"/>
            <w:gridSpan w:val="7"/>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4.7</w:t>
            </w:r>
          </w:p>
        </w:tc>
        <w:tc>
          <w:tcPr>
            <w:tcW w:w="5580" w:type="dxa"/>
            <w:vAlign w:val="bottom"/>
            <w:tcBorders>
              <w:bottom w:val="single" w:sz="8" w:color="0000FF"/>
            </w:tcBorders>
            <w:gridSpan w:val="6"/>
          </w:tcPr>
          <w:p>
            <w:pPr>
              <w:spacing w:after="0"/>
              <w:rPr>
                <w:rFonts w:ascii="Arial" w:cs="Arial" w:eastAsia="Arial" w:hAnsi="Arial"/>
                <w:sz w:val="16"/>
                <w:szCs w:val="16"/>
                <w:color w:val="0000FF"/>
                <w:w w:val="91"/>
              </w:rPr>
            </w:pPr>
            <w:hyperlink r:id="rId91">
              <w:r>
                <w:rPr>
                  <w:rFonts w:ascii="Arial" w:cs="Arial" w:eastAsia="Arial" w:hAnsi="Arial"/>
                  <w:sz w:val="16"/>
                  <w:szCs w:val="16"/>
                  <w:color w:val="0000FF"/>
                  <w:w w:val="91"/>
                </w:rPr>
                <w:t>Supplemental Indenture, dated as of November 7, 2014, among NRG Yield Operating</w:t>
              </w:r>
            </w:hyperlink>
          </w:p>
        </w:tc>
        <w:tc>
          <w:tcPr>
            <w:tcW w:w="280" w:type="dxa"/>
            <w:vAlign w:val="bottom"/>
            <w:gridSpan w:val="2"/>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56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91">
              <w:r>
                <w:rPr>
                  <w:rFonts w:ascii="Arial" w:cs="Arial" w:eastAsia="Arial" w:hAnsi="Arial"/>
                  <w:sz w:val="16"/>
                  <w:szCs w:val="16"/>
                  <w:color w:val="0000FF"/>
                  <w:w w:val="92"/>
                </w:rPr>
                <w:t>LLC, the guarantors named therein and Law Debenture Trust Company of New York.</w:t>
              </w:r>
            </w:hyperlink>
          </w:p>
        </w:tc>
        <w:tc>
          <w:tcPr>
            <w:tcW w:w="300" w:type="dxa"/>
            <w:vAlign w:val="bottom"/>
            <w:gridSpan w:val="3"/>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4.8</w:t>
            </w:r>
          </w:p>
        </w:tc>
        <w:tc>
          <w:tcPr>
            <w:tcW w:w="5860" w:type="dxa"/>
            <w:vAlign w:val="bottom"/>
            <w:gridSpan w:val="8"/>
          </w:tcPr>
          <w:p>
            <w:pPr>
              <w:spacing w:after="0"/>
              <w:rPr>
                <w:rFonts w:ascii="Arial" w:cs="Arial" w:eastAsia="Arial" w:hAnsi="Arial"/>
                <w:sz w:val="16"/>
                <w:szCs w:val="16"/>
                <w:color w:val="0000FF"/>
                <w:w w:val="96"/>
              </w:rPr>
            </w:pPr>
            <w:hyperlink r:id="rId92">
              <w:r>
                <w:rPr>
                  <w:rFonts w:ascii="Arial" w:cs="Arial" w:eastAsia="Arial" w:hAnsi="Arial"/>
                  <w:sz w:val="16"/>
                  <w:szCs w:val="16"/>
                  <w:color w:val="0000FF"/>
                  <w:w w:val="96"/>
                </w:rPr>
                <w:t>Supplemental Indenture, dated as of February 25, 2015, among NRG Yield Operating</w:t>
              </w:r>
            </w:hyperlink>
          </w:p>
        </w:tc>
      </w:tr>
      <w:tr>
        <w:trPr>
          <w:trHeight w:val="20"/>
        </w:trPr>
        <w:tc>
          <w:tcPr>
            <w:tcW w:w="1040" w:type="dxa"/>
            <w:vAlign w:val="bottom"/>
          </w:tcPr>
          <w:p>
            <w:pPr>
              <w:spacing w:after="0" w:line="20" w:lineRule="exact"/>
              <w:rPr>
                <w:sz w:val="1"/>
                <w:szCs w:val="1"/>
                <w:color w:val="auto"/>
              </w:rPr>
            </w:pPr>
          </w:p>
        </w:tc>
        <w:tc>
          <w:tcPr>
            <w:tcW w:w="55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58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92">
              <w:r>
                <w:rPr>
                  <w:rFonts w:ascii="Arial" w:cs="Arial" w:eastAsia="Arial" w:hAnsi="Arial"/>
                  <w:sz w:val="16"/>
                  <w:szCs w:val="16"/>
                  <w:color w:val="0000FF"/>
                  <w:w w:val="92"/>
                </w:rPr>
                <w:t>LLC, the guarantors named therein and Law Debenture Trust Company of New York.</w:t>
              </w:r>
            </w:hyperlink>
          </w:p>
        </w:tc>
        <w:tc>
          <w:tcPr>
            <w:tcW w:w="280" w:type="dxa"/>
            <w:vAlign w:val="bottom"/>
            <w:gridSpan w:val="2"/>
          </w:tcPr>
          <w:p>
            <w:pPr>
              <w:spacing w:after="0"/>
              <w:rPr>
                <w:sz w:val="15"/>
                <w:szCs w:val="15"/>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4.9</w:t>
            </w:r>
          </w:p>
        </w:tc>
        <w:tc>
          <w:tcPr>
            <w:tcW w:w="5700" w:type="dxa"/>
            <w:vAlign w:val="bottom"/>
            <w:gridSpan w:val="3"/>
            <w:vMerge w:val="restart"/>
          </w:tcPr>
          <w:p>
            <w:pPr>
              <w:spacing w:after="0"/>
              <w:rPr>
                <w:rFonts w:ascii="Arial" w:cs="Arial" w:eastAsia="Arial" w:hAnsi="Arial"/>
                <w:sz w:val="16"/>
                <w:szCs w:val="16"/>
                <w:color w:val="0000FF"/>
                <w:w w:val="92"/>
              </w:rPr>
            </w:pPr>
            <w:hyperlink r:id="rId93">
              <w:r>
                <w:rPr>
                  <w:rFonts w:ascii="Arial" w:cs="Arial" w:eastAsia="Arial" w:hAnsi="Arial"/>
                  <w:sz w:val="16"/>
                  <w:szCs w:val="16"/>
                  <w:color w:val="0000FF"/>
                  <w:w w:val="92"/>
                </w:rPr>
                <w:t>Third Supplemental Indenture, dated as of April 10, 2015, among NRG Yield Operating</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0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93">
              <w:r>
                <w:rPr>
                  <w:rFonts w:ascii="Arial" w:cs="Arial" w:eastAsia="Arial" w:hAnsi="Arial"/>
                  <w:sz w:val="16"/>
                  <w:szCs w:val="16"/>
                  <w:color w:val="0000FF"/>
                  <w:w w:val="92"/>
                </w:rPr>
                <w:t>LLC, NRG Yield LLC, the other guarantors named therein and Law Debenture Trust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00" w:type="dxa"/>
            <w:vAlign w:val="bottom"/>
            <w:gridSpan w:val="3"/>
          </w:tcPr>
          <w:p>
            <w:pPr>
              <w:spacing w:after="0" w:line="183" w:lineRule="exact"/>
              <w:rPr>
                <w:rFonts w:ascii="Arial" w:cs="Arial" w:eastAsia="Arial" w:hAnsi="Arial"/>
                <w:sz w:val="16"/>
                <w:szCs w:val="16"/>
                <w:color w:val="0000FF"/>
              </w:rPr>
            </w:pPr>
            <w:hyperlink r:id="rId93">
              <w:r>
                <w:rPr>
                  <w:rFonts w:ascii="Arial" w:cs="Arial" w:eastAsia="Arial" w:hAnsi="Arial"/>
                  <w:sz w:val="16"/>
                  <w:szCs w:val="16"/>
                  <w:color w:val="0000FF"/>
                </w:rPr>
                <w:t>Company of New York.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4"/>
          <w:szCs w:val="14"/>
          <w:color w:val="auto"/>
        </w:rPr>
        <w:t>Incorporated herein by reference to Exhibit 4.1 to the Company's Current Report on Form 8-K filed on August 5, 2014.</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August 5, 2014.</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August 5, 2014.</w:t>
      </w:r>
    </w:p>
    <w:p>
      <w:pPr>
        <w:spacing w:after="0" w:line="167"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November 13, 2014.</w:t>
      </w:r>
    </w:p>
    <w:p>
      <w:pPr>
        <w:spacing w:after="0" w:line="45"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27, 2015.</w:t>
      </w:r>
    </w:p>
    <w:p>
      <w:pPr>
        <w:spacing w:after="0" w:line="126"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auto"/>
        </w:rPr>
        <w:t>Incorporated herein by reference to Exhibit 4.1 to the Company's Current Report on Form 8-K filed on April 16, 2015.</w:t>
      </w:r>
    </w:p>
    <w:p>
      <w:pPr>
        <w:spacing w:after="0" w:line="269" w:lineRule="exact"/>
        <w:rPr>
          <w:sz w:val="20"/>
          <w:szCs w:val="20"/>
          <w:color w:val="auto"/>
        </w:rPr>
      </w:pPr>
    </w:p>
    <w:p>
      <w:pPr>
        <w:sectPr>
          <w:pgSz w:w="11900" w:h="16838" w:orient="portrait"/>
          <w:cols w:equalWidth="0" w:num="2">
            <w:col w:w="6900" w:space="180"/>
            <w:col w:w="4240"/>
          </w:cols>
          <w:pgMar w:left="280" w:top="833" w:right="299" w:bottom="1440" w:gutter="0" w:footer="0" w:header="0"/>
        </w:sectPr>
      </w:pPr>
    </w:p>
    <w:p>
      <w:pPr>
        <w:spacing w:after="0"/>
        <w:rPr>
          <w:sz w:val="20"/>
          <w:szCs w:val="20"/>
          <w:color w:val="auto"/>
        </w:rPr>
      </w:pPr>
      <w:r>
        <w:rPr>
          <w:rFonts w:ascii="Arial" w:cs="Arial" w:eastAsia="Arial" w:hAnsi="Arial"/>
          <w:sz w:val="14"/>
          <w:szCs w:val="14"/>
          <w:color w:val="auto"/>
        </w:rPr>
        <w:t>4.10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20"/>
        <w:spacing w:after="0" w:line="369" w:lineRule="auto"/>
        <w:rPr>
          <w:rFonts w:ascii="Arial" w:cs="Arial" w:eastAsia="Arial" w:hAnsi="Arial"/>
          <w:sz w:val="14"/>
          <w:szCs w:val="14"/>
          <w:u w:val="single" w:color="auto"/>
          <w:color w:val="0000FF"/>
        </w:rPr>
      </w:pPr>
      <w:hyperlink r:id="rId94">
        <w:r>
          <w:rPr>
            <w:rFonts w:ascii="Arial" w:cs="Arial" w:eastAsia="Arial" w:hAnsi="Arial"/>
            <w:sz w:val="14"/>
            <w:szCs w:val="14"/>
            <w:u w:val="single" w:color="auto"/>
            <w:color w:val="0000FF"/>
          </w:rPr>
          <w:t>Fourth Supplemental Indenture, dated as of May 8, 2015, among NRG Yield Operating</w:t>
        </w:r>
      </w:hyperlink>
      <w:r>
        <w:rPr>
          <w:rFonts w:ascii="Arial" w:cs="Arial" w:eastAsia="Arial" w:hAnsi="Arial"/>
          <w:sz w:val="14"/>
          <w:szCs w:val="14"/>
          <w:u w:val="single" w:color="auto"/>
          <w:color w:val="0000FF"/>
        </w:rPr>
        <w:t xml:space="preserve"> </w:t>
      </w:r>
      <w:hyperlink r:id="rId94">
        <w:r>
          <w:rPr>
            <w:rFonts w:ascii="Arial" w:cs="Arial" w:eastAsia="Arial" w:hAnsi="Arial"/>
            <w:sz w:val="14"/>
            <w:szCs w:val="14"/>
            <w:u w:val="single" w:color="auto"/>
            <w:color w:val="0000FF"/>
          </w:rPr>
          <w:t>LLC, the guarantors named therein and Law Debenture Trust Company of New York.</w:t>
        </w:r>
      </w:hyperlink>
    </w:p>
    <w:p>
      <w:pPr>
        <w:spacing w:after="0" w:line="126"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95">
        <w:r>
          <w:rPr>
            <w:rFonts w:ascii="Arial" w:cs="Arial" w:eastAsia="Arial" w:hAnsi="Arial"/>
            <w:sz w:val="14"/>
            <w:szCs w:val="14"/>
            <w:u w:val="single" w:color="auto"/>
            <w:color w:val="0000FF"/>
          </w:rPr>
          <w:t>Indenture, dated June 29, 2015, among NRG Yield, Inc., NRG Yield Operating LLC and</w:t>
        </w:r>
      </w:hyperlink>
      <w:r>
        <w:rPr>
          <w:rFonts w:ascii="Arial" w:cs="Arial" w:eastAsia="Arial" w:hAnsi="Arial"/>
          <w:sz w:val="14"/>
          <w:szCs w:val="14"/>
          <w:u w:val="single" w:color="auto"/>
          <w:color w:val="0000FF"/>
        </w:rPr>
        <w:t xml:space="preserve"> </w:t>
      </w:r>
      <w:hyperlink r:id="rId95">
        <w:r>
          <w:rPr>
            <w:rFonts w:ascii="Arial" w:cs="Arial" w:eastAsia="Arial" w:hAnsi="Arial"/>
            <w:sz w:val="14"/>
            <w:szCs w:val="14"/>
            <w:u w:val="single" w:color="auto"/>
            <w:color w:val="0000FF"/>
          </w:rPr>
          <w:t>NRG Yield LLC, as Guarantors, and Wilmington Trust, National Association, as Trustee.</w:t>
        </w:r>
      </w:hyperlink>
    </w:p>
    <w:p>
      <w:pPr>
        <w:spacing w:after="0" w:line="126" w:lineRule="exact"/>
        <w:rPr>
          <w:sz w:val="20"/>
          <w:szCs w:val="20"/>
          <w:color w:val="auto"/>
        </w:rPr>
      </w:pPr>
    </w:p>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Form of 3.25% Convertible Senior Note due 2020.</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auto"/>
        </w:rPr>
        <w:t>Incorporated herein by reference to Exhibit 4.1 to the Company's Current Report on Form 8-K filed on May 8, 2015.</w:t>
      </w:r>
    </w:p>
    <w:p>
      <w:pPr>
        <w:spacing w:after="0" w:line="148"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29, 2015.</w:t>
      </w:r>
    </w:p>
    <w:p>
      <w:pPr>
        <w:spacing w:after="0" w:line="126" w:lineRule="exact"/>
        <w:rPr>
          <w:sz w:val="20"/>
          <w:szCs w:val="20"/>
          <w:color w:val="auto"/>
        </w:rPr>
      </w:pPr>
    </w:p>
    <w:p>
      <w:pPr>
        <w:ind w:right="40"/>
        <w:spacing w:after="0" w:line="353"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29, 2015</w:t>
      </w:r>
      <w:r>
        <w:rPr>
          <w:rFonts w:ascii="Arial" w:cs="Arial" w:eastAsia="Arial" w:hAnsi="Arial"/>
          <w:sz w:val="18"/>
          <w:szCs w:val="18"/>
          <w:color w:val="auto"/>
        </w:rPr>
        <w:t>.</w:t>
      </w:r>
    </w:p>
    <w:p>
      <w:pPr>
        <w:spacing w:after="0" w:line="39" w:lineRule="exact"/>
        <w:rPr>
          <w:sz w:val="20"/>
          <w:szCs w:val="20"/>
          <w:color w:val="auto"/>
        </w:rPr>
      </w:pPr>
    </w:p>
    <w:p>
      <w:pPr>
        <w:sectPr>
          <w:pgSz w:w="11900" w:h="16838" w:orient="portrait"/>
          <w:cols w:equalWidth="0" w:num="3">
            <w:col w:w="320" w:space="720"/>
            <w:col w:w="5780" w:space="260"/>
            <w:col w:w="4240"/>
          </w:cols>
          <w:pgMar w:left="280" w:top="833" w:right="299" w:bottom="1440" w:gutter="0" w:footer="0" w:header="0"/>
          <w:type w:val="continuous"/>
        </w:sectPr>
      </w:pPr>
    </w:p>
    <w:p>
      <w:pPr>
        <w:spacing w:after="0"/>
        <w:tabs>
          <w:tab w:leader="none" w:pos="1020" w:val="left"/>
        </w:tabs>
        <w:rPr>
          <w:rFonts w:ascii="Arial" w:cs="Arial" w:eastAsia="Arial" w:hAnsi="Arial"/>
          <w:sz w:val="14"/>
          <w:szCs w:val="14"/>
          <w:u w:val="single" w:color="auto"/>
          <w:color w:val="0000FF"/>
        </w:rPr>
      </w:pPr>
      <w:r>
        <w:rPr>
          <w:rFonts w:ascii="Arial" w:cs="Arial" w:eastAsia="Arial" w:hAnsi="Arial"/>
          <w:sz w:val="16"/>
          <w:szCs w:val="16"/>
          <w:color w:val="auto"/>
        </w:rPr>
        <w:t>4.13</w:t>
      </w:r>
      <w:r>
        <w:rPr>
          <w:sz w:val="20"/>
          <w:szCs w:val="20"/>
          <w:color w:val="auto"/>
        </w:rPr>
        <w:tab/>
      </w:r>
      <w:hyperlink r:id="rId96">
        <w:r>
          <w:rPr>
            <w:rFonts w:ascii="Arial" w:cs="Arial" w:eastAsia="Arial" w:hAnsi="Arial"/>
            <w:sz w:val="14"/>
            <w:szCs w:val="14"/>
            <w:u w:val="single" w:color="auto"/>
            <w:color w:val="0000FF"/>
          </w:rPr>
          <w:t>Specimen Class A Common Stock Certificate.</w:t>
        </w:r>
      </w:hyperlink>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4.13 to the Company's Annual Report on Form 10-K filed on February 28, 2019.</w:t>
      </w:r>
    </w:p>
    <w:p>
      <w:pPr>
        <w:spacing w:after="0" w:line="103" w:lineRule="exact"/>
        <w:rPr>
          <w:sz w:val="20"/>
          <w:szCs w:val="20"/>
          <w:color w:val="auto"/>
        </w:rPr>
      </w:pPr>
    </w:p>
    <w:p>
      <w:pPr>
        <w:sectPr>
          <w:pgSz w:w="11900" w:h="16838" w:orient="portrait"/>
          <w:cols w:equalWidth="0" w:num="2">
            <w:col w:w="6360" w:space="720"/>
            <w:col w:w="4240"/>
          </w:cols>
          <w:pgMar w:left="280" w:top="833" w:right="299" w:bottom="1440" w:gutter="0" w:footer="0" w:header="0"/>
          <w:type w:val="continuous"/>
        </w:sectPr>
      </w:pPr>
    </w:p>
    <w:p>
      <w:pPr>
        <w:spacing w:after="0"/>
        <w:tabs>
          <w:tab w:leader="none" w:pos="1020" w:val="left"/>
        </w:tabs>
        <w:rPr>
          <w:rFonts w:ascii="Arial" w:cs="Arial" w:eastAsia="Arial" w:hAnsi="Arial"/>
          <w:sz w:val="14"/>
          <w:szCs w:val="14"/>
          <w:u w:val="single" w:color="auto"/>
          <w:color w:val="0000FF"/>
        </w:rPr>
      </w:pPr>
      <w:r>
        <w:rPr>
          <w:rFonts w:ascii="Arial" w:cs="Arial" w:eastAsia="Arial" w:hAnsi="Arial"/>
          <w:sz w:val="16"/>
          <w:szCs w:val="16"/>
          <w:color w:val="auto"/>
        </w:rPr>
        <w:t>4.14</w:t>
      </w:r>
      <w:r>
        <w:rPr>
          <w:sz w:val="20"/>
          <w:szCs w:val="20"/>
          <w:color w:val="auto"/>
        </w:rPr>
        <w:tab/>
      </w:r>
      <w:hyperlink r:id="rId97">
        <w:r>
          <w:rPr>
            <w:rFonts w:ascii="Arial" w:cs="Arial" w:eastAsia="Arial" w:hAnsi="Arial"/>
            <w:sz w:val="14"/>
            <w:szCs w:val="14"/>
            <w:u w:val="single" w:color="auto"/>
            <w:color w:val="0000FF"/>
          </w:rPr>
          <w:t>Specimen Class C Common Stock Certificate.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4.15</w:t>
            </w:r>
          </w:p>
        </w:tc>
        <w:tc>
          <w:tcPr>
            <w:tcW w:w="5500" w:type="dxa"/>
            <w:vAlign w:val="bottom"/>
            <w:gridSpan w:val="3"/>
            <w:vMerge w:val="restart"/>
          </w:tcPr>
          <w:p>
            <w:pPr>
              <w:spacing w:after="0"/>
              <w:rPr>
                <w:rFonts w:ascii="Arial" w:cs="Arial" w:eastAsia="Arial" w:hAnsi="Arial"/>
                <w:sz w:val="16"/>
                <w:szCs w:val="16"/>
                <w:color w:val="0000FF"/>
                <w:w w:val="91"/>
              </w:rPr>
            </w:pPr>
            <w:hyperlink r:id="rId98">
              <w:r>
                <w:rPr>
                  <w:rFonts w:ascii="Arial" w:cs="Arial" w:eastAsia="Arial" w:hAnsi="Arial"/>
                  <w:sz w:val="16"/>
                  <w:szCs w:val="16"/>
                  <w:color w:val="0000FF"/>
                  <w:w w:val="91"/>
                </w:rPr>
                <w:t>Indenture, dated August 18, 2016, among NRG Yield Operating LLC, the guarantors</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00" w:type="dxa"/>
            <w:vAlign w:val="bottom"/>
            <w:gridSpan w:val="3"/>
          </w:tcPr>
          <w:p>
            <w:pPr>
              <w:spacing w:after="0" w:line="183" w:lineRule="exact"/>
              <w:rPr>
                <w:rFonts w:ascii="Arial" w:cs="Arial" w:eastAsia="Arial" w:hAnsi="Arial"/>
                <w:sz w:val="16"/>
                <w:szCs w:val="16"/>
                <w:color w:val="0000FF"/>
              </w:rPr>
            </w:pPr>
            <w:hyperlink r:id="rId98">
              <w:r>
                <w:rPr>
                  <w:rFonts w:ascii="Arial" w:cs="Arial" w:eastAsia="Arial" w:hAnsi="Arial"/>
                  <w:sz w:val="16"/>
                  <w:szCs w:val="16"/>
                  <w:color w:val="0000FF"/>
                </w:rPr>
                <w:t>named therein and Law Debenture Trust Company of New York.</w:t>
              </w:r>
            </w:hyperlink>
          </w:p>
        </w:tc>
        <w:tc>
          <w:tcPr>
            <w:tcW w:w="0" w:type="dxa"/>
            <w:vAlign w:val="bottom"/>
          </w:tcPr>
          <w:p>
            <w:pPr>
              <w:spacing w:after="0"/>
              <w:rPr>
                <w:sz w:val="1"/>
                <w:szCs w:val="1"/>
                <w:color w:val="auto"/>
              </w:rPr>
            </w:pPr>
          </w:p>
        </w:tc>
      </w:tr>
      <w:tr>
        <w:trPr>
          <w:trHeight w:val="352"/>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4.16</w:t>
            </w:r>
          </w:p>
        </w:tc>
        <w:tc>
          <w:tcPr>
            <w:tcW w:w="4200" w:type="dxa"/>
            <w:vAlign w:val="bottom"/>
            <w:tcBorders>
              <w:top w:val="single" w:sz="8" w:color="0000FF"/>
            </w:tcBorders>
            <w:gridSpan w:val="2"/>
            <w:vMerge w:val="restart"/>
          </w:tcPr>
          <w:p>
            <w:pPr>
              <w:spacing w:after="0"/>
              <w:rPr>
                <w:rFonts w:ascii="Arial" w:cs="Arial" w:eastAsia="Arial" w:hAnsi="Arial"/>
                <w:sz w:val="16"/>
                <w:szCs w:val="16"/>
                <w:color w:val="0000FF"/>
              </w:rPr>
            </w:pPr>
            <w:hyperlink r:id="rId98">
              <w:r>
                <w:rPr>
                  <w:rFonts w:ascii="Arial" w:cs="Arial" w:eastAsia="Arial" w:hAnsi="Arial"/>
                  <w:sz w:val="16"/>
                  <w:szCs w:val="16"/>
                  <w:color w:val="0000FF"/>
                </w:rPr>
                <w:t>Form of 5.000% Senior Note due 2026.</w:t>
              </w:r>
            </w:hyperlink>
          </w:p>
        </w:tc>
        <w:tc>
          <w:tcPr>
            <w:tcW w:w="1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420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4.14 to the Company's Annual Report on Form 10-K filed on February 28, 2019.</w:t>
      </w:r>
    </w:p>
    <w:p>
      <w:pPr>
        <w:spacing w:after="0" w:line="200" w:lineRule="exact"/>
        <w:rPr>
          <w:sz w:val="20"/>
          <w:szCs w:val="20"/>
          <w:color w:val="auto"/>
        </w:rPr>
      </w:pPr>
    </w:p>
    <w:p>
      <w:pPr>
        <w:spacing w:after="0" w:line="34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August 18, 2016.</w:t>
      </w:r>
    </w:p>
    <w:p>
      <w:pPr>
        <w:spacing w:after="0" w:line="12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August 18, 2016.</w:t>
      </w:r>
    </w:p>
    <w:p>
      <w:pPr>
        <w:spacing w:after="0" w:line="45" w:lineRule="exact"/>
        <w:rPr>
          <w:sz w:val="20"/>
          <w:szCs w:val="20"/>
          <w:color w:val="auto"/>
        </w:rPr>
      </w:pPr>
    </w:p>
    <w:p>
      <w:pPr>
        <w:sectPr>
          <w:pgSz w:w="11900" w:h="16838" w:orient="portrait"/>
          <w:cols w:equalWidth="0" w:num="2">
            <w:col w:w="6540" w:space="540"/>
            <w:col w:w="4240"/>
          </w:cols>
          <w:pgMar w:left="280" w:top="833" w:right="29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4.17</w:t>
            </w:r>
          </w:p>
        </w:tc>
        <w:tc>
          <w:tcPr>
            <w:tcW w:w="5720" w:type="dxa"/>
            <w:vAlign w:val="bottom"/>
            <w:gridSpan w:val="3"/>
            <w:vMerge w:val="restart"/>
          </w:tcPr>
          <w:p>
            <w:pPr>
              <w:spacing w:after="0"/>
              <w:rPr>
                <w:rFonts w:ascii="Arial" w:cs="Arial" w:eastAsia="Arial" w:hAnsi="Arial"/>
                <w:sz w:val="16"/>
                <w:szCs w:val="16"/>
                <w:color w:val="0000FF"/>
                <w:w w:val="94"/>
              </w:rPr>
            </w:pPr>
            <w:hyperlink r:id="rId99">
              <w:r>
                <w:rPr>
                  <w:rFonts w:ascii="Arial" w:cs="Arial" w:eastAsia="Arial" w:hAnsi="Arial"/>
                  <w:sz w:val="16"/>
                  <w:szCs w:val="16"/>
                  <w:color w:val="0000FF"/>
                  <w:w w:val="94"/>
                </w:rPr>
                <w:t>Registration Rights Agreement, dated August 18, 2016, among NRG Yield Operating</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72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99">
              <w:r>
                <w:rPr>
                  <w:rFonts w:ascii="Arial" w:cs="Arial" w:eastAsia="Arial" w:hAnsi="Arial"/>
                  <w:sz w:val="16"/>
                  <w:szCs w:val="16"/>
                  <w:color w:val="0000FF"/>
                  <w:w w:val="90"/>
                </w:rPr>
                <w:t>LLC, the guarantors named therein and J.P. Morgan Securities LLC, as representative of</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20" w:type="dxa"/>
            <w:vAlign w:val="bottom"/>
            <w:gridSpan w:val="3"/>
          </w:tcPr>
          <w:p>
            <w:pPr>
              <w:spacing w:after="0" w:line="183" w:lineRule="exact"/>
              <w:rPr>
                <w:rFonts w:ascii="Arial" w:cs="Arial" w:eastAsia="Arial" w:hAnsi="Arial"/>
                <w:sz w:val="16"/>
                <w:szCs w:val="16"/>
                <w:color w:val="0000FF"/>
              </w:rPr>
            </w:pPr>
            <w:hyperlink r:id="rId99">
              <w:r>
                <w:rPr>
                  <w:rFonts w:ascii="Arial" w:cs="Arial" w:eastAsia="Arial" w:hAnsi="Arial"/>
                  <w:sz w:val="16"/>
                  <w:szCs w:val="16"/>
                  <w:color w:val="0000FF"/>
                </w:rPr>
                <w:t>the initial purchasers.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August 18, 2016.</w:t>
      </w:r>
    </w:p>
    <w:p>
      <w:pPr>
        <w:spacing w:after="0" w:line="247" w:lineRule="exact"/>
        <w:rPr>
          <w:sz w:val="20"/>
          <w:szCs w:val="20"/>
          <w:color w:val="auto"/>
        </w:rPr>
      </w:pPr>
    </w:p>
    <w:p>
      <w:pPr>
        <w:sectPr>
          <w:pgSz w:w="11900" w:h="16838" w:orient="portrait"/>
          <w:cols w:equalWidth="0" w:num="2">
            <w:col w:w="6760" w:space="320"/>
            <w:col w:w="4240"/>
          </w:cols>
          <w:pgMar w:left="280" w:top="833" w:right="299" w:bottom="1440" w:gutter="0" w:footer="0" w:header="0"/>
          <w:type w:val="continuous"/>
        </w:sectPr>
      </w:pPr>
    </w:p>
    <w:p>
      <w:pPr>
        <w:spacing w:after="0"/>
        <w:rPr>
          <w:sz w:val="20"/>
          <w:szCs w:val="20"/>
          <w:color w:val="auto"/>
        </w:rPr>
      </w:pPr>
      <w:r>
        <w:rPr>
          <w:rFonts w:ascii="Arial" w:cs="Arial" w:eastAsia="Arial" w:hAnsi="Arial"/>
          <w:sz w:val="14"/>
          <w:szCs w:val="14"/>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40"/>
        <w:spacing w:after="0" w:line="278"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Fifth Supplemental Indenture, dated as of January 29, 2018, among NRG Yield Operating</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LLC, the guarantors named therein and Delaware Trust Company (as successor in interest</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to Law Debenture Trust Company of New York).</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jc w:val="both"/>
        <w:spacing w:after="0" w:line="278"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Supplemental Indenture, dated as of January 29, 2018, among NRG Yield Operating LLC,</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the guarantors named therein and the Delaware Trust Company (as successor in interest to</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Law Debenture Trust Company of New York).</w:t>
        </w:r>
      </w:hyperlink>
    </w:p>
    <w:p>
      <w:pPr>
        <w:spacing w:after="0" w:line="184" w:lineRule="exact"/>
        <w:rPr>
          <w:rFonts w:ascii="Arial" w:cs="Arial" w:eastAsia="Arial" w:hAnsi="Arial"/>
          <w:sz w:val="16"/>
          <w:szCs w:val="16"/>
          <w:u w:val="single" w:color="auto"/>
          <w:color w:val="0000FF"/>
        </w:rPr>
      </w:pPr>
    </w:p>
    <w:p>
      <w:pPr>
        <w:ind w:right="40"/>
        <w:spacing w:after="0" w:line="278" w:lineRule="auto"/>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Sixth Supplemental Indenture, dated as of June 12, 2018, among NRG Yield Operating</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LLC, the guarantors named therein and Delaware Trust Company (as successor in interest</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to Law Debenture Trust Company of New York).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Clearway Energy LLC's Current Report on Form 8-K, filed on January 31, 2018.</w:t>
      </w:r>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4.2 to Clearway Energy LLC's Current Report on Form 8-K, filed on January 31, 2018.</w:t>
      </w:r>
    </w:p>
    <w:p>
      <w:pPr>
        <w:spacing w:after="0" w:line="184"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12, 2018.</w:t>
      </w:r>
    </w:p>
    <w:p>
      <w:pPr>
        <w:spacing w:after="0" w:line="344" w:lineRule="exact"/>
        <w:rPr>
          <w:rFonts w:ascii="Arial" w:cs="Arial" w:eastAsia="Arial" w:hAnsi="Arial"/>
          <w:sz w:val="16"/>
          <w:szCs w:val="16"/>
          <w:u w:val="single" w:color="auto"/>
          <w:color w:val="0000FF"/>
        </w:rPr>
      </w:pPr>
    </w:p>
    <w:p>
      <w:pPr>
        <w:sectPr>
          <w:pgSz w:w="11900" w:h="16838" w:orient="portrait"/>
          <w:cols w:equalWidth="0" w:num="3">
            <w:col w:w="320" w:space="720"/>
            <w:col w:w="5860" w:space="180"/>
            <w:col w:w="4240"/>
          </w:cols>
          <w:pgMar w:left="280" w:top="833" w:right="299" w:bottom="1440" w:gutter="0" w:footer="0" w:header="0"/>
          <w:type w:val="continuous"/>
        </w:sectPr>
      </w:pPr>
    </w:p>
    <w:p>
      <w:pPr>
        <w:spacing w:after="0" w:line="53"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4.21</w:t>
            </w:r>
          </w:p>
        </w:tc>
        <w:tc>
          <w:tcPr>
            <w:tcW w:w="5780" w:type="dxa"/>
            <w:vAlign w:val="bottom"/>
            <w:tcBorders>
              <w:bottom w:val="single" w:sz="8" w:color="0000FF"/>
            </w:tcBorders>
            <w:gridSpan w:val="2"/>
          </w:tcPr>
          <w:p>
            <w:pPr>
              <w:spacing w:after="0"/>
              <w:rPr>
                <w:rFonts w:ascii="Arial" w:cs="Arial" w:eastAsia="Arial" w:hAnsi="Arial"/>
                <w:sz w:val="16"/>
                <w:szCs w:val="16"/>
                <w:color w:val="0000FF"/>
                <w:w w:val="90"/>
              </w:rPr>
            </w:pPr>
            <w:hyperlink r:id="rId103">
              <w:r>
                <w:rPr>
                  <w:rFonts w:ascii="Arial" w:cs="Arial" w:eastAsia="Arial" w:hAnsi="Arial"/>
                  <w:sz w:val="16"/>
                  <w:szCs w:val="16"/>
                  <w:color w:val="0000FF"/>
                  <w:w w:val="90"/>
                </w:rPr>
                <w:t>Second Supplemental Indenture, dated as of June 12, 2018, among NRG Yield Operating</w:t>
              </w:r>
            </w:hyperlink>
          </w:p>
        </w:tc>
        <w:tc>
          <w:tcPr>
            <w:tcW w:w="40" w:type="dxa"/>
            <w:vAlign w:val="bottom"/>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582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103">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20" w:type="dxa"/>
            <w:vAlign w:val="bottom"/>
            <w:gridSpan w:val="3"/>
          </w:tcPr>
          <w:p>
            <w:pPr>
              <w:spacing w:after="0" w:line="183" w:lineRule="exact"/>
              <w:rPr>
                <w:rFonts w:ascii="Arial" w:cs="Arial" w:eastAsia="Arial" w:hAnsi="Arial"/>
                <w:sz w:val="16"/>
                <w:szCs w:val="16"/>
                <w:color w:val="0000FF"/>
              </w:rPr>
            </w:pPr>
            <w:hyperlink r:id="rId103">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12, 2018.</w:t>
      </w:r>
    </w:p>
    <w:p>
      <w:pPr>
        <w:spacing w:after="0" w:line="214" w:lineRule="exact"/>
        <w:rPr>
          <w:sz w:val="20"/>
          <w:szCs w:val="20"/>
          <w:color w:val="auto"/>
        </w:rPr>
      </w:pPr>
    </w:p>
    <w:p>
      <w:pPr>
        <w:sectPr>
          <w:pgSz w:w="11900" w:h="16838" w:orient="portrait"/>
          <w:cols w:equalWidth="0" w:num="2">
            <w:col w:w="6860" w:space="220"/>
            <w:col w:w="4240"/>
          </w:cols>
          <w:pgMar w:left="280" w:top="833" w:right="29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320"/>
          </w:cols>
          <w:pgMar w:left="280" w:top="833" w:right="29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4.28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Borders>
              <w:bottom w:val="single" w:sz="8" w:color="0000FF"/>
            </w:tcBorders>
            <w:gridSpan w:val="9"/>
          </w:tcPr>
          <w:p>
            <w:pPr>
              <w:spacing w:after="0"/>
              <w:rPr>
                <w:rFonts w:ascii="Arial" w:cs="Arial" w:eastAsia="Arial" w:hAnsi="Arial"/>
                <w:sz w:val="16"/>
                <w:szCs w:val="16"/>
                <w:color w:val="0000FF"/>
                <w:w w:val="91"/>
              </w:rPr>
            </w:pPr>
            <w:hyperlink r:id="rId104">
              <w:r>
                <w:rPr>
                  <w:rFonts w:ascii="Arial" w:cs="Arial" w:eastAsia="Arial" w:hAnsi="Arial"/>
                  <w:sz w:val="16"/>
                  <w:szCs w:val="16"/>
                  <w:color w:val="0000FF"/>
                  <w:w w:val="91"/>
                </w:rPr>
                <w:t>Seventh Supplemental Indenture, dated as of July 17, 2018, among NRG Yield Operating</w:t>
              </w:r>
            </w:hyperlink>
          </w:p>
        </w:tc>
        <w:tc>
          <w:tcPr>
            <w:tcW w:w="140" w:type="dxa"/>
            <w:vAlign w:val="bottom"/>
            <w:gridSpan w:val="4"/>
          </w:tcPr>
          <w:p>
            <w:pPr>
              <w:spacing w:after="0"/>
              <w:rPr>
                <w:sz w:val="16"/>
                <w:szCs w:val="16"/>
                <w:color w:val="auto"/>
              </w:rPr>
            </w:pPr>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4.3 to the Company's</w:t>
            </w:r>
          </w:p>
        </w:tc>
        <w:tc>
          <w:tcPr>
            <w:tcW w:w="0" w:type="dxa"/>
            <w:vAlign w:val="bottom"/>
          </w:tcPr>
          <w:p>
            <w:pPr>
              <w:spacing w:after="0"/>
              <w:rPr>
                <w:sz w:val="1"/>
                <w:szCs w:val="1"/>
                <w:color w:val="auto"/>
              </w:rPr>
            </w:pPr>
          </w:p>
        </w:tc>
      </w:tr>
      <w:tr>
        <w:trPr>
          <w:trHeight w:val="183"/>
        </w:trPr>
        <w:tc>
          <w:tcPr>
            <w:tcW w:w="5940" w:type="dxa"/>
            <w:vAlign w:val="bottom"/>
            <w:gridSpan w:val="13"/>
          </w:tcPr>
          <w:p>
            <w:pPr>
              <w:spacing w:after="0" w:line="183" w:lineRule="exact"/>
              <w:rPr>
                <w:rFonts w:ascii="Arial" w:cs="Arial" w:eastAsia="Arial" w:hAnsi="Arial"/>
                <w:sz w:val="16"/>
                <w:szCs w:val="16"/>
                <w:color w:val="0000FF"/>
                <w:w w:val="92"/>
              </w:rPr>
            </w:pPr>
            <w:hyperlink r:id="rId104">
              <w:r>
                <w:rPr>
                  <w:rFonts w:ascii="Arial" w:cs="Arial" w:eastAsia="Arial" w:hAnsi="Arial"/>
                  <w:sz w:val="16"/>
                  <w:szCs w:val="16"/>
                  <w:color w:val="0000FF"/>
                  <w:w w:val="92"/>
                </w:rPr>
                <w:t>LLC, the guarantors named therein and Delaware Trust Company (as successor in interest</w:t>
              </w:r>
            </w:hyperlink>
          </w:p>
        </w:tc>
        <w:tc>
          <w:tcPr>
            <w:tcW w:w="430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c>
          <w:tcPr>
            <w:tcW w:w="0" w:type="dxa"/>
            <w:vAlign w:val="bottom"/>
          </w:tcPr>
          <w:p>
            <w:pPr>
              <w:spacing w:after="0"/>
              <w:rPr>
                <w:sz w:val="1"/>
                <w:szCs w:val="1"/>
                <w:color w:val="auto"/>
              </w:rPr>
            </w:pPr>
          </w:p>
        </w:tc>
      </w:tr>
      <w:tr>
        <w:trPr>
          <w:trHeight w:val="183"/>
        </w:trPr>
        <w:tc>
          <w:tcPr>
            <w:tcW w:w="582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104">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640" w:type="dxa"/>
            <w:vAlign w:val="bottom"/>
            <w:tcBorders>
              <w:bottom w:val="single" w:sz="8" w:color="0000FF"/>
            </w:tcBorders>
            <w:gridSpan w:val="8"/>
          </w:tcPr>
          <w:p>
            <w:pPr>
              <w:spacing w:after="0"/>
              <w:rPr>
                <w:rFonts w:ascii="Arial" w:cs="Arial" w:eastAsia="Arial" w:hAnsi="Arial"/>
                <w:sz w:val="16"/>
                <w:szCs w:val="16"/>
                <w:color w:val="0000FF"/>
                <w:w w:val="91"/>
              </w:rPr>
            </w:pPr>
            <w:hyperlink r:id="rId105">
              <w:r>
                <w:rPr>
                  <w:rFonts w:ascii="Arial" w:cs="Arial" w:eastAsia="Arial" w:hAnsi="Arial"/>
                  <w:sz w:val="16"/>
                  <w:szCs w:val="16"/>
                  <w:color w:val="0000FF"/>
                  <w:w w:val="91"/>
                </w:rPr>
                <w:t>Third Supplemental Indenture, dated as of July 17, 2018, among NRG Yield Operating</w:t>
              </w:r>
            </w:hyperlink>
          </w:p>
        </w:tc>
        <w:tc>
          <w:tcPr>
            <w:tcW w:w="300" w:type="dxa"/>
            <w:vAlign w:val="bottom"/>
            <w:gridSpan w:val="5"/>
          </w:tcPr>
          <w:p>
            <w:pPr>
              <w:spacing w:after="0"/>
              <w:rPr>
                <w:sz w:val="24"/>
                <w:szCs w:val="24"/>
                <w:color w:val="auto"/>
              </w:rPr>
            </w:pPr>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4.4 to the Company's</w:t>
            </w:r>
          </w:p>
        </w:tc>
        <w:tc>
          <w:tcPr>
            <w:tcW w:w="0" w:type="dxa"/>
            <w:vAlign w:val="bottom"/>
          </w:tcPr>
          <w:p>
            <w:pPr>
              <w:spacing w:after="0"/>
              <w:rPr>
                <w:sz w:val="1"/>
                <w:szCs w:val="1"/>
                <w:color w:val="auto"/>
              </w:rPr>
            </w:pPr>
          </w:p>
        </w:tc>
      </w:tr>
      <w:tr>
        <w:trPr>
          <w:trHeight w:val="183"/>
        </w:trPr>
        <w:tc>
          <w:tcPr>
            <w:tcW w:w="5940" w:type="dxa"/>
            <w:vAlign w:val="bottom"/>
            <w:gridSpan w:val="13"/>
          </w:tcPr>
          <w:p>
            <w:pPr>
              <w:spacing w:after="0" w:line="183"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LLC, the guarantors named therein and Delaware Trust Company (as successor in interest</w:t>
              </w:r>
            </w:hyperlink>
          </w:p>
        </w:tc>
        <w:tc>
          <w:tcPr>
            <w:tcW w:w="430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c>
          <w:tcPr>
            <w:tcW w:w="0" w:type="dxa"/>
            <w:vAlign w:val="bottom"/>
          </w:tcPr>
          <w:p>
            <w:pPr>
              <w:spacing w:after="0"/>
              <w:rPr>
                <w:sz w:val="1"/>
                <w:szCs w:val="1"/>
                <w:color w:val="auto"/>
              </w:rPr>
            </w:pPr>
          </w:p>
        </w:tc>
      </w:tr>
      <w:tr>
        <w:trPr>
          <w:trHeight w:val="183"/>
        </w:trPr>
        <w:tc>
          <w:tcPr>
            <w:tcW w:w="582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Borders>
              <w:bottom w:val="single" w:sz="8" w:color="0000FF"/>
            </w:tcBorders>
            <w:gridSpan w:val="6"/>
          </w:tcPr>
          <w:p>
            <w:pPr>
              <w:spacing w:after="0"/>
              <w:rPr>
                <w:rFonts w:ascii="Arial" w:cs="Arial" w:eastAsia="Arial" w:hAnsi="Arial"/>
                <w:sz w:val="16"/>
                <w:szCs w:val="16"/>
                <w:color w:val="0000FF"/>
                <w:w w:val="91"/>
              </w:rPr>
            </w:pPr>
            <w:hyperlink r:id="rId106">
              <w:r>
                <w:rPr>
                  <w:rFonts w:ascii="Arial" w:cs="Arial" w:eastAsia="Arial" w:hAnsi="Arial"/>
                  <w:sz w:val="16"/>
                  <w:szCs w:val="16"/>
                  <w:color w:val="0000FF"/>
                  <w:w w:val="91"/>
                </w:rPr>
                <w:t>Eighth Supplemental Indenture, dated as of August 30, 2018, among NRG Yield</w:t>
              </w:r>
            </w:hyperlink>
          </w:p>
        </w:tc>
        <w:tc>
          <w:tcPr>
            <w:tcW w:w="720" w:type="dxa"/>
            <w:vAlign w:val="bottom"/>
            <w:gridSpan w:val="7"/>
          </w:tcPr>
          <w:p>
            <w:pPr>
              <w:spacing w:after="0"/>
              <w:rPr>
                <w:sz w:val="24"/>
                <w:szCs w:val="24"/>
                <w:color w:val="auto"/>
              </w:rPr>
            </w:pPr>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Company's</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0000FF"/>
            </w:tcBorders>
            <w:gridSpan w:val="11"/>
          </w:tcPr>
          <w:p>
            <w:pPr>
              <w:spacing w:after="0" w:line="183" w:lineRule="exact"/>
              <w:rPr>
                <w:rFonts w:ascii="Arial" w:cs="Arial" w:eastAsia="Arial" w:hAnsi="Arial"/>
                <w:sz w:val="16"/>
                <w:szCs w:val="16"/>
                <w:color w:val="0000FF"/>
                <w:w w:val="90"/>
              </w:rPr>
            </w:pPr>
            <w:hyperlink r:id="rId106">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2"/>
          </w:tcPr>
          <w:p>
            <w:pPr>
              <w:spacing w:after="0"/>
              <w:rPr>
                <w:sz w:val="15"/>
                <w:szCs w:val="15"/>
                <w:color w:val="auto"/>
              </w:rPr>
            </w:pPr>
          </w:p>
        </w:tc>
        <w:tc>
          <w:tcPr>
            <w:tcW w:w="430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6, 2018.</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106">
              <w:r>
                <w:rPr>
                  <w:rFonts w:ascii="Arial" w:cs="Arial" w:eastAsia="Arial" w:hAnsi="Arial"/>
                  <w:sz w:val="16"/>
                  <w:szCs w:val="16"/>
                  <w:color w:val="0000FF"/>
                  <w:w w:val="92"/>
                </w:rPr>
                <w:t>in interest to Law Debenture Trust Company of New York).</w:t>
              </w:r>
            </w:hyperlink>
          </w:p>
        </w:tc>
        <w:tc>
          <w:tcPr>
            <w:tcW w:w="2060" w:type="dxa"/>
            <w:vAlign w:val="bottom"/>
            <w:gridSpan w:val="8"/>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5220" w:type="dxa"/>
            <w:vAlign w:val="bottom"/>
            <w:tcBorders>
              <w:bottom w:val="single" w:sz="8" w:color="0000FF"/>
            </w:tcBorders>
            <w:gridSpan w:val="6"/>
          </w:tcPr>
          <w:p>
            <w:pPr>
              <w:spacing w:after="0"/>
              <w:rPr>
                <w:rFonts w:ascii="Arial" w:cs="Arial" w:eastAsia="Arial" w:hAnsi="Arial"/>
                <w:sz w:val="16"/>
                <w:szCs w:val="16"/>
                <w:color w:val="0000FF"/>
                <w:w w:val="91"/>
              </w:rPr>
            </w:pPr>
            <w:hyperlink r:id="rId107">
              <w:r>
                <w:rPr>
                  <w:rFonts w:ascii="Arial" w:cs="Arial" w:eastAsia="Arial" w:hAnsi="Arial"/>
                  <w:sz w:val="16"/>
                  <w:szCs w:val="16"/>
                  <w:color w:val="0000FF"/>
                  <w:w w:val="91"/>
                </w:rPr>
                <w:t>Fourth Supplemental Indenture, dated as of August 30, 2018, among NRG Yield</w:t>
              </w:r>
            </w:hyperlink>
          </w:p>
        </w:tc>
        <w:tc>
          <w:tcPr>
            <w:tcW w:w="720" w:type="dxa"/>
            <w:vAlign w:val="bottom"/>
            <w:gridSpan w:val="7"/>
          </w:tcPr>
          <w:p>
            <w:pPr>
              <w:spacing w:after="0"/>
              <w:rPr>
                <w:sz w:val="24"/>
                <w:szCs w:val="24"/>
                <w:color w:val="auto"/>
              </w:rPr>
            </w:pPr>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Company's</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0000FF"/>
            </w:tcBorders>
            <w:gridSpan w:val="11"/>
          </w:tcPr>
          <w:p>
            <w:pPr>
              <w:spacing w:after="0" w:line="183" w:lineRule="exact"/>
              <w:rPr>
                <w:rFonts w:ascii="Arial" w:cs="Arial" w:eastAsia="Arial" w:hAnsi="Arial"/>
                <w:sz w:val="16"/>
                <w:szCs w:val="16"/>
                <w:color w:val="0000FF"/>
                <w:w w:val="90"/>
              </w:rPr>
            </w:pPr>
            <w:hyperlink r:id="rId107">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2"/>
          </w:tcPr>
          <w:p>
            <w:pPr>
              <w:spacing w:after="0"/>
              <w:rPr>
                <w:sz w:val="15"/>
                <w:szCs w:val="15"/>
                <w:color w:val="auto"/>
              </w:rPr>
            </w:pPr>
          </w:p>
        </w:tc>
        <w:tc>
          <w:tcPr>
            <w:tcW w:w="430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September 6, 2018.</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107">
              <w:r>
                <w:rPr>
                  <w:rFonts w:ascii="Arial" w:cs="Arial" w:eastAsia="Arial" w:hAnsi="Arial"/>
                  <w:sz w:val="16"/>
                  <w:szCs w:val="16"/>
                  <w:color w:val="0000FF"/>
                  <w:w w:val="92"/>
                </w:rPr>
                <w:t>in interest to Law Debenture Trust Company of New York).</w:t>
              </w:r>
            </w:hyperlink>
          </w:p>
        </w:tc>
        <w:tc>
          <w:tcPr>
            <w:tcW w:w="2060" w:type="dxa"/>
            <w:vAlign w:val="bottom"/>
            <w:gridSpan w:val="8"/>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5940" w:type="dxa"/>
            <w:vAlign w:val="bottom"/>
            <w:gridSpan w:val="13"/>
          </w:tcPr>
          <w:p>
            <w:pPr>
              <w:spacing w:after="0"/>
              <w:rPr>
                <w:rFonts w:ascii="Arial" w:cs="Arial" w:eastAsia="Arial" w:hAnsi="Arial"/>
                <w:sz w:val="16"/>
                <w:szCs w:val="16"/>
                <w:color w:val="0000FF"/>
                <w:w w:val="92"/>
              </w:rPr>
            </w:pPr>
            <w:hyperlink r:id="rId108">
              <w:r>
                <w:rPr>
                  <w:rFonts w:ascii="Arial" w:cs="Arial" w:eastAsia="Arial" w:hAnsi="Arial"/>
                  <w:sz w:val="16"/>
                  <w:szCs w:val="16"/>
                  <w:color w:val="0000FF"/>
                  <w:w w:val="92"/>
                </w:rPr>
                <w:t>Indenture, dated October 1, 2018, among Clearway Energy Operating LLC, the guarantors</w:t>
              </w:r>
            </w:hyperlink>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Company's</w:t>
            </w:r>
          </w:p>
        </w:tc>
        <w:tc>
          <w:tcPr>
            <w:tcW w:w="0" w:type="dxa"/>
            <w:vAlign w:val="bottom"/>
          </w:tcPr>
          <w:p>
            <w:pPr>
              <w:spacing w:after="0"/>
              <w:rPr>
                <w:sz w:val="1"/>
                <w:szCs w:val="1"/>
                <w:color w:val="auto"/>
              </w:rPr>
            </w:pPr>
          </w:p>
        </w:tc>
      </w:tr>
      <w:tr>
        <w:trPr>
          <w:trHeight w:val="183"/>
        </w:trPr>
        <w:tc>
          <w:tcPr>
            <w:tcW w:w="362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89"/>
              </w:rPr>
            </w:pPr>
            <w:hyperlink r:id="rId108">
              <w:r>
                <w:rPr>
                  <w:rFonts w:ascii="Arial" w:cs="Arial" w:eastAsia="Arial" w:hAnsi="Arial"/>
                  <w:sz w:val="16"/>
                  <w:szCs w:val="16"/>
                  <w:color w:val="0000FF"/>
                  <w:w w:val="89"/>
                </w:rPr>
                <w:t>named therein and Delaware Trust Company, as trustee.</w:t>
              </w:r>
            </w:hyperlink>
          </w:p>
        </w:tc>
        <w:tc>
          <w:tcPr>
            <w:tcW w:w="224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430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October 2, 2018.</w:t>
            </w:r>
          </w:p>
        </w:tc>
        <w:tc>
          <w:tcPr>
            <w:tcW w:w="0" w:type="dxa"/>
            <w:vAlign w:val="bottom"/>
          </w:tcPr>
          <w:p>
            <w:pPr>
              <w:spacing w:after="0"/>
              <w:rPr>
                <w:sz w:val="1"/>
                <w:szCs w:val="1"/>
                <w:color w:val="auto"/>
              </w:rPr>
            </w:pPr>
          </w:p>
        </w:tc>
      </w:tr>
      <w:tr>
        <w:trPr>
          <w:trHeight w:val="399"/>
        </w:trPr>
        <w:tc>
          <w:tcPr>
            <w:tcW w:w="5940" w:type="dxa"/>
            <w:vAlign w:val="bottom"/>
            <w:gridSpan w:val="13"/>
          </w:tcPr>
          <w:p>
            <w:pPr>
              <w:spacing w:after="0"/>
              <w:rPr>
                <w:rFonts w:ascii="Arial" w:cs="Arial" w:eastAsia="Arial" w:hAnsi="Arial"/>
                <w:sz w:val="16"/>
                <w:szCs w:val="16"/>
                <w:color w:val="0000FF"/>
              </w:rPr>
            </w:pPr>
            <w:hyperlink r:id="rId109">
              <w:r>
                <w:rPr>
                  <w:rFonts w:ascii="Arial" w:cs="Arial" w:eastAsia="Arial" w:hAnsi="Arial"/>
                  <w:sz w:val="16"/>
                  <w:szCs w:val="16"/>
                  <w:color w:val="0000FF"/>
                </w:rPr>
                <w:t>Form of 5.750% Senior Notes due 2025.</w:t>
              </w:r>
            </w:hyperlink>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Company's</w:t>
            </w:r>
          </w:p>
        </w:tc>
        <w:tc>
          <w:tcPr>
            <w:tcW w:w="0" w:type="dxa"/>
            <w:vAlign w:val="bottom"/>
          </w:tcPr>
          <w:p>
            <w:pPr>
              <w:spacing w:after="0"/>
              <w:rPr>
                <w:sz w:val="1"/>
                <w:szCs w:val="1"/>
                <w:color w:val="auto"/>
              </w:rPr>
            </w:pPr>
          </w:p>
        </w:tc>
      </w:tr>
      <w:tr>
        <w:trPr>
          <w:trHeight w:val="217"/>
        </w:trPr>
        <w:tc>
          <w:tcPr>
            <w:tcW w:w="2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6"/>
                <w:szCs w:val="16"/>
                <w:color w:val="auto"/>
              </w:rPr>
              <w:t>Current Report on Form 8-K filed on October 2, 2018.</w:t>
            </w:r>
          </w:p>
        </w:tc>
        <w:tc>
          <w:tcPr>
            <w:tcW w:w="0" w:type="dxa"/>
            <w:vAlign w:val="bottom"/>
          </w:tcPr>
          <w:p>
            <w:pPr>
              <w:spacing w:after="0"/>
              <w:rPr>
                <w:sz w:val="1"/>
                <w:szCs w:val="1"/>
                <w:color w:val="auto"/>
              </w:rPr>
            </w:pPr>
          </w:p>
        </w:tc>
      </w:tr>
      <w:tr>
        <w:trPr>
          <w:trHeight w:val="334"/>
        </w:trPr>
        <w:tc>
          <w:tcPr>
            <w:tcW w:w="5940" w:type="dxa"/>
            <w:vAlign w:val="bottom"/>
            <w:gridSpan w:val="13"/>
            <w:vMerge w:val="restart"/>
          </w:tcPr>
          <w:p>
            <w:pPr>
              <w:spacing w:after="0"/>
              <w:rPr>
                <w:rFonts w:ascii="Arial" w:cs="Arial" w:eastAsia="Arial" w:hAnsi="Arial"/>
                <w:sz w:val="16"/>
                <w:szCs w:val="16"/>
                <w:color w:val="0000FF"/>
              </w:rPr>
            </w:pPr>
            <w:hyperlink r:id="rId110">
              <w:r>
                <w:rPr>
                  <w:rFonts w:ascii="Arial" w:cs="Arial" w:eastAsia="Arial" w:hAnsi="Arial"/>
                  <w:sz w:val="16"/>
                  <w:szCs w:val="16"/>
                  <w:color w:val="0000FF"/>
                </w:rPr>
                <w:t>Registration Rights Agreement, dated October 1, 2018, among Clearway Energy</w:t>
              </w:r>
            </w:hyperlink>
          </w:p>
        </w:tc>
        <w:tc>
          <w:tcPr>
            <w:tcW w:w="430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4.3 to the Company's</w:t>
            </w:r>
          </w:p>
        </w:tc>
        <w:tc>
          <w:tcPr>
            <w:tcW w:w="0" w:type="dxa"/>
            <w:vAlign w:val="bottom"/>
          </w:tcPr>
          <w:p>
            <w:pPr>
              <w:spacing w:after="0"/>
              <w:rPr>
                <w:sz w:val="1"/>
                <w:szCs w:val="1"/>
                <w:color w:val="auto"/>
              </w:rPr>
            </w:pPr>
          </w:p>
        </w:tc>
      </w:tr>
      <w:tr>
        <w:trPr>
          <w:trHeight w:val="50"/>
        </w:trPr>
        <w:tc>
          <w:tcPr>
            <w:tcW w:w="5940" w:type="dxa"/>
            <w:vAlign w:val="bottom"/>
            <w:gridSpan w:val="13"/>
            <w:vMerge w:val="continue"/>
          </w:tcPr>
          <w:p>
            <w:pPr>
              <w:spacing w:after="0"/>
              <w:rPr>
                <w:sz w:val="4"/>
                <w:szCs w:val="4"/>
                <w:color w:val="auto"/>
              </w:rPr>
            </w:pPr>
          </w:p>
        </w:tc>
        <w:tc>
          <w:tcPr>
            <w:tcW w:w="4300" w:type="dxa"/>
            <w:vAlign w:val="bottom"/>
            <w:vMerge w:val="restart"/>
          </w:tcPr>
          <w:p>
            <w:pPr>
              <w:ind w:left="100"/>
              <w:spacing w:after="0"/>
              <w:rPr>
                <w:sz w:val="20"/>
                <w:szCs w:val="20"/>
                <w:color w:val="auto"/>
              </w:rPr>
            </w:pPr>
            <w:r>
              <w:rPr>
                <w:rFonts w:ascii="Arial" w:cs="Arial" w:eastAsia="Arial" w:hAnsi="Arial"/>
                <w:sz w:val="16"/>
                <w:szCs w:val="16"/>
                <w:color w:val="auto"/>
              </w:rPr>
              <w:t>Current Report on Form 8-K filed on October 2, 2018.</w:t>
            </w:r>
          </w:p>
        </w:tc>
        <w:tc>
          <w:tcPr>
            <w:tcW w:w="0" w:type="dxa"/>
            <w:vAlign w:val="bottom"/>
          </w:tcPr>
          <w:p>
            <w:pPr>
              <w:spacing w:after="0"/>
              <w:rPr>
                <w:sz w:val="1"/>
                <w:szCs w:val="1"/>
                <w:color w:val="auto"/>
              </w:rPr>
            </w:pPr>
          </w:p>
        </w:tc>
      </w:tr>
      <w:tr>
        <w:trPr>
          <w:trHeight w:val="20"/>
        </w:trPr>
        <w:tc>
          <w:tcPr>
            <w:tcW w:w="2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280" w:type="dxa"/>
            <w:vAlign w:val="bottom"/>
            <w:gridSpan w:val="7"/>
            <w:vMerge w:val="restart"/>
          </w:tcPr>
          <w:p>
            <w:pPr>
              <w:spacing w:after="0" w:line="183" w:lineRule="exact"/>
              <w:rPr>
                <w:rFonts w:ascii="Arial" w:cs="Arial" w:eastAsia="Arial" w:hAnsi="Arial"/>
                <w:sz w:val="16"/>
                <w:szCs w:val="16"/>
                <w:color w:val="0000FF"/>
                <w:w w:val="91"/>
              </w:rPr>
            </w:pPr>
            <w:hyperlink r:id="rId110">
              <w:r>
                <w:rPr>
                  <w:rFonts w:ascii="Arial" w:cs="Arial" w:eastAsia="Arial" w:hAnsi="Arial"/>
                  <w:sz w:val="16"/>
                  <w:szCs w:val="16"/>
                  <w:color w:val="0000FF"/>
                  <w:w w:val="91"/>
                </w:rPr>
                <w:t>Operating LLC, the guarantors named therein and RBC Capital Markets, LLC, as</w:t>
              </w:r>
            </w:hyperlink>
          </w:p>
        </w:tc>
        <w:tc>
          <w:tcPr>
            <w:tcW w:w="660" w:type="dxa"/>
            <w:vAlign w:val="bottom"/>
            <w:gridSpan w:val="6"/>
            <w:vMerge w:val="restart"/>
          </w:tcPr>
          <w:p>
            <w:pPr>
              <w:spacing w:after="0"/>
              <w:rPr>
                <w:sz w:val="11"/>
                <w:szCs w:val="11"/>
                <w:color w:val="auto"/>
              </w:rPr>
            </w:pPr>
          </w:p>
        </w:tc>
        <w:tc>
          <w:tcPr>
            <w:tcW w:w="4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5280" w:type="dxa"/>
            <w:vAlign w:val="bottom"/>
            <w:tcBorders>
              <w:bottom w:val="single" w:sz="8" w:color="0000FF"/>
            </w:tcBorders>
            <w:gridSpan w:val="7"/>
            <w:vMerge w:val="continue"/>
          </w:tcPr>
          <w:p>
            <w:pPr>
              <w:spacing w:after="0"/>
              <w:rPr>
                <w:sz w:val="4"/>
                <w:szCs w:val="4"/>
                <w:color w:val="auto"/>
              </w:rPr>
            </w:pPr>
          </w:p>
        </w:tc>
        <w:tc>
          <w:tcPr>
            <w:tcW w:w="660" w:type="dxa"/>
            <w:vAlign w:val="bottom"/>
            <w:gridSpan w:val="6"/>
            <w:vMerge w:val="continue"/>
          </w:tcPr>
          <w:p>
            <w:pPr>
              <w:spacing w:after="0"/>
              <w:rPr>
                <w:sz w:val="4"/>
                <w:szCs w:val="4"/>
                <w:color w:val="auto"/>
              </w:rPr>
            </w:pPr>
          </w:p>
        </w:tc>
        <w:tc>
          <w:tcPr>
            <w:tcW w:w="4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52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110">
              <w:r>
                <w:rPr>
                  <w:rFonts w:ascii="Arial" w:cs="Arial" w:eastAsia="Arial" w:hAnsi="Arial"/>
                  <w:sz w:val="16"/>
                  <w:szCs w:val="16"/>
                  <w:color w:val="0000FF"/>
                  <w:w w:val="90"/>
                </w:rPr>
                <w:t>representative of the initial purchasers.</w:t>
              </w:r>
            </w:hyperlink>
          </w:p>
        </w:tc>
        <w:tc>
          <w:tcPr>
            <w:tcW w:w="3420" w:type="dxa"/>
            <w:vAlign w:val="bottom"/>
            <w:gridSpan w:val="12"/>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2">
            <w:col w:w="320" w:space="720"/>
            <w:col w:w="10240"/>
          </w:cols>
          <w:pgMar w:left="280" w:top="845" w:right="339" w:bottom="1440" w:gutter="0" w:footer="0" w:header="0"/>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4.29</w:t>
            </w:r>
          </w:p>
        </w:tc>
        <w:tc>
          <w:tcPr>
            <w:tcW w:w="5600" w:type="dxa"/>
            <w:vAlign w:val="bottom"/>
            <w:gridSpan w:val="2"/>
            <w:vMerge w:val="restart"/>
          </w:tcPr>
          <w:p>
            <w:pPr>
              <w:spacing w:after="0"/>
              <w:rPr>
                <w:rFonts w:ascii="Arial" w:cs="Arial" w:eastAsia="Arial" w:hAnsi="Arial"/>
                <w:sz w:val="16"/>
                <w:szCs w:val="16"/>
                <w:color w:val="0000FF"/>
                <w:w w:val="91"/>
              </w:rPr>
            </w:pPr>
            <w:hyperlink r:id="rId111">
              <w:r>
                <w:rPr>
                  <w:rFonts w:ascii="Arial" w:cs="Arial" w:eastAsia="Arial" w:hAnsi="Arial"/>
                  <w:sz w:val="16"/>
                  <w:szCs w:val="16"/>
                  <w:color w:val="0000FF"/>
                  <w:w w:val="91"/>
                </w:rPr>
                <w:t>Ninth Supplemental Indenture, dated as of October 25, 2018, among Clearway Energy</w:t>
              </w:r>
            </w:hyperlink>
          </w:p>
        </w:tc>
        <w:tc>
          <w:tcPr>
            <w:tcW w:w="2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00" w:type="dxa"/>
            <w:vAlign w:val="bottom"/>
            <w:tcBorders>
              <w:bottom w:val="single" w:sz="8" w:color="0000FF"/>
            </w:tcBorders>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111">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1">
              <w:r>
                <w:rPr>
                  <w:rFonts w:ascii="Arial" w:cs="Arial" w:eastAsia="Arial" w:hAnsi="Arial"/>
                  <w:sz w:val="16"/>
                  <w:szCs w:val="16"/>
                  <w:color w:val="0000FF"/>
                  <w:w w:val="92"/>
                </w:rPr>
                <w:t>in interest to Law Debenture Trust Company of New York).</w:t>
              </w:r>
            </w:hyperlink>
          </w:p>
        </w:tc>
        <w:tc>
          <w:tcPr>
            <w:tcW w:w="19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31, 2018.</w:t>
      </w:r>
    </w:p>
    <w:p>
      <w:pPr>
        <w:spacing w:after="0" w:line="328" w:lineRule="exact"/>
        <w:rPr>
          <w:sz w:val="20"/>
          <w:szCs w:val="20"/>
          <w:color w:val="auto"/>
        </w:rPr>
      </w:pPr>
    </w:p>
    <w:p>
      <w:pPr>
        <w:sectPr>
          <w:pgSz w:w="11900" w:h="16838" w:orient="portrait"/>
          <w:cols w:equalWidth="0" w:num="2">
            <w:col w:w="6880" w:space="200"/>
            <w:col w:w="4200"/>
          </w:cols>
          <w:pgMar w:left="280" w:top="845"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4.30</w:t>
            </w:r>
          </w:p>
        </w:tc>
        <w:tc>
          <w:tcPr>
            <w:tcW w:w="5840" w:type="dxa"/>
            <w:vAlign w:val="bottom"/>
            <w:gridSpan w:val="5"/>
            <w:vMerge w:val="restart"/>
          </w:tcPr>
          <w:p>
            <w:pPr>
              <w:spacing w:after="0"/>
              <w:rPr>
                <w:rFonts w:ascii="Arial" w:cs="Arial" w:eastAsia="Arial" w:hAnsi="Arial"/>
                <w:sz w:val="16"/>
                <w:szCs w:val="16"/>
                <w:color w:val="0000FF"/>
                <w:w w:val="96"/>
              </w:rPr>
            </w:pPr>
            <w:hyperlink r:id="rId112">
              <w:r>
                <w:rPr>
                  <w:rFonts w:ascii="Arial" w:cs="Arial" w:eastAsia="Arial" w:hAnsi="Arial"/>
                  <w:sz w:val="16"/>
                  <w:szCs w:val="16"/>
                  <w:color w:val="0000FF"/>
                  <w:w w:val="96"/>
                </w:rPr>
                <w:t>Fifth Supplemental Indenture, dated as of October 25, 2018, among Clearway Energy</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112">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2">
              <w:r>
                <w:rPr>
                  <w:rFonts w:ascii="Arial" w:cs="Arial" w:eastAsia="Arial" w:hAnsi="Arial"/>
                  <w:sz w:val="16"/>
                  <w:szCs w:val="16"/>
                  <w:color w:val="0000FF"/>
                  <w:w w:val="92"/>
                </w:rPr>
                <w:t>in interest to Law Debenture Trust Company of New York).</w:t>
              </w:r>
            </w:hyperlink>
          </w:p>
        </w:tc>
        <w:tc>
          <w:tcPr>
            <w:tcW w:w="19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4.31</w:t>
            </w:r>
          </w:p>
        </w:tc>
        <w:tc>
          <w:tcPr>
            <w:tcW w:w="5840" w:type="dxa"/>
            <w:vAlign w:val="bottom"/>
            <w:gridSpan w:val="5"/>
            <w:vMerge w:val="restart"/>
          </w:tcPr>
          <w:p>
            <w:pPr>
              <w:spacing w:after="0"/>
              <w:rPr>
                <w:rFonts w:ascii="Arial" w:cs="Arial" w:eastAsia="Arial" w:hAnsi="Arial"/>
                <w:sz w:val="16"/>
                <w:szCs w:val="16"/>
                <w:color w:val="0000FF"/>
                <w:w w:val="96"/>
              </w:rPr>
            </w:pPr>
            <w:hyperlink r:id="rId113">
              <w:r>
                <w:rPr>
                  <w:rFonts w:ascii="Arial" w:cs="Arial" w:eastAsia="Arial" w:hAnsi="Arial"/>
                  <w:sz w:val="16"/>
                  <w:szCs w:val="16"/>
                  <w:color w:val="0000FF"/>
                  <w:w w:val="96"/>
                </w:rPr>
                <w:t>First Supplemental Indenture, dated as of October 25, 2018, among Clearway Energy</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4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113">
              <w:r>
                <w:rPr>
                  <w:rFonts w:ascii="Arial" w:cs="Arial" w:eastAsia="Arial" w:hAnsi="Arial"/>
                  <w:sz w:val="16"/>
                  <w:szCs w:val="16"/>
                  <w:color w:val="0000FF"/>
                </w:rPr>
                <w:t>Operating LLC, the guarantors named therein and Delaware Trust Company.</w:t>
              </w:r>
            </w:hyperlink>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4.32</w:t>
            </w:r>
          </w:p>
        </w:tc>
        <w:tc>
          <w:tcPr>
            <w:tcW w:w="5660" w:type="dxa"/>
            <w:vAlign w:val="bottom"/>
            <w:tcBorders>
              <w:bottom w:val="single" w:sz="8" w:color="0000FF"/>
            </w:tcBorders>
            <w:gridSpan w:val="4"/>
          </w:tcPr>
          <w:p>
            <w:pPr>
              <w:spacing w:after="0"/>
              <w:rPr>
                <w:rFonts w:ascii="Arial" w:cs="Arial" w:eastAsia="Arial" w:hAnsi="Arial"/>
                <w:sz w:val="16"/>
                <w:szCs w:val="16"/>
                <w:color w:val="0000FF"/>
                <w:w w:val="90"/>
              </w:rPr>
            </w:pPr>
            <w:hyperlink r:id="rId114">
              <w:r>
                <w:rPr>
                  <w:rFonts w:ascii="Arial" w:cs="Arial" w:eastAsia="Arial" w:hAnsi="Arial"/>
                  <w:sz w:val="16"/>
                  <w:szCs w:val="16"/>
                  <w:color w:val="0000FF"/>
                  <w:w w:val="90"/>
                </w:rPr>
                <w:t>Tenth Supplemental Indenture, dated as of December 7, 2018, among Clearway Energy</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114">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in interest to Law Debenture Trust Company of New York).</w:t>
              </w:r>
            </w:hyperlink>
          </w:p>
        </w:tc>
        <w:tc>
          <w:tcPr>
            <w:tcW w:w="19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4.33</w:t>
            </w:r>
          </w:p>
        </w:tc>
        <w:tc>
          <w:tcPr>
            <w:tcW w:w="5640" w:type="dxa"/>
            <w:vAlign w:val="bottom"/>
            <w:gridSpan w:val="3"/>
            <w:vMerge w:val="restart"/>
          </w:tcPr>
          <w:p>
            <w:pPr>
              <w:spacing w:after="0"/>
              <w:rPr>
                <w:rFonts w:ascii="Arial" w:cs="Arial" w:eastAsia="Arial" w:hAnsi="Arial"/>
                <w:sz w:val="16"/>
                <w:szCs w:val="16"/>
                <w:color w:val="0000FF"/>
                <w:w w:val="90"/>
              </w:rPr>
            </w:pPr>
            <w:hyperlink r:id="rId115">
              <w:r>
                <w:rPr>
                  <w:rFonts w:ascii="Arial" w:cs="Arial" w:eastAsia="Arial" w:hAnsi="Arial"/>
                  <w:sz w:val="16"/>
                  <w:szCs w:val="16"/>
                  <w:color w:val="0000FF"/>
                  <w:w w:val="90"/>
                </w:rPr>
                <w:t>Sixth Supplemental Indenture, dated as of December 7, 2018, among Clearway Energy</w:t>
              </w:r>
            </w:hyperlink>
          </w:p>
        </w:tc>
        <w:tc>
          <w:tcPr>
            <w:tcW w:w="20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3"/>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115">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in interest to Law Debenture Trust Company of New York).</w:t>
              </w:r>
            </w:hyperlink>
          </w:p>
        </w:tc>
        <w:tc>
          <w:tcPr>
            <w:tcW w:w="19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4.34</w:t>
            </w:r>
          </w:p>
        </w:tc>
        <w:tc>
          <w:tcPr>
            <w:tcW w:w="5780" w:type="dxa"/>
            <w:vAlign w:val="bottom"/>
            <w:gridSpan w:val="4"/>
            <w:vMerge w:val="restart"/>
          </w:tcPr>
          <w:p>
            <w:pPr>
              <w:spacing w:after="0"/>
              <w:rPr>
                <w:rFonts w:ascii="Arial" w:cs="Arial" w:eastAsia="Arial" w:hAnsi="Arial"/>
                <w:sz w:val="16"/>
                <w:szCs w:val="16"/>
                <w:color w:val="0000FF"/>
                <w:w w:val="90"/>
              </w:rPr>
            </w:pPr>
            <w:hyperlink r:id="rId116">
              <w:r>
                <w:rPr>
                  <w:rFonts w:ascii="Arial" w:cs="Arial" w:eastAsia="Arial" w:hAnsi="Arial"/>
                  <w:sz w:val="16"/>
                  <w:szCs w:val="16"/>
                  <w:color w:val="0000FF"/>
                  <w:w w:val="90"/>
                </w:rPr>
                <w:t>Second Supplemental Indenture, dated as of December 7, 2018, among Clearway Energy</w:t>
              </w:r>
            </w:hyperlink>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80" w:type="dxa"/>
            <w:vAlign w:val="bottom"/>
            <w:tcBorders>
              <w:bottom w:val="single" w:sz="8" w:color="0000FF"/>
            </w:tcBorders>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5"/>
          </w:tcPr>
          <w:p>
            <w:pPr>
              <w:spacing w:after="0" w:line="183" w:lineRule="exact"/>
              <w:rPr>
                <w:rFonts w:ascii="Arial" w:cs="Arial" w:eastAsia="Arial" w:hAnsi="Arial"/>
                <w:sz w:val="16"/>
                <w:szCs w:val="16"/>
                <w:color w:val="0000FF"/>
              </w:rPr>
            </w:pPr>
            <w:hyperlink r:id="rId116">
              <w:r>
                <w:rPr>
                  <w:rFonts w:ascii="Arial" w:cs="Arial" w:eastAsia="Arial" w:hAnsi="Arial"/>
                  <w:sz w:val="16"/>
                  <w:szCs w:val="16"/>
                  <w:color w:val="0000FF"/>
                </w:rPr>
                <w:t>Operating LLC, the guarantors named therein and Delaware Trust Company.</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79"/>
              <w:spacing w:after="0"/>
              <w:rPr>
                <w:sz w:val="20"/>
                <w:szCs w:val="20"/>
                <w:color w:val="auto"/>
              </w:rPr>
            </w:pPr>
            <w:r>
              <w:rPr>
                <w:rFonts w:ascii="Arial" w:cs="Arial" w:eastAsia="Arial" w:hAnsi="Arial"/>
                <w:sz w:val="16"/>
                <w:szCs w:val="16"/>
                <w:color w:val="auto"/>
                <w:w w:val="83"/>
              </w:rPr>
              <w:t>4.35</w:t>
            </w:r>
          </w:p>
        </w:tc>
        <w:tc>
          <w:tcPr>
            <w:tcW w:w="3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1040" w:type="dxa"/>
            <w:vAlign w:val="bottom"/>
            <w:vMerge w:val="continue"/>
          </w:tcPr>
          <w:p>
            <w:pPr>
              <w:spacing w:after="0"/>
              <w:rPr>
                <w:sz w:val="24"/>
                <w:szCs w:val="24"/>
                <w:color w:val="auto"/>
              </w:rPr>
            </w:pPr>
          </w:p>
        </w:tc>
        <w:tc>
          <w:tcPr>
            <w:tcW w:w="5780" w:type="dxa"/>
            <w:vAlign w:val="bottom"/>
            <w:gridSpan w:val="4"/>
            <w:vMerge w:val="restart"/>
          </w:tcPr>
          <w:p>
            <w:pPr>
              <w:spacing w:after="0"/>
              <w:rPr>
                <w:rFonts w:ascii="Arial" w:cs="Arial" w:eastAsia="Arial" w:hAnsi="Arial"/>
                <w:sz w:val="16"/>
                <w:szCs w:val="16"/>
                <w:color w:val="0000FF"/>
                <w:w w:val="90"/>
              </w:rPr>
            </w:pPr>
            <w:hyperlink r:id="rId117">
              <w:r>
                <w:rPr>
                  <w:rFonts w:ascii="Arial" w:cs="Arial" w:eastAsia="Arial" w:hAnsi="Arial"/>
                  <w:sz w:val="16"/>
                  <w:szCs w:val="16"/>
                  <w:color w:val="0000FF"/>
                  <w:w w:val="90"/>
                </w:rPr>
                <w:t>Eleventh Supplement Indenture, dated as of September 6, 2019, among Clearway Energy</w:t>
              </w:r>
            </w:hyperlink>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80" w:type="dxa"/>
            <w:vAlign w:val="bottom"/>
            <w:tcBorders>
              <w:bottom w:val="single" w:sz="8" w:color="0000FF"/>
            </w:tcBorders>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117">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7">
              <w:r>
                <w:rPr>
                  <w:rFonts w:ascii="Arial" w:cs="Arial" w:eastAsia="Arial" w:hAnsi="Arial"/>
                  <w:sz w:val="16"/>
                  <w:szCs w:val="16"/>
                  <w:color w:val="0000FF"/>
                  <w:w w:val="92"/>
                </w:rPr>
                <w:t>in interest to Law Debenture Trust Company of New York).</w:t>
              </w:r>
            </w:hyperlink>
          </w:p>
        </w:tc>
        <w:tc>
          <w:tcPr>
            <w:tcW w:w="19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31, 2018.</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31, 2018.</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December 12, 2018.</w:t>
      </w:r>
    </w:p>
    <w:p>
      <w:pPr>
        <w:spacing w:after="0" w:line="16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December 12, 2018.</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December 12, 2018.</w:t>
      </w:r>
    </w:p>
    <w:p>
      <w:pPr>
        <w:spacing w:after="0" w:line="200" w:lineRule="exact"/>
        <w:rPr>
          <w:sz w:val="20"/>
          <w:szCs w:val="20"/>
          <w:color w:val="auto"/>
        </w:rPr>
      </w:pPr>
    </w:p>
    <w:p>
      <w:pPr>
        <w:spacing w:after="0" w:line="29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September 12, 2019.</w:t>
      </w:r>
    </w:p>
    <w:p>
      <w:pPr>
        <w:spacing w:after="0" w:line="235" w:lineRule="exact"/>
        <w:rPr>
          <w:sz w:val="20"/>
          <w:szCs w:val="20"/>
          <w:color w:val="auto"/>
        </w:rPr>
      </w:pPr>
    </w:p>
    <w:p>
      <w:pPr>
        <w:sectPr>
          <w:pgSz w:w="11900" w:h="16838" w:orient="portrait"/>
          <w:cols w:equalWidth="0" w:num="2">
            <w:col w:w="6880" w:space="200"/>
            <w:col w:w="4200"/>
          </w:cols>
          <w:pgMar w:left="280" w:top="84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4.36</w:t>
            </w:r>
          </w:p>
        </w:tc>
        <w:tc>
          <w:tcPr>
            <w:tcW w:w="5840" w:type="dxa"/>
            <w:vAlign w:val="bottom"/>
            <w:tcBorders>
              <w:bottom w:val="single" w:sz="8" w:color="0000FF"/>
            </w:tcBorders>
            <w:gridSpan w:val="4"/>
          </w:tcPr>
          <w:p>
            <w:pPr>
              <w:spacing w:after="0"/>
              <w:rPr>
                <w:rFonts w:ascii="Arial" w:cs="Arial" w:eastAsia="Arial" w:hAnsi="Arial"/>
                <w:sz w:val="16"/>
                <w:szCs w:val="16"/>
                <w:color w:val="0000FF"/>
                <w:w w:val="90"/>
              </w:rPr>
            </w:pPr>
            <w:hyperlink r:id="rId118">
              <w:r>
                <w:rPr>
                  <w:rFonts w:ascii="Arial" w:cs="Arial" w:eastAsia="Arial" w:hAnsi="Arial"/>
                  <w:sz w:val="16"/>
                  <w:szCs w:val="16"/>
                  <w:color w:val="0000FF"/>
                  <w:w w:val="90"/>
                </w:rPr>
                <w:t>Seventh Supplemental Indenture, dated as of September 6, 2019, among Clearway Energy</w:t>
              </w:r>
            </w:hyperlink>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4"/>
          </w:tcPr>
          <w:p>
            <w:pPr>
              <w:spacing w:after="0" w:line="183" w:lineRule="exact"/>
              <w:rPr>
                <w:rFonts w:ascii="Arial" w:cs="Arial" w:eastAsia="Arial" w:hAnsi="Arial"/>
                <w:sz w:val="16"/>
                <w:szCs w:val="16"/>
                <w:color w:val="0000FF"/>
                <w:w w:val="90"/>
              </w:rPr>
            </w:pPr>
            <w:hyperlink r:id="rId118">
              <w:r>
                <w:rPr>
                  <w:rFonts w:ascii="Arial" w:cs="Arial" w:eastAsia="Arial" w:hAnsi="Arial"/>
                  <w:sz w:val="16"/>
                  <w:szCs w:val="16"/>
                  <w:color w:val="0000FF"/>
                  <w:w w:val="90"/>
                </w:rPr>
                <w:t>Operating LLC, the guarantors named therein and Delaware Trust Company (as successor</w:t>
              </w:r>
            </w:hyperlink>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118">
              <w:r>
                <w:rPr>
                  <w:rFonts w:ascii="Arial" w:cs="Arial" w:eastAsia="Arial" w:hAnsi="Arial"/>
                  <w:sz w:val="16"/>
                  <w:szCs w:val="16"/>
                  <w:color w:val="0000FF"/>
                  <w:w w:val="92"/>
                </w:rPr>
                <w:t>in interest to Law Debenture Trust Company of New York).</w:t>
              </w:r>
            </w:hyperlink>
          </w:p>
        </w:tc>
        <w:tc>
          <w:tcPr>
            <w:tcW w:w="1960" w:type="dxa"/>
            <w:vAlign w:val="bottom"/>
            <w:gridSpan w:val="3"/>
          </w:tcPr>
          <w:p>
            <w:pPr>
              <w:spacing w:after="0"/>
              <w:rPr>
                <w:sz w:val="15"/>
                <w:szCs w:val="15"/>
                <w:color w:val="auto"/>
              </w:rPr>
            </w:pPr>
          </w:p>
        </w:tc>
      </w:tr>
      <w:tr>
        <w:trPr>
          <w:trHeight w:val="601"/>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4.37</w:t>
            </w:r>
          </w:p>
        </w:tc>
        <w:tc>
          <w:tcPr>
            <w:tcW w:w="5840" w:type="dxa"/>
            <w:vAlign w:val="bottom"/>
            <w:gridSpan w:val="4"/>
          </w:tcPr>
          <w:p>
            <w:pPr>
              <w:spacing w:after="0"/>
              <w:rPr>
                <w:rFonts w:ascii="Arial" w:cs="Arial" w:eastAsia="Arial" w:hAnsi="Arial"/>
                <w:sz w:val="16"/>
                <w:szCs w:val="16"/>
                <w:color w:val="0000FF"/>
                <w:w w:val="93"/>
              </w:rPr>
            </w:pPr>
            <w:hyperlink r:id="rId119">
              <w:r>
                <w:rPr>
                  <w:rFonts w:ascii="Arial" w:cs="Arial" w:eastAsia="Arial" w:hAnsi="Arial"/>
                  <w:sz w:val="16"/>
                  <w:szCs w:val="16"/>
                  <w:color w:val="0000FF"/>
                  <w:w w:val="93"/>
                </w:rPr>
                <w:t>Third Supplemental Indenture, dated as of September 6, 2019, among Clearway Energy</w:t>
              </w:r>
            </w:hyperlink>
          </w:p>
        </w:tc>
      </w:tr>
      <w:tr>
        <w:trPr>
          <w:trHeight w:val="183"/>
        </w:trPr>
        <w:tc>
          <w:tcPr>
            <w:tcW w:w="1040" w:type="dxa"/>
            <w:vAlign w:val="bottom"/>
          </w:tcPr>
          <w:p>
            <w:pPr>
              <w:spacing w:after="0"/>
              <w:rPr>
                <w:sz w:val="15"/>
                <w:szCs w:val="15"/>
                <w:color w:val="auto"/>
              </w:rPr>
            </w:pPr>
          </w:p>
        </w:tc>
        <w:tc>
          <w:tcPr>
            <w:tcW w:w="568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119">
              <w:r>
                <w:rPr>
                  <w:rFonts w:ascii="Arial" w:cs="Arial" w:eastAsia="Arial" w:hAnsi="Arial"/>
                  <w:sz w:val="16"/>
                  <w:szCs w:val="16"/>
                  <w:color w:val="0000FF"/>
                </w:rPr>
                <w:t>Operating LLC, the guarantors named therein and Delaware Trust Company.</w:t>
              </w:r>
            </w:hyperlink>
          </w:p>
        </w:tc>
        <w:tc>
          <w:tcPr>
            <w:tcW w:w="1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September 12, 2019.</w:t>
      </w:r>
    </w:p>
    <w:p>
      <w:pPr>
        <w:spacing w:after="0" w:line="200" w:lineRule="exact"/>
        <w:rPr>
          <w:sz w:val="20"/>
          <w:szCs w:val="20"/>
          <w:color w:val="auto"/>
        </w:rPr>
      </w:pPr>
    </w:p>
    <w:p>
      <w:pPr>
        <w:spacing w:after="0" w:line="33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September 12, 2019.</w:t>
      </w:r>
    </w:p>
    <w:p>
      <w:pPr>
        <w:spacing w:after="0" w:line="200" w:lineRule="exact"/>
        <w:rPr>
          <w:sz w:val="20"/>
          <w:szCs w:val="20"/>
          <w:color w:val="auto"/>
        </w:rPr>
      </w:pPr>
    </w:p>
    <w:p>
      <w:pPr>
        <w:sectPr>
          <w:pgSz w:w="11900" w:h="16838" w:orient="portrait"/>
          <w:cols w:equalWidth="0" w:num="2">
            <w:col w:w="6880" w:space="200"/>
            <w:col w:w="4200"/>
          </w:cols>
          <w:pgMar w:left="280" w:top="845" w:right="339" w:bottom="1440" w:gutter="0" w:footer="0" w:header="0"/>
          <w:type w:val="continuous"/>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80"/>
          </w:cols>
          <w:pgMar w:left="280" w:top="845"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4.38</w:t>
            </w:r>
          </w:p>
        </w:tc>
        <w:tc>
          <w:tcPr>
            <w:tcW w:w="5840" w:type="dxa"/>
            <w:vAlign w:val="bottom"/>
            <w:gridSpan w:val="28"/>
          </w:tcPr>
          <w:p>
            <w:pPr>
              <w:spacing w:after="0"/>
              <w:rPr>
                <w:rFonts w:ascii="Arial" w:cs="Arial" w:eastAsia="Arial" w:hAnsi="Arial"/>
                <w:sz w:val="16"/>
                <w:szCs w:val="16"/>
                <w:color w:val="0000FF"/>
                <w:w w:val="98"/>
              </w:rPr>
            </w:pPr>
            <w:hyperlink r:id="rId120">
              <w:r>
                <w:rPr>
                  <w:rFonts w:ascii="Arial" w:cs="Arial" w:eastAsia="Arial" w:hAnsi="Arial"/>
                  <w:sz w:val="16"/>
                  <w:szCs w:val="16"/>
                  <w:color w:val="0000FF"/>
                  <w:w w:val="98"/>
                </w:rPr>
                <w:t>Twelfth Supplemental Indenture, dated as of November 21, 2019, among Clearway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680" w:type="dxa"/>
            <w:vAlign w:val="bottom"/>
            <w:tcBorders>
              <w:bottom w:val="single" w:sz="8" w:color="0000FF"/>
            </w:tcBorders>
            <w:gridSpan w:val="22"/>
          </w:tcPr>
          <w:p>
            <w:pPr>
              <w:spacing w:after="0" w:line="183" w:lineRule="exact"/>
              <w:rPr>
                <w:rFonts w:ascii="Arial" w:cs="Arial" w:eastAsia="Arial" w:hAnsi="Arial"/>
                <w:sz w:val="16"/>
                <w:szCs w:val="16"/>
                <w:color w:val="0000FF"/>
                <w:w w:val="91"/>
              </w:rPr>
            </w:pPr>
            <w:hyperlink r:id="rId120">
              <w:r>
                <w:rPr>
                  <w:rFonts w:ascii="Arial" w:cs="Arial" w:eastAsia="Arial" w:hAnsi="Arial"/>
                  <w:sz w:val="16"/>
                  <w:szCs w:val="16"/>
                  <w:color w:val="0000FF"/>
                  <w:w w:val="91"/>
                </w:rPr>
                <w:t>Energy Operating LLC, the guarantors named therein and Delaware Trust Company (as</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540" w:type="dxa"/>
            <w:vAlign w:val="bottom"/>
            <w:tcBorders>
              <w:bottom w:val="single" w:sz="8" w:color="0000FF"/>
            </w:tcBorders>
            <w:gridSpan w:val="12"/>
          </w:tcPr>
          <w:p>
            <w:pPr>
              <w:spacing w:after="0" w:line="183" w:lineRule="exact"/>
              <w:rPr>
                <w:rFonts w:ascii="Arial" w:cs="Arial" w:eastAsia="Arial" w:hAnsi="Arial"/>
                <w:sz w:val="16"/>
                <w:szCs w:val="16"/>
                <w:color w:val="0000FF"/>
                <w:w w:val="91"/>
              </w:rPr>
            </w:pPr>
            <w:hyperlink r:id="rId120">
              <w:r>
                <w:rPr>
                  <w:rFonts w:ascii="Arial" w:cs="Arial" w:eastAsia="Arial" w:hAnsi="Arial"/>
                  <w:sz w:val="16"/>
                  <w:szCs w:val="16"/>
                  <w:color w:val="0000FF"/>
                  <w:w w:val="91"/>
                </w:rPr>
                <w:t>successor in interest to Law Debenture Trust Company of New York).</w:t>
              </w:r>
            </w:hyperlink>
          </w:p>
        </w:tc>
        <w:tc>
          <w:tcPr>
            <w:tcW w:w="130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4.39</w:t>
            </w:r>
          </w:p>
        </w:tc>
        <w:tc>
          <w:tcPr>
            <w:tcW w:w="5840" w:type="dxa"/>
            <w:vAlign w:val="bottom"/>
            <w:tcBorders>
              <w:bottom w:val="single" w:sz="8" w:color="0000FF"/>
            </w:tcBorders>
            <w:gridSpan w:val="28"/>
          </w:tcPr>
          <w:p>
            <w:pPr>
              <w:spacing w:after="0"/>
              <w:rPr>
                <w:rFonts w:ascii="Arial" w:cs="Arial" w:eastAsia="Arial" w:hAnsi="Arial"/>
                <w:sz w:val="16"/>
                <w:szCs w:val="16"/>
                <w:color w:val="0000FF"/>
                <w:w w:val="91"/>
              </w:rPr>
            </w:pPr>
            <w:hyperlink r:id="rId121">
              <w:r>
                <w:rPr>
                  <w:rFonts w:ascii="Arial" w:cs="Arial" w:eastAsia="Arial" w:hAnsi="Arial"/>
                  <w:sz w:val="16"/>
                  <w:szCs w:val="16"/>
                  <w:color w:val="0000FF"/>
                  <w:w w:val="91"/>
                </w:rPr>
                <w:t>Eighth Supplemental Indenture, dated as of November 21, 2019, among Clearway Energy</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28"/>
          </w:tcPr>
          <w:p>
            <w:pPr>
              <w:spacing w:after="0" w:line="183" w:lineRule="exact"/>
              <w:rPr>
                <w:rFonts w:ascii="Arial" w:cs="Arial" w:eastAsia="Arial" w:hAnsi="Arial"/>
                <w:sz w:val="16"/>
                <w:szCs w:val="16"/>
                <w:color w:val="0000FF"/>
                <w:w w:val="90"/>
              </w:rPr>
            </w:pPr>
            <w:hyperlink r:id="rId121">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gridSpan w:val="7"/>
          </w:tcPr>
          <w:p>
            <w:pPr>
              <w:spacing w:after="0" w:line="183"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in interest to Law Debenture Trust Company of New York).</w:t>
              </w:r>
            </w:hyperlink>
          </w:p>
        </w:tc>
        <w:tc>
          <w:tcPr>
            <w:tcW w:w="19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4.40</w:t>
            </w:r>
          </w:p>
        </w:tc>
        <w:tc>
          <w:tcPr>
            <w:tcW w:w="5840" w:type="dxa"/>
            <w:vAlign w:val="bottom"/>
            <w:gridSpan w:val="28"/>
          </w:tcPr>
          <w:p>
            <w:pPr>
              <w:spacing w:after="0"/>
              <w:rPr>
                <w:rFonts w:ascii="Arial" w:cs="Arial" w:eastAsia="Arial" w:hAnsi="Arial"/>
                <w:sz w:val="16"/>
                <w:szCs w:val="16"/>
                <w:color w:val="0000FF"/>
                <w:w w:val="91"/>
              </w:rPr>
            </w:pPr>
            <w:hyperlink r:id="rId122">
              <w:r>
                <w:rPr>
                  <w:rFonts w:ascii="Arial" w:cs="Arial" w:eastAsia="Arial" w:hAnsi="Arial"/>
                  <w:sz w:val="16"/>
                  <w:szCs w:val="16"/>
                  <w:color w:val="0000FF"/>
                  <w:w w:val="91"/>
                </w:rPr>
                <w:t>Fourth Supplemental Indenture, dated as of November 21, 2019, among Clearway Energy</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2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122">
              <w:r>
                <w:rPr>
                  <w:rFonts w:ascii="Arial" w:cs="Arial" w:eastAsia="Arial" w:hAnsi="Arial"/>
                  <w:sz w:val="16"/>
                  <w:szCs w:val="16"/>
                  <w:color w:val="0000FF"/>
                </w:rPr>
                <w:t>Operating LLC, the guarantors named therein and Delaware Trust Company.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040" w:type="dxa"/>
            <w:vAlign w:val="bottom"/>
          </w:tcPr>
          <w:p>
            <w:pPr>
              <w:spacing w:after="0"/>
              <w:rPr>
                <w:sz w:val="20"/>
                <w:szCs w:val="20"/>
                <w:color w:val="auto"/>
              </w:rPr>
            </w:pPr>
            <w:r>
              <w:rPr>
                <w:rFonts w:ascii="Arial" w:cs="Arial" w:eastAsia="Arial" w:hAnsi="Arial"/>
                <w:sz w:val="16"/>
                <w:szCs w:val="16"/>
                <w:color w:val="auto"/>
              </w:rPr>
              <w:t>4.41</w:t>
            </w:r>
          </w:p>
        </w:tc>
        <w:tc>
          <w:tcPr>
            <w:tcW w:w="5380" w:type="dxa"/>
            <w:vAlign w:val="bottom"/>
            <w:tcBorders>
              <w:bottom w:val="single" w:sz="8" w:color="0000FF"/>
            </w:tcBorders>
            <w:gridSpan w:val="15"/>
          </w:tcPr>
          <w:p>
            <w:pPr>
              <w:spacing w:after="0"/>
              <w:rPr>
                <w:rFonts w:ascii="Arial" w:cs="Arial" w:eastAsia="Arial" w:hAnsi="Arial"/>
                <w:sz w:val="16"/>
                <w:szCs w:val="16"/>
                <w:color w:val="0000FF"/>
                <w:w w:val="91"/>
              </w:rPr>
            </w:pPr>
            <w:hyperlink r:id="rId123">
              <w:r>
                <w:rPr>
                  <w:rFonts w:ascii="Arial" w:cs="Arial" w:eastAsia="Arial" w:hAnsi="Arial"/>
                  <w:sz w:val="16"/>
                  <w:szCs w:val="16"/>
                  <w:color w:val="0000FF"/>
                  <w:w w:val="91"/>
                </w:rPr>
                <w:t>Indenture, dated December 11, 2019, among Clearway Energy Operating LLC, the</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8"/>
          </w:tcPr>
          <w:p>
            <w:pPr>
              <w:spacing w:after="0" w:line="183" w:lineRule="exact"/>
              <w:rPr>
                <w:rFonts w:ascii="Arial" w:cs="Arial" w:eastAsia="Arial" w:hAnsi="Arial"/>
                <w:sz w:val="16"/>
                <w:szCs w:val="16"/>
                <w:color w:val="0000FF"/>
              </w:rPr>
            </w:pPr>
            <w:hyperlink r:id="rId123">
              <w:r>
                <w:rPr>
                  <w:rFonts w:ascii="Arial" w:cs="Arial" w:eastAsia="Arial" w:hAnsi="Arial"/>
                  <w:sz w:val="16"/>
                  <w:szCs w:val="16"/>
                  <w:color w:val="0000FF"/>
                </w:rPr>
                <w:t>guarantors named therein and Delaware Trust Company, as trustee.</w:t>
              </w:r>
            </w:hyperlink>
          </w:p>
        </w:tc>
        <w:tc>
          <w:tcPr>
            <w:tcW w:w="0" w:type="dxa"/>
            <w:vAlign w:val="bottom"/>
          </w:tcPr>
          <w:p>
            <w:pPr>
              <w:spacing w:after="0"/>
              <w:rPr>
                <w:sz w:val="1"/>
                <w:szCs w:val="1"/>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6"/>
                <w:szCs w:val="16"/>
                <w:color w:val="auto"/>
              </w:rPr>
              <w:t>4.42</w:t>
            </w:r>
          </w:p>
        </w:tc>
        <w:tc>
          <w:tcPr>
            <w:tcW w:w="4340" w:type="dxa"/>
            <w:vAlign w:val="bottom"/>
            <w:tcBorders>
              <w:top w:val="single" w:sz="8" w:color="0000FF"/>
            </w:tcBorders>
            <w:gridSpan w:val="10"/>
          </w:tcPr>
          <w:p>
            <w:pPr>
              <w:spacing w:after="0"/>
              <w:rPr>
                <w:rFonts w:ascii="Arial" w:cs="Arial" w:eastAsia="Arial" w:hAnsi="Arial"/>
                <w:sz w:val="16"/>
                <w:szCs w:val="16"/>
                <w:color w:val="0000FF"/>
              </w:rPr>
            </w:pPr>
            <w:hyperlink r:id="rId123">
              <w:r>
                <w:rPr>
                  <w:rFonts w:ascii="Arial" w:cs="Arial" w:eastAsia="Arial" w:hAnsi="Arial"/>
                  <w:sz w:val="16"/>
                  <w:szCs w:val="16"/>
                  <w:color w:val="0000FF"/>
                </w:rPr>
                <w:t>Form of 4.750% Senior Notes due 2028.</w:t>
              </w:r>
            </w:hyperlink>
          </w:p>
        </w:tc>
        <w:tc>
          <w:tcPr>
            <w:tcW w:w="15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966"/>
        </w:trPr>
        <w:tc>
          <w:tcPr>
            <w:tcW w:w="1040" w:type="dxa"/>
            <w:vAlign w:val="bottom"/>
          </w:tcPr>
          <w:p>
            <w:pPr>
              <w:spacing w:after="0"/>
              <w:rPr>
                <w:sz w:val="20"/>
                <w:szCs w:val="20"/>
                <w:color w:val="auto"/>
              </w:rPr>
            </w:pPr>
            <w:r>
              <w:rPr>
                <w:rFonts w:ascii="Arial" w:cs="Arial" w:eastAsia="Arial" w:hAnsi="Arial"/>
                <w:sz w:val="16"/>
                <w:szCs w:val="16"/>
                <w:color w:val="auto"/>
              </w:rPr>
              <w:t>4.43</w:t>
            </w:r>
          </w:p>
        </w:tc>
        <w:tc>
          <w:tcPr>
            <w:tcW w:w="2620" w:type="dxa"/>
            <w:vAlign w:val="bottom"/>
            <w:tcBorders>
              <w:top w:val="single" w:sz="8" w:color="0000FF"/>
            </w:tcBorders>
            <w:gridSpan w:val="5"/>
          </w:tcPr>
          <w:p>
            <w:pPr>
              <w:spacing w:after="0"/>
              <w:rPr>
                <w:rFonts w:ascii="Arial" w:cs="Arial" w:eastAsia="Arial" w:hAnsi="Arial"/>
                <w:sz w:val="16"/>
                <w:szCs w:val="16"/>
                <w:color w:val="0000FF"/>
              </w:rPr>
            </w:pPr>
            <w:hyperlink w:anchor="page150">
              <w:r>
                <w:rPr>
                  <w:rFonts w:ascii="Arial" w:cs="Arial" w:eastAsia="Arial" w:hAnsi="Arial"/>
                  <w:sz w:val="16"/>
                  <w:szCs w:val="16"/>
                  <w:color w:val="0000FF"/>
                </w:rPr>
                <w:t>Description of Securities.</w:t>
              </w:r>
            </w:hyperlink>
          </w:p>
        </w:tc>
        <w:tc>
          <w:tcPr>
            <w:tcW w:w="32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40" w:type="dxa"/>
            <w:vAlign w:val="bottom"/>
            <w:vMerge w:val="continue"/>
          </w:tcPr>
          <w:p>
            <w:pPr>
              <w:spacing w:after="0"/>
              <w:rPr>
                <w:sz w:val="24"/>
                <w:szCs w:val="24"/>
                <w:color w:val="auto"/>
              </w:rPr>
            </w:pPr>
          </w:p>
        </w:tc>
        <w:tc>
          <w:tcPr>
            <w:tcW w:w="5840" w:type="dxa"/>
            <w:vAlign w:val="bottom"/>
            <w:gridSpan w:val="28"/>
            <w:vMerge w:val="restart"/>
          </w:tcPr>
          <w:p>
            <w:pPr>
              <w:spacing w:after="0"/>
              <w:rPr>
                <w:rFonts w:ascii="Arial" w:cs="Arial" w:eastAsia="Arial" w:hAnsi="Arial"/>
                <w:sz w:val="16"/>
                <w:szCs w:val="16"/>
                <w:color w:val="0000FF"/>
                <w:w w:val="91"/>
              </w:rPr>
            </w:pPr>
            <w:hyperlink r:id="rId124">
              <w:r>
                <w:rPr>
                  <w:rFonts w:ascii="Arial" w:cs="Arial" w:eastAsia="Arial" w:hAnsi="Arial"/>
                  <w:sz w:val="16"/>
                  <w:szCs w:val="16"/>
                  <w:color w:val="0000FF"/>
                  <w:w w:val="91"/>
                </w:rPr>
                <w:t>Master Services Agreement, dated as of August 31, 2018, by and among NRG Yield, Inc.,</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40" w:type="dxa"/>
            <w:vAlign w:val="bottom"/>
            <w:tcBorders>
              <w:bottom w:val="single" w:sz="8" w:color="0000FF"/>
            </w:tcBorders>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960" w:type="dxa"/>
            <w:vAlign w:val="bottom"/>
            <w:tcBorders>
              <w:bottom w:val="single" w:sz="8" w:color="0000FF"/>
            </w:tcBorders>
            <w:gridSpan w:val="13"/>
          </w:tcPr>
          <w:p>
            <w:pPr>
              <w:spacing w:after="0" w:line="183" w:lineRule="exact"/>
              <w:rPr>
                <w:rFonts w:ascii="Arial" w:cs="Arial" w:eastAsia="Arial" w:hAnsi="Arial"/>
                <w:sz w:val="16"/>
                <w:szCs w:val="16"/>
                <w:color w:val="0000FF"/>
                <w:w w:val="94"/>
              </w:rPr>
            </w:pPr>
            <w:hyperlink r:id="rId124">
              <w:r>
                <w:rPr>
                  <w:rFonts w:ascii="Arial" w:cs="Arial" w:eastAsia="Arial" w:hAnsi="Arial"/>
                  <w:sz w:val="16"/>
                  <w:szCs w:val="16"/>
                  <w:color w:val="0000FF"/>
                  <w:w w:val="94"/>
                </w:rPr>
                <w:t>NRG Yield LLC, NRG Yield Operating LLC and Zephyr Renewables LLC.</w:t>
              </w:r>
            </w:hyperlink>
          </w:p>
        </w:tc>
        <w:tc>
          <w:tcPr>
            <w:tcW w:w="8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5840" w:type="dxa"/>
            <w:vAlign w:val="bottom"/>
            <w:gridSpan w:val="28"/>
            <w:vMerge w:val="restart"/>
          </w:tcPr>
          <w:p>
            <w:pPr>
              <w:spacing w:after="0"/>
              <w:rPr>
                <w:rFonts w:ascii="Arial" w:cs="Arial" w:eastAsia="Arial" w:hAnsi="Arial"/>
                <w:sz w:val="16"/>
                <w:szCs w:val="16"/>
                <w:color w:val="0000FF"/>
              </w:rPr>
            </w:pPr>
            <w:hyperlink r:id="rId125">
              <w:r>
                <w:rPr>
                  <w:rFonts w:ascii="Arial" w:cs="Arial" w:eastAsia="Arial" w:hAnsi="Arial"/>
                  <w:sz w:val="16"/>
                  <w:szCs w:val="16"/>
                  <w:color w:val="0000FF"/>
                </w:rPr>
                <w:t>Master Services Agreement, dated as of August 31, 2018, by and among Zephyr</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620" w:type="dxa"/>
            <w:vAlign w:val="bottom"/>
            <w:tcBorders>
              <w:bottom w:val="single" w:sz="8" w:color="0000FF"/>
            </w:tcBorders>
            <w:gridSpan w:val="21"/>
          </w:tcPr>
          <w:p>
            <w:pPr>
              <w:spacing w:after="0" w:line="183" w:lineRule="exact"/>
              <w:rPr>
                <w:rFonts w:ascii="Arial" w:cs="Arial" w:eastAsia="Arial" w:hAnsi="Arial"/>
                <w:sz w:val="16"/>
                <w:szCs w:val="16"/>
                <w:color w:val="0000FF"/>
                <w:w w:val="95"/>
              </w:rPr>
            </w:pPr>
            <w:hyperlink r:id="rId125">
              <w:r>
                <w:rPr>
                  <w:rFonts w:ascii="Arial" w:cs="Arial" w:eastAsia="Arial" w:hAnsi="Arial"/>
                  <w:sz w:val="16"/>
                  <w:szCs w:val="16"/>
                  <w:color w:val="0000FF"/>
                  <w:w w:val="95"/>
                </w:rPr>
                <w:t>Renewables LLC, NRG Yield, Inc., NRG Yield LLC, and NRG Yield Operating LLC.</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10.3.1</w:t>
            </w:r>
          </w:p>
        </w:tc>
        <w:tc>
          <w:tcPr>
            <w:tcW w:w="5740" w:type="dxa"/>
            <w:vAlign w:val="bottom"/>
            <w:gridSpan w:val="24"/>
            <w:vMerge w:val="restart"/>
          </w:tcPr>
          <w:p>
            <w:pPr>
              <w:spacing w:after="0"/>
              <w:rPr>
                <w:rFonts w:ascii="Arial" w:cs="Arial" w:eastAsia="Arial" w:hAnsi="Arial"/>
                <w:sz w:val="16"/>
                <w:szCs w:val="16"/>
                <w:color w:val="0000FF"/>
                <w:w w:val="92"/>
              </w:rPr>
            </w:pPr>
            <w:hyperlink r:id="rId126">
              <w:r>
                <w:rPr>
                  <w:rFonts w:ascii="Arial" w:cs="Arial" w:eastAsia="Arial" w:hAnsi="Arial"/>
                  <w:sz w:val="16"/>
                  <w:szCs w:val="16"/>
                  <w:color w:val="0000FF"/>
                  <w:w w:val="92"/>
                </w:rPr>
                <w:t>Right of First Offer Agreement, dated as of August 31, 2018, by and among NRG Yield,</w:t>
              </w:r>
            </w:hyperlink>
          </w:p>
        </w:tc>
        <w:tc>
          <w:tcPr>
            <w:tcW w:w="1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40" w:type="dxa"/>
            <w:vAlign w:val="bottom"/>
            <w:tcBorders>
              <w:bottom w:val="single" w:sz="8" w:color="0000FF"/>
            </w:tcBorders>
            <w:gridSpan w:val="24"/>
            <w:vMerge w:val="continue"/>
          </w:tcPr>
          <w:p>
            <w:pPr>
              <w:spacing w:after="0"/>
              <w:rPr>
                <w:sz w:val="4"/>
                <w:szCs w:val="4"/>
                <w:color w:val="auto"/>
              </w:rPr>
            </w:pPr>
          </w:p>
        </w:tc>
        <w:tc>
          <w:tcPr>
            <w:tcW w:w="1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2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126">
              <w:r>
                <w:rPr>
                  <w:rFonts w:ascii="Arial" w:cs="Arial" w:eastAsia="Arial" w:hAnsi="Arial"/>
                  <w:sz w:val="16"/>
                  <w:szCs w:val="16"/>
                  <w:color w:val="0000FF"/>
                  <w:w w:val="92"/>
                </w:rPr>
                <w:t>Inc., Zephyr Renewables LLC and solely for purposes of Section 2.4, GIP III Zephyr</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60" w:type="dxa"/>
            <w:vAlign w:val="bottom"/>
            <w:tcBorders>
              <w:bottom w:val="single" w:sz="8" w:color="0000FF"/>
            </w:tcBorders>
            <w:gridSpan w:val="3"/>
          </w:tcPr>
          <w:p>
            <w:pPr>
              <w:spacing w:after="0" w:line="183" w:lineRule="exact"/>
              <w:rPr>
                <w:rFonts w:ascii="Arial" w:cs="Arial" w:eastAsia="Arial" w:hAnsi="Arial"/>
                <w:sz w:val="16"/>
                <w:szCs w:val="16"/>
                <w:color w:val="0000FF"/>
                <w:w w:val="91"/>
              </w:rPr>
            </w:pPr>
            <w:hyperlink r:id="rId126">
              <w:r>
                <w:rPr>
                  <w:rFonts w:ascii="Arial" w:cs="Arial" w:eastAsia="Arial" w:hAnsi="Arial"/>
                  <w:sz w:val="16"/>
                  <w:szCs w:val="16"/>
                  <w:color w:val="0000FF"/>
                  <w:w w:val="91"/>
                </w:rPr>
                <w:t>Acquisition Partners, L.P.</w:t>
              </w:r>
            </w:hyperlink>
          </w:p>
        </w:tc>
        <w:tc>
          <w:tcPr>
            <w:tcW w:w="41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6"/>
                <w:szCs w:val="16"/>
                <w:color w:val="auto"/>
              </w:rPr>
              <w:t>10.3.2</w:t>
            </w:r>
          </w:p>
        </w:tc>
        <w:tc>
          <w:tcPr>
            <w:tcW w:w="5840" w:type="dxa"/>
            <w:vAlign w:val="bottom"/>
            <w:gridSpan w:val="28"/>
          </w:tcPr>
          <w:p>
            <w:pPr>
              <w:spacing w:after="0"/>
              <w:rPr>
                <w:rFonts w:ascii="Arial" w:cs="Arial" w:eastAsia="Arial" w:hAnsi="Arial"/>
                <w:sz w:val="16"/>
                <w:szCs w:val="16"/>
                <w:color w:val="0000FF"/>
                <w:w w:val="97"/>
              </w:rPr>
            </w:pPr>
            <w:hyperlink r:id="rId127">
              <w:r>
                <w:rPr>
                  <w:rFonts w:ascii="Arial" w:cs="Arial" w:eastAsia="Arial" w:hAnsi="Arial"/>
                  <w:sz w:val="16"/>
                  <w:szCs w:val="16"/>
                  <w:color w:val="0000FF"/>
                  <w:w w:val="97"/>
                </w:rPr>
                <w:t>First Amendment to Right of First Offer Agreement, dated February 14, 2019, by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4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between Clearway Energy Group LLC and Clearway Energy, Inc.</w:t>
              </w:r>
            </w:hyperlink>
          </w:p>
        </w:tc>
        <w:tc>
          <w:tcPr>
            <w:tcW w:w="3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6"/>
                <w:szCs w:val="16"/>
                <w:color w:val="auto"/>
              </w:rPr>
              <w:t>10.3.3</w:t>
            </w:r>
          </w:p>
        </w:tc>
        <w:tc>
          <w:tcPr>
            <w:tcW w:w="5840" w:type="dxa"/>
            <w:vAlign w:val="bottom"/>
            <w:gridSpan w:val="28"/>
          </w:tcPr>
          <w:p>
            <w:pPr>
              <w:spacing w:after="0"/>
              <w:rPr>
                <w:rFonts w:ascii="Arial" w:cs="Arial" w:eastAsia="Arial" w:hAnsi="Arial"/>
                <w:sz w:val="16"/>
                <w:szCs w:val="16"/>
                <w:color w:val="0000FF"/>
                <w:w w:val="97"/>
              </w:rPr>
            </w:pPr>
            <w:hyperlink r:id="rId128">
              <w:r>
                <w:rPr>
                  <w:rFonts w:ascii="Arial" w:cs="Arial" w:eastAsia="Arial" w:hAnsi="Arial"/>
                  <w:sz w:val="16"/>
                  <w:szCs w:val="16"/>
                  <w:color w:val="0000FF"/>
                  <w:w w:val="97"/>
                </w:rPr>
                <w:t>Second Amendment to Right of First Offer Agreement, dated August 1, 2019, by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20" w:type="dxa"/>
            <w:vAlign w:val="bottom"/>
            <w:tcBorders>
              <w:top w:val="single" w:sz="8" w:color="0000FF"/>
            </w:tcBorders>
            <w:gridSpan w:val="17"/>
          </w:tcPr>
          <w:p>
            <w:pPr>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between Clearway Energy Group LLC and Clearway Energy, Inc.</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6"/>
                <w:szCs w:val="16"/>
                <w:color w:val="auto"/>
              </w:rPr>
              <w:t>10.3.4</w:t>
            </w:r>
          </w:p>
        </w:tc>
        <w:tc>
          <w:tcPr>
            <w:tcW w:w="5840" w:type="dxa"/>
            <w:vAlign w:val="bottom"/>
            <w:gridSpan w:val="28"/>
          </w:tcPr>
          <w:p>
            <w:pPr>
              <w:spacing w:after="0"/>
              <w:rPr>
                <w:rFonts w:ascii="Arial" w:cs="Arial" w:eastAsia="Arial" w:hAnsi="Arial"/>
                <w:sz w:val="16"/>
                <w:szCs w:val="16"/>
                <w:color w:val="0000FF"/>
                <w:w w:val="94"/>
              </w:rPr>
            </w:pPr>
            <w:hyperlink r:id="rId129">
              <w:r>
                <w:rPr>
                  <w:rFonts w:ascii="Arial" w:cs="Arial" w:eastAsia="Arial" w:hAnsi="Arial"/>
                  <w:sz w:val="16"/>
                  <w:szCs w:val="16"/>
                  <w:color w:val="0000FF"/>
                  <w:w w:val="94"/>
                </w:rPr>
                <w:t>Third Amendment to Right of First Offer Agreement, dated as of December 6, 2019, by</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20"/>
          </w:tcPr>
          <w:p>
            <w:pPr>
              <w:spacing w:after="0" w:line="183" w:lineRule="exact"/>
              <w:rPr>
                <w:rFonts w:ascii="Arial" w:cs="Arial" w:eastAsia="Arial" w:hAnsi="Arial"/>
                <w:sz w:val="16"/>
                <w:szCs w:val="16"/>
                <w:color w:val="0000FF"/>
                <w:w w:val="92"/>
              </w:rPr>
            </w:pPr>
            <w:hyperlink r:id="rId129">
              <w:r>
                <w:rPr>
                  <w:rFonts w:ascii="Arial" w:cs="Arial" w:eastAsia="Arial" w:hAnsi="Arial"/>
                  <w:sz w:val="16"/>
                  <w:szCs w:val="16"/>
                  <w:color w:val="0000FF"/>
                  <w:w w:val="92"/>
                </w:rPr>
                <w:t>and between Clearway Energy Group LLC, Clearway Energy, Inc. and GIP III Zephyr</w:t>
              </w:r>
            </w:hyperlink>
          </w:p>
        </w:tc>
        <w:tc>
          <w:tcPr>
            <w:tcW w:w="80" w:type="dxa"/>
            <w:vAlign w:val="bottom"/>
            <w:tcBorders>
              <w:top w:val="single" w:sz="8" w:color="0000FF"/>
            </w:tcBorders>
            <w:gridSpan w:val="2"/>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60" w:type="dxa"/>
            <w:vAlign w:val="bottom"/>
            <w:tcBorders>
              <w:bottom w:val="single" w:sz="8" w:color="0000FF"/>
            </w:tcBorders>
            <w:gridSpan w:val="3"/>
          </w:tcPr>
          <w:p>
            <w:pPr>
              <w:spacing w:after="0" w:line="183" w:lineRule="exact"/>
              <w:rPr>
                <w:rFonts w:ascii="Arial" w:cs="Arial" w:eastAsia="Arial" w:hAnsi="Arial"/>
                <w:sz w:val="16"/>
                <w:szCs w:val="16"/>
                <w:color w:val="0000FF"/>
                <w:w w:val="91"/>
              </w:rPr>
            </w:pPr>
            <w:hyperlink r:id="rId129">
              <w:r>
                <w:rPr>
                  <w:rFonts w:ascii="Arial" w:cs="Arial" w:eastAsia="Arial" w:hAnsi="Arial"/>
                  <w:sz w:val="16"/>
                  <w:szCs w:val="16"/>
                  <w:color w:val="0000FF"/>
                  <w:w w:val="91"/>
                </w:rPr>
                <w:t>Acquisition Partners, L.P.</w:t>
              </w:r>
            </w:hyperlink>
          </w:p>
        </w:tc>
        <w:tc>
          <w:tcPr>
            <w:tcW w:w="41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811"/>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5840" w:type="dxa"/>
            <w:vAlign w:val="bottom"/>
            <w:gridSpan w:val="28"/>
            <w:vMerge w:val="restart"/>
          </w:tcPr>
          <w:p>
            <w:pPr>
              <w:spacing w:after="0"/>
              <w:rPr>
                <w:rFonts w:ascii="Arial" w:cs="Arial" w:eastAsia="Arial" w:hAnsi="Arial"/>
                <w:sz w:val="16"/>
                <w:szCs w:val="16"/>
                <w:color w:val="0000FF"/>
                <w:w w:val="91"/>
              </w:rPr>
            </w:pPr>
            <w:hyperlink r:id="rId130">
              <w:r>
                <w:rPr>
                  <w:rFonts w:ascii="Arial" w:cs="Arial" w:eastAsia="Arial" w:hAnsi="Arial"/>
                  <w:sz w:val="16"/>
                  <w:szCs w:val="16"/>
                  <w:color w:val="0000FF"/>
                  <w:w w:val="91"/>
                </w:rPr>
                <w:t>Zephyr Voting and Governance Agreement, dated as of August 31, 2018, by and between</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130">
              <w:r>
                <w:rPr>
                  <w:rFonts w:ascii="Arial" w:cs="Arial" w:eastAsia="Arial" w:hAnsi="Arial"/>
                  <w:sz w:val="16"/>
                  <w:szCs w:val="16"/>
                  <w:color w:val="0000FF"/>
                  <w:w w:val="93"/>
                </w:rPr>
                <w:t>NRG Yield, Inc. and Zephyr Renewables LLC.</w:t>
              </w:r>
            </w:hyperlink>
          </w:p>
        </w:tc>
        <w:tc>
          <w:tcPr>
            <w:tcW w:w="2720" w:type="dxa"/>
            <w:vAlign w:val="bottom"/>
            <w:tcBorders>
              <w:top w:val="single" w:sz="8" w:color="0000FF"/>
            </w:tcBorders>
            <w:gridSpan w:val="20"/>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10.5</w:t>
            </w:r>
          </w:p>
        </w:tc>
        <w:tc>
          <w:tcPr>
            <w:tcW w:w="5500" w:type="dxa"/>
            <w:vAlign w:val="bottom"/>
            <w:gridSpan w:val="16"/>
            <w:vMerge w:val="restart"/>
          </w:tcPr>
          <w:p>
            <w:pPr>
              <w:spacing w:after="0"/>
              <w:rPr>
                <w:rFonts w:ascii="Arial" w:cs="Arial" w:eastAsia="Arial" w:hAnsi="Arial"/>
                <w:sz w:val="16"/>
                <w:szCs w:val="16"/>
                <w:color w:val="0000FF"/>
                <w:w w:val="91"/>
              </w:rPr>
            </w:pPr>
            <w:hyperlink r:id="rId131">
              <w:r>
                <w:rPr>
                  <w:rFonts w:ascii="Arial" w:cs="Arial" w:eastAsia="Arial" w:hAnsi="Arial"/>
                  <w:sz w:val="16"/>
                  <w:szCs w:val="16"/>
                  <w:color w:val="0000FF"/>
                  <w:w w:val="91"/>
                </w:rPr>
                <w:t>Third Amended and Restated Right of First Offer Agreement, dated as of August 31,</w:t>
              </w:r>
            </w:hyperlink>
          </w:p>
        </w:tc>
        <w:tc>
          <w:tcPr>
            <w:tcW w:w="34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00" w:type="dxa"/>
            <w:vAlign w:val="bottom"/>
            <w:tcBorders>
              <w:bottom w:val="single" w:sz="8" w:color="0000FF"/>
            </w:tcBorders>
            <w:gridSpan w:val="16"/>
            <w:vMerge w:val="continue"/>
          </w:tcPr>
          <w:p>
            <w:pPr>
              <w:spacing w:after="0"/>
              <w:rPr>
                <w:sz w:val="4"/>
                <w:szCs w:val="4"/>
                <w:color w:val="auto"/>
              </w:rPr>
            </w:pPr>
          </w:p>
        </w:tc>
        <w:tc>
          <w:tcPr>
            <w:tcW w:w="34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8"/>
          </w:tcPr>
          <w:p>
            <w:pPr>
              <w:spacing w:after="0" w:line="183" w:lineRule="exact"/>
              <w:rPr>
                <w:rFonts w:ascii="Arial" w:cs="Arial" w:eastAsia="Arial" w:hAnsi="Arial"/>
                <w:sz w:val="16"/>
                <w:szCs w:val="16"/>
                <w:color w:val="0000FF"/>
              </w:rPr>
            </w:pPr>
            <w:hyperlink r:id="rId131">
              <w:r>
                <w:rPr>
                  <w:rFonts w:ascii="Arial" w:cs="Arial" w:eastAsia="Arial" w:hAnsi="Arial"/>
                  <w:sz w:val="16"/>
                  <w:szCs w:val="16"/>
                  <w:color w:val="0000FF"/>
                </w:rPr>
                <w:t>2018, by and between NRG Yield, Inc. and NRG Energy,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color w:val="auto"/>
              </w:rPr>
              <w:t>10.6</w:t>
            </w:r>
          </w:p>
        </w:tc>
        <w:tc>
          <w:tcPr>
            <w:tcW w:w="5760" w:type="dxa"/>
            <w:vAlign w:val="bottom"/>
            <w:tcBorders>
              <w:bottom w:val="single" w:sz="8" w:color="0000FF"/>
            </w:tcBorders>
            <w:gridSpan w:val="25"/>
          </w:tcPr>
          <w:p>
            <w:pPr>
              <w:spacing w:after="0"/>
              <w:rPr>
                <w:rFonts w:ascii="Arial" w:cs="Arial" w:eastAsia="Arial" w:hAnsi="Arial"/>
                <w:sz w:val="16"/>
                <w:szCs w:val="16"/>
                <w:color w:val="0000FF"/>
                <w:w w:val="91"/>
              </w:rPr>
            </w:pPr>
            <w:hyperlink r:id="rId132">
              <w:r>
                <w:rPr>
                  <w:rFonts w:ascii="Arial" w:cs="Arial" w:eastAsia="Arial" w:hAnsi="Arial"/>
                  <w:sz w:val="16"/>
                  <w:szCs w:val="16"/>
                  <w:color w:val="0000FF"/>
                  <w:w w:val="91"/>
                </w:rPr>
                <w:t>Transition Services Agreement, dated August 31, 2018, by and between NRG Yield, Inc.</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44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132">
              <w:r>
                <w:rPr>
                  <w:rFonts w:ascii="Arial" w:cs="Arial" w:eastAsia="Arial" w:hAnsi="Arial"/>
                  <w:sz w:val="16"/>
                  <w:szCs w:val="16"/>
                  <w:color w:val="0000FF"/>
                  <w:w w:val="90"/>
                </w:rPr>
                <w:t>and NRG Energy, Inc.</w:t>
              </w:r>
            </w:hyperlink>
          </w:p>
        </w:tc>
        <w:tc>
          <w:tcPr>
            <w:tcW w:w="440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636"/>
        </w:trPr>
        <w:tc>
          <w:tcPr>
            <w:tcW w:w="1040" w:type="dxa"/>
            <w:vAlign w:val="bottom"/>
          </w:tcPr>
          <w:p>
            <w:pPr>
              <w:spacing w:after="0"/>
              <w:rPr>
                <w:sz w:val="20"/>
                <w:szCs w:val="20"/>
                <w:color w:val="auto"/>
              </w:rPr>
            </w:pPr>
            <w:r>
              <w:rPr>
                <w:rFonts w:ascii="Arial" w:cs="Arial" w:eastAsia="Arial" w:hAnsi="Arial"/>
                <w:sz w:val="16"/>
                <w:szCs w:val="16"/>
                <w:color w:val="auto"/>
              </w:rPr>
              <w:t>10.7</w:t>
            </w:r>
          </w:p>
        </w:tc>
        <w:tc>
          <w:tcPr>
            <w:tcW w:w="5840" w:type="dxa"/>
            <w:vAlign w:val="bottom"/>
            <w:gridSpan w:val="28"/>
            <w:vMerge w:val="restart"/>
          </w:tcPr>
          <w:p>
            <w:pPr>
              <w:spacing w:after="0"/>
              <w:rPr>
                <w:rFonts w:ascii="Arial" w:cs="Arial" w:eastAsia="Arial" w:hAnsi="Arial"/>
                <w:sz w:val="16"/>
                <w:szCs w:val="16"/>
                <w:color w:val="0000FF"/>
                <w:w w:val="96"/>
              </w:rPr>
            </w:pPr>
            <w:hyperlink r:id="rId133">
              <w:r>
                <w:rPr>
                  <w:rFonts w:ascii="Arial" w:cs="Arial" w:eastAsia="Arial" w:hAnsi="Arial"/>
                  <w:sz w:val="16"/>
                  <w:szCs w:val="16"/>
                  <w:color w:val="0000FF"/>
                  <w:w w:val="96"/>
                </w:rPr>
                <w:t>Termination Agreement, dated as of August 31, 2018, by and among NRG Yield, Inc.,</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8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133">
              <w:r>
                <w:rPr>
                  <w:rFonts w:ascii="Arial" w:cs="Arial" w:eastAsia="Arial" w:hAnsi="Arial"/>
                  <w:sz w:val="16"/>
                  <w:szCs w:val="16"/>
                  <w:color w:val="0000FF"/>
                </w:rPr>
                <w:t>NRG Yield LLC, NRG Yield Operating LLC and NRG Energy, Inc.</w:t>
              </w:r>
            </w:hyperlink>
          </w:p>
        </w:tc>
        <w:tc>
          <w:tcPr>
            <w:tcW w:w="2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sz w:val="20"/>
                <w:szCs w:val="20"/>
                <w:color w:val="auto"/>
              </w:rPr>
            </w:pPr>
            <w:r>
              <w:rPr>
                <w:rFonts w:ascii="Arial" w:cs="Arial" w:eastAsia="Arial" w:hAnsi="Arial"/>
                <w:sz w:val="16"/>
                <w:szCs w:val="16"/>
                <w:color w:val="auto"/>
              </w:rPr>
              <w:t>10.8</w:t>
            </w:r>
          </w:p>
        </w:tc>
        <w:tc>
          <w:tcPr>
            <w:tcW w:w="5720" w:type="dxa"/>
            <w:vAlign w:val="bottom"/>
            <w:tcBorders>
              <w:bottom w:val="single" w:sz="8" w:color="0000FF"/>
            </w:tcBorders>
            <w:gridSpan w:val="23"/>
          </w:tcPr>
          <w:p>
            <w:pPr>
              <w:spacing w:after="0"/>
              <w:rPr>
                <w:rFonts w:ascii="Arial" w:cs="Arial" w:eastAsia="Arial" w:hAnsi="Arial"/>
                <w:sz w:val="16"/>
                <w:szCs w:val="16"/>
                <w:color w:val="0000FF"/>
                <w:w w:val="90"/>
              </w:rPr>
            </w:pPr>
            <w:hyperlink r:id="rId134">
              <w:r>
                <w:rPr>
                  <w:rFonts w:ascii="Arial" w:cs="Arial" w:eastAsia="Arial" w:hAnsi="Arial"/>
                  <w:sz w:val="16"/>
                  <w:szCs w:val="16"/>
                  <w:color w:val="0000FF"/>
                  <w:w w:val="90"/>
                </w:rPr>
                <w:t>Loan Guarantee Agreement, dated as of September 30, 2011, by and among High Plains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8"/>
          </w:tcPr>
          <w:p>
            <w:pPr>
              <w:spacing w:after="0" w:line="183" w:lineRule="exact"/>
              <w:rPr>
                <w:rFonts w:ascii="Arial" w:cs="Arial" w:eastAsia="Arial" w:hAnsi="Arial"/>
                <w:sz w:val="16"/>
                <w:szCs w:val="16"/>
                <w:color w:val="0000FF"/>
                <w:w w:val="94"/>
              </w:rPr>
            </w:pPr>
            <w:hyperlink r:id="rId134">
              <w:r>
                <w:rPr>
                  <w:rFonts w:ascii="Arial" w:cs="Arial" w:eastAsia="Arial" w:hAnsi="Arial"/>
                  <w:sz w:val="16"/>
                  <w:szCs w:val="16"/>
                  <w:color w:val="0000FF"/>
                  <w:w w:val="94"/>
                </w:rPr>
                <w:t>Ranch II, LLC, as borrower, the U.S. Department of Energy, as guarantor, and the U.S.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0"/>
              </w:rPr>
            </w:pPr>
            <w:hyperlink r:id="rId134">
              <w:r>
                <w:rPr>
                  <w:rFonts w:ascii="Arial" w:cs="Arial" w:eastAsia="Arial" w:hAnsi="Arial"/>
                  <w:sz w:val="16"/>
                  <w:szCs w:val="16"/>
                  <w:color w:val="0000FF"/>
                  <w:w w:val="90"/>
                </w:rPr>
                <w:t>Department of Energy, as loan servicer.</w:t>
              </w:r>
            </w:hyperlink>
          </w:p>
        </w:tc>
        <w:tc>
          <w:tcPr>
            <w:tcW w:w="3060" w:type="dxa"/>
            <w:vAlign w:val="bottom"/>
            <w:tcBorders>
              <w:top w:val="single" w:sz="8" w:color="0000FF"/>
            </w:tcBorders>
            <w:gridSpan w:val="17"/>
          </w:tcPr>
          <w:p>
            <w:pPr>
              <w:spacing w:after="0"/>
              <w:rPr>
                <w:sz w:val="15"/>
                <w:szCs w:val="15"/>
                <w:color w:val="auto"/>
              </w:rPr>
            </w:pPr>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November 22, 2019.</w:t>
      </w:r>
    </w:p>
    <w:p>
      <w:pPr>
        <w:spacing w:after="0" w:line="16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November 22, 2019.</w:t>
      </w:r>
    </w:p>
    <w:p>
      <w:pPr>
        <w:spacing w:after="0" w:line="36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29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December 12, 2019.</w:t>
      </w:r>
    </w:p>
    <w:p>
      <w:pPr>
        <w:spacing w:after="0" w:line="12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December 12,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September 5, 2018.</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14, 2019.</w:t>
      </w:r>
    </w:p>
    <w:p>
      <w:pPr>
        <w:spacing w:after="0" w:line="184"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200" w:lineRule="exact"/>
        <w:rPr>
          <w:sz w:val="20"/>
          <w:szCs w:val="20"/>
          <w:color w:val="auto"/>
        </w:rPr>
      </w:pPr>
    </w:p>
    <w:p>
      <w:pPr>
        <w:spacing w:after="0" w:line="36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10.4 to the Company's Current Report on Form 8-K filed on September 5, 2018.</w:t>
      </w:r>
    </w:p>
    <w:p>
      <w:pPr>
        <w:spacing w:after="0" w:line="10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10.5 to the Company's Current Report on Form 8-K filed on September 5, 2018.</w:t>
      </w:r>
    </w:p>
    <w:p>
      <w:pPr>
        <w:spacing w:after="0" w:line="10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10.7 to the Company's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10.9 to the Company's Current Report on Form 8-K filed on September 5, 2018.</w:t>
      </w:r>
    </w:p>
    <w:p>
      <w:pPr>
        <w:spacing w:after="0" w:line="10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10.8 to the Company's Draft Registration Statement on Form S-1, filed on February 13, 2013.</w:t>
      </w:r>
    </w:p>
    <w:p>
      <w:pPr>
        <w:spacing w:after="0" w:line="200" w:lineRule="exact"/>
        <w:rPr>
          <w:sz w:val="20"/>
          <w:szCs w:val="20"/>
          <w:color w:val="auto"/>
        </w:rPr>
      </w:pPr>
    </w:p>
    <w:p>
      <w:pPr>
        <w:sectPr>
          <w:pgSz w:w="11900" w:h="16838" w:orient="portrait"/>
          <w:cols w:equalWidth="0" w:num="2">
            <w:col w:w="6880" w:space="200"/>
            <w:col w:w="4200"/>
          </w:cols>
          <w:pgMar w:left="280" w:top="833" w:right="339" w:bottom="1440" w:gutter="0" w:footer="0" w:header="0"/>
        </w:sectPr>
      </w:pP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280"/>
          </w:cols>
          <w:pgMar w:left="280" w:top="833" w:right="3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10.9†</w:t>
            </w:r>
          </w:p>
        </w:tc>
        <w:tc>
          <w:tcPr>
            <w:tcW w:w="5440" w:type="dxa"/>
            <w:vAlign w:val="bottom"/>
            <w:gridSpan w:val="3"/>
          </w:tcPr>
          <w:p>
            <w:pPr>
              <w:spacing w:after="0"/>
              <w:rPr>
                <w:rFonts w:ascii="Arial" w:cs="Arial" w:eastAsia="Arial" w:hAnsi="Arial"/>
                <w:sz w:val="16"/>
                <w:szCs w:val="16"/>
                <w:color w:val="0000FF"/>
              </w:rPr>
            </w:pPr>
            <w:hyperlink r:id="rId135">
              <w:r>
                <w:rPr>
                  <w:rFonts w:ascii="Arial" w:cs="Arial" w:eastAsia="Arial" w:hAnsi="Arial"/>
                  <w:sz w:val="16"/>
                  <w:szCs w:val="16"/>
                  <w:color w:val="0000FF"/>
                </w:rPr>
                <w:t>Clearway Energy, Inc. Amended and Restated 2013 Equity Incentive Plan.</w:t>
              </w:r>
            </w:hyperlink>
          </w:p>
        </w:tc>
        <w:tc>
          <w:tcPr>
            <w:tcW w:w="4700" w:type="dxa"/>
            <w:vAlign w:val="bottom"/>
          </w:tcPr>
          <w:p>
            <w:pPr>
              <w:ind w:left="600"/>
              <w:spacing w:after="0"/>
              <w:rPr>
                <w:sz w:val="20"/>
                <w:szCs w:val="20"/>
                <w:color w:val="auto"/>
              </w:rPr>
            </w:pPr>
            <w:r>
              <w:rPr>
                <w:rFonts w:ascii="Arial" w:cs="Arial" w:eastAsia="Arial" w:hAnsi="Arial"/>
                <w:sz w:val="16"/>
                <w:szCs w:val="16"/>
                <w:color w:val="auto"/>
              </w:rPr>
              <w:t>Incorporated herein by reference to Exhibit 10.9 to the</w:t>
            </w:r>
          </w:p>
        </w:tc>
      </w:tr>
      <w:tr>
        <w:trPr>
          <w:trHeight w:val="213"/>
        </w:trPr>
        <w:tc>
          <w:tcPr>
            <w:tcW w:w="1040" w:type="dxa"/>
            <w:vAlign w:val="bottom"/>
          </w:tcPr>
          <w:p>
            <w:pPr>
              <w:spacing w:after="0"/>
              <w:rPr>
                <w:sz w:val="18"/>
                <w:szCs w:val="18"/>
                <w:color w:val="auto"/>
              </w:rPr>
            </w:pPr>
          </w:p>
        </w:tc>
        <w:tc>
          <w:tcPr>
            <w:tcW w:w="2400" w:type="dxa"/>
            <w:vAlign w:val="bottom"/>
            <w:tcBorders>
              <w:top w:val="single" w:sz="8" w:color="0000FF"/>
            </w:tcBorders>
          </w:tcPr>
          <w:p>
            <w:pPr>
              <w:spacing w:after="0"/>
              <w:rPr>
                <w:sz w:val="18"/>
                <w:szCs w:val="18"/>
                <w:color w:val="auto"/>
              </w:rPr>
            </w:pPr>
          </w:p>
        </w:tc>
        <w:tc>
          <w:tcPr>
            <w:tcW w:w="24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6"/>
                <w:szCs w:val="16"/>
                <w:color w:val="auto"/>
                <w:w w:val="92"/>
              </w:rPr>
              <w:t>Company's Annual Report on Form 10-K filed on February 28,</w:t>
            </w:r>
          </w:p>
        </w:tc>
      </w:tr>
      <w:tr>
        <w:trPr>
          <w:trHeight w:val="206"/>
        </w:trPr>
        <w:tc>
          <w:tcPr>
            <w:tcW w:w="1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tcPr>
          <w:p>
            <w:pPr>
              <w:ind w:left="600"/>
              <w:spacing w:after="0"/>
              <w:rPr>
                <w:sz w:val="20"/>
                <w:szCs w:val="20"/>
                <w:color w:val="auto"/>
              </w:rPr>
            </w:pPr>
            <w:r>
              <w:rPr>
                <w:rFonts w:ascii="Arial" w:cs="Arial" w:eastAsia="Arial" w:hAnsi="Arial"/>
                <w:sz w:val="16"/>
                <w:szCs w:val="16"/>
                <w:color w:val="auto"/>
              </w:rPr>
              <w:t>2019.</w:t>
            </w: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10.10</w:t>
            </w:r>
          </w:p>
        </w:tc>
        <w:tc>
          <w:tcPr>
            <w:tcW w:w="5440" w:type="dxa"/>
            <w:vAlign w:val="bottom"/>
            <w:gridSpan w:val="3"/>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Form of Indemnification Agreement.</w:t>
              </w:r>
            </w:hyperlink>
          </w:p>
        </w:tc>
        <w:tc>
          <w:tcPr>
            <w:tcW w:w="4700" w:type="dxa"/>
            <w:vAlign w:val="bottom"/>
          </w:tcPr>
          <w:p>
            <w:pPr>
              <w:ind w:left="600"/>
              <w:spacing w:after="0"/>
              <w:rPr>
                <w:sz w:val="20"/>
                <w:szCs w:val="20"/>
                <w:color w:val="auto"/>
              </w:rPr>
            </w:pPr>
            <w:r>
              <w:rPr>
                <w:rFonts w:ascii="Arial" w:cs="Arial" w:eastAsia="Arial" w:hAnsi="Arial"/>
                <w:sz w:val="16"/>
                <w:szCs w:val="16"/>
                <w:color w:val="auto"/>
              </w:rPr>
              <w:t>Incorporated herein by reference to Exhibit 10.10 to the</w:t>
            </w:r>
          </w:p>
        </w:tc>
      </w:tr>
      <w:tr>
        <w:trPr>
          <w:trHeight w:val="213"/>
        </w:trPr>
        <w:tc>
          <w:tcPr>
            <w:tcW w:w="1040" w:type="dxa"/>
            <w:vAlign w:val="bottom"/>
          </w:tcPr>
          <w:p>
            <w:pPr>
              <w:spacing w:after="0"/>
              <w:rPr>
                <w:sz w:val="18"/>
                <w:szCs w:val="18"/>
                <w:color w:val="auto"/>
              </w:rPr>
            </w:pPr>
          </w:p>
        </w:tc>
        <w:tc>
          <w:tcPr>
            <w:tcW w:w="2400" w:type="dxa"/>
            <w:vAlign w:val="bottom"/>
            <w:tcBorders>
              <w:top w:val="single" w:sz="8" w:color="0000FF"/>
            </w:tcBorders>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6"/>
                <w:szCs w:val="16"/>
                <w:color w:val="auto"/>
                <w:w w:val="92"/>
              </w:rPr>
              <w:t>Company's Annual Report on Form 10-K filed on February 28,</w:t>
            </w:r>
          </w:p>
        </w:tc>
      </w:tr>
      <w:tr>
        <w:trPr>
          <w:trHeight w:val="206"/>
        </w:trPr>
        <w:tc>
          <w:tcPr>
            <w:tcW w:w="1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tcPr>
          <w:p>
            <w:pPr>
              <w:ind w:left="600"/>
              <w:spacing w:after="0"/>
              <w:rPr>
                <w:sz w:val="20"/>
                <w:szCs w:val="20"/>
                <w:color w:val="auto"/>
              </w:rPr>
            </w:pPr>
            <w:r>
              <w:rPr>
                <w:rFonts w:ascii="Arial" w:cs="Arial" w:eastAsia="Arial" w:hAnsi="Arial"/>
                <w:sz w:val="16"/>
                <w:szCs w:val="16"/>
                <w:color w:val="auto"/>
              </w:rPr>
              <w:t>2019.</w:t>
            </w:r>
          </w:p>
        </w:tc>
      </w:tr>
    </w:tbl>
    <w:p>
      <w:pPr>
        <w:spacing w:after="0" w:line="200" w:lineRule="exact"/>
        <w:rPr>
          <w:sz w:val="20"/>
          <w:szCs w:val="20"/>
          <w:color w:val="auto"/>
        </w:rPr>
      </w:pPr>
    </w:p>
    <w:p>
      <w:pPr>
        <w:sectPr>
          <w:pgSz w:w="11900" w:h="16838" w:orient="portrait"/>
          <w:cols w:equalWidth="0" w:num="1">
            <w:col w:w="11360"/>
          </w:cols>
          <w:pgMar w:left="280" w:top="833" w:right="25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10.11.1</w:t>
            </w:r>
          </w:p>
        </w:tc>
        <w:tc>
          <w:tcPr>
            <w:tcW w:w="5520" w:type="dxa"/>
            <w:vAlign w:val="bottom"/>
            <w:tcBorders>
              <w:bottom w:val="single" w:sz="8" w:color="0000FF"/>
            </w:tcBorders>
            <w:gridSpan w:val="15"/>
          </w:tcPr>
          <w:p>
            <w:pPr>
              <w:spacing w:after="0"/>
              <w:rPr>
                <w:rFonts w:ascii="Arial" w:cs="Arial" w:eastAsia="Arial" w:hAnsi="Arial"/>
                <w:sz w:val="16"/>
                <w:szCs w:val="16"/>
                <w:color w:val="0000FF"/>
                <w:w w:val="91"/>
              </w:rPr>
            </w:pPr>
            <w:hyperlink r:id="rId137">
              <w:r>
                <w:rPr>
                  <w:rFonts w:ascii="Arial" w:cs="Arial" w:eastAsia="Arial" w:hAnsi="Arial"/>
                  <w:sz w:val="16"/>
                  <w:szCs w:val="16"/>
                  <w:color w:val="0000FF"/>
                  <w:w w:val="91"/>
                </w:rPr>
                <w:t>Amended and Restated Credit Agreement, dated April 25, 2014, by and among NRG</w:t>
              </w:r>
            </w:hyperlink>
          </w:p>
        </w:tc>
        <w:tc>
          <w:tcPr>
            <w:tcW w:w="3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w w:val="95"/>
              </w:rPr>
            </w:pPr>
            <w:hyperlink r:id="rId137">
              <w:r>
                <w:rPr>
                  <w:rFonts w:ascii="Arial" w:cs="Arial" w:eastAsia="Arial" w:hAnsi="Arial"/>
                  <w:sz w:val="16"/>
                  <w:szCs w:val="16"/>
                  <w:color w:val="0000FF"/>
                  <w:w w:val="95"/>
                </w:rPr>
                <w:t>Yield Operating LLC, NRG Yield LLC, Royal Bank of Canada, as Administrative Agent,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w w:val="92"/>
              </w:rPr>
            </w:pPr>
            <w:hyperlink r:id="rId137">
              <w:r>
                <w:rPr>
                  <w:rFonts w:ascii="Arial" w:cs="Arial" w:eastAsia="Arial" w:hAnsi="Arial"/>
                  <w:sz w:val="16"/>
                  <w:szCs w:val="16"/>
                  <w:color w:val="0000FF"/>
                  <w:w w:val="92"/>
                </w:rPr>
                <w:t>the lenders party thereto, Royal Bank of Canada, Goldman Sachs Bank USA and Bank of</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40" w:type="dxa"/>
            <w:vAlign w:val="bottom"/>
            <w:tcBorders>
              <w:top w:val="single" w:sz="8" w:color="0000FF"/>
            </w:tcBorders>
            <w:gridSpan w:val="23"/>
          </w:tcPr>
          <w:p>
            <w:pPr>
              <w:spacing w:after="0" w:line="183" w:lineRule="exact"/>
              <w:rPr>
                <w:rFonts w:ascii="Arial" w:cs="Arial" w:eastAsia="Arial" w:hAnsi="Arial"/>
                <w:sz w:val="16"/>
                <w:szCs w:val="16"/>
                <w:color w:val="0000FF"/>
                <w:w w:val="91"/>
              </w:rPr>
            </w:pPr>
            <w:hyperlink r:id="rId137">
              <w:r>
                <w:rPr>
                  <w:rFonts w:ascii="Arial" w:cs="Arial" w:eastAsia="Arial" w:hAnsi="Arial"/>
                  <w:sz w:val="16"/>
                  <w:szCs w:val="16"/>
                  <w:color w:val="0000FF"/>
                  <w:w w:val="91"/>
                </w:rPr>
                <w:t>America, N.A., as L/C Issuers and RBC Capital Markets as Sole Left Lead Arranger and</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1"/>
              </w:rPr>
            </w:pPr>
            <w:hyperlink r:id="rId137">
              <w:r>
                <w:rPr>
                  <w:rFonts w:ascii="Arial" w:cs="Arial" w:eastAsia="Arial" w:hAnsi="Arial"/>
                  <w:sz w:val="16"/>
                  <w:szCs w:val="16"/>
                  <w:color w:val="0000FF"/>
                  <w:w w:val="91"/>
                </w:rPr>
                <w:t>Sole Left Lead Book Runner.</w:t>
              </w:r>
            </w:hyperlink>
          </w:p>
        </w:tc>
        <w:tc>
          <w:tcPr>
            <w:tcW w:w="3840" w:type="dxa"/>
            <w:vAlign w:val="bottom"/>
            <w:tcBorders>
              <w:top w:val="single" w:sz="8" w:color="0000FF"/>
            </w:tcBorders>
            <w:gridSpan w:val="20"/>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10.11.2</w:t>
            </w:r>
          </w:p>
        </w:tc>
        <w:tc>
          <w:tcPr>
            <w:tcW w:w="5840" w:type="dxa"/>
            <w:vAlign w:val="bottom"/>
            <w:tcBorders>
              <w:bottom w:val="single" w:sz="8" w:color="0000FF"/>
            </w:tcBorders>
            <w:gridSpan w:val="24"/>
          </w:tcPr>
          <w:p>
            <w:pPr>
              <w:spacing w:after="0"/>
              <w:rPr>
                <w:rFonts w:ascii="Arial" w:cs="Arial" w:eastAsia="Arial" w:hAnsi="Arial"/>
                <w:sz w:val="16"/>
                <w:szCs w:val="16"/>
                <w:color w:val="0000FF"/>
                <w:w w:val="91"/>
              </w:rPr>
            </w:pPr>
            <w:hyperlink r:id="rId138">
              <w:r>
                <w:rPr>
                  <w:rFonts w:ascii="Arial" w:cs="Arial" w:eastAsia="Arial" w:hAnsi="Arial"/>
                  <w:sz w:val="16"/>
                  <w:szCs w:val="16"/>
                  <w:color w:val="0000FF"/>
                  <w:w w:val="91"/>
                </w:rPr>
                <w:t>First Amendment to Amended &amp; Restated Credit Agreement, dated June 26, 2015, by and</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80" w:type="dxa"/>
            <w:vAlign w:val="bottom"/>
            <w:tcBorders>
              <w:bottom w:val="single" w:sz="8" w:color="0000FF"/>
            </w:tcBorders>
            <w:gridSpan w:val="13"/>
          </w:tcPr>
          <w:p>
            <w:pPr>
              <w:spacing w:after="0" w:line="183" w:lineRule="exact"/>
              <w:rPr>
                <w:rFonts w:ascii="Arial" w:cs="Arial" w:eastAsia="Arial" w:hAnsi="Arial"/>
                <w:sz w:val="16"/>
                <w:szCs w:val="16"/>
                <w:color w:val="0000FF"/>
                <w:w w:val="93"/>
              </w:rPr>
            </w:pPr>
            <w:hyperlink r:id="rId138">
              <w:r>
                <w:rPr>
                  <w:rFonts w:ascii="Arial" w:cs="Arial" w:eastAsia="Arial" w:hAnsi="Arial"/>
                  <w:sz w:val="16"/>
                  <w:szCs w:val="16"/>
                  <w:color w:val="0000FF"/>
                  <w:w w:val="93"/>
                </w:rPr>
                <w:t>among NRG Yield Operating LLC, NRG Yield LLC, Royal Bank of Canada and the</w:t>
              </w:r>
            </w:hyperlink>
          </w:p>
        </w:tc>
        <w:tc>
          <w:tcPr>
            <w:tcW w:w="3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rPr>
            </w:pPr>
            <w:hyperlink r:id="rId138">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10.11.3</w:t>
            </w:r>
          </w:p>
        </w:tc>
        <w:tc>
          <w:tcPr>
            <w:tcW w:w="5860" w:type="dxa"/>
            <w:vAlign w:val="bottom"/>
            <w:gridSpan w:val="25"/>
          </w:tcPr>
          <w:p>
            <w:pPr>
              <w:spacing w:after="0"/>
              <w:rPr>
                <w:rFonts w:ascii="Arial" w:cs="Arial" w:eastAsia="Arial" w:hAnsi="Arial"/>
                <w:sz w:val="16"/>
                <w:szCs w:val="16"/>
                <w:color w:val="0000FF"/>
                <w:w w:val="92"/>
              </w:rPr>
            </w:pPr>
            <w:hyperlink r:id="rId139">
              <w:r>
                <w:rPr>
                  <w:rFonts w:ascii="Arial" w:cs="Arial" w:eastAsia="Arial" w:hAnsi="Arial"/>
                  <w:sz w:val="16"/>
                  <w:szCs w:val="16"/>
                  <w:color w:val="0000FF"/>
                  <w:w w:val="92"/>
                </w:rPr>
                <w:t>Second Amendment to Amended &amp; Restated Credit Agreement, dated February 6, 2018,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740" w:type="dxa"/>
            <w:vAlign w:val="bottom"/>
            <w:tcBorders>
              <w:bottom w:val="single" w:sz="8" w:color="0000FF"/>
            </w:tcBorders>
            <w:gridSpan w:val="23"/>
          </w:tcPr>
          <w:p>
            <w:pPr>
              <w:spacing w:after="0" w:line="183" w:lineRule="exact"/>
              <w:rPr>
                <w:rFonts w:ascii="Arial" w:cs="Arial" w:eastAsia="Arial" w:hAnsi="Arial"/>
                <w:sz w:val="16"/>
                <w:szCs w:val="16"/>
                <w:color w:val="0000FF"/>
                <w:w w:val="92"/>
              </w:rPr>
            </w:pPr>
            <w:hyperlink r:id="rId139">
              <w:r>
                <w:rPr>
                  <w:rFonts w:ascii="Arial" w:cs="Arial" w:eastAsia="Arial" w:hAnsi="Arial"/>
                  <w:sz w:val="16"/>
                  <w:szCs w:val="16"/>
                  <w:color w:val="0000FF"/>
                  <w:w w:val="92"/>
                </w:rPr>
                <w:t>by and among NRG Yield Operating LLC, NRG Yield LLC, the guarantors party thereto,</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10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139">
              <w:r>
                <w:rPr>
                  <w:rFonts w:ascii="Arial" w:cs="Arial" w:eastAsia="Arial" w:hAnsi="Arial"/>
                  <w:sz w:val="16"/>
                  <w:szCs w:val="16"/>
                  <w:color w:val="0000FF"/>
                  <w:w w:val="91"/>
                </w:rPr>
                <w:t>Royal Bank of Canada, as Administrative Agent, and the lenders party thereto.</w:t>
              </w:r>
            </w:hyperlink>
          </w:p>
        </w:tc>
        <w:tc>
          <w:tcPr>
            <w:tcW w:w="7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10.11.4</w:t>
            </w:r>
          </w:p>
        </w:tc>
        <w:tc>
          <w:tcPr>
            <w:tcW w:w="5840" w:type="dxa"/>
            <w:vAlign w:val="bottom"/>
            <w:tcBorders>
              <w:bottom w:val="single" w:sz="8" w:color="0000FF"/>
            </w:tcBorders>
            <w:gridSpan w:val="24"/>
          </w:tcPr>
          <w:p>
            <w:pPr>
              <w:spacing w:after="0"/>
              <w:rPr>
                <w:rFonts w:ascii="Arial" w:cs="Arial" w:eastAsia="Arial" w:hAnsi="Arial"/>
                <w:sz w:val="16"/>
                <w:szCs w:val="16"/>
                <w:color w:val="0000FF"/>
                <w:w w:val="92"/>
              </w:rPr>
            </w:pPr>
            <w:hyperlink r:id="rId140">
              <w:r>
                <w:rPr>
                  <w:rFonts w:ascii="Arial" w:cs="Arial" w:eastAsia="Arial" w:hAnsi="Arial"/>
                  <w:sz w:val="16"/>
                  <w:szCs w:val="16"/>
                  <w:color w:val="0000FF"/>
                  <w:w w:val="92"/>
                </w:rPr>
                <w:t>Third Amendment to Amended and Restated Credit Agreement and Administrative Agent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5"/>
          </w:tcPr>
          <w:p>
            <w:pPr>
              <w:spacing w:after="0" w:line="183" w:lineRule="exact"/>
              <w:rPr>
                <w:rFonts w:ascii="Arial" w:cs="Arial" w:eastAsia="Arial" w:hAnsi="Arial"/>
                <w:sz w:val="16"/>
                <w:szCs w:val="16"/>
                <w:color w:val="0000FF"/>
                <w:w w:val="92"/>
              </w:rPr>
            </w:pPr>
            <w:hyperlink r:id="rId140">
              <w:r>
                <w:rPr>
                  <w:rFonts w:ascii="Arial" w:cs="Arial" w:eastAsia="Arial" w:hAnsi="Arial"/>
                  <w:sz w:val="16"/>
                  <w:szCs w:val="16"/>
                  <w:color w:val="0000FF"/>
                  <w:w w:val="92"/>
                </w:rPr>
                <w:t>Resignation and Appointment Agreement, dated as of April 30, 2018, by and among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40" w:type="dxa"/>
            <w:vAlign w:val="bottom"/>
            <w:tcBorders>
              <w:bottom w:val="single" w:sz="8" w:color="0000FF"/>
            </w:tcBorders>
            <w:gridSpan w:val="12"/>
          </w:tcPr>
          <w:p>
            <w:pPr>
              <w:spacing w:after="0" w:line="183" w:lineRule="exact"/>
              <w:rPr>
                <w:rFonts w:ascii="Arial" w:cs="Arial" w:eastAsia="Arial" w:hAnsi="Arial"/>
                <w:sz w:val="16"/>
                <w:szCs w:val="16"/>
                <w:color w:val="0000FF"/>
                <w:w w:val="93"/>
              </w:rPr>
            </w:pPr>
            <w:hyperlink r:id="rId140">
              <w:r>
                <w:rPr>
                  <w:rFonts w:ascii="Arial" w:cs="Arial" w:eastAsia="Arial" w:hAnsi="Arial"/>
                  <w:sz w:val="16"/>
                  <w:szCs w:val="16"/>
                  <w:color w:val="0000FF"/>
                  <w:w w:val="93"/>
                </w:rPr>
                <w:t>Yield Operating LLC, NRG Yield LLC, the guarantors party thereto, Royal Bank of</w:t>
              </w:r>
            </w:hyperlink>
          </w:p>
        </w:tc>
        <w:tc>
          <w:tcPr>
            <w:tcW w:w="4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40" w:type="dxa"/>
            <w:vAlign w:val="bottom"/>
            <w:tcBorders>
              <w:bottom w:val="single" w:sz="8" w:color="0000FF"/>
            </w:tcBorders>
            <w:gridSpan w:val="23"/>
          </w:tcPr>
          <w:p>
            <w:pPr>
              <w:spacing w:after="0" w:line="183" w:lineRule="exact"/>
              <w:rPr>
                <w:rFonts w:ascii="Arial" w:cs="Arial" w:eastAsia="Arial" w:hAnsi="Arial"/>
                <w:sz w:val="16"/>
                <w:szCs w:val="16"/>
                <w:color w:val="0000FF"/>
                <w:w w:val="90"/>
              </w:rPr>
            </w:pPr>
            <w:hyperlink r:id="rId140">
              <w:r>
                <w:rPr>
                  <w:rFonts w:ascii="Arial" w:cs="Arial" w:eastAsia="Arial" w:hAnsi="Arial"/>
                  <w:sz w:val="16"/>
                  <w:szCs w:val="16"/>
                  <w:color w:val="0000FF"/>
                  <w:w w:val="90"/>
                </w:rPr>
                <w:t>Canada, as Resigning Administrative Agent, JPMorgan Chase Bank, N.A., as Successor</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38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140">
              <w:r>
                <w:rPr>
                  <w:rFonts w:ascii="Arial" w:cs="Arial" w:eastAsia="Arial" w:hAnsi="Arial"/>
                  <w:sz w:val="16"/>
                  <w:szCs w:val="16"/>
                  <w:color w:val="0000FF"/>
                  <w:w w:val="92"/>
                </w:rPr>
                <w:t>Administrative Agent, and the lenders party thereto.</w:t>
              </w:r>
            </w:hyperlink>
          </w:p>
        </w:tc>
        <w:tc>
          <w:tcPr>
            <w:tcW w:w="24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10.11.5</w:t>
            </w:r>
          </w:p>
        </w:tc>
        <w:tc>
          <w:tcPr>
            <w:tcW w:w="5700" w:type="dxa"/>
            <w:vAlign w:val="bottom"/>
            <w:tcBorders>
              <w:bottom w:val="single" w:sz="8" w:color="0000FF"/>
            </w:tcBorders>
            <w:gridSpan w:val="22"/>
          </w:tcPr>
          <w:p>
            <w:pPr>
              <w:spacing w:after="0"/>
              <w:rPr>
                <w:rFonts w:ascii="Arial" w:cs="Arial" w:eastAsia="Arial" w:hAnsi="Arial"/>
                <w:sz w:val="16"/>
                <w:szCs w:val="16"/>
                <w:color w:val="0000FF"/>
                <w:w w:val="91"/>
              </w:rPr>
            </w:pPr>
            <w:hyperlink r:id="rId141">
              <w:r>
                <w:rPr>
                  <w:rFonts w:ascii="Arial" w:cs="Arial" w:eastAsia="Arial" w:hAnsi="Arial"/>
                  <w:sz w:val="16"/>
                  <w:szCs w:val="16"/>
                  <w:color w:val="0000FF"/>
                  <w:w w:val="91"/>
                </w:rPr>
                <w:t>Fourth Amendment to Amended and Restated Credit Agreement, dated as of November</w:t>
              </w:r>
            </w:hyperlink>
          </w:p>
        </w:tc>
        <w:tc>
          <w:tcPr>
            <w:tcW w:w="1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141">
              <w:r>
                <w:rPr>
                  <w:rFonts w:ascii="Arial" w:cs="Arial" w:eastAsia="Arial" w:hAnsi="Arial"/>
                  <w:sz w:val="16"/>
                  <w:szCs w:val="16"/>
                  <w:color w:val="0000FF"/>
                  <w:w w:val="92"/>
                </w:rPr>
                <w:t>30, 2018, by and among Clearway Energy Operating LLC, Clearway Energy LLC, the</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19"/>
          </w:tcPr>
          <w:p>
            <w:pPr>
              <w:spacing w:after="0" w:line="183" w:lineRule="exact"/>
              <w:rPr>
                <w:rFonts w:ascii="Arial" w:cs="Arial" w:eastAsia="Arial" w:hAnsi="Arial"/>
                <w:sz w:val="16"/>
                <w:szCs w:val="16"/>
                <w:color w:val="0000FF"/>
                <w:w w:val="90"/>
              </w:rPr>
            </w:pPr>
            <w:hyperlink r:id="rId141">
              <w:r>
                <w:rPr>
                  <w:rFonts w:ascii="Arial" w:cs="Arial" w:eastAsia="Arial" w:hAnsi="Arial"/>
                  <w:sz w:val="16"/>
                  <w:szCs w:val="16"/>
                  <w:color w:val="0000FF"/>
                  <w:w w:val="90"/>
                </w:rPr>
                <w:t>guarantors party thereto, JPMorgan Chase Bank, N.A., as administrative agent, and the</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10.11.6</w:t>
            </w:r>
          </w:p>
        </w:tc>
        <w:tc>
          <w:tcPr>
            <w:tcW w:w="5860" w:type="dxa"/>
            <w:vAlign w:val="bottom"/>
            <w:gridSpan w:val="25"/>
          </w:tcPr>
          <w:p>
            <w:pPr>
              <w:spacing w:after="0"/>
              <w:rPr>
                <w:rFonts w:ascii="Arial" w:cs="Arial" w:eastAsia="Arial" w:hAnsi="Arial"/>
                <w:sz w:val="16"/>
                <w:szCs w:val="16"/>
                <w:color w:val="0000FF"/>
                <w:w w:val="91"/>
              </w:rPr>
            </w:pPr>
            <w:hyperlink r:id="rId142">
              <w:r>
                <w:rPr>
                  <w:rFonts w:ascii="Arial" w:cs="Arial" w:eastAsia="Arial" w:hAnsi="Arial"/>
                  <w:sz w:val="16"/>
                  <w:szCs w:val="16"/>
                  <w:color w:val="0000FF"/>
                  <w:w w:val="91"/>
                </w:rPr>
                <w:t>Fifth Amendment to Amended and Restated Credit Agreement, dated as of December 20,</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2"/>
              </w:rPr>
            </w:pPr>
            <w:hyperlink r:id="rId142">
              <w:r>
                <w:rPr>
                  <w:rFonts w:ascii="Arial" w:cs="Arial" w:eastAsia="Arial" w:hAnsi="Arial"/>
                  <w:sz w:val="16"/>
                  <w:szCs w:val="16"/>
                  <w:color w:val="0000FF"/>
                  <w:w w:val="92"/>
                </w:rPr>
                <w:t>2019, by and among Clearway Energy Operating LLC, Clearway Energy LLC, the</w:t>
              </w:r>
            </w:hyperlink>
          </w:p>
        </w:tc>
        <w:tc>
          <w:tcPr>
            <w:tcW w:w="380" w:type="dxa"/>
            <w:vAlign w:val="bottom"/>
            <w:tcBorders>
              <w:top w:val="single" w:sz="8" w:color="0000FF"/>
            </w:tcBorders>
            <w:gridSpan w:val="13"/>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19"/>
          </w:tcPr>
          <w:p>
            <w:pPr>
              <w:spacing w:after="0" w:line="183" w:lineRule="exact"/>
              <w:rPr>
                <w:rFonts w:ascii="Arial" w:cs="Arial" w:eastAsia="Arial" w:hAnsi="Arial"/>
                <w:sz w:val="16"/>
                <w:szCs w:val="16"/>
                <w:color w:val="0000FF"/>
                <w:w w:val="90"/>
              </w:rPr>
            </w:pPr>
            <w:hyperlink r:id="rId142">
              <w:r>
                <w:rPr>
                  <w:rFonts w:ascii="Arial" w:cs="Arial" w:eastAsia="Arial" w:hAnsi="Arial"/>
                  <w:sz w:val="16"/>
                  <w:szCs w:val="16"/>
                  <w:color w:val="0000FF"/>
                  <w:w w:val="90"/>
                </w:rPr>
                <w:t>guarantors party thereto, JPMorgan Chase Bank, N.A., as administrative agent, and the</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10.12.1</w:t>
            </w:r>
          </w:p>
        </w:tc>
        <w:tc>
          <w:tcPr>
            <w:tcW w:w="5680" w:type="dxa"/>
            <w:vAlign w:val="bottom"/>
            <w:tcBorders>
              <w:bottom w:val="single" w:sz="8" w:color="0000FF"/>
            </w:tcBorders>
            <w:gridSpan w:val="21"/>
          </w:tcPr>
          <w:p>
            <w:pPr>
              <w:spacing w:after="0"/>
              <w:rPr>
                <w:rFonts w:ascii="Arial" w:cs="Arial" w:eastAsia="Arial" w:hAnsi="Arial"/>
                <w:sz w:val="16"/>
                <w:szCs w:val="16"/>
                <w:color w:val="0000FF"/>
                <w:w w:val="92"/>
              </w:rPr>
            </w:pPr>
            <w:hyperlink r:id="rId143">
              <w:r>
                <w:rPr>
                  <w:rFonts w:ascii="Arial" w:cs="Arial" w:eastAsia="Arial" w:hAnsi="Arial"/>
                  <w:sz w:val="16"/>
                  <w:szCs w:val="16"/>
                  <w:color w:val="0000FF"/>
                  <w:w w:val="92"/>
                </w:rPr>
                <w:t>Credit Agreement, dated as of August 23, 2011, among NRG West Holdings LLC, ING</w:t>
              </w:r>
            </w:hyperlink>
          </w:p>
        </w:tc>
        <w:tc>
          <w:tcPr>
            <w:tcW w:w="1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80" w:type="dxa"/>
            <w:vAlign w:val="bottom"/>
            <w:tcBorders>
              <w:bottom w:val="single" w:sz="8" w:color="0000FF"/>
            </w:tcBorders>
            <w:gridSpan w:val="13"/>
          </w:tcPr>
          <w:p>
            <w:pPr>
              <w:spacing w:after="0" w:line="183" w:lineRule="exact"/>
              <w:rPr>
                <w:rFonts w:ascii="Arial" w:cs="Arial" w:eastAsia="Arial" w:hAnsi="Arial"/>
                <w:sz w:val="16"/>
                <w:szCs w:val="16"/>
                <w:color w:val="0000FF"/>
                <w:w w:val="94"/>
              </w:rPr>
            </w:pPr>
            <w:hyperlink r:id="rId143">
              <w:r>
                <w:rPr>
                  <w:rFonts w:ascii="Arial" w:cs="Arial" w:eastAsia="Arial" w:hAnsi="Arial"/>
                  <w:sz w:val="16"/>
                  <w:szCs w:val="16"/>
                  <w:color w:val="0000FF"/>
                  <w:w w:val="94"/>
                </w:rPr>
                <w:t>Capital LLC, Union Bank, N.A., Mizuho Corporate Bank, Ltd., RBS Securities Inc.,</w:t>
              </w:r>
            </w:hyperlink>
          </w:p>
        </w:tc>
        <w:tc>
          <w:tcPr>
            <w:tcW w:w="3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60" w:type="dxa"/>
            <w:vAlign w:val="bottom"/>
            <w:tcBorders>
              <w:bottom w:val="single" w:sz="8" w:color="0000FF"/>
            </w:tcBorders>
            <w:gridSpan w:val="20"/>
          </w:tcPr>
          <w:p>
            <w:pPr>
              <w:spacing w:after="0" w:line="183" w:lineRule="exact"/>
              <w:rPr>
                <w:rFonts w:ascii="Arial" w:cs="Arial" w:eastAsia="Arial" w:hAnsi="Arial"/>
                <w:sz w:val="16"/>
                <w:szCs w:val="16"/>
                <w:color w:val="0000FF"/>
                <w:w w:val="91"/>
              </w:rPr>
            </w:pPr>
            <w:hyperlink r:id="rId143">
              <w:r>
                <w:rPr>
                  <w:rFonts w:ascii="Arial" w:cs="Arial" w:eastAsia="Arial" w:hAnsi="Arial"/>
                  <w:sz w:val="16"/>
                  <w:szCs w:val="16"/>
                  <w:color w:val="0000FF"/>
                  <w:w w:val="91"/>
                </w:rPr>
                <w:t>Credit Agricole Corporate and Investment Bank, and each of lenders and issuing banks</w:t>
              </w:r>
            </w:hyperlink>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10.12.2</w:t>
            </w:r>
          </w:p>
        </w:tc>
        <w:tc>
          <w:tcPr>
            <w:tcW w:w="5860" w:type="dxa"/>
            <w:vAlign w:val="bottom"/>
            <w:gridSpan w:val="25"/>
          </w:tcPr>
          <w:p>
            <w:pPr>
              <w:spacing w:after="0"/>
              <w:rPr>
                <w:rFonts w:ascii="Arial" w:cs="Arial" w:eastAsia="Arial" w:hAnsi="Arial"/>
                <w:sz w:val="16"/>
                <w:szCs w:val="16"/>
                <w:color w:val="0000FF"/>
                <w:w w:val="92"/>
              </w:rPr>
            </w:pPr>
            <w:hyperlink r:id="rId144">
              <w:r>
                <w:rPr>
                  <w:rFonts w:ascii="Arial" w:cs="Arial" w:eastAsia="Arial" w:hAnsi="Arial"/>
                  <w:sz w:val="16"/>
                  <w:szCs w:val="16"/>
                  <w:color w:val="0000FF"/>
                  <w:w w:val="92"/>
                </w:rPr>
                <w:t>Amendment No. 1 to the Credit Agreement, dated October 7, 2011, by and between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w w:val="92"/>
              </w:rPr>
            </w:pPr>
            <w:hyperlink r:id="rId144">
              <w:r>
                <w:rPr>
                  <w:rFonts w:ascii="Arial" w:cs="Arial" w:eastAsia="Arial" w:hAnsi="Arial"/>
                  <w:sz w:val="16"/>
                  <w:szCs w:val="16"/>
                  <w:color w:val="0000FF"/>
                  <w:w w:val="92"/>
                </w:rPr>
                <w:t>West Holdings LLC and Credit Agricole Corporate and Investment Bank.</w:t>
              </w:r>
            </w:hyperlink>
          </w:p>
        </w:tc>
        <w:tc>
          <w:tcPr>
            <w:tcW w:w="960" w:type="dxa"/>
            <w:vAlign w:val="bottom"/>
            <w:tcBorders>
              <w:top w:val="single" w:sz="8" w:color="0000FF"/>
            </w:tcBorders>
            <w:gridSpan w:val="1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10.12.3</w:t>
            </w:r>
          </w:p>
        </w:tc>
        <w:tc>
          <w:tcPr>
            <w:tcW w:w="5580" w:type="dxa"/>
            <w:vAlign w:val="bottom"/>
            <w:tcBorders>
              <w:bottom w:val="single" w:sz="8" w:color="0000FF"/>
            </w:tcBorders>
            <w:gridSpan w:val="16"/>
          </w:tcPr>
          <w:p>
            <w:pPr>
              <w:spacing w:after="0"/>
              <w:rPr>
                <w:rFonts w:ascii="Arial" w:cs="Arial" w:eastAsia="Arial" w:hAnsi="Arial"/>
                <w:sz w:val="16"/>
                <w:szCs w:val="16"/>
                <w:color w:val="0000FF"/>
                <w:w w:val="91"/>
              </w:rPr>
            </w:pPr>
            <w:hyperlink r:id="rId145">
              <w:r>
                <w:rPr>
                  <w:rFonts w:ascii="Arial" w:cs="Arial" w:eastAsia="Arial" w:hAnsi="Arial"/>
                  <w:sz w:val="16"/>
                  <w:szCs w:val="16"/>
                  <w:color w:val="0000FF"/>
                  <w:w w:val="91"/>
                </w:rPr>
                <w:t>Amendment No. 2 to the Credit Agreement, dated February 29, 2012, by and between</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160" w:type="dxa"/>
            <w:vAlign w:val="bottom"/>
            <w:tcBorders>
              <w:bottom w:val="single" w:sz="8" w:color="0000FF"/>
            </w:tcBorders>
            <w:gridSpan w:val="9"/>
          </w:tcPr>
          <w:p>
            <w:pPr>
              <w:spacing w:after="0" w:line="183" w:lineRule="exact"/>
              <w:rPr>
                <w:rFonts w:ascii="Arial" w:cs="Arial" w:eastAsia="Arial" w:hAnsi="Arial"/>
                <w:sz w:val="16"/>
                <w:szCs w:val="16"/>
                <w:color w:val="0000FF"/>
                <w:w w:val="93"/>
              </w:rPr>
            </w:pPr>
            <w:hyperlink r:id="rId145">
              <w:r>
                <w:rPr>
                  <w:rFonts w:ascii="Arial" w:cs="Arial" w:eastAsia="Arial" w:hAnsi="Arial"/>
                  <w:sz w:val="16"/>
                  <w:szCs w:val="16"/>
                  <w:color w:val="0000FF"/>
                  <w:w w:val="93"/>
                </w:rPr>
                <w:t>NRG West Holdings LLC and Credit Agricole Corporate and Investment Bank.</w:t>
              </w:r>
            </w:hyperlink>
          </w:p>
        </w:tc>
        <w:tc>
          <w:tcPr>
            <w:tcW w:w="70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10.12.4</w:t>
            </w:r>
          </w:p>
        </w:tc>
        <w:tc>
          <w:tcPr>
            <w:tcW w:w="5860" w:type="dxa"/>
            <w:vAlign w:val="bottom"/>
            <w:gridSpan w:val="25"/>
            <w:vMerge w:val="restart"/>
          </w:tcPr>
          <w:p>
            <w:pPr>
              <w:spacing w:after="0"/>
              <w:rPr>
                <w:rFonts w:ascii="Arial" w:cs="Arial" w:eastAsia="Arial" w:hAnsi="Arial"/>
                <w:sz w:val="16"/>
                <w:szCs w:val="16"/>
                <w:color w:val="0000FF"/>
                <w:w w:val="91"/>
              </w:rPr>
            </w:pPr>
            <w:hyperlink r:id="rId146">
              <w:r>
                <w:rPr>
                  <w:rFonts w:ascii="Arial" w:cs="Arial" w:eastAsia="Arial" w:hAnsi="Arial"/>
                  <w:sz w:val="16"/>
                  <w:szCs w:val="16"/>
                  <w:color w:val="0000FF"/>
                  <w:w w:val="91"/>
                </w:rPr>
                <w:t>Amendment No. 3 to the Credit Agreement, dated as of January 27, 2014, by and between</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6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16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3"/>
              </w:rPr>
            </w:pPr>
            <w:hyperlink r:id="rId146">
              <w:r>
                <w:rPr>
                  <w:rFonts w:ascii="Arial" w:cs="Arial" w:eastAsia="Arial" w:hAnsi="Arial"/>
                  <w:sz w:val="16"/>
                  <w:szCs w:val="16"/>
                  <w:color w:val="0000FF"/>
                  <w:w w:val="93"/>
                </w:rPr>
                <w:t>NRG West Holdings LLC and Credit Agricole Corporate and Investment Bank.</w:t>
              </w:r>
            </w:hyperlink>
          </w:p>
        </w:tc>
        <w:tc>
          <w:tcPr>
            <w:tcW w:w="6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10.12.5</w:t>
            </w:r>
          </w:p>
        </w:tc>
        <w:tc>
          <w:tcPr>
            <w:tcW w:w="5420" w:type="dxa"/>
            <w:vAlign w:val="bottom"/>
            <w:gridSpan w:val="11"/>
            <w:vMerge w:val="restart"/>
          </w:tcPr>
          <w:p>
            <w:pPr>
              <w:spacing w:after="0"/>
              <w:rPr>
                <w:rFonts w:ascii="Arial" w:cs="Arial" w:eastAsia="Arial" w:hAnsi="Arial"/>
                <w:sz w:val="16"/>
                <w:szCs w:val="16"/>
                <w:color w:val="0000FF"/>
                <w:w w:val="92"/>
              </w:rPr>
            </w:pPr>
            <w:hyperlink r:id="rId147">
              <w:r>
                <w:rPr>
                  <w:rFonts w:ascii="Arial" w:cs="Arial" w:eastAsia="Arial" w:hAnsi="Arial"/>
                  <w:sz w:val="16"/>
                  <w:szCs w:val="16"/>
                  <w:color w:val="0000FF"/>
                  <w:w w:val="92"/>
                </w:rPr>
                <w:t>Amendment No. 4 to the Credit Agreement and Amendment No. 1 to the Collateral</w:t>
              </w:r>
            </w:hyperlink>
          </w:p>
        </w:tc>
        <w:tc>
          <w:tcPr>
            <w:tcW w:w="44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420" w:type="dxa"/>
            <w:vAlign w:val="bottom"/>
            <w:tcBorders>
              <w:bottom w:val="single" w:sz="8" w:color="0000FF"/>
            </w:tcBorders>
            <w:gridSpan w:val="11"/>
            <w:vMerge w:val="continue"/>
          </w:tcPr>
          <w:p>
            <w:pPr>
              <w:spacing w:after="0"/>
              <w:rPr>
                <w:sz w:val="4"/>
                <w:szCs w:val="4"/>
                <w:color w:val="auto"/>
              </w:rPr>
            </w:pPr>
          </w:p>
        </w:tc>
        <w:tc>
          <w:tcPr>
            <w:tcW w:w="44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0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147">
              <w:r>
                <w:rPr>
                  <w:rFonts w:ascii="Arial" w:cs="Arial" w:eastAsia="Arial" w:hAnsi="Arial"/>
                  <w:sz w:val="16"/>
                  <w:szCs w:val="16"/>
                  <w:color w:val="0000FF"/>
                  <w:w w:val="92"/>
                </w:rPr>
                <w:t>Agreement, dated as of May 16, 2014, by and between NRG West Holdings LLC, El</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Segundo Energy Center LLC and Credit 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479"/>
              <w:spacing w:after="0"/>
              <w:rPr>
                <w:sz w:val="20"/>
                <w:szCs w:val="20"/>
                <w:color w:val="auto"/>
              </w:rPr>
            </w:pPr>
            <w:r>
              <w:rPr>
                <w:rFonts w:ascii="Arial" w:cs="Arial" w:eastAsia="Arial" w:hAnsi="Arial"/>
                <w:sz w:val="16"/>
                <w:szCs w:val="16"/>
                <w:color w:val="auto"/>
                <w:w w:val="86"/>
              </w:rPr>
              <w:t>10.12.6</w:t>
            </w: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continue"/>
          </w:tcPr>
          <w:p>
            <w:pPr>
              <w:spacing w:after="0"/>
              <w:rPr>
                <w:sz w:val="24"/>
                <w:szCs w:val="24"/>
                <w:color w:val="auto"/>
              </w:rPr>
            </w:pPr>
          </w:p>
        </w:tc>
        <w:tc>
          <w:tcPr>
            <w:tcW w:w="5640" w:type="dxa"/>
            <w:vAlign w:val="bottom"/>
            <w:gridSpan w:val="19"/>
            <w:vMerge w:val="restart"/>
          </w:tcPr>
          <w:p>
            <w:pPr>
              <w:spacing w:after="0"/>
              <w:rPr>
                <w:rFonts w:ascii="Arial" w:cs="Arial" w:eastAsia="Arial" w:hAnsi="Arial"/>
                <w:sz w:val="16"/>
                <w:szCs w:val="16"/>
                <w:color w:val="0000FF"/>
                <w:w w:val="91"/>
              </w:rPr>
            </w:pPr>
            <w:hyperlink r:id="rId148">
              <w:r>
                <w:rPr>
                  <w:rFonts w:ascii="Arial" w:cs="Arial" w:eastAsia="Arial" w:hAnsi="Arial"/>
                  <w:sz w:val="16"/>
                  <w:szCs w:val="16"/>
                  <w:color w:val="0000FF"/>
                  <w:w w:val="91"/>
                </w:rPr>
                <w:t>Amendment No. 5 to the Credit Agreement, dated as of May 29, 2015, by and between</w:t>
              </w:r>
            </w:hyperlink>
          </w:p>
        </w:tc>
        <w:tc>
          <w:tcPr>
            <w:tcW w:w="22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19"/>
            <w:vMerge w:val="continue"/>
          </w:tcPr>
          <w:p>
            <w:pPr>
              <w:spacing w:after="0"/>
              <w:rPr>
                <w:sz w:val="4"/>
                <w:szCs w:val="4"/>
                <w:color w:val="auto"/>
              </w:rPr>
            </w:pPr>
          </w:p>
        </w:tc>
        <w:tc>
          <w:tcPr>
            <w:tcW w:w="2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180" w:type="dxa"/>
            <w:vAlign w:val="bottom"/>
            <w:tcBorders>
              <w:bottom w:val="single" w:sz="8" w:color="0000FF"/>
            </w:tcBorders>
            <w:gridSpan w:val="5"/>
          </w:tcPr>
          <w:p>
            <w:pPr>
              <w:spacing w:after="0" w:line="183"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NRG West Holdings LLC and ING Capital LLC.</w:t>
              </w:r>
            </w:hyperlink>
          </w:p>
        </w:tc>
        <w:tc>
          <w:tcPr>
            <w:tcW w:w="26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10.13.1</w:t>
            </w:r>
          </w:p>
        </w:tc>
        <w:tc>
          <w:tcPr>
            <w:tcW w:w="5440" w:type="dxa"/>
            <w:vAlign w:val="bottom"/>
            <w:tcBorders>
              <w:bottom w:val="single" w:sz="8" w:color="0000FF"/>
            </w:tcBorders>
            <w:gridSpan w:val="12"/>
          </w:tcPr>
          <w:p>
            <w:pPr>
              <w:spacing w:after="0"/>
              <w:rPr>
                <w:rFonts w:ascii="Arial" w:cs="Arial" w:eastAsia="Arial" w:hAnsi="Arial"/>
                <w:sz w:val="16"/>
                <w:szCs w:val="16"/>
                <w:color w:val="0000FF"/>
                <w:w w:val="90"/>
              </w:rPr>
            </w:pPr>
            <w:hyperlink r:id="rId149">
              <w:r>
                <w:rPr>
                  <w:rFonts w:ascii="Arial" w:cs="Arial" w:eastAsia="Arial" w:hAnsi="Arial"/>
                  <w:sz w:val="16"/>
                  <w:szCs w:val="16"/>
                  <w:color w:val="0000FF"/>
                  <w:w w:val="90"/>
                </w:rPr>
                <w:t>Amended and Restated Credit Agreement, dated July 17, 2014, by and among NRG</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5"/>
          </w:tcPr>
          <w:p>
            <w:pPr>
              <w:spacing w:after="0" w:line="183" w:lineRule="exact"/>
              <w:rPr>
                <w:rFonts w:ascii="Arial" w:cs="Arial" w:eastAsia="Arial" w:hAnsi="Arial"/>
                <w:sz w:val="16"/>
                <w:szCs w:val="16"/>
                <w:color w:val="0000FF"/>
                <w:w w:val="96"/>
              </w:rPr>
            </w:pPr>
            <w:hyperlink r:id="rId149">
              <w:r>
                <w:rPr>
                  <w:rFonts w:ascii="Arial" w:cs="Arial" w:eastAsia="Arial" w:hAnsi="Arial"/>
                  <w:sz w:val="16"/>
                  <w:szCs w:val="16"/>
                  <w:color w:val="0000FF"/>
                  <w:w w:val="96"/>
                </w:rPr>
                <w:t>Marsh Landing LLC, The Royal Bank of Scotland Plc, Deutsche Bank Trust Company</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2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149">
              <w:r>
                <w:rPr>
                  <w:rFonts w:ascii="Arial" w:cs="Arial" w:eastAsia="Arial" w:hAnsi="Arial"/>
                  <w:sz w:val="16"/>
                  <w:szCs w:val="16"/>
                  <w:color w:val="0000FF"/>
                </w:rPr>
                <w:t>Americas and the lenders party thereto.</w:t>
              </w:r>
            </w:hyperlink>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104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4"/>
                <w:szCs w:val="24"/>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394"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10.9 to the Company's Quarterly Report on Form 10-Q filed on August 4, 2015.</w:t>
      </w:r>
    </w:p>
    <w:p>
      <w:pPr>
        <w:spacing w:after="0" w:line="22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22"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37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7, 2014.</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10.3 to the Company's Quarterly Report on Form 10-Q filed on August 7, 2014.</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10.4 to the Company's Quarterly Report on Form 10-Q filed on August 7, 2014.</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4, 2015.</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10.7 to the Company's Quarterly Report on Form 10-Q filed on August 4, 2015.</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10.8 to the Company's Quarterly Report on Form 10-Q filed on August 4, 2015.</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10.5 to the Company's Quarterly Report on Form 10-Q filed on August 7, 2014.</w:t>
      </w:r>
    </w:p>
    <w:p>
      <w:pPr>
        <w:sectPr>
          <w:pgSz w:w="11900" w:h="16838" w:orient="portrait"/>
          <w:cols w:equalWidth="0" w:num="2">
            <w:col w:w="6900" w:space="180"/>
            <w:col w:w="4280"/>
          </w:cols>
          <w:pgMar w:left="280" w:top="833" w:right="25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4"/>
          <w:szCs w:val="14"/>
          <w:color w:val="auto"/>
        </w:rPr>
        <w:t>10.13.2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10.21†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10.25†</w:t>
      </w:r>
    </w:p>
    <w:p>
      <w:pPr>
        <w:spacing w:after="0" w:line="20" w:lineRule="exact"/>
        <w:rPr>
          <w:sz w:val="20"/>
          <w:szCs w:val="20"/>
          <w:color w:val="auto"/>
        </w:rPr>
      </w:pPr>
      <w:r>
        <w:rPr>
          <w:sz w:val="20"/>
          <w:szCs w:val="20"/>
          <w:color w:val="auto"/>
        </w:rPr>
        <w:br w:type="column"/>
      </w:r>
    </w:p>
    <w:p>
      <w:pPr>
        <w:ind w:right="240"/>
        <w:spacing w:after="0" w:line="273" w:lineRule="auto"/>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First Amendment to the Credit Agreement and Collateral Agency and Intercreditor</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Agreement, dated July 17, 2014, by and among NRG Marsh Landing LLC, The Royal</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Bank of Scotland Plc, Deutsche Bank Trust Company Americas and the lenders party</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thereto.</w:t>
        </w:r>
      </w:hyperlink>
    </w:p>
    <w:p>
      <w:pPr>
        <w:spacing w:after="0" w:line="108" w:lineRule="exact"/>
        <w:rPr>
          <w:rFonts w:ascii="Arial" w:cs="Arial" w:eastAsia="Arial" w:hAnsi="Arial"/>
          <w:sz w:val="16"/>
          <w:szCs w:val="16"/>
          <w:u w:val="single" w:color="auto"/>
          <w:color w:val="0000FF"/>
        </w:rPr>
      </w:pPr>
    </w:p>
    <w:p>
      <w:pPr>
        <w:ind w:right="200"/>
        <w:spacing w:after="0" w:line="293" w:lineRule="auto"/>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Amended and Restated Limited Liability Company Agreement of NRG RPV Holdco 1</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LLC, dated as of April 9, 2015.</w:t>
        </w:r>
      </w:hyperlink>
    </w:p>
    <w:p>
      <w:pPr>
        <w:spacing w:after="0" w:line="294" w:lineRule="exact"/>
        <w:rPr>
          <w:sz w:val="20"/>
          <w:szCs w:val="20"/>
          <w:color w:val="auto"/>
        </w:rPr>
      </w:pPr>
    </w:p>
    <w:p>
      <w:pPr>
        <w:ind w:right="80"/>
        <w:spacing w:after="0" w:line="293"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Amended and Restated Limited Liability Company Agreement of NRG DGPV Holdco 1</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LLC, dated as of May 8, 2015.</w:t>
        </w:r>
      </w:hyperlink>
    </w:p>
    <w:p>
      <w:pPr>
        <w:spacing w:after="0" w:line="213" w:lineRule="exact"/>
        <w:rPr>
          <w:sz w:val="20"/>
          <w:szCs w:val="20"/>
          <w:color w:val="auto"/>
        </w:rPr>
      </w:pPr>
    </w:p>
    <w:p>
      <w:pPr>
        <w:jc w:val="both"/>
        <w:ind w:right="160"/>
        <w:spacing w:after="0" w:line="305" w:lineRule="auto"/>
        <w:rPr>
          <w:rFonts w:ascii="Arial" w:cs="Arial" w:eastAsia="Arial" w:hAnsi="Arial"/>
          <w:sz w:val="15"/>
          <w:szCs w:val="15"/>
          <w:u w:val="single" w:color="auto"/>
          <w:color w:val="0000FF"/>
        </w:rPr>
      </w:pPr>
      <w:hyperlink r:id="rId153">
        <w:r>
          <w:rPr>
            <w:rFonts w:ascii="Arial" w:cs="Arial" w:eastAsia="Arial" w:hAnsi="Arial"/>
            <w:sz w:val="15"/>
            <w:szCs w:val="15"/>
            <w:u w:val="single" w:color="auto"/>
            <w:color w:val="0000FF"/>
          </w:rPr>
          <w:t>Amendment No. 1 to Amended and Restated Limited Liability Company Agreement of</w:t>
        </w:r>
      </w:hyperlink>
      <w:r>
        <w:rPr>
          <w:rFonts w:ascii="Arial" w:cs="Arial" w:eastAsia="Arial" w:hAnsi="Arial"/>
          <w:sz w:val="15"/>
          <w:szCs w:val="15"/>
          <w:u w:val="single" w:color="auto"/>
          <w:color w:val="0000FF"/>
        </w:rPr>
        <w:t xml:space="preserve"> </w:t>
      </w:r>
      <w:hyperlink r:id="rId153">
        <w:r>
          <w:rPr>
            <w:rFonts w:ascii="Arial" w:cs="Arial" w:eastAsia="Arial" w:hAnsi="Arial"/>
            <w:sz w:val="15"/>
            <w:szCs w:val="15"/>
            <w:u w:val="single" w:color="auto"/>
            <w:color w:val="0000FF"/>
          </w:rPr>
          <w:t>NRG RPV Holdco 1 LLC, dated as of March 1, 2016, by and between NRG Yield RPV</w:t>
        </w:r>
      </w:hyperlink>
      <w:r>
        <w:rPr>
          <w:rFonts w:ascii="Arial" w:cs="Arial" w:eastAsia="Arial" w:hAnsi="Arial"/>
          <w:sz w:val="15"/>
          <w:szCs w:val="15"/>
          <w:u w:val="single" w:color="auto"/>
          <w:color w:val="0000FF"/>
        </w:rPr>
        <w:t xml:space="preserve"> </w:t>
      </w:r>
      <w:hyperlink r:id="rId153">
        <w:r>
          <w:rPr>
            <w:rFonts w:ascii="Arial" w:cs="Arial" w:eastAsia="Arial" w:hAnsi="Arial"/>
            <w:sz w:val="15"/>
            <w:szCs w:val="15"/>
            <w:u w:val="single" w:color="auto"/>
            <w:color w:val="0000FF"/>
          </w:rPr>
          <w:t>Holding LLC and NRG Residential Solar Solutions LLC.</w:t>
        </w:r>
      </w:hyperlink>
    </w:p>
    <w:p>
      <w:pPr>
        <w:spacing w:after="0" w:line="85" w:lineRule="exact"/>
        <w:rPr>
          <w:rFonts w:ascii="Arial" w:cs="Arial" w:eastAsia="Arial" w:hAnsi="Arial"/>
          <w:sz w:val="15"/>
          <w:szCs w:val="15"/>
          <w:u w:val="single" w:color="auto"/>
          <w:color w:val="0000FF"/>
        </w:rPr>
      </w:pPr>
    </w:p>
    <w:p>
      <w:pPr>
        <w:spacing w:after="0" w:line="305" w:lineRule="auto"/>
        <w:rPr>
          <w:rFonts w:ascii="Arial" w:cs="Arial" w:eastAsia="Arial" w:hAnsi="Arial"/>
          <w:sz w:val="15"/>
          <w:szCs w:val="15"/>
          <w:u w:val="single" w:color="auto"/>
          <w:color w:val="0000FF"/>
        </w:rPr>
      </w:pPr>
      <w:hyperlink r:id="rId154">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154">
        <w:r>
          <w:rPr>
            <w:rFonts w:ascii="Arial" w:cs="Arial" w:eastAsia="Arial" w:hAnsi="Arial"/>
            <w:sz w:val="15"/>
            <w:szCs w:val="15"/>
            <w:u w:val="single" w:color="auto"/>
            <w:color w:val="0000FF"/>
          </w:rPr>
          <w:t>NRG DGPV Holdco 1 LLC, dated as of March 1, 2016, by and among NRG Yield DGPV</w:t>
        </w:r>
      </w:hyperlink>
      <w:r>
        <w:rPr>
          <w:rFonts w:ascii="Arial" w:cs="Arial" w:eastAsia="Arial" w:hAnsi="Arial"/>
          <w:sz w:val="15"/>
          <w:szCs w:val="15"/>
          <w:u w:val="single" w:color="auto"/>
          <w:color w:val="0000FF"/>
        </w:rPr>
        <w:t xml:space="preserve"> </w:t>
      </w:r>
      <w:hyperlink r:id="rId154">
        <w:r>
          <w:rPr>
            <w:rFonts w:ascii="Arial" w:cs="Arial" w:eastAsia="Arial" w:hAnsi="Arial"/>
            <w:sz w:val="15"/>
            <w:szCs w:val="15"/>
            <w:u w:val="single" w:color="auto"/>
            <w:color w:val="0000FF"/>
          </w:rPr>
          <w:t>Holding LLC, NRG Renew DG Holdings LLC and NRG Renew LLC.</w:t>
        </w:r>
      </w:hyperlink>
    </w:p>
    <w:p>
      <w:pPr>
        <w:spacing w:after="0" w:line="166" w:lineRule="exact"/>
        <w:rPr>
          <w:rFonts w:ascii="Arial" w:cs="Arial" w:eastAsia="Arial" w:hAnsi="Arial"/>
          <w:sz w:val="15"/>
          <w:szCs w:val="15"/>
          <w:u w:val="single" w:color="auto"/>
          <w:color w:val="0000FF"/>
        </w:rPr>
      </w:pPr>
    </w:p>
    <w:p>
      <w:pPr>
        <w:ind w:right="80"/>
        <w:spacing w:after="0" w:line="278" w:lineRule="auto"/>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Amended and Restated Limited Liability Company Agreement of NRG DGPV Holdco 2</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LLC, dated as of March 1, 2016, by and among NRG Yield DGPV Holding LLC, NRG</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Renew DG Holdings LLC, and NRG Renew LLC.</w:t>
        </w:r>
      </w:hyperlink>
    </w:p>
    <w:p>
      <w:pPr>
        <w:spacing w:after="0" w:line="184" w:lineRule="exact"/>
        <w:rPr>
          <w:rFonts w:ascii="Arial" w:cs="Arial" w:eastAsia="Arial" w:hAnsi="Arial"/>
          <w:sz w:val="16"/>
          <w:szCs w:val="16"/>
          <w:u w:val="single" w:color="auto"/>
          <w:color w:val="0000FF"/>
        </w:rPr>
      </w:pPr>
    </w:p>
    <w:p>
      <w:pPr>
        <w:jc w:val="both"/>
        <w:ind w:right="120"/>
        <w:spacing w:after="0" w:line="305" w:lineRule="auto"/>
        <w:rPr>
          <w:rFonts w:ascii="Arial" w:cs="Arial" w:eastAsia="Arial" w:hAnsi="Arial"/>
          <w:sz w:val="15"/>
          <w:szCs w:val="15"/>
          <w:u w:val="single" w:color="auto"/>
          <w:color w:val="0000FF"/>
        </w:rPr>
      </w:pPr>
      <w:hyperlink r:id="rId156">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156">
        <w:r>
          <w:rPr>
            <w:rFonts w:ascii="Arial" w:cs="Arial" w:eastAsia="Arial" w:hAnsi="Arial"/>
            <w:sz w:val="15"/>
            <w:szCs w:val="15"/>
            <w:u w:val="single" w:color="auto"/>
            <w:color w:val="0000FF"/>
          </w:rPr>
          <w:t>NRG RPV Holdco 1 LLC, dated as of August 5, 2016, by and between NRG Yield RPV</w:t>
        </w:r>
      </w:hyperlink>
      <w:r>
        <w:rPr>
          <w:rFonts w:ascii="Arial" w:cs="Arial" w:eastAsia="Arial" w:hAnsi="Arial"/>
          <w:sz w:val="15"/>
          <w:szCs w:val="15"/>
          <w:u w:val="single" w:color="auto"/>
          <w:color w:val="0000FF"/>
        </w:rPr>
        <w:t xml:space="preserve"> </w:t>
      </w:r>
      <w:hyperlink r:id="rId156">
        <w:r>
          <w:rPr>
            <w:rFonts w:ascii="Arial" w:cs="Arial" w:eastAsia="Arial" w:hAnsi="Arial"/>
            <w:sz w:val="15"/>
            <w:szCs w:val="15"/>
            <w:u w:val="single" w:color="auto"/>
            <w:color w:val="0000FF"/>
          </w:rPr>
          <w:t>Holding LLC and NRG Residential Solar Solutions LLC.</w:t>
        </w:r>
      </w:hyperlink>
    </w:p>
    <w:p>
      <w:pPr>
        <w:spacing w:after="0" w:line="207" w:lineRule="exact"/>
        <w:rPr>
          <w:rFonts w:ascii="Arial" w:cs="Arial" w:eastAsia="Arial" w:hAnsi="Arial"/>
          <w:sz w:val="15"/>
          <w:szCs w:val="15"/>
          <w:u w:val="single" w:color="auto"/>
          <w:color w:val="0000FF"/>
        </w:rPr>
      </w:pPr>
    </w:p>
    <w:p>
      <w:pPr>
        <w:ind w:right="600"/>
        <w:spacing w:after="0" w:line="293"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Employment Agreement, dated as of May 6, 2016, between NRG Yield, Inc. and</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Christopher S. Sotos.</w:t>
        </w:r>
      </w:hyperlink>
    </w:p>
    <w:p>
      <w:pPr>
        <w:spacing w:after="0" w:line="375" w:lineRule="exact"/>
        <w:rPr>
          <w:sz w:val="20"/>
          <w:szCs w:val="20"/>
          <w:color w:val="auto"/>
        </w:rPr>
      </w:pPr>
    </w:p>
    <w:p>
      <w:pPr>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Amendment, dated January 1, 2018 to Employment Agreement between NRG Yield, Inc.</w:t>
        </w:r>
      </w:hyperlink>
    </w:p>
    <w:p>
      <w:pPr>
        <w:spacing w:after="0" w:line="45" w:lineRule="exact"/>
        <w:rPr>
          <w:sz w:val="20"/>
          <w:szCs w:val="20"/>
          <w:color w:val="auto"/>
        </w:rPr>
      </w:pPr>
    </w:p>
    <w:p>
      <w:pPr>
        <w:spacing w:after="0"/>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and Christopher Sotos.</w:t>
        </w:r>
      </w:hyperlink>
    </w:p>
    <w:p>
      <w:pPr>
        <w:spacing w:after="0" w:line="231" w:lineRule="exact"/>
        <w:rPr>
          <w:sz w:val="20"/>
          <w:szCs w:val="20"/>
          <w:color w:val="auto"/>
        </w:rPr>
      </w:pPr>
    </w:p>
    <w:p>
      <w:pPr>
        <w:ind w:right="580"/>
        <w:spacing w:after="0" w:line="293"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Agreement for Officers.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80"/>
        <w:spacing w:after="0" w:line="293"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Agreement for Non-officers.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93"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Form of Clearway Energy, Inc. 2013 Equity Incentive Plan Relative Performance Stock</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Unit Agreement.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Clearway Energy, Inc. Annual Incentive Plan.</w:t>
        </w:r>
      </w:hyperlink>
    </w:p>
    <w:p>
      <w:pPr>
        <w:spacing w:after="0" w:line="20" w:lineRule="exact"/>
        <w:rPr>
          <w:sz w:val="20"/>
          <w:szCs w:val="20"/>
          <w:color w:val="auto"/>
        </w:rPr>
      </w:pPr>
      <w:r>
        <w:rPr>
          <w:sz w:val="20"/>
          <w:szCs w:val="20"/>
          <w:color w:val="auto"/>
        </w:rPr>
        <w:br w:type="column"/>
      </w: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7, 2014.</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4, 2015.</w:t>
      </w:r>
    </w:p>
    <w:p>
      <w:pPr>
        <w:spacing w:after="0" w:line="184"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4, 2015.</w:t>
      </w:r>
    </w:p>
    <w:p>
      <w:pPr>
        <w:spacing w:after="0" w:line="22"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5, 2016.</w:t>
      </w:r>
    </w:p>
    <w:p>
      <w:pPr>
        <w:spacing w:after="0" w:line="16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10.2 to the Company's Quarterly Report on Form 10-Q filed on May 5, 2016.</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10.3 to the Company's Quarterly Report on Form 10-Q filed on May 5, 2016.</w:t>
      </w:r>
    </w:p>
    <w:p>
      <w:pPr>
        <w:spacing w:after="0" w:line="32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9, 2016.</w:t>
      </w:r>
    </w:p>
    <w:p>
      <w:pPr>
        <w:spacing w:after="0" w:line="306"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8-K/A, filed on August 9, 2016.</w:t>
      </w:r>
    </w:p>
    <w:p>
      <w:pPr>
        <w:spacing w:after="0" w:line="103"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10.28 to the Company's Annual Report on Form 10-K filed on March 1, 2018.</w:t>
      </w:r>
    </w:p>
    <w:p>
      <w:pPr>
        <w:spacing w:after="0" w:line="20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10.22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10.23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10.24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10.25 to the Company's Annual Report on Form 10-K filed on February 28, 2019.</w:t>
      </w:r>
    </w:p>
    <w:p>
      <w:pPr>
        <w:spacing w:after="0" w:line="103" w:lineRule="exact"/>
        <w:rPr>
          <w:sz w:val="20"/>
          <w:szCs w:val="20"/>
          <w:color w:val="auto"/>
        </w:rPr>
      </w:pPr>
    </w:p>
    <w:p>
      <w:pPr>
        <w:sectPr>
          <w:pgSz w:w="11900" w:h="16838" w:orient="portrait"/>
          <w:cols w:equalWidth="0" w:num="3">
            <w:col w:w="480" w:space="560"/>
            <w:col w:w="5840" w:space="200"/>
            <w:col w:w="4280"/>
          </w:cols>
          <w:pgMar w:left="280" w:top="846" w:right="259" w:bottom="0" w:gutter="0" w:footer="0" w:header="0"/>
        </w:sectPr>
      </w:pPr>
    </w:p>
    <w:p>
      <w:pPr>
        <w:spacing w:after="0"/>
        <w:rPr>
          <w:sz w:val="20"/>
          <w:szCs w:val="20"/>
          <w:color w:val="auto"/>
        </w:rPr>
      </w:pPr>
      <w:r>
        <w:rPr>
          <w:rFonts w:ascii="Arial" w:cs="Arial" w:eastAsia="Arial" w:hAnsi="Arial"/>
          <w:sz w:val="14"/>
          <w:szCs w:val="14"/>
          <w:color w:val="auto"/>
        </w:rPr>
        <w:t>10.26†</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10.28†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10.30</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Borders>
              <w:bottom w:val="single" w:sz="8" w:color="0000FF"/>
            </w:tcBorders>
            <w:gridSpan w:val="2"/>
          </w:tcPr>
          <w:p>
            <w:pPr>
              <w:spacing w:after="0"/>
              <w:rPr>
                <w:rFonts w:ascii="Arial" w:cs="Arial" w:eastAsia="Arial" w:hAnsi="Arial"/>
                <w:sz w:val="16"/>
                <w:szCs w:val="16"/>
                <w:color w:val="0000FF"/>
                <w:w w:val="91"/>
              </w:rPr>
            </w:pPr>
            <w:hyperlink w:anchor="page160">
              <w:r>
                <w:rPr>
                  <w:rFonts w:ascii="Arial" w:cs="Arial" w:eastAsia="Arial" w:hAnsi="Arial"/>
                  <w:sz w:val="16"/>
                  <w:szCs w:val="16"/>
                  <w:color w:val="0000FF"/>
                  <w:w w:val="91"/>
                </w:rPr>
                <w:t>Clearway Energy, Inc. Involuntary Severance Plan.</w:t>
              </w:r>
            </w:hyperlink>
          </w:p>
        </w:tc>
        <w:tc>
          <w:tcPr>
            <w:tcW w:w="2620" w:type="dxa"/>
            <w:vAlign w:val="bottom"/>
            <w:gridSpan w:val="8"/>
          </w:tcPr>
          <w:p>
            <w:pPr>
              <w:spacing w:after="0"/>
              <w:rPr>
                <w:sz w:val="16"/>
                <w:szCs w:val="16"/>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399"/>
        </w:trPr>
        <w:tc>
          <w:tcPr>
            <w:tcW w:w="530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172">
              <w:r>
                <w:rPr>
                  <w:rFonts w:ascii="Arial" w:cs="Arial" w:eastAsia="Arial" w:hAnsi="Arial"/>
                  <w:sz w:val="16"/>
                  <w:szCs w:val="16"/>
                  <w:color w:val="0000FF"/>
                  <w:w w:val="91"/>
                </w:rPr>
                <w:t>Clearway Energy, Inc. Executive Change-in-Control and General Severance Plan.</w:t>
              </w:r>
            </w:hyperlink>
          </w:p>
        </w:tc>
        <w:tc>
          <w:tcPr>
            <w:tcW w:w="640" w:type="dxa"/>
            <w:vAlign w:val="bottom"/>
            <w:gridSpan w:val="6"/>
          </w:tcPr>
          <w:p>
            <w:pPr>
              <w:spacing w:after="0"/>
              <w:rPr>
                <w:sz w:val="24"/>
                <w:szCs w:val="24"/>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763"/>
        </w:trPr>
        <w:tc>
          <w:tcPr>
            <w:tcW w:w="5940" w:type="dxa"/>
            <w:vAlign w:val="bottom"/>
            <w:gridSpan w:val="10"/>
          </w:tcPr>
          <w:p>
            <w:pPr>
              <w:spacing w:after="0"/>
              <w:rPr>
                <w:rFonts w:ascii="Arial" w:cs="Arial" w:eastAsia="Arial" w:hAnsi="Arial"/>
                <w:sz w:val="16"/>
                <w:szCs w:val="16"/>
                <w:color w:val="0000FF"/>
                <w:w w:val="93"/>
              </w:rPr>
            </w:pPr>
            <w:hyperlink w:anchor="page192">
              <w:r>
                <w:rPr>
                  <w:rFonts w:ascii="Arial" w:cs="Arial" w:eastAsia="Arial" w:hAnsi="Arial"/>
                  <w:sz w:val="16"/>
                  <w:szCs w:val="16"/>
                  <w:color w:val="0000FF"/>
                  <w:w w:val="93"/>
                </w:rPr>
                <w:t>Clearway Energy, Inc. Key Management Change-in-Control and General Severance Plan.</w:t>
              </w:r>
            </w:hyperlink>
          </w:p>
        </w:tc>
        <w:tc>
          <w:tcPr>
            <w:tcW w:w="420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763"/>
        </w:trPr>
        <w:tc>
          <w:tcPr>
            <w:tcW w:w="5800" w:type="dxa"/>
            <w:vAlign w:val="bottom"/>
            <w:tcBorders>
              <w:top w:val="single" w:sz="8" w:color="0000FF"/>
            </w:tcBorders>
            <w:gridSpan w:val="8"/>
          </w:tcPr>
          <w:p>
            <w:pPr>
              <w:spacing w:after="0"/>
              <w:rPr>
                <w:rFonts w:ascii="Arial" w:cs="Arial" w:eastAsia="Arial" w:hAnsi="Arial"/>
                <w:sz w:val="16"/>
                <w:szCs w:val="16"/>
                <w:color w:val="0000FF"/>
                <w:w w:val="94"/>
              </w:rPr>
            </w:pPr>
            <w:hyperlink r:id="rId163">
              <w:r>
                <w:rPr>
                  <w:rFonts w:ascii="Arial" w:cs="Arial" w:eastAsia="Arial" w:hAnsi="Arial"/>
                  <w:sz w:val="16"/>
                  <w:szCs w:val="16"/>
                  <w:color w:val="0000FF"/>
                  <w:w w:val="94"/>
                </w:rPr>
                <w:t>Consent and Indemnity Agreement, dated as of February 6, 2018, by and among NRG</w:t>
              </w:r>
            </w:hyperlink>
          </w:p>
        </w:tc>
        <w:tc>
          <w:tcPr>
            <w:tcW w:w="140" w:type="dxa"/>
            <w:vAlign w:val="bottom"/>
            <w:gridSpan w:val="2"/>
          </w:tcPr>
          <w:p>
            <w:pPr>
              <w:spacing w:after="0"/>
              <w:rPr>
                <w:sz w:val="24"/>
                <w:szCs w:val="24"/>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w w:val="95"/>
              </w:rPr>
              <w:t>Incorporated by reference to Exhibit 10.34 to the Company's</w:t>
            </w:r>
          </w:p>
        </w:tc>
      </w:tr>
      <w:tr>
        <w:trPr>
          <w:trHeight w:val="183"/>
        </w:trPr>
        <w:tc>
          <w:tcPr>
            <w:tcW w:w="5580" w:type="dxa"/>
            <w:vAlign w:val="bottom"/>
            <w:tcBorders>
              <w:top w:val="single" w:sz="8" w:color="0000FF"/>
            </w:tcBorders>
            <w:gridSpan w:val="7"/>
          </w:tcPr>
          <w:p>
            <w:pPr>
              <w:spacing w:after="0" w:line="183" w:lineRule="exact"/>
              <w:rPr>
                <w:rFonts w:ascii="Arial" w:cs="Arial" w:eastAsia="Arial" w:hAnsi="Arial"/>
                <w:sz w:val="16"/>
                <w:szCs w:val="16"/>
                <w:color w:val="0000FF"/>
                <w:w w:val="96"/>
              </w:rPr>
            </w:pPr>
            <w:hyperlink r:id="rId163">
              <w:r>
                <w:rPr>
                  <w:rFonts w:ascii="Arial" w:cs="Arial" w:eastAsia="Arial" w:hAnsi="Arial"/>
                  <w:sz w:val="16"/>
                  <w:szCs w:val="16"/>
                  <w:color w:val="0000FF"/>
                  <w:w w:val="96"/>
                </w:rPr>
                <w:t>Energy, Inc., NRG Repowering Holdings LLC, NRG Yield, Inc., and GIP III Zephyr</w:t>
              </w:r>
            </w:hyperlink>
          </w:p>
        </w:tc>
        <w:tc>
          <w:tcPr>
            <w:tcW w:w="360" w:type="dxa"/>
            <w:vAlign w:val="bottom"/>
            <w:gridSpan w:val="3"/>
          </w:tcPr>
          <w:p>
            <w:pPr>
              <w:spacing w:after="0"/>
              <w:rPr>
                <w:sz w:val="15"/>
                <w:szCs w:val="15"/>
                <w:color w:val="auto"/>
              </w:rPr>
            </w:pPr>
          </w:p>
        </w:tc>
        <w:tc>
          <w:tcPr>
            <w:tcW w:w="4200" w:type="dxa"/>
            <w:vAlign w:val="bottom"/>
          </w:tcPr>
          <w:p>
            <w:pPr>
              <w:ind w:left="100"/>
              <w:spacing w:after="0" w:line="183" w:lineRule="exact"/>
              <w:rPr>
                <w:sz w:val="20"/>
                <w:szCs w:val="20"/>
                <w:color w:val="auto"/>
              </w:rPr>
            </w:pPr>
            <w:r>
              <w:rPr>
                <w:rFonts w:ascii="Arial" w:cs="Arial" w:eastAsia="Arial" w:hAnsi="Arial"/>
                <w:sz w:val="16"/>
                <w:szCs w:val="16"/>
                <w:color w:val="auto"/>
              </w:rPr>
              <w:t>Annual Report on Form 10-K, filed on March 1, 2018.</w:t>
            </w:r>
          </w:p>
        </w:tc>
      </w:tr>
      <w:tr>
        <w:trPr>
          <w:trHeight w:val="20"/>
        </w:trPr>
        <w:tc>
          <w:tcPr>
            <w:tcW w:w="1240" w:type="dxa"/>
            <w:vAlign w:val="bottom"/>
            <w:shd w:val="clear" w:color="auto" w:fill="0000FF"/>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83"/>
        </w:trPr>
        <w:tc>
          <w:tcPr>
            <w:tcW w:w="5940" w:type="dxa"/>
            <w:vAlign w:val="bottom"/>
            <w:gridSpan w:val="10"/>
          </w:tcPr>
          <w:p>
            <w:pPr>
              <w:spacing w:after="0" w:line="183" w:lineRule="exact"/>
              <w:rPr>
                <w:rFonts w:ascii="Arial" w:cs="Arial" w:eastAsia="Arial" w:hAnsi="Arial"/>
                <w:sz w:val="16"/>
                <w:szCs w:val="16"/>
                <w:color w:val="0000FF"/>
                <w:w w:val="94"/>
              </w:rPr>
            </w:pPr>
            <w:hyperlink r:id="rId163">
              <w:r>
                <w:rPr>
                  <w:rFonts w:ascii="Arial" w:cs="Arial" w:eastAsia="Arial" w:hAnsi="Arial"/>
                  <w:sz w:val="16"/>
                  <w:szCs w:val="16"/>
                  <w:color w:val="0000FF"/>
                  <w:w w:val="94"/>
                </w:rPr>
                <w:t>Acquisition Partners, L.P., and NRG Yield Operating LLC (solely with respect to Sections</w:t>
              </w:r>
            </w:hyperlink>
          </w:p>
        </w:tc>
        <w:tc>
          <w:tcPr>
            <w:tcW w:w="4200" w:type="dxa"/>
            <w:vAlign w:val="bottom"/>
          </w:tcPr>
          <w:p>
            <w:pPr>
              <w:spacing w:after="0"/>
              <w:rPr>
                <w:sz w:val="15"/>
                <w:szCs w:val="15"/>
                <w:color w:val="auto"/>
              </w:rPr>
            </w:pPr>
          </w:p>
        </w:tc>
      </w:tr>
      <w:tr>
        <w:trPr>
          <w:trHeight w:val="183"/>
        </w:trPr>
        <w:tc>
          <w:tcPr>
            <w:tcW w:w="584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163">
              <w:r>
                <w:rPr>
                  <w:rFonts w:ascii="Arial" w:cs="Arial" w:eastAsia="Arial" w:hAnsi="Arial"/>
                  <w:sz w:val="16"/>
                  <w:szCs w:val="16"/>
                  <w:color w:val="0000FF"/>
                </w:rPr>
                <w:t>E.5, E.6 and G.12).</w:t>
              </w:r>
            </w:hyperlink>
          </w:p>
        </w:tc>
        <w:tc>
          <w:tcPr>
            <w:tcW w:w="10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99"/>
        </w:trPr>
        <w:tc>
          <w:tcPr>
            <w:tcW w:w="5380" w:type="dxa"/>
            <w:vAlign w:val="bottom"/>
            <w:tcBorders>
              <w:bottom w:val="single" w:sz="8" w:color="0000FF"/>
            </w:tcBorders>
            <w:gridSpan w:val="5"/>
          </w:tcPr>
          <w:p>
            <w:pPr>
              <w:spacing w:after="0"/>
              <w:rPr>
                <w:rFonts w:ascii="Arial" w:cs="Arial" w:eastAsia="Arial" w:hAnsi="Arial"/>
                <w:sz w:val="16"/>
                <w:szCs w:val="16"/>
                <w:color w:val="0000FF"/>
                <w:w w:val="91"/>
              </w:rPr>
            </w:pPr>
            <w:hyperlink r:id="rId164">
              <w:r>
                <w:rPr>
                  <w:rFonts w:ascii="Arial" w:cs="Arial" w:eastAsia="Arial" w:hAnsi="Arial"/>
                  <w:sz w:val="16"/>
                  <w:szCs w:val="16"/>
                  <w:color w:val="0000FF"/>
                  <w:w w:val="91"/>
                </w:rPr>
                <w:t>Assignment and Assumption Agreement, effective as of February 26, 2019, among</w:t>
              </w:r>
            </w:hyperlink>
          </w:p>
        </w:tc>
        <w:tc>
          <w:tcPr>
            <w:tcW w:w="560" w:type="dxa"/>
            <w:vAlign w:val="bottom"/>
            <w:gridSpan w:val="5"/>
          </w:tcPr>
          <w:p>
            <w:pPr>
              <w:spacing w:after="0"/>
              <w:rPr>
                <w:sz w:val="24"/>
                <w:szCs w:val="24"/>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Incorporated herein by reference to Exhibit 10.30 to the</w:t>
            </w:r>
          </w:p>
        </w:tc>
      </w:tr>
      <w:tr>
        <w:trPr>
          <w:trHeight w:val="183"/>
        </w:trPr>
        <w:tc>
          <w:tcPr>
            <w:tcW w:w="5940" w:type="dxa"/>
            <w:vAlign w:val="bottom"/>
            <w:gridSpan w:val="10"/>
          </w:tcPr>
          <w:p>
            <w:pPr>
              <w:spacing w:after="0" w:line="183" w:lineRule="exact"/>
              <w:rPr>
                <w:rFonts w:ascii="Arial" w:cs="Arial" w:eastAsia="Arial" w:hAnsi="Arial"/>
                <w:sz w:val="16"/>
                <w:szCs w:val="16"/>
                <w:color w:val="0000FF"/>
              </w:rPr>
            </w:pPr>
            <w:hyperlink r:id="rId164">
              <w:r>
                <w:rPr>
                  <w:rFonts w:ascii="Arial" w:cs="Arial" w:eastAsia="Arial" w:hAnsi="Arial"/>
                  <w:sz w:val="16"/>
                  <w:szCs w:val="16"/>
                  <w:color w:val="0000FF"/>
                </w:rPr>
                <w:t>Clearway Energy Operating LLC and GIP III Zephyr Carlsbad Holdings, LLC.</w:t>
              </w:r>
            </w:hyperlink>
          </w:p>
        </w:tc>
        <w:tc>
          <w:tcPr>
            <w:tcW w:w="4200" w:type="dxa"/>
            <w:vAlign w:val="bottom"/>
          </w:tcPr>
          <w:p>
            <w:pPr>
              <w:ind w:left="100"/>
              <w:spacing w:after="0" w:line="183" w:lineRule="exact"/>
              <w:rPr>
                <w:sz w:val="20"/>
                <w:szCs w:val="20"/>
                <w:color w:val="auto"/>
              </w:rPr>
            </w:pPr>
            <w:r>
              <w:rPr>
                <w:rFonts w:ascii="Arial" w:cs="Arial" w:eastAsia="Arial" w:hAnsi="Arial"/>
                <w:sz w:val="16"/>
                <w:szCs w:val="16"/>
                <w:color w:val="auto"/>
                <w:w w:val="92"/>
              </w:rPr>
              <w:t>Company's Annual Report on Form 10-K filed on February 28,</w:t>
            </w:r>
          </w:p>
        </w:tc>
      </w:tr>
      <w:tr>
        <w:trPr>
          <w:trHeight w:val="217"/>
        </w:trPr>
        <w:tc>
          <w:tcPr>
            <w:tcW w:w="1240" w:type="dxa"/>
            <w:vAlign w:val="bottom"/>
            <w:tcBorders>
              <w:top w:val="single" w:sz="8" w:color="0000FF"/>
            </w:tcBorders>
          </w:tcPr>
          <w:p>
            <w:pPr>
              <w:spacing w:after="0"/>
              <w:rPr>
                <w:sz w:val="18"/>
                <w:szCs w:val="18"/>
                <w:color w:val="auto"/>
              </w:rPr>
            </w:pPr>
          </w:p>
        </w:tc>
        <w:tc>
          <w:tcPr>
            <w:tcW w:w="2080" w:type="dxa"/>
            <w:vAlign w:val="bottom"/>
            <w:tcBorders>
              <w:top w:val="single" w:sz="8" w:color="0000FF"/>
            </w:tcBorders>
          </w:tcPr>
          <w:p>
            <w:pPr>
              <w:spacing w:after="0"/>
              <w:rPr>
                <w:sz w:val="18"/>
                <w:szCs w:val="18"/>
                <w:color w:val="auto"/>
              </w:rPr>
            </w:pPr>
          </w:p>
        </w:tc>
        <w:tc>
          <w:tcPr>
            <w:tcW w:w="180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2019.</w:t>
            </w:r>
          </w:p>
        </w:tc>
      </w:tr>
    </w:tbl>
    <w:p>
      <w:pPr>
        <w:sectPr>
          <w:pgSz w:w="11900" w:h="16838" w:orient="portrait"/>
          <w:cols w:equalWidth="0" w:num="2">
            <w:col w:w="440" w:space="600"/>
            <w:col w:w="10320"/>
          </w:cols>
          <w:pgMar w:left="280" w:top="846" w:right="259" w:bottom="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9019"/>
          </w:cols>
          <w:pgMar w:left="1440" w:top="733" w:right="1440" w:bottom="1440" w:gutter="0" w:footer="0" w:header="0"/>
        </w:sectPr>
      </w:pPr>
    </w:p>
    <w:bookmarkStart w:id="145" w:name="page146"/>
    <w:bookmarkEnd w:id="145"/>
    <w:p>
      <w:pPr>
        <w:ind w:left="5"/>
        <w:spacing w:after="0"/>
        <w:rPr>
          <w:sz w:val="20"/>
          <w:szCs w:val="20"/>
          <w:color w:val="auto"/>
        </w:rPr>
      </w:pPr>
      <w:r>
        <w:rPr>
          <w:rFonts w:ascii="Arial" w:cs="Arial" w:eastAsia="Arial" w:hAnsi="Arial"/>
          <w:sz w:val="15"/>
          <w:szCs w:val="15"/>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
        <w:spacing w:after="0"/>
        <w:rPr>
          <w:sz w:val="20"/>
          <w:szCs w:val="20"/>
          <w:color w:val="auto"/>
        </w:rPr>
      </w:pPr>
      <w:r>
        <w:rPr>
          <w:rFonts w:ascii="Arial" w:cs="Arial" w:eastAsia="Arial" w:hAnsi="Arial"/>
          <w:sz w:val="15"/>
          <w:szCs w:val="15"/>
          <w:color w:val="auto"/>
        </w:rPr>
        <w:t>10.32*+</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940" w:type="dxa"/>
            <w:vAlign w:val="bottom"/>
            <w:gridSpan w:val="7"/>
          </w:tcPr>
          <w:p>
            <w:pPr>
              <w:spacing w:after="0"/>
              <w:rPr>
                <w:rFonts w:ascii="Arial" w:cs="Arial" w:eastAsia="Arial" w:hAnsi="Arial"/>
                <w:sz w:val="16"/>
                <w:szCs w:val="16"/>
                <w:color w:val="0000FF"/>
                <w:w w:val="96"/>
              </w:rPr>
            </w:pPr>
            <w:hyperlink w:anchor="page213">
              <w:r>
                <w:rPr>
                  <w:rFonts w:ascii="Arial" w:cs="Arial" w:eastAsia="Arial" w:hAnsi="Arial"/>
                  <w:sz w:val="16"/>
                  <w:szCs w:val="16"/>
                  <w:color w:val="0000FF"/>
                  <w:w w:val="96"/>
                </w:rPr>
                <w:t>Amended and Restated Limited Liability Company Agreement of NRG DGPV Holdco 3</w:t>
              </w:r>
            </w:hyperlink>
          </w:p>
        </w:tc>
        <w:tc>
          <w:tcPr>
            <w:tcW w:w="1080" w:type="dxa"/>
            <w:vAlign w:val="bottom"/>
          </w:tcPr>
          <w:p>
            <w:pPr>
              <w:ind w:left="100"/>
              <w:spacing w:after="0"/>
              <w:rPr>
                <w:sz w:val="20"/>
                <w:szCs w:val="20"/>
                <w:color w:val="auto"/>
              </w:rPr>
            </w:pPr>
            <w:r>
              <w:rPr>
                <w:rFonts w:ascii="Arial" w:cs="Arial" w:eastAsia="Arial" w:hAnsi="Arial"/>
                <w:sz w:val="16"/>
                <w:szCs w:val="16"/>
                <w:color w:val="auto"/>
                <w:w w:val="92"/>
              </w:rPr>
              <w:t>Filed herewith.</w:t>
            </w:r>
          </w:p>
        </w:tc>
      </w:tr>
      <w:tr>
        <w:trPr>
          <w:trHeight w:val="183"/>
        </w:trPr>
        <w:tc>
          <w:tcPr>
            <w:tcW w:w="5760" w:type="dxa"/>
            <w:vAlign w:val="bottom"/>
            <w:tcBorders>
              <w:top w:val="single" w:sz="8" w:color="0000FF"/>
            </w:tcBorders>
            <w:gridSpan w:val="5"/>
          </w:tcPr>
          <w:p>
            <w:pPr>
              <w:spacing w:after="0" w:line="183" w:lineRule="exact"/>
              <w:rPr>
                <w:rFonts w:ascii="Arial" w:cs="Arial" w:eastAsia="Arial" w:hAnsi="Arial"/>
                <w:sz w:val="16"/>
                <w:szCs w:val="16"/>
                <w:color w:val="0000FF"/>
                <w:w w:val="97"/>
              </w:rPr>
            </w:pPr>
            <w:hyperlink w:anchor="page213">
              <w:r>
                <w:rPr>
                  <w:rFonts w:ascii="Arial" w:cs="Arial" w:eastAsia="Arial" w:hAnsi="Arial"/>
                  <w:sz w:val="16"/>
                  <w:szCs w:val="16"/>
                  <w:color w:val="0000FF"/>
                  <w:w w:val="97"/>
                </w:rPr>
                <w:t>LLC, dated September 26, 2017 by and amount NRG Yield DGPV Holding LLC and</w:t>
              </w:r>
            </w:hyperlink>
          </w:p>
        </w:tc>
        <w:tc>
          <w:tcPr>
            <w:tcW w:w="18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552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w:anchor="page213">
              <w:r>
                <w:rPr>
                  <w:rFonts w:ascii="Arial" w:cs="Arial" w:eastAsia="Arial" w:hAnsi="Arial"/>
                  <w:sz w:val="16"/>
                  <w:szCs w:val="16"/>
                  <w:color w:val="0000FF"/>
                </w:rPr>
                <w:t>NRG Renew DG Holdings LLC.</w:t>
              </w:r>
            </w:hyperlink>
          </w:p>
        </w:tc>
        <w:tc>
          <w:tcPr>
            <w:tcW w:w="420" w:type="dxa"/>
            <w:vAlign w:val="bottom"/>
            <w:gridSpan w:val="4"/>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1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9"/>
        </w:trPr>
        <w:tc>
          <w:tcPr>
            <w:tcW w:w="5940" w:type="dxa"/>
            <w:vAlign w:val="bottom"/>
            <w:gridSpan w:val="7"/>
          </w:tcPr>
          <w:p>
            <w:pPr>
              <w:spacing w:after="0"/>
              <w:rPr>
                <w:rFonts w:ascii="Arial" w:cs="Arial" w:eastAsia="Arial" w:hAnsi="Arial"/>
                <w:sz w:val="16"/>
                <w:szCs w:val="16"/>
                <w:color w:val="0000FF"/>
                <w:w w:val="93"/>
              </w:rPr>
            </w:pPr>
            <w:hyperlink w:anchor="page282">
              <w:r>
                <w:rPr>
                  <w:rFonts w:ascii="Arial" w:cs="Arial" w:eastAsia="Arial" w:hAnsi="Arial"/>
                  <w:sz w:val="16"/>
                  <w:szCs w:val="16"/>
                  <w:color w:val="0000FF"/>
                  <w:w w:val="93"/>
                </w:rPr>
                <w:t>First Amendment to Amended and Restated Limited Liability Company Agreement, dated</w:t>
              </w:r>
            </w:hyperlink>
          </w:p>
        </w:tc>
        <w:tc>
          <w:tcPr>
            <w:tcW w:w="1080" w:type="dxa"/>
            <w:vAlign w:val="bottom"/>
          </w:tcPr>
          <w:p>
            <w:pPr>
              <w:ind w:left="100"/>
              <w:spacing w:after="0"/>
              <w:rPr>
                <w:sz w:val="20"/>
                <w:szCs w:val="20"/>
                <w:color w:val="auto"/>
              </w:rPr>
            </w:pPr>
            <w:r>
              <w:rPr>
                <w:rFonts w:ascii="Arial" w:cs="Arial" w:eastAsia="Arial" w:hAnsi="Arial"/>
                <w:sz w:val="16"/>
                <w:szCs w:val="16"/>
                <w:color w:val="auto"/>
                <w:w w:val="92"/>
              </w:rPr>
              <w:t>Filed herewith.</w:t>
            </w:r>
          </w:p>
        </w:tc>
      </w:tr>
      <w:tr>
        <w:trPr>
          <w:trHeight w:val="183"/>
        </w:trPr>
        <w:tc>
          <w:tcPr>
            <w:tcW w:w="5860" w:type="dxa"/>
            <w:vAlign w:val="bottom"/>
            <w:tcBorders>
              <w:top w:val="single" w:sz="8" w:color="0000FF"/>
            </w:tcBorders>
            <w:gridSpan w:val="6"/>
          </w:tcPr>
          <w:p>
            <w:pPr>
              <w:spacing w:after="0" w:line="183" w:lineRule="exact"/>
              <w:rPr>
                <w:rFonts w:ascii="Arial" w:cs="Arial" w:eastAsia="Arial" w:hAnsi="Arial"/>
                <w:sz w:val="16"/>
                <w:szCs w:val="16"/>
                <w:color w:val="0000FF"/>
                <w:w w:val="96"/>
              </w:rPr>
            </w:pPr>
            <w:hyperlink w:anchor="page282">
              <w:r>
                <w:rPr>
                  <w:rFonts w:ascii="Arial" w:cs="Arial" w:eastAsia="Arial" w:hAnsi="Arial"/>
                  <w:sz w:val="16"/>
                  <w:szCs w:val="16"/>
                  <w:color w:val="0000FF"/>
                  <w:w w:val="96"/>
                </w:rPr>
                <w:t>as of December 26, 2018, by and among DGPV Holding LLC (f/k/a NRG Yield DGPV</w:t>
              </w:r>
            </w:hyperlink>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6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5940" w:type="dxa"/>
            <w:vAlign w:val="bottom"/>
            <w:gridSpan w:val="7"/>
          </w:tcPr>
          <w:p>
            <w:pPr>
              <w:spacing w:after="0" w:line="183" w:lineRule="exact"/>
              <w:rPr>
                <w:rFonts w:ascii="Arial" w:cs="Arial" w:eastAsia="Arial" w:hAnsi="Arial"/>
                <w:sz w:val="16"/>
                <w:szCs w:val="16"/>
                <w:color w:val="0000FF"/>
                <w:w w:val="96"/>
              </w:rPr>
            </w:pPr>
            <w:hyperlink w:anchor="page282">
              <w:r>
                <w:rPr>
                  <w:rFonts w:ascii="Arial" w:cs="Arial" w:eastAsia="Arial" w:hAnsi="Arial"/>
                  <w:sz w:val="16"/>
                  <w:szCs w:val="16"/>
                  <w:color w:val="0000FF"/>
                  <w:w w:val="96"/>
                </w:rPr>
                <w:t>Holding LLC), a Delaware limited liability company, and Renew DG Holdings LLC (f/k/a</w:t>
              </w:r>
            </w:hyperlink>
          </w:p>
        </w:tc>
        <w:tc>
          <w:tcPr>
            <w:tcW w:w="1080" w:type="dxa"/>
            <w:vAlign w:val="bottom"/>
          </w:tcPr>
          <w:p>
            <w:pPr>
              <w:spacing w:after="0"/>
              <w:rPr>
                <w:sz w:val="15"/>
                <w:szCs w:val="15"/>
                <w:color w:val="auto"/>
              </w:rPr>
            </w:pPr>
          </w:p>
        </w:tc>
      </w:tr>
      <w:tr>
        <w:trPr>
          <w:trHeight w:val="183"/>
        </w:trPr>
        <w:tc>
          <w:tcPr>
            <w:tcW w:w="586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w:anchor="page282">
              <w:r>
                <w:rPr>
                  <w:rFonts w:ascii="Arial" w:cs="Arial" w:eastAsia="Arial" w:hAnsi="Arial"/>
                  <w:sz w:val="16"/>
                  <w:szCs w:val="16"/>
                  <w:color w:val="0000FF"/>
                </w:rPr>
                <w:t>NRG Renew DG Holdings LLC), a Delaware limited liability company.</w:t>
              </w:r>
            </w:hyperlink>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1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545" w:space="500"/>
            <w:col w:w="10180"/>
          </w:cols>
          <w:pgMar w:left="275" w:top="845" w:right="399" w:bottom="1440" w:gutter="0" w:footer="0" w:header="0"/>
        </w:sectPr>
      </w:pPr>
    </w:p>
    <w:tbl>
      <w:tblPr>
        <w:tblLayout w:type="fixed"/>
        <w:tblInd w:w="5"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10.33</w:t>
            </w:r>
          </w:p>
        </w:tc>
        <w:tc>
          <w:tcPr>
            <w:tcW w:w="5800" w:type="dxa"/>
            <w:vAlign w:val="bottom"/>
            <w:gridSpan w:val="9"/>
          </w:tcPr>
          <w:p>
            <w:pPr>
              <w:spacing w:after="0"/>
              <w:rPr>
                <w:rFonts w:ascii="Arial" w:cs="Arial" w:eastAsia="Arial" w:hAnsi="Arial"/>
                <w:sz w:val="16"/>
                <w:szCs w:val="16"/>
                <w:color w:val="0000FF"/>
                <w:w w:val="92"/>
              </w:rPr>
            </w:pPr>
            <w:hyperlink r:id="rId165">
              <w:r>
                <w:rPr>
                  <w:rFonts w:ascii="Arial" w:cs="Arial" w:eastAsia="Arial" w:hAnsi="Arial"/>
                  <w:sz w:val="16"/>
                  <w:szCs w:val="16"/>
                  <w:color w:val="0000FF"/>
                  <w:w w:val="92"/>
                </w:rPr>
                <w:t>Amended and Restated Exchange Agreement, dated as of May 14, 2015, by and among</w:t>
              </w:r>
            </w:hyperlink>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165">
              <w:r>
                <w:rPr>
                  <w:rFonts w:ascii="Arial" w:cs="Arial" w:eastAsia="Arial" w:hAnsi="Arial"/>
                  <w:sz w:val="16"/>
                  <w:szCs w:val="16"/>
                  <w:color w:val="0000FF"/>
                  <w:w w:val="93"/>
                </w:rPr>
                <w:t>NRG Energy, Inc., NRG Yield, Inc., and NRG Yield LLC and, pursuant to a joinder</w:t>
              </w:r>
            </w:hyperlink>
          </w:p>
        </w:tc>
        <w:tc>
          <w:tcPr>
            <w:tcW w:w="220" w:type="dxa"/>
            <w:vAlign w:val="bottom"/>
            <w:tcBorders>
              <w:top w:val="single" w:sz="8" w:color="0000FF"/>
            </w:tcBorders>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00" w:type="dxa"/>
            <w:vAlign w:val="bottom"/>
            <w:gridSpan w:val="9"/>
          </w:tcPr>
          <w:p>
            <w:pPr>
              <w:spacing w:after="0" w:line="183" w:lineRule="exact"/>
              <w:rPr>
                <w:rFonts w:ascii="Arial" w:cs="Arial" w:eastAsia="Arial" w:hAnsi="Arial"/>
                <w:sz w:val="16"/>
                <w:szCs w:val="16"/>
                <w:color w:val="0000FF"/>
              </w:rPr>
            </w:pPr>
            <w:hyperlink r:id="rId165">
              <w:r>
                <w:rPr>
                  <w:rFonts w:ascii="Arial" w:cs="Arial" w:eastAsia="Arial" w:hAnsi="Arial"/>
                  <w:sz w:val="16"/>
                  <w:szCs w:val="16"/>
                  <w:color w:val="0000FF"/>
                </w:rPr>
                <w:t>thereto, dated as of August 31, 2018, Zephyr Renewables LLC.</w:t>
              </w:r>
            </w:hyperlink>
          </w:p>
        </w:tc>
      </w:tr>
      <w:tr>
        <w:trPr>
          <w:trHeight w:val="20"/>
        </w:trPr>
        <w:tc>
          <w:tcPr>
            <w:tcW w:w="10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7"/>
        </w:trPr>
        <w:tc>
          <w:tcPr>
            <w:tcW w:w="1040" w:type="dxa"/>
            <w:vAlign w:val="bottom"/>
          </w:tcPr>
          <w:p>
            <w:pPr>
              <w:spacing w:after="0"/>
              <w:rPr>
                <w:sz w:val="20"/>
                <w:szCs w:val="20"/>
                <w:color w:val="auto"/>
              </w:rPr>
            </w:pPr>
            <w:r>
              <w:rPr>
                <w:rFonts w:ascii="Arial" w:cs="Arial" w:eastAsia="Arial" w:hAnsi="Arial"/>
                <w:sz w:val="16"/>
                <w:szCs w:val="16"/>
                <w:color w:val="auto"/>
              </w:rPr>
              <w:t>10.34</w:t>
            </w:r>
          </w:p>
        </w:tc>
        <w:tc>
          <w:tcPr>
            <w:tcW w:w="5800" w:type="dxa"/>
            <w:vAlign w:val="bottom"/>
            <w:tcBorders>
              <w:bottom w:val="single" w:sz="8" w:color="0000FF"/>
            </w:tcBorders>
            <w:gridSpan w:val="9"/>
          </w:tcPr>
          <w:p>
            <w:pPr>
              <w:spacing w:after="0"/>
              <w:rPr>
                <w:rFonts w:ascii="Arial" w:cs="Arial" w:eastAsia="Arial" w:hAnsi="Arial"/>
                <w:sz w:val="16"/>
                <w:szCs w:val="16"/>
                <w:color w:val="0000FF"/>
                <w:w w:val="90"/>
              </w:rPr>
            </w:pPr>
            <w:hyperlink r:id="rId166">
              <w:r>
                <w:rPr>
                  <w:rFonts w:ascii="Arial" w:cs="Arial" w:eastAsia="Arial" w:hAnsi="Arial"/>
                  <w:sz w:val="16"/>
                  <w:szCs w:val="16"/>
                  <w:color w:val="0000FF"/>
                  <w:w w:val="90"/>
                </w:rPr>
                <w:t>Amended and Restated Registration Rights Agreement, dated as of May 14, 2015, by and</w:t>
              </w:r>
            </w:hyperlink>
          </w:p>
        </w:tc>
      </w:tr>
      <w:tr>
        <w:trPr>
          <w:trHeight w:val="183"/>
        </w:trPr>
        <w:tc>
          <w:tcPr>
            <w:tcW w:w="1040" w:type="dxa"/>
            <w:vAlign w:val="bottom"/>
          </w:tcPr>
          <w:p>
            <w:pPr>
              <w:spacing w:after="0"/>
              <w:rPr>
                <w:sz w:val="15"/>
                <w:szCs w:val="15"/>
                <w:color w:val="auto"/>
              </w:rPr>
            </w:pPr>
          </w:p>
        </w:tc>
        <w:tc>
          <w:tcPr>
            <w:tcW w:w="574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166">
              <w:r>
                <w:rPr>
                  <w:rFonts w:ascii="Arial" w:cs="Arial" w:eastAsia="Arial" w:hAnsi="Arial"/>
                  <w:sz w:val="16"/>
                  <w:szCs w:val="16"/>
                  <w:color w:val="0000FF"/>
                  <w:w w:val="91"/>
                </w:rPr>
                <w:t>between NRG Energy, Inc. and NRG Yield, Inc. and, pursuant to a joinder thereto, dated</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00" w:type="dxa"/>
            <w:vAlign w:val="bottom"/>
            <w:gridSpan w:val="9"/>
          </w:tcPr>
          <w:p>
            <w:pPr>
              <w:spacing w:after="0" w:line="183" w:lineRule="exact"/>
              <w:rPr>
                <w:rFonts w:ascii="Arial" w:cs="Arial" w:eastAsia="Arial" w:hAnsi="Arial"/>
                <w:sz w:val="16"/>
                <w:szCs w:val="16"/>
                <w:color w:val="0000FF"/>
              </w:rPr>
            </w:pPr>
            <w:hyperlink r:id="rId166">
              <w:r>
                <w:rPr>
                  <w:rFonts w:ascii="Arial" w:cs="Arial" w:eastAsia="Arial" w:hAnsi="Arial"/>
                  <w:sz w:val="16"/>
                  <w:szCs w:val="16"/>
                  <w:color w:val="0000FF"/>
                </w:rPr>
                <w:t>as of August 31, 2018, Zephyr Renewables LLC.</w:t>
              </w:r>
            </w:hyperlink>
          </w:p>
        </w:tc>
      </w:tr>
      <w:tr>
        <w:trPr>
          <w:trHeight w:val="912"/>
        </w:trPr>
        <w:tc>
          <w:tcPr>
            <w:tcW w:w="1040" w:type="dxa"/>
            <w:vAlign w:val="bottom"/>
          </w:tcPr>
          <w:p>
            <w:pPr>
              <w:spacing w:after="0"/>
              <w:rPr>
                <w:sz w:val="20"/>
                <w:szCs w:val="20"/>
                <w:color w:val="auto"/>
              </w:rPr>
            </w:pPr>
            <w:r>
              <w:rPr>
                <w:rFonts w:ascii="Arial" w:cs="Arial" w:eastAsia="Arial" w:hAnsi="Arial"/>
                <w:sz w:val="16"/>
                <w:szCs w:val="16"/>
                <w:color w:val="auto"/>
              </w:rPr>
              <w:t>21.1</w:t>
            </w:r>
          </w:p>
        </w:tc>
        <w:tc>
          <w:tcPr>
            <w:tcW w:w="3180" w:type="dxa"/>
            <w:vAlign w:val="bottom"/>
            <w:tcBorders>
              <w:top w:val="single" w:sz="8" w:color="0000FF"/>
            </w:tcBorders>
            <w:gridSpan w:val="4"/>
          </w:tcPr>
          <w:p>
            <w:pPr>
              <w:spacing w:after="0"/>
              <w:rPr>
                <w:rFonts w:ascii="Arial" w:cs="Arial" w:eastAsia="Arial" w:hAnsi="Arial"/>
                <w:sz w:val="16"/>
                <w:szCs w:val="16"/>
                <w:color w:val="0000FF"/>
              </w:rPr>
            </w:pPr>
            <w:hyperlink w:anchor="page286">
              <w:r>
                <w:rPr>
                  <w:rFonts w:ascii="Arial" w:cs="Arial" w:eastAsia="Arial" w:hAnsi="Arial"/>
                  <w:sz w:val="16"/>
                  <w:szCs w:val="16"/>
                  <w:color w:val="0000FF"/>
                </w:rPr>
                <w:t>Subsidiaries of Clearway Energy, Inc.</w:t>
              </w:r>
            </w:hyperlink>
          </w:p>
        </w:tc>
        <w:tc>
          <w:tcPr>
            <w:tcW w:w="2620" w:type="dxa"/>
            <w:vAlign w:val="bottom"/>
            <w:gridSpan w:val="5"/>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23.1</w:t>
            </w:r>
          </w:p>
        </w:tc>
        <w:tc>
          <w:tcPr>
            <w:tcW w:w="2440" w:type="dxa"/>
            <w:vAlign w:val="bottom"/>
            <w:tcBorders>
              <w:top w:val="single" w:sz="8" w:color="0000FF"/>
            </w:tcBorders>
            <w:gridSpan w:val="3"/>
          </w:tcPr>
          <w:p>
            <w:pPr>
              <w:spacing w:after="0"/>
              <w:rPr>
                <w:rFonts w:ascii="Arial" w:cs="Arial" w:eastAsia="Arial" w:hAnsi="Arial"/>
                <w:sz w:val="16"/>
                <w:szCs w:val="16"/>
                <w:color w:val="0000FF"/>
              </w:rPr>
            </w:pPr>
            <w:hyperlink w:anchor="page296">
              <w:r>
                <w:rPr>
                  <w:rFonts w:ascii="Arial" w:cs="Arial" w:eastAsia="Arial" w:hAnsi="Arial"/>
                  <w:sz w:val="16"/>
                  <w:szCs w:val="16"/>
                  <w:color w:val="0000FF"/>
                </w:rPr>
                <w:t>Consent of KPMG LLP.</w:t>
              </w:r>
            </w:hyperlink>
          </w:p>
        </w:tc>
        <w:tc>
          <w:tcPr>
            <w:tcW w:w="3360" w:type="dxa"/>
            <w:vAlign w:val="bottom"/>
            <w:gridSpan w:val="6"/>
          </w:tcPr>
          <w:p>
            <w:pPr>
              <w:spacing w:after="0"/>
              <w:rPr>
                <w:sz w:val="21"/>
                <w:szCs w:val="2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24.1</w:t>
            </w:r>
          </w:p>
        </w:tc>
        <w:tc>
          <w:tcPr>
            <w:tcW w:w="1560" w:type="dxa"/>
            <w:vAlign w:val="bottom"/>
            <w:tcBorders>
              <w:top w:val="single" w:sz="8" w:color="0000FF"/>
            </w:tcBorders>
            <w:gridSpan w:val="2"/>
          </w:tcPr>
          <w:p>
            <w:pPr>
              <w:spacing w:after="0"/>
              <w:rPr>
                <w:rFonts w:ascii="Arial" w:cs="Arial" w:eastAsia="Arial" w:hAnsi="Arial"/>
                <w:sz w:val="16"/>
                <w:szCs w:val="16"/>
                <w:color w:val="0000EE"/>
              </w:rPr>
            </w:pPr>
            <w:hyperlink w:anchor="page148">
              <w:r>
                <w:rPr>
                  <w:rFonts w:ascii="Arial" w:cs="Arial" w:eastAsia="Arial" w:hAnsi="Arial"/>
                  <w:sz w:val="16"/>
                  <w:szCs w:val="16"/>
                  <w:color w:val="0000EE"/>
                </w:rPr>
                <w:t>Power of Attorney</w:t>
              </w:r>
            </w:hyperlink>
          </w:p>
        </w:tc>
        <w:tc>
          <w:tcPr>
            <w:tcW w:w="4240" w:type="dxa"/>
            <w:vAlign w:val="bottom"/>
            <w:gridSpan w:val="7"/>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May 15, 2015.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May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Included on the signature page of this Annual Report on Form 10-K.</w:t>
      </w:r>
    </w:p>
    <w:p>
      <w:pPr>
        <w:spacing w:after="0" w:line="11" w:lineRule="exact"/>
        <w:rPr>
          <w:sz w:val="20"/>
          <w:szCs w:val="20"/>
          <w:color w:val="auto"/>
        </w:rPr>
      </w:pPr>
    </w:p>
    <w:p>
      <w:pPr>
        <w:sectPr>
          <w:pgSz w:w="11900" w:h="16838" w:orient="portrait"/>
          <w:cols w:equalWidth="0" w:num="2">
            <w:col w:w="6845" w:space="240"/>
            <w:col w:w="4140"/>
          </w:cols>
          <w:pgMar w:left="275" w:top="845" w:right="399" w:bottom="1440" w:gutter="0" w:footer="0" w:header="0"/>
          <w:type w:val="continuous"/>
        </w:sectPr>
      </w:pPr>
    </w:p>
    <w:tbl>
      <w:tblPr>
        <w:tblLayout w:type="fixed"/>
        <w:tblInd w:w="5"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16"/>
                <w:szCs w:val="16"/>
                <w:color w:val="auto"/>
              </w:rPr>
            </w:pPr>
          </w:p>
        </w:tc>
        <w:tc>
          <w:tcPr>
            <w:tcW w:w="40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297">
              <w:r>
                <w:rPr>
                  <w:rFonts w:ascii="Arial" w:cs="Arial" w:eastAsia="Arial" w:hAnsi="Arial"/>
                  <w:sz w:val="16"/>
                  <w:szCs w:val="16"/>
                  <w:color w:val="0000FF"/>
                  <w:w w:val="92"/>
                </w:rPr>
                <w:t>Rule 13a-14(a)/15d-14(a) certification of Christopher S. Sotos.</w:t>
              </w:r>
            </w:hyperlink>
          </w:p>
        </w:tc>
        <w:tc>
          <w:tcPr>
            <w:tcW w:w="980" w:type="dxa"/>
            <w:vAlign w:val="bottom"/>
          </w:tcPr>
          <w:p>
            <w:pPr>
              <w:spacing w:after="0"/>
              <w:rPr>
                <w:sz w:val="16"/>
                <w:szCs w:val="16"/>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298">
              <w:r>
                <w:rPr>
                  <w:rFonts w:ascii="Arial" w:cs="Arial" w:eastAsia="Arial" w:hAnsi="Arial"/>
                  <w:sz w:val="16"/>
                  <w:szCs w:val="16"/>
                  <w:color w:val="0000FF"/>
                </w:rPr>
                <w:t>Rule 13a-14(a)/15d-14(a) certification of Chad Plotkin.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98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299">
              <w:r>
                <w:rPr>
                  <w:rFonts w:ascii="Arial" w:cs="Arial" w:eastAsia="Arial" w:hAnsi="Arial"/>
                  <w:sz w:val="16"/>
                  <w:szCs w:val="16"/>
                  <w:color w:val="0000FF"/>
                  <w:w w:val="94"/>
                </w:rPr>
                <w:t>Rule 13a-14(a)/15d-14(a) certification of Mary-Lee Stillwell.</w:t>
              </w:r>
            </w:hyperlink>
          </w:p>
        </w:tc>
        <w:tc>
          <w:tcPr>
            <w:tcW w:w="1080" w:type="dxa"/>
            <w:vAlign w:val="bottom"/>
            <w:gridSpan w:val="2"/>
          </w:tcPr>
          <w:p>
            <w:pPr>
              <w:spacing w:after="0"/>
              <w:rPr>
                <w:sz w:val="21"/>
                <w:szCs w:val="21"/>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300">
              <w:r>
                <w:rPr>
                  <w:rFonts w:ascii="Arial" w:cs="Arial" w:eastAsia="Arial" w:hAnsi="Arial"/>
                  <w:sz w:val="16"/>
                  <w:szCs w:val="16"/>
                  <w:color w:val="0000FF"/>
                </w:rPr>
                <w:t>Section 1350 Certification.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06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50" w:lineRule="exact"/>
        <w:rPr>
          <w:sz w:val="20"/>
          <w:szCs w:val="20"/>
          <w:color w:val="auto"/>
        </w:rPr>
      </w:pPr>
    </w:p>
    <w:p>
      <w:pPr>
        <w:ind w:left="1045" w:right="4500" w:hanging="1045"/>
        <w:spacing w:after="0" w:line="278" w:lineRule="auto"/>
        <w:tabs>
          <w:tab w:leader="none" w:pos="10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date file does not appear in Exhibit 104 because its Inline XBRL tags are embedded within the Inline XBRL document)</w:t>
      </w:r>
    </w:p>
    <w:p>
      <w:pPr>
        <w:spacing w:after="0" w:line="374" w:lineRule="exact"/>
        <w:rPr>
          <w:sz w:val="20"/>
          <w:szCs w:val="20"/>
          <w:color w:val="auto"/>
        </w:rPr>
      </w:pPr>
    </w:p>
    <w:p>
      <w:pPr>
        <w:ind w:left="565" w:hanging="565"/>
        <w:spacing w:after="0"/>
        <w:tabs>
          <w:tab w:leader="none" w:pos="5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2060" w:hanging="565"/>
        <w:spacing w:after="0" w:line="293" w:lineRule="auto"/>
        <w:tabs>
          <w:tab w:leader="none" w:pos="5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2060" w:hanging="565"/>
        <w:spacing w:after="0" w:line="329" w:lineRule="auto"/>
        <w:tabs>
          <w:tab w:leader="none" w:pos="565" w:val="left"/>
        </w:tabs>
        <w:numPr>
          <w:ilvl w:val="0"/>
          <w:numId w:val="67"/>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89" w:lineRule="exact"/>
        <w:rPr>
          <w:sz w:val="20"/>
          <w:szCs w:val="20"/>
          <w:color w:val="auto"/>
        </w:rPr>
      </w:pPr>
    </w:p>
    <w:p>
      <w:pPr>
        <w:ind w:left="565" w:right="2060" w:hanging="565"/>
        <w:spacing w:after="0" w:line="329" w:lineRule="auto"/>
        <w:tabs>
          <w:tab w:leader="none" w:pos="565"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390" w:lineRule="exact"/>
        <w:rPr>
          <w:sz w:val="20"/>
          <w:szCs w:val="20"/>
          <w:color w:val="auto"/>
        </w:rPr>
      </w:pPr>
    </w:p>
    <w:p>
      <w:pPr>
        <w:jc w:val="center"/>
        <w:ind w:right="-124"/>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5"/>
          </w:cols>
          <w:pgMar w:left="275" w:top="845" w:right="39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219"/>
          </w:cols>
          <w:pgMar w:left="240" w:top="675"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101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053" w:right="25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675" w:right="239" w:bottom="1440" w:gutter="0" w:footer="0" w:header="0"/>
        </w:sectPr>
      </w:pPr>
    </w:p>
    <w:p>
      <w:pPr>
        <w:spacing w:after="0" w:line="275"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46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1"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Jonathan Bram</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246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Nathaniel Anschuetz</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Brian Ford</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Bruce MacLennan</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Ferrell McClean</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Daniel B. More</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E. Stanley O'Neal</w:t>
      </w:r>
    </w:p>
    <w:p>
      <w:pPr>
        <w:spacing w:after="0" w:line="6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Scott Stanley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President, Chief Executive Officer and Director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5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554"/>
        </w:trPr>
        <w:tc>
          <w:tcPr>
            <w:tcW w:w="5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2960" w:space="700"/>
            <w:col w:w="7760"/>
          </w:cols>
          <w:pgMar w:left="240" w:top="675"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20"/>
          </w:cols>
          <w:pgMar w:left="240" w:top="675" w:right="23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4.43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2019, Clearway Energy, Inc. (the “</w:t>
      </w:r>
      <w:r>
        <w:rPr>
          <w:rFonts w:ascii="Arial" w:cs="Arial" w:eastAsia="Arial" w:hAnsi="Arial"/>
          <w:sz w:val="17"/>
          <w:szCs w:val="17"/>
          <w:i w:val="1"/>
          <w:iCs w:val="1"/>
          <w:color w:val="auto"/>
        </w:rPr>
        <w:t>Registrant</w:t>
      </w:r>
      <w:r>
        <w:rPr>
          <w:rFonts w:ascii="Arial" w:cs="Arial" w:eastAsia="Arial" w:hAnsi="Arial"/>
          <w:sz w:val="17"/>
          <w:szCs w:val="17"/>
          <w:color w:val="auto"/>
        </w:rPr>
        <w:t>” or “</w:t>
      </w:r>
      <w:r>
        <w:rPr>
          <w:rFonts w:ascii="Arial" w:cs="Arial" w:eastAsia="Arial" w:hAnsi="Arial"/>
          <w:sz w:val="17"/>
          <w:szCs w:val="17"/>
          <w:i w:val="1"/>
          <w:iCs w:val="1"/>
          <w:color w:val="auto"/>
        </w:rPr>
        <w:t>Clearway Inc</w:t>
      </w:r>
      <w:r>
        <w:rPr>
          <w:rFonts w:ascii="Arial" w:cs="Arial" w:eastAsia="Arial" w:hAnsi="Arial"/>
          <w:sz w:val="17"/>
          <w:szCs w:val="17"/>
          <w:color w:val="auto"/>
        </w:rPr>
        <w:t>.”) had two classes of securities registered under Section 12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(i) Common Stock, Class A, par value $0.01 per share, and (ii) Common Stock, Class C, par value $0.01 per share. In addition, Clearway Energy Operating LLC (“</w:t>
      </w:r>
      <w:r>
        <w:rPr>
          <w:rFonts w:ascii="Arial" w:cs="Arial" w:eastAsia="Arial" w:hAnsi="Arial"/>
          <w:sz w:val="17"/>
          <w:szCs w:val="17"/>
          <w:i w:val="1"/>
          <w:iCs w:val="1"/>
          <w:color w:val="auto"/>
        </w:rPr>
        <w:t>Clearway Operating LLC</w:t>
      </w:r>
      <w:r>
        <w:rPr>
          <w:rFonts w:ascii="Arial" w:cs="Arial" w:eastAsia="Arial" w:hAnsi="Arial"/>
          <w:sz w:val="17"/>
          <w:szCs w:val="17"/>
          <w:color w:val="auto"/>
        </w:rPr>
        <w:t>”), a wholly owned subsidiary of Clearway Energy LLC (“</w:t>
      </w:r>
      <w:r>
        <w:rPr>
          <w:rFonts w:ascii="Arial" w:cs="Arial" w:eastAsia="Arial" w:hAnsi="Arial"/>
          <w:sz w:val="17"/>
          <w:szCs w:val="17"/>
          <w:i w:val="1"/>
          <w:iCs w:val="1"/>
          <w:color w:val="auto"/>
        </w:rPr>
        <w:t>Clearway LLC</w:t>
      </w:r>
      <w:r>
        <w:rPr>
          <w:rFonts w:ascii="Arial" w:cs="Arial" w:eastAsia="Arial" w:hAnsi="Arial"/>
          <w:sz w:val="17"/>
          <w:szCs w:val="17"/>
          <w:color w:val="auto"/>
        </w:rPr>
        <w:t>”), which is a direct subsidiary of Clearway Inc., had three classes of securities registered under Section 12 of the Exchange Act as of December 31 2019: (i) 5.375% unsecured senior notes due 2024, (ii) 5.750% unsecured senior notes due 2025 and (iii) 5.00% unsecured senior notes due 2026 (collectively, the “</w:t>
      </w:r>
      <w:r>
        <w:rPr>
          <w:rFonts w:ascii="Arial" w:cs="Arial" w:eastAsia="Arial" w:hAnsi="Arial"/>
          <w:sz w:val="17"/>
          <w:szCs w:val="17"/>
          <w:i w:val="1"/>
          <w:iCs w:val="1"/>
          <w:color w:val="auto"/>
        </w:rPr>
        <w:t>Clearway Operating LLC Senior Notes</w:t>
      </w:r>
      <w:r>
        <w:rPr>
          <w:rFonts w:ascii="Arial" w:cs="Arial" w:eastAsia="Arial" w:hAnsi="Arial"/>
          <w:sz w:val="17"/>
          <w:szCs w:val="17"/>
          <w:color w:val="auto"/>
        </w:rPr>
        <w:t>”). A description of the Clearway Operating LLC Senior Notes is incorporated herein by reference to Exhibit 4.43 to the Annual Report on Form 10-K of Clearway LLC.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Inc.’s Capital Stock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description of Clearway Inc.’s common stock is a summary and does not purport to be complete. It is subject to and qualified in its entirety by reference to Clearway Inc.’s restated certificate of incorporation, as amended,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restated certificate of incorporation, as amended, and Clearway Inc.’s fourth amended and restated bylaws and the applicable provisions of the Delaware General Corporation Law (the “</w:t>
      </w:r>
      <w:r>
        <w:rPr>
          <w:rFonts w:ascii="Arial" w:cs="Arial" w:eastAsia="Arial" w:hAnsi="Arial"/>
          <w:sz w:val="17"/>
          <w:szCs w:val="17"/>
          <w:i w:val="1"/>
          <w:iCs w:val="1"/>
          <w:color w:val="auto"/>
        </w:rPr>
        <w:t>DGCL</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as of December 31, 2019, of:</w:t>
      </w:r>
    </w:p>
    <w:p>
      <w:pPr>
        <w:spacing w:after="0" w:line="225" w:lineRule="exact"/>
        <w:rPr>
          <w:sz w:val="20"/>
          <w:szCs w:val="20"/>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$0.01 per share (“</w:t>
      </w:r>
      <w:r>
        <w:rPr>
          <w:rFonts w:ascii="Arial" w:cs="Arial" w:eastAsia="Arial" w:hAnsi="Arial"/>
          <w:sz w:val="18"/>
          <w:szCs w:val="18"/>
          <w:i w:val="1"/>
          <w:iCs w:val="1"/>
          <w:color w:val="auto"/>
        </w:rPr>
        <w:t>Class A common stock</w:t>
      </w:r>
      <w:r>
        <w:rPr>
          <w:rFonts w:ascii="Arial" w:cs="Arial" w:eastAsia="Arial" w:hAnsi="Arial"/>
          <w:sz w:val="18"/>
          <w:szCs w:val="18"/>
          <w:color w:val="auto"/>
        </w:rPr>
        <w:t>”), of which 34,599,645 shares are issued and outstanding;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500,000,000 shares of Class B common stock, par value $0.01 per share (“</w:t>
      </w:r>
      <w:r>
        <w:rPr>
          <w:rFonts w:ascii="Arial" w:cs="Arial" w:eastAsia="Arial" w:hAnsi="Arial"/>
          <w:sz w:val="18"/>
          <w:szCs w:val="18"/>
          <w:i w:val="1"/>
          <w:iCs w:val="1"/>
          <w:color w:val="auto"/>
        </w:rPr>
        <w:t>Class B common stock</w:t>
      </w:r>
      <w:r>
        <w:rPr>
          <w:rFonts w:ascii="Arial" w:cs="Arial" w:eastAsia="Arial" w:hAnsi="Arial"/>
          <w:sz w:val="18"/>
          <w:szCs w:val="18"/>
          <w:color w:val="auto"/>
        </w:rPr>
        <w:t>”), of which 42,738,750 shares are issued and outstanding;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1,000,000,000 shares of Class C common stock, par value $0.01 per share (“</w:t>
      </w:r>
      <w:r>
        <w:rPr>
          <w:rFonts w:ascii="Arial" w:cs="Arial" w:eastAsia="Arial" w:hAnsi="Arial"/>
          <w:sz w:val="18"/>
          <w:szCs w:val="18"/>
          <w:i w:val="1"/>
          <w:iCs w:val="1"/>
          <w:color w:val="auto"/>
        </w:rPr>
        <w:t>Class C common stock</w:t>
      </w:r>
      <w:r>
        <w:rPr>
          <w:rFonts w:ascii="Arial" w:cs="Arial" w:eastAsia="Arial" w:hAnsi="Arial"/>
          <w:sz w:val="18"/>
          <w:szCs w:val="18"/>
          <w:color w:val="auto"/>
        </w:rPr>
        <w:t>”), of which 78,742,854 shares are issued and outstanding;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1,000,000,000 shares of Class D common stock, par value $0.01 per share (“</w:t>
      </w:r>
      <w:r>
        <w:rPr>
          <w:rFonts w:ascii="Arial" w:cs="Arial" w:eastAsia="Arial" w:hAnsi="Arial"/>
          <w:sz w:val="18"/>
          <w:szCs w:val="18"/>
          <w:i w:val="1"/>
          <w:iCs w:val="1"/>
          <w:color w:val="auto"/>
        </w:rPr>
        <w:t>Class D common stock</w:t>
      </w:r>
      <w:r>
        <w:rPr>
          <w:rFonts w:ascii="Arial" w:cs="Arial" w:eastAsia="Arial" w:hAnsi="Arial"/>
          <w:sz w:val="18"/>
          <w:szCs w:val="18"/>
          <w:color w:val="auto"/>
        </w:rPr>
        <w:t>”), of which 42,738,750 shares are issued and outstanding;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as of December 31, 2019, (i) an aggregate of 1,056,534 shares of Class A common stock and Class C common stock are reserved for issuance under Clearway Inc.’s equity- based compensation plans, (ii) an aggregate of 42,738,750 shares of Class A common stock are reserved for issuance upon the exchange of Class B units of Clearway LLC, (iii) an aggregate of 42,738,750 shares of Class C common stock are reserved for issuance upon the exchange of Class D units of Clearway LLC and (iv) 13,053,806 shares of Class C common stock are reserved for issuance upon conversion of Clearway Inc.’s outstanding 3.25% Convertible Notes. Unless Clearway Inc.’s Board of Directors (the “</w:t>
      </w:r>
      <w:r>
        <w:rPr>
          <w:rFonts w:ascii="Arial" w:cs="Arial" w:eastAsia="Arial" w:hAnsi="Arial"/>
          <w:sz w:val="18"/>
          <w:szCs w:val="18"/>
          <w:i w:val="1"/>
          <w:iCs w:val="1"/>
          <w:color w:val="auto"/>
        </w:rPr>
        <w:t>Board of Directors</w:t>
      </w:r>
      <w:r>
        <w:rPr>
          <w:rFonts w:ascii="Arial" w:cs="Arial" w:eastAsia="Arial" w:hAnsi="Arial"/>
          <w:sz w:val="18"/>
          <w:szCs w:val="18"/>
          <w:color w:val="auto"/>
        </w:rPr>
        <w:t>”) determines otherwise, Clearway Inc. will issue all shares of its capital stock in uncertificated form.</w:t>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A common stock is listed on the NYSE under the symbol “CWEN.A.”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color w:val="auto"/>
        </w:rPr>
        <w:t>The transfer agent and registrar for the Class A common stock is Computershare Shareowner Services,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Clearway LLC to Class A units of Clearway LLC. Shares of Class B common stock so redeemed are automatically cancelled and are not available to be reissued.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Clearway Inc.’s outstanding shares of Class C common stock are entitled to receive dividends, if any, as may be declared from</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17"/>
          <w:szCs w:val="17"/>
          <w:color w:val="auto"/>
        </w:rPr>
        <w:t>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Except as expressly provided in Clearway Inc.’s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C common stock is listed on the NYSE under the symbol “CWEN.”</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Class C common stock is Computershare Shareowner Services,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D common stock do not have cumulative voting rights. Except in respect of matters relating to the election and removal of directors on the Board of Directors and as otherwise provided in Clearway Inc.’s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D common stock in connection with Clearway Inc.’s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Clearway Inc.’s restated certificate of incorporation, Clearway Inc. will continue to be authorized to issue up to 10,000,000 shares of preferred stock, par value $0.01 per share, none of which is issued and outstanding.</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154" w:name="page155"/>
    <w:bookmarkEnd w:id="154"/>
    <w:p>
      <w:pPr>
        <w:jc w:val="both"/>
        <w:ind w:firstLine="648"/>
        <w:spacing w:after="0" w:line="271" w:lineRule="auto"/>
        <w:rPr>
          <w:sz w:val="20"/>
          <w:szCs w:val="20"/>
          <w:color w:val="auto"/>
        </w:rPr>
      </w:pPr>
      <w:r>
        <w:rPr>
          <w:rFonts w:ascii="Arial" w:cs="Arial" w:eastAsia="Arial" w:hAnsi="Arial"/>
          <w:sz w:val="17"/>
          <w:szCs w:val="17"/>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Clearway Inc.’s Certificate of Incorporation and Bylaws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disproportionate voting rights that Global Infrastructure Investors III, LLC (“GIP”) has as a result of its indirect ownership of Class B common stock and Class D common stock, some provisions of Delaware law contain, and Clearway Inc.’s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they also give the Board of Directors the power to discourage acquisitions that some stockholders may favor.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Special Meetings of Stockholders. </w:t>
      </w:r>
      <w:r>
        <w:rPr>
          <w:rFonts w:ascii="Arial" w:cs="Arial" w:eastAsia="Arial" w:hAnsi="Arial"/>
          <w:sz w:val="17"/>
          <w:szCs w:val="17"/>
          <w:color w:val="auto"/>
        </w:rPr>
        <w:t>Clearway Inc.’s restated certificate of incorporation provides that a special meeting of stockholders may be called</w:t>
      </w:r>
      <w:r>
        <w:rPr>
          <w:rFonts w:ascii="Arial" w:cs="Arial" w:eastAsia="Arial" w:hAnsi="Arial"/>
          <w:sz w:val="17"/>
          <w:szCs w:val="17"/>
          <w:i w:val="1"/>
          <w:iCs w:val="1"/>
          <w:color w:val="auto"/>
        </w:rPr>
        <w:t xml:space="preserve"> </w:t>
      </w:r>
      <w:r>
        <w:rPr>
          <w:rFonts w:ascii="Arial" w:cs="Arial" w:eastAsia="Arial" w:hAnsi="Arial"/>
          <w:sz w:val="17"/>
          <w:szCs w:val="17"/>
          <w:color w:val="auto"/>
        </w:rPr>
        <w:t>only by the Board of Directors by a resolution adopted by the affirmative vote of a majority of the total number of directors then in office.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Clearway Inc.’s restated certificate of incorporation and its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that holders of Clearway Inc.’s common stock cannot act by written consent in lieu of a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the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by Written Consent” and “—Vacancies” may be amended only by the affirmative vote of holders of at least two-thirds of the combined voting power of outstanding shares of Clearway Inc.’s capital stock entitled to vote in the election of directors, voting together as a single class.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The Board of Directors has the power to make, alter, amend, change or repeal Clearway Inc.’s bylaws or adopt new bylaws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affirmative vote of a majority of the total number of directors then in office.</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the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be timely, a stockholder’s notice must be received at Clearway Inc.’s principal executive offices:</w:t>
      </w:r>
    </w:p>
    <w:p>
      <w:pPr>
        <w:spacing w:after="0" w:line="225" w:lineRule="exact"/>
        <w:rPr>
          <w:sz w:val="20"/>
          <w:szCs w:val="20"/>
          <w:color w:val="auto"/>
        </w:rPr>
      </w:pPr>
    </w:p>
    <w:p>
      <w:pPr>
        <w:jc w:val="both"/>
        <w:ind w:left="660" w:hanging="328"/>
        <w:spacing w:after="0" w:line="273"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date of the annual meeting is advanced more than 30 days before or delayed more than 70 days after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special meetings of stockholders, Clearway Inc.’s fourth amended and restated bylaws provide that only such business shall be conducted as shall have been stated in the notice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Clearway Inc. is presently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1"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by the affirmative vote of holders of at least 66 2/3% of the outstanding voting stock that is not owned by the interested stockholder.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56" w:name="page157"/>
    <w:bookmarkEnd w:id="156"/>
    <w:p>
      <w:pPr>
        <w:jc w:val="both"/>
        <w:ind w:firstLine="648"/>
        <w:spacing w:after="0" w:line="276"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amendments to Clearway Inc.’s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Limited Liability Company Agreement of Clearway Energy LLC</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is a description of the material terms of the fourth amended and restated limited liability company agreement of Clearway Energy LLC (“</w:t>
      </w:r>
      <w:r>
        <w:rPr>
          <w:rFonts w:ascii="Arial" w:cs="Arial" w:eastAsia="Arial" w:hAnsi="Arial"/>
          <w:sz w:val="18"/>
          <w:szCs w:val="18"/>
          <w:i w:val="1"/>
          <w:iCs w:val="1"/>
          <w:color w:val="auto"/>
        </w:rPr>
        <w:t>Clearway LLC</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Clearway LLC has issued four classes of units: Class A units and Class C units, which may only be issued to Clearway Inc., as the sole managing member, and Class B units and Class D units, which may only be issued to GIP and held by GIP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Amended and Restated Exchange Agreement (as described below), and each Class D unit is exchangeable for a share of Clearway Inc.’s Class C common stock, subject to equitable adjustments for stock splits, dividends and reclassifications in accordance with the terms of the Amended and Restated Exchange Agreement. When GIP or its permitted transferee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us. None of the units have any voting rights.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profits and net losses and distributions by Clearway LLC are allocated and made to holders of units in accordance with the respective number of membership units of Clearway LLC held. Clearway LLC will make distributions to Clearway Inc. and GIP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Clearway Inc.’s operations are conducted through Clearway Operating LLC, and Clearway Operating</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57" w:name="page158"/>
    <w:bookmarkEnd w:id="157"/>
    <w:p>
      <w:pPr>
        <w:spacing w:after="0" w:line="277" w:lineRule="auto"/>
        <w:rPr>
          <w:sz w:val="20"/>
          <w:szCs w:val="20"/>
          <w:color w:val="auto"/>
        </w:rPr>
      </w:pPr>
      <w:r>
        <w:rPr>
          <w:rFonts w:ascii="Arial" w:cs="Arial" w:eastAsia="Arial" w:hAnsi="Arial"/>
          <w:sz w:val="18"/>
          <w:szCs w:val="18"/>
          <w:color w:val="auto"/>
        </w:rPr>
        <w:t>LLC’s Amended and Restated Credit Agreement restricts the ability of Clearway Operating LLC to make distributions to Clearway LLC, Clearway LLC may not have any funds available to make distributions to Clearway Inc. and GIP (including with respect to tax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Clearway Inc. and Clearway LLC</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any time Clearway Inc. issues a share of its Class A common stock or Class C common stock for cash, the net proceeds therefrom will promptly be transferred to Clearway LLC and Clearway LLC will either:</w:t>
      </w:r>
    </w:p>
    <w:p>
      <w:pPr>
        <w:spacing w:after="0" w:line="170" w:lineRule="exact"/>
        <w:rPr>
          <w:sz w:val="20"/>
          <w:szCs w:val="20"/>
          <w:color w:val="auto"/>
        </w:rPr>
      </w:pPr>
    </w:p>
    <w:p>
      <w:pPr>
        <w:ind w:left="660" w:right="2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transfer a newly issued Class A unit of Clearway LLC to Clearway Inc. in the case of the issuance of a share of Class A common stock, or transfer a newly issued Class C unit of Clearway LLC to Clearway Inc. in the case of the issuance of a share of Class C common stock; or</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Clearway LLC from GIP in the case of the issuance of a share of Class A common stock, which Class B unit will automatically convert into a Class A unit of Clearway LLC when transferred to Clearway Inc. or use the net proceeds to purchase a Class D unit of Clearway LLC from GIP in the case of the issuance of a share of Class C common stock, which Class D unit will automatically convert into a Class C unit of Clearway LLC when transferred to Clearway Inc.</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Clearway LLC purchases a Class B unit or a Class D unit of Clearway LLC from GIP, Clearway Inc. will concurrently redeem and cancel the corresponding share of its Class B common stock or Class D common stock, as applicable.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Class A units and Class C units may only be issued to Clearway Inc., as the sole managing member of Clearway LLC, and are non-transferable except upon redemption by Clearway LLC. Class B units and Class D units may only be issued to GIP. Class B units and Class D units may not be transferred without Clearway Inc.’s consent, which may not be unreasonably withheld, conditioned or delayed, except GIP may transfer Class B units or Class D units to any of its direct or indirect limited partners or other equityholders and to permitted transferee (including an affiliate) without Clearway Inc.’s consent. GIP may not transfer any Class B units or Class D units to any person unless GIP transfers an equal number of shares of Clearway Inc.’s Class B common stock or Class D common stock, as applicable, to the same transferee.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Clearway Inc. entered into an amended and restated exchange agreement pursuant to which GIP (as successor-in-interest to NRG Energy, Inc.) (and certain permitted assignees and permitted transferees who acquire Class B units or Class D units of Clearway LLC)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Arial" w:cs="Arial" w:eastAsia="Arial" w:hAnsi="Arial"/>
          <w:sz w:val="16"/>
          <w:szCs w:val="16"/>
          <w:i w:val="1"/>
          <w:iCs w:val="1"/>
          <w:color w:val="auto"/>
        </w:rPr>
        <w:t>Amended and Restated Exchange Agreement</w:t>
      </w:r>
      <w:r>
        <w:rPr>
          <w:rFonts w:ascii="Arial" w:cs="Arial" w:eastAsia="Arial" w:hAnsi="Arial"/>
          <w:sz w:val="16"/>
          <w:szCs w:val="16"/>
          <w:color w:val="auto"/>
        </w:rPr>
        <w: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58" w:name="page159"/>
    <w:bookmarkEnd w:id="158"/>
    <w:p>
      <w:pPr>
        <w:jc w:val="both"/>
        <w:ind w:right="20"/>
        <w:spacing w:after="0" w:line="277" w:lineRule="auto"/>
        <w:rPr>
          <w:sz w:val="20"/>
          <w:szCs w:val="20"/>
          <w:color w:val="auto"/>
        </w:rPr>
      </w:pPr>
      <w:r>
        <w:rPr>
          <w:rFonts w:ascii="Arial" w:cs="Arial" w:eastAsia="Arial" w:hAnsi="Arial"/>
          <w:sz w:val="18"/>
          <w:szCs w:val="18"/>
          <w:color w:val="auto"/>
        </w:rPr>
        <w:t>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When GIP or its permitted transferee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Clearway LLC will be correspondingly increased. Clearway Inc. has reserved for issuance 42,738,750 shares of Clearway Inc.’s Class A common stock, which is the aggregate number of shares of Class A common stock expected to be issued over time upon the exchange of all Class B units of Clearway LLC currently outstanding, and 42,738,750 shares of Clearway Inc.’s Class C common stock, which is the aggregate number of shares of Class C common stock expected to be issued over time upon the exchange of all Class D units of Clearway LLC currently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Inc. entered into an amended and restated registration rights agreement with GIP (as successor-in-interest to NRG) pursuant to which GIP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it owns, and for shares of Clearway Inc.’s Class C common stock that are issuable upon exchange of Class D units of Clearway LLC that it owns.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2"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Clearway Energy, Inc. Involuntary Severance Plan</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(Amended and Restated as of February 18, 2020)</w:t>
      </w:r>
    </w:p>
    <w:p>
      <w:pPr>
        <w:sectPr>
          <w:pgSz w:w="11900" w:h="16838" w:orient="portrait"/>
          <w:cols w:equalWidth="0" w:num="1">
            <w:col w:w="10220"/>
          </w:cols>
          <w:pgMar w:left="1440" w:top="126"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Article 1.Establishment and Purpose.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2.Definitions.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3.Eligibility and Participation. 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4.Severance Benefits. 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5.Continuation of Certain Welfare Benefits. 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6.Taxes.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7.Amendment and Termination.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8.Administration and Claims.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9.General Provisions.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5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598" w:right="1440"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color w:val="auto"/>
        </w:rPr>
        <w:t>Clearway Energy,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Involuntary Severance Plan</w:t>
      </w:r>
    </w:p>
    <w:p>
      <w:pPr>
        <w:spacing w:after="0" w:line="169"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color w:val="auto"/>
        </w:rPr>
        <w:t>Establishment and Purpose.</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1.1. Establishment</w:t>
      </w:r>
      <w:r>
        <w:rPr>
          <w:rFonts w:ascii="Arial" w:cs="Arial" w:eastAsia="Arial" w:hAnsi="Arial"/>
          <w:sz w:val="19"/>
          <w:szCs w:val="19"/>
          <w:color w:val="auto"/>
        </w:rPr>
        <w:t>. Clearway Energy, Inc., a Delaware corporation, (hereinafter referred to as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effective as of January 1, 2017, a severance plan for its employees whose employment is terminated due to reductions in force or other factors as a result of restructuring and to provide the payment of certain benefits in the event an employee is terminated. The Plan shall be known as the “Clearway Energy, Inc. Involuntary Severance Plan.” The Plan was amended and restated effective January 1, 2018, again January 1, 2019, and is hereby further amended and restated as of February 18, 2020.</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1.2. Purpose</w:t>
      </w:r>
      <w:r>
        <w:rPr>
          <w:rFonts w:ascii="Arial" w:cs="Arial" w:eastAsia="Arial" w:hAnsi="Arial"/>
          <w:sz w:val="22"/>
          <w:szCs w:val="22"/>
          <w:color w:val="auto"/>
        </w:rPr>
        <w:t>. The purpose of the Plan is to provide severance benefits to employees of Clearway Energy, Inc.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participating Affiliates in order to maintain the focus of Eligible Employees on the business of the Company and to mitigate the distractions caused by the possibility that the Eligible Employee’s employment may be terminated. These severance benefits shall apply only to employees whose positions are eliminated due to reductions in force or as a result of a Clearway Energy, Inc. restructuring.</w:t>
      </w:r>
    </w:p>
    <w:p>
      <w:pPr>
        <w:spacing w:after="0" w:line="17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following terms shall have the meanings set forth below and, when so intended, the terms shall be capitalized. Except when otherwise indicated by the context, the plural shall include the singular and the singular shall include the plural.</w:t>
      </w:r>
    </w:p>
    <w:p>
      <w:pPr>
        <w:spacing w:after="0" w:line="14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2.1. Administrator </w:t>
      </w:r>
      <w:r>
        <w:rPr>
          <w:rFonts w:ascii="Arial" w:cs="Arial" w:eastAsia="Arial" w:hAnsi="Arial"/>
          <w:sz w:val="19"/>
          <w:szCs w:val="19"/>
          <w:color w:val="auto"/>
        </w:rPr>
        <w:t>means an individual or committee designated by the Company to administer the Plan. In the absence</w:t>
      </w:r>
      <w:r>
        <w:rPr>
          <w:rFonts w:ascii="Arial" w:cs="Arial" w:eastAsia="Arial" w:hAnsi="Arial"/>
          <w:sz w:val="19"/>
          <w:szCs w:val="19"/>
          <w:b w:val="1"/>
          <w:bCs w:val="1"/>
          <w:color w:val="auto"/>
        </w:rPr>
        <w:t xml:space="preserve"> </w:t>
      </w:r>
      <w:r>
        <w:rPr>
          <w:rFonts w:ascii="Arial" w:cs="Arial" w:eastAsia="Arial" w:hAnsi="Arial"/>
          <w:sz w:val="19"/>
          <w:szCs w:val="19"/>
          <w:color w:val="auto"/>
        </w:rPr>
        <w:t>of a formal designation, the Company shall appoint the Vice President, Human Resources for the Company as the Administrator.</w:t>
      </w:r>
    </w:p>
    <w:p>
      <w:pPr>
        <w:spacing w:after="0" w:line="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2.2. Affiliate </w:t>
      </w:r>
      <w:r>
        <w:rPr>
          <w:rFonts w:ascii="Arial" w:cs="Arial" w:eastAsia="Arial" w:hAnsi="Arial"/>
          <w:sz w:val="22"/>
          <w:szCs w:val="22"/>
          <w:color w:val="auto"/>
        </w:rPr>
        <w:t>means a direct or indirect subsidiary of the Plan Sponsor that satisfies the requirements of a “controlled</w:t>
      </w:r>
      <w:r>
        <w:rPr>
          <w:rFonts w:ascii="Arial" w:cs="Arial" w:eastAsia="Arial" w:hAnsi="Arial"/>
          <w:sz w:val="22"/>
          <w:szCs w:val="22"/>
          <w:b w:val="1"/>
          <w:bCs w:val="1"/>
          <w:color w:val="auto"/>
        </w:rPr>
        <w:t xml:space="preserve"> </w:t>
      </w:r>
      <w:r>
        <w:rPr>
          <w:rFonts w:ascii="Arial" w:cs="Arial" w:eastAsia="Arial" w:hAnsi="Arial"/>
          <w:sz w:val="22"/>
          <w:szCs w:val="22"/>
          <w:color w:val="auto"/>
        </w:rPr>
        <w:t>group of corporations” as that term is defined under Section 414(b) of the Code or “common control” as that term is defined under Section 414(c) of the Code.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the Company.</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2.4. Code </w:t>
      </w:r>
      <w:r>
        <w:rPr>
          <w:rFonts w:ascii="Arial" w:cs="Arial" w:eastAsia="Arial" w:hAnsi="Arial"/>
          <w:sz w:val="22"/>
          <w:szCs w:val="22"/>
          <w:color w:val="auto"/>
        </w:rPr>
        <w:t>means the Internal Revenue Code of 1986, as amended, and the treasury regulations and other official guidance</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4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Clearway Energy, Inc., a Delaware corporation, or any successor as provided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 xml:space="preserve">Delay Period </w:t>
      </w:r>
      <w:r>
        <w:rPr>
          <w:rFonts w:ascii="Arial" w:cs="Arial" w:eastAsia="Arial" w:hAnsi="Arial"/>
          <w:sz w:val="19"/>
          <w:szCs w:val="19"/>
          <w:color w:val="auto"/>
        </w:rPr>
        <w:t>shall have the definition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4.5.1</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January 1, 2017.</w:t>
      </w:r>
    </w:p>
    <w:p>
      <w:pPr>
        <w:sectPr>
          <w:pgSz w:w="11900" w:h="16838" w:orient="portrait"/>
          <w:cols w:equalWidth="0" w:num="1">
            <w:col w:w="11420"/>
          </w:cols>
          <w:pgMar w:left="240" w:top="598" w:right="239" w:bottom="1440" w:gutter="0" w:footer="0" w:header="0"/>
        </w:sectPr>
      </w:pPr>
    </w:p>
    <w:bookmarkStart w:id="162" w:name="page163"/>
    <w:bookmarkEnd w:id="162"/>
    <w:p>
      <w:pPr>
        <w:ind w:right="20" w:firstLine="648"/>
        <w:spacing w:after="0" w:line="282" w:lineRule="auto"/>
        <w:rPr>
          <w:sz w:val="20"/>
          <w:szCs w:val="20"/>
          <w:color w:val="auto"/>
        </w:rPr>
      </w:pPr>
      <w:r>
        <w:rPr>
          <w:rFonts w:ascii="Arial" w:cs="Arial" w:eastAsia="Arial" w:hAnsi="Arial"/>
          <w:sz w:val="22"/>
          <w:szCs w:val="22"/>
          <w:b w:val="1"/>
          <w:bCs w:val="1"/>
          <w:color w:val="auto"/>
        </w:rPr>
        <w:t xml:space="preserve">2.8. Eligible Employee </w:t>
      </w:r>
      <w:r>
        <w:rPr>
          <w:rFonts w:ascii="Arial" w:cs="Arial" w:eastAsia="Arial" w:hAnsi="Arial"/>
          <w:sz w:val="22"/>
          <w:szCs w:val="22"/>
          <w:color w:val="auto"/>
        </w:rPr>
        <w:t>means persons in the employment of the Plan Sponsor or its Affiliates who are classified as</w:t>
      </w:r>
      <w:r>
        <w:rPr>
          <w:rFonts w:ascii="Arial" w:cs="Arial" w:eastAsia="Arial" w:hAnsi="Arial"/>
          <w:sz w:val="22"/>
          <w:szCs w:val="22"/>
          <w:b w:val="1"/>
          <w:bCs w:val="1"/>
          <w:color w:val="auto"/>
        </w:rPr>
        <w:t xml:space="preserve"> </w:t>
      </w:r>
      <w:r>
        <w:rPr>
          <w:rFonts w:ascii="Arial" w:cs="Arial" w:eastAsia="Arial" w:hAnsi="Arial"/>
          <w:sz w:val="22"/>
          <w:szCs w:val="22"/>
          <w:color w:val="auto"/>
        </w:rPr>
        <w:t>common law employees, excluding, however, the following classifications:</w:t>
      </w:r>
    </w:p>
    <w:p>
      <w:pPr>
        <w:spacing w:after="0" w:line="154"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employees whose terms and conditions of employment are subject to a collective bargaining agreement,</w:t>
      </w:r>
    </w:p>
    <w:p>
      <w:pPr>
        <w:spacing w:after="0" w:line="254" w:lineRule="exact"/>
        <w:rPr>
          <w:rFonts w:ascii="Arial" w:cs="Arial" w:eastAsia="Arial" w:hAnsi="Arial"/>
          <w:sz w:val="19"/>
          <w:szCs w:val="19"/>
          <w:color w:val="auto"/>
        </w:rPr>
      </w:pPr>
    </w:p>
    <w:p>
      <w:pPr>
        <w:ind w:left="1960" w:hanging="655"/>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employees who are covered under other severance arrangements,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employees who are employed outside the United States, and</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persons who are classified as part-time, temporary, leased, or contract and other similar classifications even if it is subsequently determined that the classification is incorrect.</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2.9. ERISA </w:t>
      </w:r>
      <w:r>
        <w:rPr>
          <w:rFonts w:ascii="Arial" w:cs="Arial" w:eastAsia="Arial" w:hAnsi="Arial"/>
          <w:sz w:val="22"/>
          <w:szCs w:val="22"/>
          <w:color w:val="auto"/>
        </w:rPr>
        <w:t>means the Employee Retirement Income Security Act of 1974, including applicable regulations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section of ERISA. Any reference to a section of ERISA, including the applicable regulation, shall be considered also to mean and refer to any subsequent amendment or replacement of that section or regulation.</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2.10. Participant </w:t>
      </w:r>
      <w:r>
        <w:rPr>
          <w:rFonts w:ascii="Arial" w:cs="Arial" w:eastAsia="Arial" w:hAnsi="Arial"/>
          <w:sz w:val="22"/>
          <w:szCs w:val="22"/>
          <w:color w:val="auto"/>
        </w:rPr>
        <w:t>means an Eligible Employee who satisfies the participation requirements of the Plan in accordance with</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3</w:t>
      </w:r>
      <w:r>
        <w:rPr>
          <w:rFonts w:ascii="Arial" w:cs="Arial" w:eastAsia="Arial" w:hAnsi="Arial"/>
          <w:sz w:val="22"/>
          <w:szCs w:val="22"/>
          <w:color w:val="auto"/>
        </w:rPr>
        <w:t>.</w:t>
      </w:r>
    </w:p>
    <w:p>
      <w:pPr>
        <w:spacing w:after="0" w:line="1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2.11. Plan </w:t>
      </w:r>
      <w:r>
        <w:rPr>
          <w:rFonts w:ascii="Arial" w:cs="Arial" w:eastAsia="Arial" w:hAnsi="Arial"/>
          <w:sz w:val="19"/>
          <w:szCs w:val="19"/>
          <w:color w:val="auto"/>
        </w:rPr>
        <w:t>means this unfunded welfare severance plan established by the Company for the benefit of employees whose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positions are eliminated due to circumstances listed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above or other similar circumstances, as set forth in this document and as amended from time to time. The Plan shall be known as the “Clearway Energy, Inc. Involuntary Severance Plan.”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2.12. Period of Severance </w:t>
      </w:r>
      <w:r>
        <w:rPr>
          <w:rFonts w:ascii="Arial" w:cs="Arial" w:eastAsia="Arial" w:hAnsi="Arial"/>
          <w:sz w:val="22"/>
          <w:szCs w:val="22"/>
          <w:color w:val="auto"/>
        </w:rPr>
        <w:t>means the period commencing on the Participant’s Termination Date and ending on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Participant receives the last severance payment. The duration of the Participant’s Period of Severance shall be determined by the number of Severance Weeks for that Participant.</w:t>
      </w:r>
    </w:p>
    <w:p>
      <w:pPr>
        <w:spacing w:after="0" w:line="17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 xml:space="preserve">Plan Sponsor </w:t>
      </w:r>
      <w:r>
        <w:rPr>
          <w:rFonts w:ascii="Arial" w:cs="Arial" w:eastAsia="Arial" w:hAnsi="Arial"/>
          <w:sz w:val="19"/>
          <w:szCs w:val="19"/>
          <w:color w:val="auto"/>
        </w:rPr>
        <w:t>means Clearway Energy, Inc., a Delaware corporation, and any successor as provided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2.14. Plan Year </w:t>
      </w:r>
      <w:r>
        <w:rPr>
          <w:rFonts w:ascii="Arial" w:cs="Arial" w:eastAsia="Arial" w:hAnsi="Arial"/>
          <w:sz w:val="22"/>
          <w:szCs w:val="22"/>
          <w:color w:val="auto"/>
        </w:rPr>
        <w:t>means the consecutive twelve-month period beginning each January 1 and ending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w:t>
      </w:r>
    </w:p>
    <w:p>
      <w:pPr>
        <w:spacing w:after="0" w:line="148"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2.15. Release </w:t>
      </w:r>
      <w:r>
        <w:rPr>
          <w:rFonts w:ascii="Arial" w:cs="Arial" w:eastAsia="Arial" w:hAnsi="Arial"/>
          <w:sz w:val="19"/>
          <w:szCs w:val="19"/>
          <w:color w:val="auto"/>
        </w:rPr>
        <w:t>means a general waiver and release of claims in favor of the Company, in a form drafted by and acceptable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that must be executed by a Participant as a condition to receipt of severance benefits and payments under the Plan.</w:t>
      </w:r>
    </w:p>
    <w:p>
      <w:pPr>
        <w:spacing w:after="0" w:line="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2.16. Salary </w:t>
      </w:r>
      <w:r>
        <w:rPr>
          <w:rFonts w:ascii="Arial" w:cs="Arial" w:eastAsia="Arial" w:hAnsi="Arial"/>
          <w:sz w:val="22"/>
          <w:szCs w:val="22"/>
          <w:color w:val="auto"/>
        </w:rPr>
        <w:t>means the Participant’s annual base salary as of the Participant’s Termination Date. The following rules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in determining the Participant’s annual base salary:</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8" w:right="239" w:bottom="1440" w:gutter="0" w:footer="0" w:header="0"/>
        </w:sectPr>
      </w:pPr>
    </w:p>
    <w:bookmarkStart w:id="163" w:name="page164"/>
    <w:bookmarkEnd w:id="163"/>
    <w:p>
      <w:pPr>
        <w:jc w:val="both"/>
        <w:ind w:left="1960" w:hanging="655"/>
        <w:spacing w:after="0" w:line="261" w:lineRule="auto"/>
        <w:tabs>
          <w:tab w:leader="none" w:pos="1960"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Excluded Items</w:t>
      </w:r>
      <w:r>
        <w:rPr>
          <w:rFonts w:ascii="Arial" w:cs="Arial" w:eastAsia="Arial" w:hAnsi="Arial"/>
          <w:sz w:val="21"/>
          <w:szCs w:val="21"/>
          <w:color w:val="auto"/>
        </w:rPr>
        <w:t>. In determining a Participant’s Salary, there shall be excluded all of the following: (i)</w:t>
      </w:r>
      <w:r>
        <w:rPr>
          <w:rFonts w:ascii="Arial" w:cs="Arial" w:eastAsia="Arial" w:hAnsi="Arial"/>
          <w:sz w:val="21"/>
          <w:szCs w:val="21"/>
          <w:b w:val="1"/>
          <w:bCs w:val="1"/>
          <w:color w:val="auto"/>
        </w:rPr>
        <w:t xml:space="preserve"> </w:t>
      </w:r>
      <w:r>
        <w:rPr>
          <w:rFonts w:ascii="Arial" w:cs="Arial" w:eastAsia="Arial" w:hAnsi="Arial"/>
          <w:sz w:val="21"/>
          <w:szCs w:val="21"/>
          <w:color w:val="auto"/>
        </w:rPr>
        <w:t>overtime and shift differential pay, (ii) expense allowances, (iii) deferred compensation at the time it is paid, or deferred, including pay for any accrued but unused Paid Time Off, (iv) long term disability pay, (v) bonus or other incentive, (vi) payments, discounts or grants under any stock purchase, stock option, phantom stock unit or restricted stock plan, (vii) severance pay, (viii) contributions or benefits under any other employee benefit or fringe benefit plan (except as provided in subsection (b)), (ix) tax gross-ups, or (x) other payments of a similar nature.</w:t>
      </w:r>
    </w:p>
    <w:p>
      <w:pPr>
        <w:spacing w:after="0" w:line="174" w:lineRule="exact"/>
        <w:rPr>
          <w:rFonts w:ascii="Arial" w:cs="Arial" w:eastAsia="Arial" w:hAnsi="Arial"/>
          <w:sz w:val="21"/>
          <w:szCs w:val="21"/>
          <w:color w:val="auto"/>
        </w:rPr>
      </w:pPr>
    </w:p>
    <w:p>
      <w:pPr>
        <w:jc w:val="both"/>
        <w:ind w:left="1960" w:hanging="655"/>
        <w:spacing w:after="0" w:line="249" w:lineRule="auto"/>
        <w:tabs>
          <w:tab w:leader="none" w:pos="196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Included Items</w:t>
      </w:r>
      <w:r>
        <w:rPr>
          <w:rFonts w:ascii="Arial" w:cs="Arial" w:eastAsia="Arial" w:hAnsi="Arial"/>
          <w:sz w:val="22"/>
          <w:szCs w:val="22"/>
          <w:color w:val="auto"/>
        </w:rPr>
        <w:t>. Elective contributions made by the Plan Sponsor or its Affiliates on behalf of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that are not includable in gross income under Sections 125 or 402(e)(3) of the Code, including elective contributions authorized by the Participant under a cafeteria plan or any qualified cash or deferred arrangement under Section 401(k) of the Code, and short term disability payments shall be included in Salary.</w:t>
      </w:r>
    </w:p>
    <w:p>
      <w:pPr>
        <w:spacing w:after="0" w:line="186" w:lineRule="exact"/>
        <w:rPr>
          <w:rFonts w:ascii="Arial" w:cs="Arial" w:eastAsia="Arial" w:hAnsi="Arial"/>
          <w:sz w:val="22"/>
          <w:szCs w:val="22"/>
          <w:color w:val="auto"/>
        </w:rPr>
      </w:pPr>
    </w:p>
    <w:p>
      <w:pPr>
        <w:ind w:left="1960" w:hanging="655"/>
        <w:spacing w:after="0" w:line="269" w:lineRule="auto"/>
        <w:tabs>
          <w:tab w:leader="none" w:pos="196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Post-Termination Pay</w:t>
      </w:r>
      <w:r>
        <w:rPr>
          <w:rFonts w:ascii="Arial" w:cs="Arial" w:eastAsia="Arial" w:hAnsi="Arial"/>
          <w:sz w:val="22"/>
          <w:szCs w:val="22"/>
          <w:color w:val="auto"/>
        </w:rPr>
        <w:t>. Amounts received after the Participant’s Termination Date shall not be taken into</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in determining a Participant’s Salary.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2.17. Severance Weeks </w:t>
      </w:r>
      <w:r>
        <w:rPr>
          <w:rFonts w:ascii="Arial" w:cs="Arial" w:eastAsia="Arial" w:hAnsi="Arial"/>
          <w:sz w:val="22"/>
          <w:szCs w:val="22"/>
          <w:color w:val="auto"/>
        </w:rPr>
        <w:t>means the number of weeks according to a Participant’s job level and personnel subarea, if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as indicated in the Company’s human resources information systems, per the table below:</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60" w:type="dxa"/>
            <w:vAlign w:val="bottom"/>
            <w:tcBorders>
              <w:top w:val="single" w:sz="8" w:color="00000A"/>
              <w:left w:val="single" w:sz="8" w:color="00000A"/>
              <w:bottom w:val="single" w:sz="8" w:color="00000A"/>
              <w:right w:val="single" w:sz="8" w:color="00000A"/>
            </w:tcBorders>
            <w:shd w:val="clear" w:color="auto" w:fill="CCCCCC"/>
          </w:tcPr>
          <w:p>
            <w:pPr>
              <w:ind w:left="40"/>
              <w:spacing w:after="0"/>
              <w:rPr>
                <w:sz w:val="20"/>
                <w:szCs w:val="20"/>
                <w:color w:val="auto"/>
              </w:rPr>
            </w:pPr>
            <w:r>
              <w:rPr>
                <w:rFonts w:ascii="Arial" w:cs="Arial" w:eastAsia="Arial" w:hAnsi="Arial"/>
                <w:sz w:val="22"/>
                <w:szCs w:val="22"/>
                <w:b w:val="1"/>
                <w:bCs w:val="1"/>
                <w:color w:val="auto"/>
              </w:rPr>
              <w:t>Assignment</w:t>
            </w:r>
          </w:p>
        </w:tc>
        <w:tc>
          <w:tcPr>
            <w:tcW w:w="7160" w:type="dxa"/>
            <w:vAlign w:val="bottom"/>
            <w:tcBorders>
              <w:top w:val="single" w:sz="8" w:color="00000A"/>
              <w:bottom w:val="single" w:sz="8" w:color="00000A"/>
              <w:right w:val="single" w:sz="8" w:color="00000A"/>
            </w:tcBorders>
            <w:shd w:val="clear" w:color="auto" w:fill="CCCCCC"/>
          </w:tcPr>
          <w:p>
            <w:pPr>
              <w:ind w:left="20"/>
              <w:spacing w:after="0"/>
              <w:rPr>
                <w:sz w:val="20"/>
                <w:szCs w:val="20"/>
                <w:color w:val="auto"/>
              </w:rPr>
            </w:pPr>
            <w:r>
              <w:rPr>
                <w:rFonts w:ascii="Arial" w:cs="Arial" w:eastAsia="Arial" w:hAnsi="Arial"/>
                <w:sz w:val="22"/>
                <w:szCs w:val="22"/>
                <w:b w:val="1"/>
                <w:bCs w:val="1"/>
                <w:color w:val="auto"/>
              </w:rPr>
              <w:t>Severance Weeks</w:t>
            </w:r>
          </w:p>
        </w:tc>
      </w:tr>
      <w:tr>
        <w:trPr>
          <w:trHeight w:val="249"/>
        </w:trPr>
        <w:tc>
          <w:tcPr>
            <w:tcW w:w="40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Non-Exempt Professional; or,</w:t>
            </w:r>
          </w:p>
        </w:tc>
        <w:tc>
          <w:tcPr>
            <w:tcW w:w="71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89"/>
              </w:rPr>
              <w:t>The greater of 8 weeks of base pay or 1.5 weeks of base pay per Year of Service.</w:t>
            </w:r>
          </w:p>
        </w:tc>
      </w:tr>
      <w:tr>
        <w:trPr>
          <w:trHeight w:val="285"/>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Plant Professional</w:t>
            </w:r>
          </w:p>
        </w:tc>
        <w:tc>
          <w:tcPr>
            <w:tcW w:w="71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Maximum 52 weeks</w:t>
            </w:r>
          </w:p>
        </w:tc>
      </w:tr>
      <w:tr>
        <w:trPr>
          <w:trHeight w:val="249"/>
        </w:trPr>
        <w:tc>
          <w:tcPr>
            <w:tcW w:w="40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Exempt Professional</w:t>
            </w:r>
          </w:p>
        </w:tc>
        <w:tc>
          <w:tcPr>
            <w:tcW w:w="71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8"/>
              </w:rPr>
              <w:t>The greater of 12 weeks of base pay or 1.5 weeks of base pay per Year of</w:t>
            </w:r>
          </w:p>
        </w:tc>
      </w:tr>
      <w:tr>
        <w:trPr>
          <w:trHeight w:val="285"/>
        </w:trPr>
        <w:tc>
          <w:tcPr>
            <w:tcW w:w="4060" w:type="dxa"/>
            <w:vAlign w:val="bottom"/>
            <w:tcBorders>
              <w:left w:val="single" w:sz="8" w:color="00000A"/>
              <w:bottom w:val="single" w:sz="8" w:color="00000A"/>
              <w:right w:val="single" w:sz="8" w:color="00000A"/>
            </w:tcBorders>
          </w:tcPr>
          <w:p>
            <w:pPr>
              <w:spacing w:after="0"/>
              <w:rPr>
                <w:sz w:val="24"/>
                <w:szCs w:val="24"/>
                <w:color w:val="auto"/>
              </w:rPr>
            </w:pPr>
          </w:p>
        </w:tc>
        <w:tc>
          <w:tcPr>
            <w:tcW w:w="71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Service. Maximum 52 weeks.</w:t>
            </w:r>
          </w:p>
        </w:tc>
      </w:tr>
      <w:tr>
        <w:trPr>
          <w:trHeight w:val="249"/>
        </w:trPr>
        <w:tc>
          <w:tcPr>
            <w:tcW w:w="40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Manager or Senior Manager</w:t>
            </w:r>
          </w:p>
        </w:tc>
        <w:tc>
          <w:tcPr>
            <w:tcW w:w="71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8"/>
              </w:rPr>
              <w:t>The greater of 16 weeks of base pay or 1.5 weeks of base pay per Year of</w:t>
            </w:r>
          </w:p>
        </w:tc>
      </w:tr>
      <w:tr>
        <w:trPr>
          <w:trHeight w:val="285"/>
        </w:trPr>
        <w:tc>
          <w:tcPr>
            <w:tcW w:w="4060" w:type="dxa"/>
            <w:vAlign w:val="bottom"/>
            <w:tcBorders>
              <w:left w:val="single" w:sz="8" w:color="00000A"/>
              <w:bottom w:val="single" w:sz="8" w:color="00000A"/>
              <w:right w:val="single" w:sz="8" w:color="00000A"/>
            </w:tcBorders>
          </w:tcPr>
          <w:p>
            <w:pPr>
              <w:spacing w:after="0"/>
              <w:rPr>
                <w:sz w:val="24"/>
                <w:szCs w:val="24"/>
                <w:color w:val="auto"/>
              </w:rPr>
            </w:pPr>
          </w:p>
        </w:tc>
        <w:tc>
          <w:tcPr>
            <w:tcW w:w="71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Service. Maximum 52 weeks.</w:t>
            </w:r>
          </w:p>
        </w:tc>
      </w:tr>
      <w:tr>
        <w:trPr>
          <w:trHeight w:val="249"/>
        </w:trPr>
        <w:tc>
          <w:tcPr>
            <w:tcW w:w="40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Director</w:t>
            </w:r>
          </w:p>
        </w:tc>
        <w:tc>
          <w:tcPr>
            <w:tcW w:w="71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8"/>
              </w:rPr>
              <w:t>The greater of 24 weeks of base pay or 1.5 weeks of base pay per Year of</w:t>
            </w:r>
          </w:p>
        </w:tc>
      </w:tr>
      <w:tr>
        <w:trPr>
          <w:trHeight w:val="285"/>
        </w:trPr>
        <w:tc>
          <w:tcPr>
            <w:tcW w:w="4060" w:type="dxa"/>
            <w:vAlign w:val="bottom"/>
            <w:tcBorders>
              <w:left w:val="single" w:sz="8" w:color="00000A"/>
              <w:bottom w:val="single" w:sz="8" w:color="00000A"/>
              <w:right w:val="single" w:sz="8" w:color="00000A"/>
            </w:tcBorders>
          </w:tcPr>
          <w:p>
            <w:pPr>
              <w:spacing w:after="0"/>
              <w:rPr>
                <w:sz w:val="24"/>
                <w:szCs w:val="24"/>
                <w:color w:val="auto"/>
              </w:rPr>
            </w:pPr>
          </w:p>
        </w:tc>
        <w:tc>
          <w:tcPr>
            <w:tcW w:w="71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Service. Maximum 52 weeks.</w:t>
            </w:r>
          </w:p>
        </w:tc>
      </w:tr>
    </w:tbl>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2.18. Termination Date </w:t>
      </w:r>
      <w:r>
        <w:rPr>
          <w:rFonts w:ascii="Arial" w:cs="Arial" w:eastAsia="Arial" w:hAnsi="Arial"/>
          <w:sz w:val="22"/>
          <w:szCs w:val="22"/>
          <w:color w:val="auto"/>
        </w:rPr>
        <w:t>means the date on which the Participant’s employment with the Company or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terminates and such termination is also a “separation from service” for purposes of Code Section 409A.</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19"/>
          <w:szCs w:val="19"/>
          <w:b w:val="1"/>
          <w:bCs w:val="1"/>
          <w:color w:val="auto"/>
        </w:rPr>
        <w:t xml:space="preserve">Weekly Compensation </w:t>
      </w:r>
      <w:r>
        <w:rPr>
          <w:rFonts w:ascii="Arial" w:cs="Arial" w:eastAsia="Arial" w:hAnsi="Arial"/>
          <w:sz w:val="19"/>
          <w:szCs w:val="19"/>
          <w:color w:val="auto"/>
        </w:rPr>
        <w:t>means the Participant’s Salary divided by fifty-two (52).</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2.20. Years of Service </w:t>
      </w:r>
      <w:r>
        <w:rPr>
          <w:rFonts w:ascii="Arial" w:cs="Arial" w:eastAsia="Arial" w:hAnsi="Arial"/>
          <w:sz w:val="21"/>
          <w:szCs w:val="21"/>
          <w:color w:val="auto"/>
        </w:rPr>
        <w:t>means a Participant’s completed and partial calendar years of continuous service for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and its Affiliates (including with any predecessor thereof). Years of Service shall include time on a leave of absence to the extent required by law. Years of Service shall not include any accrued but unused paid time off benefits as of the employee’s Termination Date. Service as a temporary or temporary/part-time employee will not be considered</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9" w:right="239" w:bottom="1440" w:gutter="0" w:footer="0" w:header="0"/>
        </w:sectPr>
      </w:pPr>
    </w:p>
    <w:bookmarkStart w:id="164" w:name="page165"/>
    <w:bookmarkEnd w:id="164"/>
    <w:p>
      <w:pPr>
        <w:jc w:val="both"/>
        <w:spacing w:after="0" w:line="253" w:lineRule="auto"/>
        <w:rPr>
          <w:sz w:val="20"/>
          <w:szCs w:val="20"/>
          <w:color w:val="auto"/>
        </w:rPr>
      </w:pPr>
      <w:r>
        <w:rPr>
          <w:rFonts w:ascii="Arial" w:cs="Arial" w:eastAsia="Arial" w:hAnsi="Arial"/>
          <w:sz w:val="22"/>
          <w:szCs w:val="22"/>
          <w:color w:val="auto"/>
        </w:rPr>
        <w:t>a termination or interruption of employment, but will not count toward Years of Service. Years of Service will terminate on the employee’s Termination Date. An employee who terminates employment and is rehired by the Company or an Affiliate will not receive credit for any prior Years of Service.</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9"/>
          <w:szCs w:val="19"/>
          <w:b w:val="1"/>
          <w:bCs w:val="1"/>
          <w:color w:val="auto"/>
        </w:rPr>
        <w:t>Eligibility and Participation.</w:t>
      </w:r>
    </w:p>
    <w:p>
      <w:pPr>
        <w:spacing w:after="0" w:line="23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3.1. Eligibility</w:t>
      </w:r>
      <w:r>
        <w:rPr>
          <w:rFonts w:ascii="Arial" w:cs="Arial" w:eastAsia="Arial" w:hAnsi="Arial"/>
          <w:sz w:val="19"/>
          <w:szCs w:val="19"/>
          <w:color w:val="auto"/>
        </w:rPr>
        <w:t>. Persons eligible to participate in the Plan shall be limited to Eligible Employees whose positions are</w:t>
      </w:r>
      <w:r>
        <w:rPr>
          <w:rFonts w:ascii="Arial" w:cs="Arial" w:eastAsia="Arial" w:hAnsi="Arial"/>
          <w:sz w:val="19"/>
          <w:szCs w:val="19"/>
          <w:b w:val="1"/>
          <w:bCs w:val="1"/>
          <w:color w:val="auto"/>
        </w:rPr>
        <w:t xml:space="preserve"> </w:t>
      </w:r>
      <w:r>
        <w:rPr>
          <w:rFonts w:ascii="Arial" w:cs="Arial" w:eastAsia="Arial" w:hAnsi="Arial"/>
          <w:sz w:val="19"/>
          <w:szCs w:val="19"/>
          <w:color w:val="auto"/>
        </w:rPr>
        <w:t>eliminated or consolidated with another position due to reductions in force or as a result of a Clearway Energy, Inc. restructuring and such position elimination also constitutes a “separation from service” for purposes of Code Section 409A. No employee is eligible unless he or she has received a written notice from the Company informing him/her that he/she qualifies for benefits under this Plan. Furthermore, to become a Participant, an Eligible Employee must sign and not revoke an effective Release, and such Release shall no longer be subject to revocation, in each case within sixty (60) days of the Termination Date.</w:t>
      </w:r>
    </w:p>
    <w:p>
      <w:pPr>
        <w:spacing w:after="0" w:line="14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3.2. Commencement of Participation</w:t>
      </w:r>
      <w:r>
        <w:rPr>
          <w:rFonts w:ascii="Arial" w:cs="Arial" w:eastAsia="Arial" w:hAnsi="Arial"/>
          <w:sz w:val="21"/>
          <w:szCs w:val="21"/>
          <w:color w:val="auto"/>
        </w:rPr>
        <w:t>. An Eligible Employee shall commence participation in the Plan upon the later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Eligible Employee’s Termination Date or the date the Eligible Employee’s signed Release becomes irrevocable.</w:t>
      </w:r>
    </w:p>
    <w:p>
      <w:pPr>
        <w:spacing w:after="0" w:line="1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Cessation of Participation</w:t>
      </w:r>
      <w:r>
        <w:rPr>
          <w:rFonts w:ascii="Arial" w:cs="Arial" w:eastAsia="Arial" w:hAnsi="Arial"/>
          <w:sz w:val="19"/>
          <w:szCs w:val="19"/>
          <w:color w:val="auto"/>
        </w:rPr>
        <w:t>. Participation in the Plan shall end on the earliest of:</w:t>
      </w:r>
    </w:p>
    <w:p>
      <w:pPr>
        <w:spacing w:after="0" w:line="239" w:lineRule="exact"/>
        <w:rPr>
          <w:sz w:val="20"/>
          <w:szCs w:val="20"/>
          <w:color w:val="auto"/>
        </w:rPr>
      </w:pPr>
    </w:p>
    <w:p>
      <w:pPr>
        <w:ind w:left="1960" w:hanging="655"/>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when the Participant’s Period of Severance ends,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when the Participant has received full payment of the Participant’s benefit under the Plan, or</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Participant is rehired by the Company or Affiliate (whether directly, indirectly or through an employment agency or contractor).</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Ineligibility</w:t>
      </w:r>
    </w:p>
    <w:p>
      <w:pPr>
        <w:spacing w:after="0" w:line="239" w:lineRule="exact"/>
        <w:rPr>
          <w:sz w:val="20"/>
          <w:szCs w:val="20"/>
          <w:color w:val="auto"/>
        </w:rPr>
      </w:pPr>
    </w:p>
    <w:p>
      <w:pPr>
        <w:jc w:val="both"/>
        <w:ind w:left="1960" w:hanging="655"/>
        <w:spacing w:after="0" w:line="292" w:lineRule="auto"/>
        <w:tabs>
          <w:tab w:leader="none" w:pos="19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Comparable Position. The Company may offer an employee a comparable position, may require an employee to apply for a comparable position with the Company or any Affiliate, or may reassign an employee to a new position or a reclassification of the employee’s current 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positions shall be located within reasonably the same geographic area where the employee is located on the Termination Date. The Company shall determine, in its sole and reasonable discretion, what constitutes a comparable position under this </w:t>
      </w:r>
      <w:r>
        <w:rPr>
          <w:rFonts w:ascii="Arial" w:cs="Arial" w:eastAsia="Arial" w:hAnsi="Arial"/>
          <w:sz w:val="19"/>
          <w:szCs w:val="19"/>
          <w:u w:val="single" w:color="auto"/>
          <w:color w:val="auto"/>
        </w:rPr>
        <w:t>Section 3.4(a)</w:t>
      </w:r>
      <w:r>
        <w:rPr>
          <w:rFonts w:ascii="Arial" w:cs="Arial" w:eastAsia="Arial" w:hAnsi="Arial"/>
          <w:sz w:val="19"/>
          <w:szCs w:val="19"/>
          <w:color w:val="auto"/>
        </w:rPr>
        <w:t>. The failure of an employee to accept the position, or apply for the position when required by the Company will render the employee ineligible for benefits under this Plan.</w:t>
      </w:r>
    </w:p>
    <w:p>
      <w:pPr>
        <w:spacing w:after="0" w:line="151"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Other Circumstances. An employee shall also be ineligible for benefits under this Plan if the employee voluntarily terminates employment or retires prior to the position elimination effective date; is receiving long-term disability</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4" w:right="239" w:bottom="1440" w:gutter="0" w:footer="0" w:header="0"/>
        </w:sectPr>
      </w:pPr>
    </w:p>
    <w:bookmarkStart w:id="165" w:name="page166"/>
    <w:bookmarkEnd w:id="165"/>
    <w:p>
      <w:pPr>
        <w:jc w:val="both"/>
        <w:ind w:left="1960"/>
        <w:spacing w:after="0" w:line="242" w:lineRule="auto"/>
        <w:rPr>
          <w:sz w:val="20"/>
          <w:szCs w:val="20"/>
          <w:color w:val="auto"/>
        </w:rPr>
      </w:pPr>
      <w:r>
        <w:rPr>
          <w:rFonts w:ascii="Arial" w:cs="Arial" w:eastAsia="Arial" w:hAnsi="Arial"/>
          <w:sz w:val="19"/>
          <w:szCs w:val="19"/>
          <w:color w:val="auto"/>
        </w:rPr>
        <w:t>benefits under a Company sponsored long-term disability plan; is a rehired Company retiree; is entitled to any other compensation or benefit which is determined, in the Company’s sole discretion, to supersede the severance benefits offered under this Plan; is discharged under circumstances that the Company determines, in its sole discretion, to involve unacceptable performance or failure to perform, misconduct, negligence, dishonesty, violation of Company policy, or the inability (with or without reasonable accommodation) to perform the essential functions of the employee’s position; or is offered employment by a successor employer or by a purchaser in the event of a spin-off or sale of a subsidiary, business unit or business assets of the Company or its subsidiaries, whether or not the employee accepts or declines the offer of employment. For the avoidance of doubt, employees in positions that are transitioned to a third-party administrator, outsourcing partner, or strategic business partner where employment terms and conditions, in the aggregate, are of a substantially same or similar nature, and where employment is continuous and uninterrupted from the Company to a third-party administrator, outsourcing partner, or strategic business party are not eligible for benefits under the Plan.</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No Duplication of Severance Benefits; Reduction of Other Benefits</w:t>
      </w:r>
      <w:r>
        <w:rPr>
          <w:rFonts w:ascii="Arial" w:cs="Arial" w:eastAsia="Arial" w:hAnsi="Arial"/>
          <w:sz w:val="19"/>
          <w:szCs w:val="19"/>
          <w:color w:val="auto"/>
        </w:rPr>
        <w:t>. For the avoidance of doubt, if a Participant is</w:t>
      </w:r>
    </w:p>
    <w:p>
      <w:pPr>
        <w:spacing w:after="0" w:line="2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eligible for severance benefits under this Plan, such benefits shall be in lieu of all other severance benefits for which the Participant may be eligible under any other Company-related severance plans, programs, or other agreements. Any benefits provided under this Plan will, to the extent permitted by law, be reduced by the value of any severance benefit required to be paid to the employee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employee which would under the terms of this section reduce the benefit payable under the Plan, the Company shall be entitled to recover from the employee the overpayment made under this Plan and shall, to the extent permitted by law, be entitled to offset such overpayment against any amount owed to the employee (other than any amount that constitutes “deferred compensation” for purposes of Code Section 409A).</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8"/>
          <w:szCs w:val="18"/>
          <w:b w:val="1"/>
          <w:bCs w:val="1"/>
          <w:color w:val="auto"/>
        </w:rPr>
        <w:t>Severance Benefits.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4.1. Lump Sum Payment</w:t>
      </w:r>
      <w:r>
        <w:rPr>
          <w:rFonts w:ascii="Arial" w:cs="Arial" w:eastAsia="Arial" w:hAnsi="Arial"/>
          <w:sz w:val="22"/>
          <w:szCs w:val="22"/>
          <w:color w:val="auto"/>
        </w:rPr>
        <w:t>. The Participant shall receive a lump sum payment, paid in the standard bi-weekly payroll cycle</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Participant (determined as of the Participant’s Termination Date), promptly after the Release is executed and no longer subject to revocation. Notwithstanding the foregoing, in the event the period during which the Participant may adopt the Release and its applicable revocation period cross calendar years, all payments under this Plan shall be made in the succeeding calendar year. The lump sum payment shall equal the Participant’s Weekly Compensation multiplied by the Participant’s number of Severance Weeks.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77" w:right="239" w:bottom="1440" w:gutter="0" w:footer="0" w:header="0"/>
        </w:sectPr>
      </w:pPr>
    </w:p>
    <w:bookmarkStart w:id="166" w:name="page167"/>
    <w:bookmarkEnd w:id="166"/>
    <w:p>
      <w:pPr>
        <w:jc w:val="both"/>
        <w:ind w:firstLine="648"/>
        <w:spacing w:after="0" w:line="256" w:lineRule="auto"/>
        <w:rPr>
          <w:sz w:val="20"/>
          <w:szCs w:val="20"/>
          <w:color w:val="auto"/>
        </w:rPr>
      </w:pPr>
      <w:r>
        <w:rPr>
          <w:rFonts w:ascii="Arial" w:cs="Arial" w:eastAsia="Arial" w:hAnsi="Arial"/>
          <w:sz w:val="22"/>
          <w:szCs w:val="22"/>
          <w:b w:val="1"/>
          <w:bCs w:val="1"/>
          <w:color w:val="auto"/>
        </w:rPr>
        <w:t>4.2. Death Benefit</w:t>
      </w:r>
      <w:r>
        <w:rPr>
          <w:rFonts w:ascii="Arial" w:cs="Arial" w:eastAsia="Arial" w:hAnsi="Arial"/>
          <w:sz w:val="22"/>
          <w:szCs w:val="22"/>
          <w:color w:val="auto"/>
        </w:rPr>
        <w:t>. An Eligible Employee who is otherwise eligible under Section 3.1 will cease to be eligible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benefits on the employee’s death, unless the death occurs after the date the Release is executed and not revoked, in which case the remaining benefits, if any, will be paid to the Eligible Employee in accordance with the Company’s regular payroll practices or to the Eligible Employee’s estate, as applicable.</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4.3. Outplacement Benefits</w:t>
      </w:r>
      <w:r>
        <w:rPr>
          <w:rFonts w:ascii="Arial" w:cs="Arial" w:eastAsia="Arial" w:hAnsi="Arial"/>
          <w:sz w:val="22"/>
          <w:szCs w:val="22"/>
          <w:color w:val="auto"/>
        </w:rPr>
        <w:t>. The Company shall provide Eligible Employees who are entitled to severance benefits with</w:t>
      </w:r>
      <w:r>
        <w:rPr>
          <w:rFonts w:ascii="Arial" w:cs="Arial" w:eastAsia="Arial" w:hAnsi="Arial"/>
          <w:sz w:val="22"/>
          <w:szCs w:val="22"/>
          <w:b w:val="1"/>
          <w:bCs w:val="1"/>
          <w:color w:val="auto"/>
        </w:rPr>
        <w:t xml:space="preserve"> </w:t>
      </w:r>
      <w:r>
        <w:rPr>
          <w:rFonts w:ascii="Arial" w:cs="Arial" w:eastAsia="Arial" w:hAnsi="Arial"/>
          <w:sz w:val="22"/>
          <w:szCs w:val="22"/>
          <w:color w:val="auto"/>
        </w:rPr>
        <w:t>outplacement services through the Company’s contracted provider or one selected by the employee and approved in advance by the Company.</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4.4. Failure to Sign (or Revocation of) Release</w:t>
      </w:r>
      <w:r>
        <w:rPr>
          <w:rFonts w:ascii="Arial" w:cs="Arial" w:eastAsia="Arial" w:hAnsi="Arial"/>
          <w:sz w:val="22"/>
          <w:szCs w:val="22"/>
          <w:color w:val="auto"/>
        </w:rPr>
        <w:t>. An Eligible Employee who, for whatever reason, either fails to sign the</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form, or after signing the Release, revokes the Release within the time period prescribed by law, in each case such that the Release is not effective and irrevocable within sixty (60) days of the Termination Date, shall not be eligible for benefits under this Plan.</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4.5. Specified Employees</w:t>
      </w:r>
      <w:r>
        <w:rPr>
          <w:rFonts w:ascii="Arial" w:cs="Arial" w:eastAsia="Arial" w:hAnsi="Arial"/>
          <w:sz w:val="22"/>
          <w:szCs w:val="22"/>
          <w:color w:val="auto"/>
        </w:rPr>
        <w:t>. Notwithstanding any other payment schedule provided herein to the contrary, if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is deemed on the date of termination to be a “specified employee” within the meaning of that term under Code Section 409A(a)(2) (B), then each of the following shall apply:</w:t>
      </w:r>
    </w:p>
    <w:p>
      <w:pPr>
        <w:spacing w:after="0" w:line="177"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9"/>
          <w:szCs w:val="19"/>
          <w:color w:val="auto"/>
        </w:rPr>
        <w:t>4.5.1 with regard to any payment that is considered deferred compensation under Code Section 409A payable on account of a “separation from service,” such payment shall be made on the date which is the earlier of (A) the expiration of the six</w:t>
      </w:r>
    </w:p>
    <w:p>
      <w:pPr>
        <w:jc w:val="both"/>
        <w:spacing w:after="0" w:line="245" w:lineRule="auto"/>
        <w:rPr>
          <w:sz w:val="20"/>
          <w:szCs w:val="20"/>
          <w:color w:val="auto"/>
        </w:rPr>
      </w:pPr>
      <w:r>
        <w:rPr>
          <w:rFonts w:ascii="Arial" w:cs="Arial" w:eastAsia="Arial" w:hAnsi="Arial"/>
          <w:sz w:val="22"/>
          <w:szCs w:val="22"/>
          <w:color w:val="auto"/>
        </w:rPr>
        <w:t>(6)-month period measured from the date of such “separation from service” of the Participant, and (B) the date of the Participant’s death (the “</w:t>
      </w:r>
      <w:r>
        <w:rPr>
          <w:rFonts w:ascii="Arial" w:cs="Arial" w:eastAsia="Arial" w:hAnsi="Arial"/>
          <w:sz w:val="22"/>
          <w:szCs w:val="22"/>
          <w:u w:val="single" w:color="auto"/>
          <w:color w:val="auto"/>
        </w:rPr>
        <w:t>Delay Period</w:t>
      </w:r>
      <w:r>
        <w:rPr>
          <w:rFonts w:ascii="Arial" w:cs="Arial" w:eastAsia="Arial" w:hAnsi="Arial"/>
          <w:sz w:val="22"/>
          <w:szCs w:val="22"/>
          <w:color w:val="auto"/>
        </w:rPr>
        <w:t xml:space="preserve">”) to the extent required under Code Section 409A. Upon the expiration of the Delay Period, all payments delayed pursuant to this </w:t>
      </w:r>
      <w:r>
        <w:rPr>
          <w:rFonts w:ascii="Arial" w:cs="Arial" w:eastAsia="Arial" w:hAnsi="Arial"/>
          <w:sz w:val="22"/>
          <w:szCs w:val="22"/>
          <w:u w:val="single" w:color="auto"/>
          <w:color w:val="auto"/>
        </w:rPr>
        <w:t>Section 4.5.1</w:t>
      </w:r>
      <w:r>
        <w:rPr>
          <w:rFonts w:ascii="Arial" w:cs="Arial" w:eastAsia="Arial" w:hAnsi="Arial"/>
          <w:sz w:val="22"/>
          <w:szCs w:val="22"/>
          <w:color w:val="auto"/>
        </w:rPr>
        <w:t xml:space="preserve"> shall be paid to the Participant in a lump sum.</w:t>
      </w:r>
    </w:p>
    <w:p>
      <w:pPr>
        <w:spacing w:after="0" w:line="193"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4.5.2 To the extent that any benefit to be provided during the Delay Period is considered deferred compensation under Code Section 409A provided on account of a “separation from service,” and such benefits are not otherwise exempt from Code Section 409A, the Participant shall pay the cost of such benefits during the Delay Period, and the Company shall reimburse the Participant, to the extent that such costs would otherwise have been paid by the Company or to the extent that such benefits would otherwise have been provided by the Company at no cost to the Participant, the Company’s share of the cost of such benefits upon expiration of the Delay Period, and any remaining benefits shall be reimbursed or provided by the Company in accordance with the procedures specified herein.</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color w:val="auto"/>
        </w:rPr>
        <w:t>Continuation of Certain Welfare Benefits.</w:t>
      </w:r>
    </w:p>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that the Participant is, and remains, eligible for COBRA continuation coverage and elects to receive such coverage, the Company shall pay for all or a portion of his or her cost to participate in COBRA medical and dental continuation coverage for the Participant’s Period of Severance following the Participant’s Termination Date, such that Participant maintains the same</w:t>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8"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coverage level and cost, on an after tax basis, as in effect immediately prior to the Participant’s Termination Date.</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Notwithstanding the above, these medical and dental benefits shall be discontinued prior to the end of the stated continuation period in the event the Participant receives substantially similar benefits from a subsequent employer, as determined solely by the Administrator in good faith. For purposes of enforcing this offset provision, the Participant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Company shall withhold from the Participant’s severance benefit payment an amount sufficient to satisfy any federal, state, and/or local tax withholding requirements. The intent of the parties is that payments and benefits under this Plan be exempt from Code Section 409A and the regulations and guidance promulgated thereunder and, accordingly, to the maximum extent permitted, in the event Code Section 409A applies to this Plan, this Plan shall be interpreted to be in compliance therewith. In no event whatsoever shall the Company be liable for any additional tax, interest or penalty that may be imposed on a Participant by Code Section 409A or damages for failing to comply with Code Section 409A. For purposes of Code Section 409A, the Participant’s right to receive any installment payment pursuant to this Plan shall be treated as a right to receive a series of separate and distinct payments. Notwithstanding any other provision of this Plan to the contrary, in no event shall any payment under this Plan that constitutes “deferred compensation” for purposes of Code Section 409A be subject to offset, counterclaim or recoupment by any other amount payable to the Eligible Employee unless otherwise permitted by Code Section 409A.</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color w:val="auto"/>
        </w:rPr>
        <w:t>Amendment and Termination.</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Plan Sponsor reserves the rights to amend, modify, or terminate the Plan at any time, or for whatever reason, without advance notice. In the event the Plan Sponsor exercises its right to terminate the Plan, however, the Plan Sponsor shall use its best efforts to give notice of its intent to terminate to all Eligible Employees. No amendment or termination, however, shall in any manner adversely affect the severance benefits of any Participant who has become eligible for benefits under </w:t>
      </w:r>
      <w:r>
        <w:rPr>
          <w:rFonts w:ascii="Arial" w:cs="Arial" w:eastAsia="Arial" w:hAnsi="Arial"/>
          <w:sz w:val="19"/>
          <w:szCs w:val="19"/>
          <w:u w:val="single" w:color="auto"/>
          <w:color w:val="auto"/>
        </w:rPr>
        <w:t>Article 3</w:t>
      </w:r>
      <w:r>
        <w:rPr>
          <w:rFonts w:ascii="Arial" w:cs="Arial" w:eastAsia="Arial" w:hAnsi="Arial"/>
          <w:sz w:val="19"/>
          <w:szCs w:val="19"/>
          <w:color w:val="auto"/>
        </w:rPr>
        <w:t>.</w:t>
      </w:r>
    </w:p>
    <w:p>
      <w:pPr>
        <w:spacing w:after="0" w:line="13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color w:val="auto"/>
        </w:rPr>
        <w:t>Administration and Claims.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8.1. The Administrator</w:t>
      </w:r>
      <w:r>
        <w:rPr>
          <w:rFonts w:ascii="Arial" w:cs="Arial" w:eastAsia="Arial" w:hAnsi="Arial"/>
          <w:sz w:val="22"/>
          <w:szCs w:val="22"/>
          <w:color w:val="auto"/>
        </w:rPr>
        <w:t>. The Plan shall be administered by the Administrator. The Administrator may delegate any or all</w:t>
      </w:r>
      <w:r>
        <w:rPr>
          <w:rFonts w:ascii="Arial" w:cs="Arial" w:eastAsia="Arial" w:hAnsi="Arial"/>
          <w:sz w:val="22"/>
          <w:szCs w:val="22"/>
          <w:b w:val="1"/>
          <w:bCs w:val="1"/>
          <w:color w:val="auto"/>
        </w:rPr>
        <w:t xml:space="preserve"> </w:t>
      </w:r>
      <w:r>
        <w:rPr>
          <w:rFonts w:ascii="Arial" w:cs="Arial" w:eastAsia="Arial" w:hAnsi="Arial"/>
          <w:sz w:val="22"/>
          <w:szCs w:val="22"/>
          <w:color w:val="auto"/>
        </w:rPr>
        <w:t>of its administrative responsibilities to employees of the Company or to third parties.</w:t>
      </w:r>
    </w:p>
    <w:p>
      <w:pPr>
        <w:spacing w:after="0" w:line="1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8.2. Authority of the Administrator</w:t>
      </w:r>
      <w:r>
        <w:rPr>
          <w:rFonts w:ascii="Arial" w:cs="Arial" w:eastAsia="Arial" w:hAnsi="Arial"/>
          <w:sz w:val="19"/>
          <w:szCs w:val="19"/>
          <w:color w:val="auto"/>
        </w:rPr>
        <w:t>. The Administrator shall have the full power and discretion to determine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each employee’s participation, to construe and interpret the Plan and any agreement or instrument entered into under the Plan, and to establish, amend, or waive procedures for the Plan’s administration. Further, the Administrator shall have</w:t>
      </w: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5" w:right="239" w:bottom="1440" w:gutter="0" w:footer="0" w:header="0"/>
        </w:sectPr>
      </w:pPr>
    </w:p>
    <w:bookmarkStart w:id="168" w:name="page169"/>
    <w:bookmarkEnd w:id="168"/>
    <w:p>
      <w:pPr>
        <w:jc w:val="both"/>
        <w:spacing w:after="0" w:line="253" w:lineRule="auto"/>
        <w:rPr>
          <w:sz w:val="20"/>
          <w:szCs w:val="20"/>
          <w:color w:val="auto"/>
        </w:rPr>
      </w:pPr>
      <w:r>
        <w:rPr>
          <w:rFonts w:ascii="Arial" w:cs="Arial" w:eastAsia="Arial" w:hAnsi="Arial"/>
          <w:sz w:val="22"/>
          <w:szCs w:val="22"/>
          <w:color w:val="auto"/>
        </w:rPr>
        <w:t>full power and discretion to make any other determination that may be necessary or advisable for the Plan’s administration. The Administrator shall have the authority and responsibilities to assist with the administration of the Plan as may be designated by the Company.</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8.3. Decisions Binding</w:t>
      </w:r>
      <w:r>
        <w:rPr>
          <w:rFonts w:ascii="Arial" w:cs="Arial" w:eastAsia="Arial" w:hAnsi="Arial"/>
          <w:sz w:val="22"/>
          <w:szCs w:val="22"/>
          <w:color w:val="auto"/>
        </w:rPr>
        <w:t>. All determinations and decisions made by the Administrator and all related orders or resolutions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Administrator shall be final, conclusive, and binding on all persons, including the Company, its employees, the Participants, and their estates and beneficiaries.</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8.4. Claims Procedure</w:t>
      </w:r>
      <w:r>
        <w:rPr>
          <w:rFonts w:ascii="Arial" w:cs="Arial" w:eastAsia="Arial" w:hAnsi="Arial"/>
          <w:sz w:val="22"/>
          <w:szCs w:val="22"/>
          <w:color w:val="auto"/>
        </w:rPr>
        <w:t>. Unless modified by the Administrator, the claims procedure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8.4</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the exclusive procedure for the disposition of claims for benefits arising under the Plan.</w:t>
      </w:r>
    </w:p>
    <w:p>
      <w:pPr>
        <w:spacing w:after="0" w:line="15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8.4.1 Original Claim. Any employee or former employee may, if the person so desires, file with the Administrator a written claim for benefits under the Plan. Within ninety (90) days after the filing of the claim, the Administrator shall notify the claimant in writing whether the claim is upheld or denied in whole or in part or shall furnish the claimant a written notice describing specific special circumstances requiring a specified amount of additional time (but not more than one hundred eighty days from the date the claim was filed) to reach a decision on the claim. If the claim is denied in whole or in part, the Administrator shall state in writing:</w:t>
      </w:r>
    </w:p>
    <w:p>
      <w:pPr>
        <w:spacing w:after="0" w:line="188" w:lineRule="exact"/>
        <w:rPr>
          <w:sz w:val="20"/>
          <w:szCs w:val="20"/>
          <w:color w:val="auto"/>
        </w:rPr>
      </w:pPr>
    </w:p>
    <w:p>
      <w:pPr>
        <w:ind w:left="1960" w:hanging="655"/>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specific references to the pertinent provision of the Plan document on which the denial is based;</w:t>
      </w:r>
    </w:p>
    <w:p>
      <w:pPr>
        <w:spacing w:after="0" w:line="23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the material or information is necessary;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an explanation of the claims review procedure set forth in </w:t>
      </w:r>
      <w:r>
        <w:rPr>
          <w:rFonts w:ascii="Arial" w:cs="Arial" w:eastAsia="Arial" w:hAnsi="Arial"/>
          <w:sz w:val="22"/>
          <w:szCs w:val="22"/>
          <w:u w:val="single" w:color="auto"/>
          <w:color w:val="auto"/>
        </w:rPr>
        <w:t>Section 8.4.2</w:t>
      </w:r>
      <w:r>
        <w:rPr>
          <w:rFonts w:ascii="Arial" w:cs="Arial" w:eastAsia="Arial" w:hAnsi="Arial"/>
          <w:sz w:val="22"/>
          <w:szCs w:val="22"/>
          <w:color w:val="auto"/>
        </w:rPr>
        <w:t>.</w:t>
      </w:r>
    </w:p>
    <w:p>
      <w:pPr>
        <w:spacing w:after="0" w:line="21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color w:val="auto"/>
        </w:rPr>
        <w:t xml:space="preserve">8.4.2 </w:t>
      </w:r>
      <w:r>
        <w:rPr>
          <w:rFonts w:ascii="Arial" w:cs="Arial" w:eastAsia="Arial" w:hAnsi="Arial"/>
          <w:sz w:val="19"/>
          <w:szCs w:val="19"/>
          <w:b w:val="1"/>
          <w:bCs w:val="1"/>
          <w:color w:val="auto"/>
        </w:rPr>
        <w:t>Claims Review Procedure</w:t>
      </w:r>
      <w:r>
        <w:rPr>
          <w:rFonts w:ascii="Arial" w:cs="Arial" w:eastAsia="Arial" w:hAnsi="Arial"/>
          <w:sz w:val="19"/>
          <w:szCs w:val="19"/>
          <w:color w:val="auto"/>
        </w:rPr>
        <w:t>. Within sixty days after receipt of notice that the claim has been denied in whole or in part, the claimant may file with the Administrator a written request for a review and may, in conjunction with the filing, submit written issues and comments. Within sixty days after the filing of a request for review, the Administrator shall notify the claimant in writing whether, upon review, the claim was upheld or denied in whole or in part or shall furnish the claimant a written notice describing specific special circumstances requiring a specified amount of additional time (but not more than one hundred twenty (120) days from the date the request for review was filed) to reach a decision on the request for review.</w:t>
      </w:r>
    </w:p>
    <w:p>
      <w:pPr>
        <w:spacing w:after="0" w:line="14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8.4.3</w:t>
      </w:r>
      <w:r>
        <w:rPr>
          <w:sz w:val="20"/>
          <w:szCs w:val="20"/>
          <w:color w:val="auto"/>
        </w:rPr>
        <w:tab/>
      </w:r>
      <w:r>
        <w:rPr>
          <w:rFonts w:ascii="Arial" w:cs="Arial" w:eastAsia="Arial" w:hAnsi="Arial"/>
          <w:sz w:val="19"/>
          <w:szCs w:val="19"/>
          <w:b w:val="1"/>
          <w:bCs w:val="1"/>
          <w:color w:val="auto"/>
        </w:rPr>
        <w:t>General Rules</w:t>
      </w:r>
    </w:p>
    <w:p>
      <w:pPr>
        <w:spacing w:after="0" w:line="239" w:lineRule="exact"/>
        <w:rPr>
          <w:sz w:val="20"/>
          <w:szCs w:val="20"/>
          <w:color w:val="auto"/>
        </w:rPr>
      </w:pPr>
    </w:p>
    <w:p>
      <w:pPr>
        <w:jc w:val="both"/>
        <w:ind w:left="1960" w:hanging="655"/>
        <w:spacing w:after="0" w:line="253" w:lineRule="auto"/>
        <w:tabs>
          <w:tab w:leader="none" w:pos="19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 inquiry or question shall be deemed to be a claim or a request for a review of a denied claim unless made in accordance with the claims procedure. The Administrator may require that any claim for benefits and any request for a</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04" w:right="239" w:bottom="1440" w:gutter="0" w:footer="0" w:header="0"/>
        </w:sectPr>
      </w:pPr>
    </w:p>
    <w:bookmarkStart w:id="169" w:name="page170"/>
    <w:bookmarkEnd w:id="169"/>
    <w:p>
      <w:pPr>
        <w:ind w:left="1960"/>
        <w:spacing w:after="0"/>
        <w:rPr>
          <w:sz w:val="20"/>
          <w:szCs w:val="20"/>
          <w:color w:val="auto"/>
        </w:rPr>
      </w:pPr>
      <w:r>
        <w:rPr>
          <w:rFonts w:ascii="Arial" w:cs="Arial" w:eastAsia="Arial" w:hAnsi="Arial"/>
          <w:sz w:val="22"/>
          <w:szCs w:val="22"/>
          <w:color w:val="auto"/>
        </w:rPr>
        <w:t>review of a denied claim be filed on forms to be furnished by the Administrator upon request.</w:t>
      </w:r>
    </w:p>
    <w:p>
      <w:pPr>
        <w:spacing w:after="0" w:line="206" w:lineRule="exact"/>
        <w:rPr>
          <w:sz w:val="20"/>
          <w:szCs w:val="20"/>
          <w:color w:val="auto"/>
        </w:rPr>
      </w:pPr>
    </w:p>
    <w:p>
      <w:pPr>
        <w:ind w:left="1960" w:hanging="655"/>
        <w:spacing w:after="0"/>
        <w:tabs>
          <w:tab w:leader="none" w:pos="19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All decisions on claims and on requests for a review of denied claims shall be made by the Administrator.</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Administrator may, in its discretion, hold one or more hearings on a claim or request for a review of a denied claim.</w:t>
      </w:r>
    </w:p>
    <w:p>
      <w:pPr>
        <w:spacing w:after="0" w:line="174" w:lineRule="exact"/>
        <w:rPr>
          <w:rFonts w:ascii="Arial" w:cs="Arial" w:eastAsia="Arial" w:hAnsi="Arial"/>
          <w:sz w:val="22"/>
          <w:szCs w:val="22"/>
          <w:color w:val="auto"/>
        </w:rPr>
      </w:pPr>
    </w:p>
    <w:p>
      <w:pPr>
        <w:jc w:val="both"/>
        <w:ind w:left="1960" w:right="20" w:hanging="655"/>
        <w:spacing w:after="0" w:line="271" w:lineRule="auto"/>
        <w:tabs>
          <w:tab w:leader="none" w:pos="19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claimant may be represented by a lawyer or other representative (at the claimant’s own expense), but the Administrator reserves the right to require the claimant to furnish written authorization. A claimant’s representative shall be entitled to copies of all notices given to the claimant.</w:t>
      </w:r>
    </w:p>
    <w:p>
      <w:pPr>
        <w:spacing w:after="0" w:line="167" w:lineRule="exact"/>
        <w:rPr>
          <w:rFonts w:ascii="Arial" w:cs="Arial" w:eastAsia="Arial" w:hAnsi="Arial"/>
          <w:sz w:val="21"/>
          <w:szCs w:val="21"/>
          <w:color w:val="auto"/>
        </w:rPr>
      </w:pPr>
    </w:p>
    <w:p>
      <w:pPr>
        <w:jc w:val="both"/>
        <w:ind w:left="1960" w:hanging="655"/>
        <w:spacing w:after="0" w:line="271" w:lineRule="auto"/>
        <w:tabs>
          <w:tab w:leader="none" w:pos="19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decision of the Administrator on a claim and on a request for a review of a denied claim shall be served on the claimant in writing. If a claimant does not receive a decision or notice within the time specified, the claim or request for a review of a denied claim shall be deemed to have been denied.</w:t>
      </w:r>
    </w:p>
    <w:p>
      <w:pPr>
        <w:spacing w:after="0" w:line="167"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Prior to filing a claim or a request for a review of a denied claim, the claimant or the claimant’s representative shall have a reasonable opportunity to review a copy of the Plan document and all other pertinent documents in the possession of the Administrator.</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9"/>
          <w:szCs w:val="19"/>
          <w:b w:val="1"/>
          <w:bCs w:val="1"/>
          <w:color w:val="auto"/>
        </w:rPr>
        <w:t>General Provisions.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9.1. Unfunded Welfare Plan</w:t>
      </w:r>
      <w:r>
        <w:rPr>
          <w:rFonts w:ascii="Arial" w:cs="Arial" w:eastAsia="Arial" w:hAnsi="Arial"/>
          <w:sz w:val="22"/>
          <w:szCs w:val="22"/>
          <w:color w:val="auto"/>
        </w:rPr>
        <w:t>. The Plan is intended to be an unfunded welfare plan maintained to provide severance pay</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meaning of Title I of ERISA. Participants and their heirs, successors, and assigns shall have no secured legal or equitable rights, interest, or claims in any property or assets of the Company.</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color w:val="auto"/>
        </w:rPr>
        <w:t>9.2. No Assignment</w:t>
      </w:r>
      <w:r>
        <w:rPr>
          <w:rFonts w:ascii="Arial" w:cs="Arial" w:eastAsia="Arial" w:hAnsi="Arial"/>
          <w:sz w:val="22"/>
          <w:szCs w:val="22"/>
          <w:color w:val="auto"/>
        </w:rPr>
        <w:t>. Participants’ rights to benefits provided under the Plan may not be sold, transferred, assigned,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alienated or mortgaged. In no event shall the Company make any payment under the Plan to any assignee or creditor of a Participant.</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color w:val="auto"/>
        </w:rPr>
        <w:t>9.3. Successors</w:t>
      </w:r>
      <w:r>
        <w:rPr>
          <w:rFonts w:ascii="Arial" w:cs="Arial" w:eastAsia="Arial" w:hAnsi="Arial"/>
          <w:sz w:val="22"/>
          <w:szCs w:val="22"/>
          <w:color w:val="auto"/>
        </w:rPr>
        <w:t>. All obligations of the Company under the Plan shall be binding upon any successor to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the existence of the successor is the result of a direct or indirect purchase, merger, consolidation, or otherwise, of all or substantially all of the business or assets of the Company.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9.4. No Rights as Employee</w:t>
      </w:r>
      <w:r>
        <w:rPr>
          <w:rFonts w:ascii="Arial" w:cs="Arial" w:eastAsia="Arial" w:hAnsi="Arial"/>
          <w:sz w:val="22"/>
          <w:szCs w:val="22"/>
          <w:color w:val="auto"/>
        </w:rPr>
        <w:t>. Nothing in the Plan shall interfere with or limit in any way the right of the Company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any Participant’s employment at any time or confer upon any Participant a right to continue in the employ of the Company.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9.5. Severability</w:t>
      </w:r>
      <w:r>
        <w:rPr>
          <w:rFonts w:ascii="Arial" w:cs="Arial" w:eastAsia="Arial" w:hAnsi="Arial"/>
          <w:sz w:val="22"/>
          <w:szCs w:val="22"/>
          <w:color w:val="auto"/>
        </w:rPr>
        <w:t>. In the event any provision of the Plan shall be held illegal or invalid for any reason, the illegality or</w:t>
      </w:r>
      <w:r>
        <w:rPr>
          <w:rFonts w:ascii="Arial" w:cs="Arial" w:eastAsia="Arial" w:hAnsi="Arial"/>
          <w:sz w:val="22"/>
          <w:szCs w:val="22"/>
          <w:b w:val="1"/>
          <w:bCs w:val="1"/>
          <w:color w:val="auto"/>
        </w:rPr>
        <w:t xml:space="preserve"> </w:t>
      </w:r>
      <w:r>
        <w:rPr>
          <w:rFonts w:ascii="Arial" w:cs="Arial" w:eastAsia="Arial" w:hAnsi="Arial"/>
          <w:sz w:val="22"/>
          <w:szCs w:val="22"/>
          <w:color w:val="auto"/>
        </w:rPr>
        <w:t>invalidity shall not affect the remaining parts of the Plan, and the Plan shall be construed and enforced as if the illegal or invalid provision had not been included.</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77" w:right="239" w:bottom="1440" w:gutter="0" w:footer="0" w:header="0"/>
        </w:sectPr>
      </w:pPr>
    </w:p>
    <w:bookmarkStart w:id="170" w:name="page171"/>
    <w:bookmarkEnd w:id="170"/>
    <w:p>
      <w:pPr>
        <w:jc w:val="both"/>
        <w:ind w:firstLine="648"/>
        <w:spacing w:after="0" w:line="307" w:lineRule="auto"/>
        <w:rPr>
          <w:sz w:val="20"/>
          <w:szCs w:val="20"/>
          <w:color w:val="auto"/>
        </w:rPr>
      </w:pPr>
      <w:r>
        <w:rPr>
          <w:rFonts w:ascii="Arial" w:cs="Arial" w:eastAsia="Arial" w:hAnsi="Arial"/>
          <w:sz w:val="21"/>
          <w:szCs w:val="21"/>
          <w:b w:val="1"/>
          <w:bCs w:val="1"/>
          <w:color w:val="auto"/>
        </w:rPr>
        <w:t>9.6. Applicable Law</w:t>
      </w:r>
      <w:r>
        <w:rPr>
          <w:rFonts w:ascii="Arial" w:cs="Arial" w:eastAsia="Arial" w:hAnsi="Arial"/>
          <w:sz w:val="21"/>
          <w:szCs w:val="21"/>
          <w:color w:val="auto"/>
        </w:rPr>
        <w:t>. To the extent not preempted by federal law, the Plan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New Jersey without giving effect to principles of conflicts of laws.</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9.7. Entire Agreement</w:t>
      </w:r>
      <w:r>
        <w:rPr>
          <w:rFonts w:ascii="Arial" w:cs="Arial" w:eastAsia="Arial" w:hAnsi="Arial"/>
          <w:sz w:val="22"/>
          <w:szCs w:val="22"/>
          <w:color w:val="auto"/>
        </w:rPr>
        <w:t>. This Plan constitutes the entire understanding and agreement with respect to the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and there are no agreements, understandings, restrictions, representations or warranties among any Participant and the Company other than those as set forth or provided for herein.</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Change-in-Control</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General Severance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(Amended and Restated as of February 18, 2020)</w:t>
      </w:r>
    </w:p>
    <w:p>
      <w:pPr>
        <w:sectPr>
          <w:pgSz w:w="11900" w:h="16838" w:orient="portrait"/>
          <w:cols w:equalWidth="0" w:num="1">
            <w:col w:w="11420"/>
          </w:cols>
          <w:pgMar w:left="240" w:top="126"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1.</w:t>
      </w:r>
      <w:r>
        <w:rPr>
          <w:rFonts w:ascii="Arial" w:cs="Arial" w:eastAsia="Arial" w:hAnsi="Arial"/>
          <w:sz w:val="22"/>
          <w:szCs w:val="22"/>
          <w:b w:val="1"/>
          <w:bCs w:val="1"/>
          <w:color w:val="000000"/>
        </w:rPr>
        <w:t>Establishment and Term of the Plan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2.</w:t>
      </w:r>
      <w:r>
        <w:rPr>
          <w:rFonts w:ascii="Arial" w:cs="Arial" w:eastAsia="Arial" w:hAnsi="Arial"/>
          <w:sz w:val="22"/>
          <w:szCs w:val="22"/>
          <w:b w:val="1"/>
          <w:bCs w:val="1"/>
          <w:color w:val="000000"/>
        </w:rPr>
        <w:t>Definitions 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3.</w:t>
      </w:r>
      <w:r>
        <w:rPr>
          <w:rFonts w:ascii="Arial" w:cs="Arial" w:eastAsia="Arial" w:hAnsi="Arial"/>
          <w:sz w:val="22"/>
          <w:szCs w:val="22"/>
          <w:b w:val="1"/>
          <w:bCs w:val="1"/>
          <w:color w:val="000000"/>
        </w:rPr>
        <w:t>Severance Benefits 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4.</w:t>
      </w:r>
      <w:r>
        <w:rPr>
          <w:rFonts w:ascii="Arial" w:cs="Arial" w:eastAsia="Arial" w:hAnsi="Arial"/>
          <w:sz w:val="22"/>
          <w:szCs w:val="22"/>
          <w:b w:val="1"/>
          <w:bCs w:val="1"/>
          <w:color w:val="000000"/>
        </w:rPr>
        <w:t>Ineligibility 11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5.</w:t>
      </w:r>
      <w:r>
        <w:rPr>
          <w:rFonts w:ascii="Arial" w:cs="Arial" w:eastAsia="Arial" w:hAnsi="Arial"/>
          <w:sz w:val="22"/>
          <w:szCs w:val="22"/>
          <w:b w:val="1"/>
          <w:bCs w:val="1"/>
          <w:color w:val="000000"/>
        </w:rPr>
        <w:t>Restrictive Covenants 11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6.</w:t>
      </w:r>
      <w:r>
        <w:rPr>
          <w:rFonts w:ascii="Arial" w:cs="Arial" w:eastAsia="Arial" w:hAnsi="Arial"/>
          <w:sz w:val="22"/>
          <w:szCs w:val="22"/>
          <w:b w:val="1"/>
          <w:bCs w:val="1"/>
          <w:color w:val="000000"/>
        </w:rPr>
        <w:t>Certain Change in Control Payments 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7.</w:t>
      </w:r>
      <w:r>
        <w:rPr>
          <w:rFonts w:ascii="Arial" w:cs="Arial" w:eastAsia="Arial" w:hAnsi="Arial"/>
          <w:sz w:val="22"/>
          <w:szCs w:val="22"/>
          <w:b w:val="1"/>
          <w:bCs w:val="1"/>
          <w:color w:val="000000"/>
        </w:rPr>
        <w:t>Legal Fees and Notice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8.</w:t>
      </w:r>
      <w:r>
        <w:rPr>
          <w:rFonts w:ascii="Arial" w:cs="Arial" w:eastAsia="Arial" w:hAnsi="Arial"/>
          <w:sz w:val="22"/>
          <w:szCs w:val="22"/>
          <w:b w:val="1"/>
          <w:bCs w:val="1"/>
          <w:color w:val="000000"/>
        </w:rPr>
        <w:t>Successors and Assignment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9.</w:t>
      </w:r>
      <w:r>
        <w:rPr>
          <w:rFonts w:ascii="Arial" w:cs="Arial" w:eastAsia="Arial" w:hAnsi="Arial"/>
          <w:sz w:val="22"/>
          <w:szCs w:val="22"/>
          <w:b w:val="1"/>
          <w:bCs w:val="1"/>
          <w:color w:val="000000"/>
        </w:rPr>
        <w:t>Miscellaneous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5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599" w:right="1440"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b w:val="1"/>
          <w:bCs w:val="1"/>
          <w:color w:val="auto"/>
        </w:rPr>
        <w:t>Clearway Energy,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Change-in-Control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General Severance Plan</w:t>
      </w:r>
    </w:p>
    <w:p>
      <w:pPr>
        <w:spacing w:after="0" w:line="169"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010000"/>
        </w:rPr>
        <w:t>Article 1.</w:t>
      </w:r>
      <w:r>
        <w:rPr>
          <w:sz w:val="20"/>
          <w:szCs w:val="20"/>
          <w:color w:val="auto"/>
        </w:rPr>
        <w:tab/>
      </w:r>
      <w:r>
        <w:rPr>
          <w:rFonts w:ascii="Arial" w:cs="Arial" w:eastAsia="Arial" w:hAnsi="Arial"/>
          <w:sz w:val="19"/>
          <w:szCs w:val="19"/>
          <w:b w:val="1"/>
          <w:bCs w:val="1"/>
          <w:color w:val="auto"/>
        </w:rPr>
        <w:t>Establishment and Term of the Plan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b w:val="1"/>
          <w:bCs w:val="1"/>
          <w:color w:val="000000"/>
        </w:rPr>
        <w:t>Establishment of the Plan</w:t>
      </w:r>
      <w:r>
        <w:rPr>
          <w:rFonts w:ascii="Arial" w:cs="Arial" w:eastAsia="Arial" w:hAnsi="Arial"/>
          <w:sz w:val="22"/>
          <w:szCs w:val="22"/>
          <w:color w:val="000000"/>
        </w:rPr>
        <w:t>. Clearway Energy, Inc. (hereinafter referred to as the “</w:t>
      </w:r>
      <w:r>
        <w:rPr>
          <w:rFonts w:ascii="Arial" w:cs="Arial" w:eastAsia="Arial" w:hAnsi="Arial"/>
          <w:sz w:val="22"/>
          <w:szCs w:val="22"/>
          <w:u w:val="single" w:color="auto"/>
          <w:color w:val="000000"/>
        </w:rPr>
        <w:t>Company</w:t>
      </w:r>
      <w:r>
        <w:rPr>
          <w:rFonts w:ascii="Arial" w:cs="Arial" w:eastAsia="Arial" w:hAnsi="Arial"/>
          <w:sz w:val="22"/>
          <w:szCs w:val="22"/>
          <w:color w:val="000000"/>
        </w:rPr>
        <w:t>”) originally adopted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plan known as the “Executive Change-in-Control and General Severance Plan” (the “</w:t>
      </w:r>
      <w:r>
        <w:rPr>
          <w:rFonts w:ascii="Arial" w:cs="Arial" w:eastAsia="Arial" w:hAnsi="Arial"/>
          <w:sz w:val="22"/>
          <w:szCs w:val="22"/>
          <w:u w:val="single" w:color="auto"/>
          <w:color w:val="000000"/>
        </w:rPr>
        <w:t>Plan</w:t>
      </w:r>
      <w:r>
        <w:rPr>
          <w:rFonts w:ascii="Arial" w:cs="Arial" w:eastAsia="Arial" w:hAnsi="Arial"/>
          <w:sz w:val="22"/>
          <w:szCs w:val="22"/>
          <w:color w:val="000000"/>
        </w:rPr>
        <w:t>”) effective January 1, 2017. The Plan was amended and restated by the Company as of January 1, 2018, again as of January 1, 2019, and is hereby further amended and restated as of February 18, 2020. The Plan provides Severance Benefits to Senior Vice Presidents and Executive Vice Presidents of the Company (each an “</w:t>
      </w:r>
      <w:r>
        <w:rPr>
          <w:rFonts w:ascii="Arial" w:cs="Arial" w:eastAsia="Arial" w:hAnsi="Arial"/>
          <w:sz w:val="22"/>
          <w:szCs w:val="22"/>
          <w:u w:val="single" w:color="auto"/>
          <w:color w:val="000000"/>
        </w:rPr>
        <w:t>Executive</w:t>
      </w:r>
      <w:r>
        <w:rPr>
          <w:rFonts w:ascii="Arial" w:cs="Arial" w:eastAsia="Arial" w:hAnsi="Arial"/>
          <w:sz w:val="22"/>
          <w:szCs w:val="22"/>
          <w:color w:val="000000"/>
        </w:rPr>
        <w:t>” and collectively the “</w:t>
      </w:r>
      <w:r>
        <w:rPr>
          <w:rFonts w:ascii="Arial" w:cs="Arial" w:eastAsia="Arial" w:hAnsi="Arial"/>
          <w:sz w:val="22"/>
          <w:szCs w:val="22"/>
          <w:u w:val="single" w:color="auto"/>
          <w:color w:val="000000"/>
        </w:rPr>
        <w:t>Executives</w:t>
      </w:r>
      <w:r>
        <w:rPr>
          <w:rFonts w:ascii="Arial" w:cs="Arial" w:eastAsia="Arial" w:hAnsi="Arial"/>
          <w:sz w:val="22"/>
          <w:szCs w:val="22"/>
          <w:color w:val="000000"/>
        </w:rPr>
        <w:t>”) upon certain terminations of employment from the Company.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b w:val="1"/>
          <w:bCs w:val="1"/>
          <w:color w:val="010000"/>
        </w:rPr>
        <w:t>1.2</w:t>
      </w:r>
      <w:r>
        <w:rPr>
          <w:sz w:val="20"/>
          <w:szCs w:val="20"/>
          <w:color w:val="auto"/>
        </w:rPr>
        <w:tab/>
      </w:r>
      <w:r>
        <w:rPr>
          <w:rFonts w:ascii="Arial" w:cs="Arial" w:eastAsia="Arial" w:hAnsi="Arial"/>
          <w:sz w:val="19"/>
          <w:szCs w:val="19"/>
          <w:b w:val="1"/>
          <w:bCs w:val="1"/>
          <w:color w:val="auto"/>
        </w:rPr>
        <w:t>Initial Term</w:t>
      </w:r>
      <w:r>
        <w:rPr>
          <w:rFonts w:ascii="Arial" w:cs="Arial" w:eastAsia="Arial" w:hAnsi="Arial"/>
          <w:sz w:val="19"/>
          <w:szCs w:val="19"/>
          <w:color w:val="auto"/>
        </w:rPr>
        <w:t>. This Plan commenced on January 1,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shall continue for a period of three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(3) years (the “</w:t>
      </w:r>
      <w:r>
        <w:rPr>
          <w:rFonts w:ascii="Arial" w:cs="Arial" w:eastAsia="Arial" w:hAnsi="Arial"/>
          <w:sz w:val="22"/>
          <w:szCs w:val="22"/>
          <w:u w:val="single" w:color="auto"/>
          <w:color w:val="auto"/>
        </w:rPr>
        <w:t>Initial Term</w:t>
      </w:r>
      <w:r>
        <w:rPr>
          <w:rFonts w:ascii="Arial" w:cs="Arial" w:eastAsia="Arial" w:hAnsi="Arial"/>
          <w:sz w:val="22"/>
          <w:szCs w:val="22"/>
          <w:color w:val="auto"/>
        </w:rPr>
        <w:t>”).</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22"/>
          <w:szCs w:val="22"/>
          <w:b w:val="1"/>
          <w:bCs w:val="1"/>
          <w:color w:val="000000"/>
        </w:rPr>
        <w:t>Successive Periods</w:t>
      </w:r>
      <w:r>
        <w:rPr>
          <w:rFonts w:ascii="Arial" w:cs="Arial" w:eastAsia="Arial" w:hAnsi="Arial"/>
          <w:sz w:val="22"/>
          <w:szCs w:val="22"/>
          <w:color w:val="000000"/>
        </w:rPr>
        <w:t>. The term of this Plan shall automatically be extended for one (1) additional year at the end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Initial Term, and then again after each successive one (1) year period thereafter (each such one (1) year period following the Initial Term is referred to as a “</w:t>
      </w:r>
      <w:r>
        <w:rPr>
          <w:rFonts w:ascii="Arial" w:cs="Arial" w:eastAsia="Arial" w:hAnsi="Arial"/>
          <w:sz w:val="22"/>
          <w:szCs w:val="22"/>
          <w:u w:val="single" w:color="auto"/>
          <w:color w:val="000000"/>
        </w:rPr>
        <w:t>Successive Period</w:t>
      </w:r>
      <w:r>
        <w:rPr>
          <w:rFonts w:ascii="Arial" w:cs="Arial" w:eastAsia="Arial" w:hAnsi="Arial"/>
          <w:sz w:val="22"/>
          <w:szCs w:val="22"/>
          <w:color w:val="000000"/>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010000"/>
        </w:rPr>
        <w:t xml:space="preserve">1.4 </w:t>
      </w:r>
      <w:r>
        <w:rPr>
          <w:rFonts w:ascii="Arial" w:cs="Arial" w:eastAsia="Arial" w:hAnsi="Arial"/>
          <w:sz w:val="21"/>
          <w:szCs w:val="21"/>
          <w:b w:val="1"/>
          <w:bCs w:val="1"/>
          <w:color w:val="000000"/>
        </w:rPr>
        <w:t>Change-in-Control Renewal</w:t>
      </w:r>
      <w:r>
        <w:rPr>
          <w:rFonts w:ascii="Arial" w:cs="Arial" w:eastAsia="Arial" w:hAnsi="Arial"/>
          <w:sz w:val="21"/>
          <w:szCs w:val="21"/>
          <w:color w:val="000000"/>
        </w:rPr>
        <w:t>. Notwithstanding the provisions of</w:t>
      </w:r>
      <w:r>
        <w:rPr>
          <w:rFonts w:ascii="Arial" w:cs="Arial" w:eastAsia="Arial" w:hAnsi="Arial"/>
          <w:sz w:val="21"/>
          <w:szCs w:val="21"/>
          <w:b w:val="1"/>
          <w:bCs w:val="1"/>
          <w:color w:val="010000"/>
        </w:rPr>
        <w:t xml:space="preserve"> </w:t>
      </w:r>
      <w:r>
        <w:rPr>
          <w:rFonts w:ascii="Arial" w:cs="Arial" w:eastAsia="Arial" w:hAnsi="Arial"/>
          <w:sz w:val="21"/>
          <w:szCs w:val="21"/>
          <w:u w:val="single" w:color="auto"/>
          <w:color w:val="000000"/>
        </w:rPr>
        <w:t>Section 1.3</w:t>
      </w:r>
      <w:r>
        <w:rPr>
          <w:rFonts w:ascii="Arial" w:cs="Arial" w:eastAsia="Arial" w:hAnsi="Arial"/>
          <w:sz w:val="21"/>
          <w:szCs w:val="21"/>
          <w:b w:val="1"/>
          <w:bCs w:val="1"/>
          <w:color w:val="010000"/>
        </w:rPr>
        <w:t xml:space="preserve"> </w:t>
      </w:r>
      <w:r>
        <w:rPr>
          <w:rFonts w:ascii="Arial" w:cs="Arial" w:eastAsia="Arial" w:hAnsi="Arial"/>
          <w:sz w:val="21"/>
          <w:szCs w:val="21"/>
          <w:color w:val="000000"/>
        </w:rPr>
        <w:t>above, in the event that a Change in</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21"/>
          <w:szCs w:val="21"/>
          <w:u w:val="single" w:color="auto"/>
          <w:color w:val="000000"/>
        </w:rPr>
        <w:t>Article 8</w:t>
      </w:r>
      <w:r>
        <w:rPr>
          <w:rFonts w:ascii="Arial" w:cs="Arial" w:eastAsia="Arial" w:hAnsi="Arial"/>
          <w:sz w:val="21"/>
          <w:szCs w:val="21"/>
          <w:color w:val="000000"/>
        </w:rPr>
        <w:t xml:space="preserve"> herein. This Plan shall thereafter automatically terminate following such two</w:t>
      </w:r>
    </w:p>
    <w:p>
      <w:pPr>
        <w:spacing w:after="0" w:line="200" w:lineRule="exact"/>
        <w:rPr>
          <w:sz w:val="20"/>
          <w:szCs w:val="20"/>
          <w:color w:val="auto"/>
        </w:rPr>
      </w:pPr>
    </w:p>
    <w:p>
      <w:pPr>
        <w:spacing w:after="0" w:line="3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8" w:right="239" w:bottom="1440" w:gutter="0" w:footer="0" w:header="0"/>
        </w:sectPr>
      </w:pPr>
    </w:p>
    <w:bookmarkStart w:id="174" w:name="page175"/>
    <w:bookmarkEnd w:id="174"/>
    <w:p>
      <w:pPr>
        <w:ind w:right="20" w:firstLine="8"/>
        <w:spacing w:after="0" w:line="263" w:lineRule="auto"/>
        <w:tabs>
          <w:tab w:leader="none" w:pos="308" w:val="left"/>
        </w:tabs>
        <w:numPr>
          <w:ilvl w:val="0"/>
          <w:numId w:val="80"/>
        </w:numPr>
        <w:rPr>
          <w:rFonts w:ascii="Arial" w:cs="Arial" w:eastAsia="Arial" w:hAnsi="Arial"/>
          <w:sz w:val="22"/>
          <w:szCs w:val="22"/>
          <w:color w:val="auto"/>
        </w:rPr>
      </w:pPr>
      <w:r>
        <w:rPr>
          <w:rFonts w:ascii="Arial" w:cs="Arial" w:eastAsia="Arial" w:hAnsi="Arial"/>
          <w:sz w:val="22"/>
          <w:szCs w:val="22"/>
          <w:color w:val="auto"/>
        </w:rPr>
        <w:t>year Change-in-Control renewal period; provided that such termination shall not affect or diminish the rights of Executives who become entitled to benefits or payments under this Plan.</w:t>
      </w:r>
    </w:p>
    <w:p>
      <w:pPr>
        <w:spacing w:after="0" w:line="142"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010000"/>
        </w:rPr>
        <w:t>Article 2.</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is capitalized.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w:t>
      </w:r>
      <w:r>
        <w:rPr>
          <w:rFonts w:ascii="Arial" w:cs="Arial" w:eastAsia="Arial" w:hAnsi="Arial"/>
          <w:sz w:val="22"/>
          <w:szCs w:val="22"/>
          <w:b w:val="1"/>
          <w:bCs w:val="1"/>
          <w:color w:val="000000"/>
        </w:rPr>
        <w:t>Accountants</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6</w:t>
      </w:r>
      <w:r>
        <w:rPr>
          <w:rFonts w:ascii="Arial" w:cs="Arial" w:eastAsia="Arial" w:hAnsi="Arial"/>
          <w:sz w:val="22"/>
          <w:szCs w:val="22"/>
          <w:color w:val="000000"/>
        </w:rPr>
        <w:t>.</w:t>
      </w:r>
    </w:p>
    <w:p>
      <w:pPr>
        <w:spacing w:after="0" w:line="220" w:lineRule="exact"/>
        <w:rPr>
          <w:sz w:val="20"/>
          <w:szCs w:val="20"/>
          <w:color w:val="auto"/>
        </w:rPr>
      </w:pPr>
    </w:p>
    <w:p>
      <w:pPr>
        <w:jc w:val="both"/>
        <w:ind w:left="1300" w:hanging="644"/>
        <w:spacing w:after="0" w:line="249" w:lineRule="auto"/>
        <w:tabs>
          <w:tab w:leader="none" w:pos="1300" w:val="left"/>
        </w:tabs>
        <w:numPr>
          <w:ilvl w:val="0"/>
          <w:numId w:val="81"/>
        </w:numPr>
        <w:rPr>
          <w:rFonts w:ascii="Arial" w:cs="Arial" w:eastAsia="Arial" w:hAnsi="Arial"/>
          <w:sz w:val="22"/>
          <w:szCs w:val="22"/>
          <w:color w:val="010000"/>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(i) any subsidiary corporation of the Company (or its successors), (ii) any corporation, trade or</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87" w:lineRule="exact"/>
        <w:rPr>
          <w:sz w:val="20"/>
          <w:szCs w:val="20"/>
          <w:color w:val="auto"/>
        </w:rPr>
      </w:pPr>
    </w:p>
    <w:p>
      <w:pPr>
        <w:jc w:val="both"/>
        <w:ind w:left="1540" w:hanging="890"/>
        <w:spacing w:after="0" w:line="269" w:lineRule="auto"/>
        <w:rPr>
          <w:sz w:val="20"/>
          <w:szCs w:val="20"/>
          <w:color w:val="auto"/>
        </w:rPr>
      </w:pPr>
      <w:r>
        <w:rPr>
          <w:rFonts w:ascii="Arial" w:cs="Arial" w:eastAsia="Arial" w:hAnsi="Arial"/>
          <w:sz w:val="22"/>
          <w:szCs w:val="22"/>
          <w:color w:val="010000"/>
        </w:rPr>
        <w:t>(c)</w:t>
      </w:r>
      <w:r>
        <w:rPr>
          <w:rFonts w:ascii="Arial" w:cs="Arial" w:eastAsia="Arial" w:hAnsi="Arial"/>
          <w:sz w:val="22"/>
          <w:szCs w:val="22"/>
          <w:color w:val="000000"/>
        </w:rPr>
        <w:t>“</w:t>
      </w:r>
      <w:r>
        <w:rPr>
          <w:rFonts w:ascii="Arial" w:cs="Arial" w:eastAsia="Arial" w:hAnsi="Arial"/>
          <w:sz w:val="22"/>
          <w:szCs w:val="22"/>
          <w:b w:val="1"/>
          <w:bCs w:val="1"/>
          <w:color w:val="000000"/>
        </w:rPr>
        <w:t>Base Salary</w:t>
      </w:r>
      <w:r>
        <w:rPr>
          <w:rFonts w:ascii="Arial" w:cs="Arial" w:eastAsia="Arial" w:hAnsi="Arial"/>
          <w:sz w:val="22"/>
          <w:szCs w:val="22"/>
          <w:color w:val="000000"/>
        </w:rPr>
        <w:t>” means the greater of the Executive’s annual rate of salary, whether or not deferred, at: (i) the Effective</w:t>
      </w:r>
      <w:r>
        <w:rPr>
          <w:rFonts w:ascii="Arial" w:cs="Arial" w:eastAsia="Arial" w:hAnsi="Arial"/>
          <w:sz w:val="22"/>
          <w:szCs w:val="22"/>
          <w:color w:val="010000"/>
        </w:rPr>
        <w:t xml:space="preserve"> </w:t>
      </w:r>
      <w:r>
        <w:rPr>
          <w:rFonts w:ascii="Arial" w:cs="Arial" w:eastAsia="Arial" w:hAnsi="Arial"/>
          <w:sz w:val="22"/>
          <w:szCs w:val="22"/>
          <w:color w:val="000000"/>
        </w:rPr>
        <w:t>Date of Termination or (ii) at the date of the Change in Control.</w:t>
      </w:r>
    </w:p>
    <w:p>
      <w:pPr>
        <w:spacing w:after="0" w:line="162" w:lineRule="exact"/>
        <w:rPr>
          <w:sz w:val="20"/>
          <w:szCs w:val="20"/>
          <w:color w:val="auto"/>
        </w:rPr>
      </w:pPr>
    </w:p>
    <w:p>
      <w:pPr>
        <w:jc w:val="both"/>
        <w:ind w:left="1560" w:right="20" w:hanging="904"/>
        <w:spacing w:after="0" w:line="269" w:lineRule="auto"/>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w:t>
      </w:r>
      <w:r>
        <w:rPr>
          <w:rFonts w:ascii="Arial" w:cs="Arial" w:eastAsia="Arial" w:hAnsi="Arial"/>
          <w:sz w:val="22"/>
          <w:szCs w:val="22"/>
          <w:b w:val="1"/>
          <w:bCs w:val="1"/>
          <w:color w:val="000000"/>
        </w:rPr>
        <w:t>Beneficiary</w:t>
      </w:r>
      <w:r>
        <w:rPr>
          <w:rFonts w:ascii="Arial" w:cs="Arial" w:eastAsia="Arial" w:hAnsi="Arial"/>
          <w:sz w:val="22"/>
          <w:szCs w:val="22"/>
          <w:color w:val="000000"/>
        </w:rPr>
        <w:t>” means the persons or entities designated or deemed designated by the Executive pursuant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9.6</w:t>
      </w:r>
      <w:r>
        <w:rPr>
          <w:rFonts w:ascii="Arial" w:cs="Arial" w:eastAsia="Arial" w:hAnsi="Arial"/>
          <w:sz w:val="22"/>
          <w:szCs w:val="22"/>
          <w:color w:val="010000"/>
        </w:rPr>
        <w:t xml:space="preserve"> </w:t>
      </w:r>
      <w:r>
        <w:rPr>
          <w:rFonts w:ascii="Arial" w:cs="Arial" w:eastAsia="Arial" w:hAnsi="Arial"/>
          <w:sz w:val="22"/>
          <w:szCs w:val="22"/>
          <w:color w:val="000000"/>
        </w:rPr>
        <w:t>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(e)</w:t>
      </w:r>
      <w:r>
        <w:rPr>
          <w:rFonts w:ascii="Arial" w:cs="Arial" w:eastAsia="Arial" w:hAnsi="Arial"/>
          <w:sz w:val="22"/>
          <w:szCs w:val="22"/>
          <w:color w:val="000000"/>
        </w:rPr>
        <w:t>“</w:t>
      </w:r>
      <w:r>
        <w:rPr>
          <w:rFonts w:ascii="Arial" w:cs="Arial" w:eastAsia="Arial" w:hAnsi="Arial"/>
          <w:sz w:val="22"/>
          <w:szCs w:val="22"/>
          <w:b w:val="1"/>
          <w:bCs w:val="1"/>
          <w:color w:val="000000"/>
        </w:rPr>
        <w:t>Board</w:t>
      </w:r>
      <w:r>
        <w:rPr>
          <w:rFonts w:ascii="Arial" w:cs="Arial" w:eastAsia="Arial" w:hAnsi="Arial"/>
          <w:sz w:val="22"/>
          <w:szCs w:val="22"/>
          <w:color w:val="000000"/>
        </w:rPr>
        <w:t>” means the Board of Directors of the Company.</w:t>
      </w:r>
    </w:p>
    <w:p>
      <w:pPr>
        <w:spacing w:after="0" w:line="220" w:lineRule="exact"/>
        <w:rPr>
          <w:sz w:val="20"/>
          <w:szCs w:val="20"/>
          <w:color w:val="auto"/>
        </w:rPr>
      </w:pPr>
    </w:p>
    <w:p>
      <w:pPr>
        <w:jc w:val="both"/>
        <w:ind w:left="1520" w:hanging="863"/>
        <w:spacing w:after="0" w:line="267" w:lineRule="auto"/>
        <w:rPr>
          <w:sz w:val="20"/>
          <w:szCs w:val="20"/>
          <w:color w:val="auto"/>
        </w:rPr>
      </w:pPr>
      <w:r>
        <w:rPr>
          <w:rFonts w:ascii="Arial" w:cs="Arial" w:eastAsia="Arial" w:hAnsi="Arial"/>
          <w:sz w:val="21"/>
          <w:szCs w:val="21"/>
          <w:color w:val="010000"/>
        </w:rPr>
        <w:t>(f)</w:t>
      </w:r>
      <w:r>
        <w:rPr>
          <w:rFonts w:ascii="Arial" w:cs="Arial" w:eastAsia="Arial" w:hAnsi="Arial"/>
          <w:sz w:val="21"/>
          <w:szCs w:val="21"/>
          <w:color w:val="000000"/>
        </w:rPr>
        <w:t>“</w:t>
      </w:r>
      <w:r>
        <w:rPr>
          <w:rFonts w:ascii="Arial" w:cs="Arial" w:eastAsia="Arial" w:hAnsi="Arial"/>
          <w:sz w:val="21"/>
          <w:szCs w:val="21"/>
          <w:b w:val="1"/>
          <w:bCs w:val="1"/>
          <w:color w:val="000000"/>
        </w:rPr>
        <w:t>Cause</w:t>
      </w:r>
      <w:r>
        <w:rPr>
          <w:rFonts w:ascii="Arial" w:cs="Arial" w:eastAsia="Arial" w:hAnsi="Arial"/>
          <w:sz w:val="21"/>
          <w:szCs w:val="21"/>
          <w:color w:val="000000"/>
        </w:rPr>
        <w:t>” means, as to any Executive (i) “Cause”, as defined in any employment, consulting or similar agreement between</w:t>
      </w:r>
      <w:r>
        <w:rPr>
          <w:rFonts w:ascii="Arial" w:cs="Arial" w:eastAsia="Arial" w:hAnsi="Arial"/>
          <w:sz w:val="21"/>
          <w:szCs w:val="21"/>
          <w:color w:val="010000"/>
        </w:rPr>
        <w:t xml:space="preserve"> </w:t>
      </w:r>
      <w:r>
        <w:rPr>
          <w:rFonts w:ascii="Arial" w:cs="Arial" w:eastAsia="Arial" w:hAnsi="Arial"/>
          <w:sz w:val="21"/>
          <w:szCs w:val="21"/>
          <w:color w:val="000000"/>
        </w:rPr>
        <w:t>the participant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74" w:lineRule="exact"/>
        <w:rPr>
          <w:sz w:val="20"/>
          <w:szCs w:val="20"/>
          <w:color w:val="auto"/>
        </w:rPr>
      </w:pPr>
    </w:p>
    <w:p>
      <w:pPr>
        <w:ind w:left="2820" w:hanging="1515"/>
        <w:spacing w:after="0" w:line="253" w:lineRule="auto"/>
        <w:tabs>
          <w:tab w:leader="none" w:pos="1523"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186" w:lineRule="exact"/>
        <w:rPr>
          <w:sz w:val="20"/>
          <w:szCs w:val="20"/>
          <w:color w:val="auto"/>
        </w:rPr>
      </w:pPr>
    </w:p>
    <w:p>
      <w:pPr>
        <w:ind w:left="2880" w:hanging="1566"/>
        <w:spacing w:after="0" w:line="26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the Executive’s willful failure to perform the Executive’s duties to the Company or an Affiliate (other than as a</w:t>
      </w:r>
      <w:r>
        <w:rPr>
          <w:rFonts w:ascii="Arial" w:cs="Arial" w:eastAsia="Arial" w:hAnsi="Arial"/>
          <w:sz w:val="22"/>
          <w:szCs w:val="22"/>
          <w:color w:val="010000"/>
        </w:rPr>
        <w:t xml:space="preserve"> </w:t>
      </w:r>
      <w:r>
        <w:rPr>
          <w:rFonts w:ascii="Arial" w:cs="Arial" w:eastAsia="Arial" w:hAnsi="Arial"/>
          <w:sz w:val="22"/>
          <w:szCs w:val="22"/>
          <w:color w:val="000000"/>
        </w:rPr>
        <w:t>result of death or a physical or mental incapacity);</w:t>
      </w:r>
    </w:p>
    <w:p>
      <w:pPr>
        <w:spacing w:after="0" w:line="175" w:lineRule="exact"/>
        <w:rPr>
          <w:sz w:val="20"/>
          <w:szCs w:val="20"/>
          <w:color w:val="auto"/>
        </w:rPr>
      </w:pPr>
    </w:p>
    <w:p>
      <w:pPr>
        <w:ind w:left="2920" w:hanging="1620"/>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indictment for, conviction of, or pleading of guilty or nolo contendere to, a felony or any crime involving moral</w:t>
      </w:r>
      <w:r>
        <w:rPr>
          <w:rFonts w:ascii="Arial" w:cs="Arial" w:eastAsia="Arial" w:hAnsi="Arial"/>
          <w:sz w:val="22"/>
          <w:szCs w:val="22"/>
          <w:color w:val="010000"/>
        </w:rPr>
        <w:t xml:space="preserve"> </w:t>
      </w:r>
      <w:r>
        <w:rPr>
          <w:rFonts w:ascii="Arial" w:cs="Arial" w:eastAsia="Arial" w:hAnsi="Arial"/>
          <w:sz w:val="22"/>
          <w:szCs w:val="22"/>
          <w:color w:val="000000"/>
        </w:rPr>
        <w:t>turpitude;</w:t>
      </w:r>
    </w:p>
    <w:p>
      <w:pPr>
        <w:spacing w:after="0" w:line="175" w:lineRule="exact"/>
        <w:rPr>
          <w:sz w:val="20"/>
          <w:szCs w:val="20"/>
          <w:color w:val="auto"/>
        </w:rPr>
      </w:pPr>
    </w:p>
    <w:p>
      <w:pPr>
        <w:ind w:left="2920" w:hanging="1615"/>
        <w:spacing w:after="0" w:line="287" w:lineRule="auto"/>
        <w:tabs>
          <w:tab w:leader="none" w:pos="1623"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the Executive’s performance of any material act of theft, fraud, malfeasance or dishonesty in connection with the performance of the Executive’s duties to the Company or an Affiliate;</w:t>
      </w: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5" w:right="239" w:bottom="1440" w:gutter="0" w:footer="0" w:header="0"/>
        </w:sectPr>
      </w:pPr>
    </w:p>
    <w:bookmarkStart w:id="175" w:name="page176"/>
    <w:bookmarkEnd w:id="175"/>
    <w:p>
      <w:pPr>
        <w:ind w:left="2200" w:right="20" w:hanging="1552"/>
        <w:spacing w:after="0" w:line="263" w:lineRule="auto"/>
        <w:rPr>
          <w:sz w:val="20"/>
          <w:szCs w:val="20"/>
          <w:color w:val="auto"/>
        </w:rPr>
      </w:pPr>
      <w:r>
        <w:rPr>
          <w:rFonts w:ascii="Arial" w:cs="Arial" w:eastAsia="Arial" w:hAnsi="Arial"/>
          <w:sz w:val="22"/>
          <w:szCs w:val="22"/>
          <w:color w:val="010000"/>
        </w:rPr>
        <w:t>(v)</w:t>
      </w:r>
      <w:r>
        <w:rPr>
          <w:rFonts w:ascii="Arial" w:cs="Arial" w:eastAsia="Arial" w:hAnsi="Arial"/>
          <w:sz w:val="22"/>
          <w:szCs w:val="22"/>
          <w:color w:val="000000"/>
        </w:rPr>
        <w:t>breach of any written agreement between the Executive and the Company or an Affiliate, or a violation of the</w:t>
      </w:r>
      <w:r>
        <w:rPr>
          <w:rFonts w:ascii="Arial" w:cs="Arial" w:eastAsia="Arial" w:hAnsi="Arial"/>
          <w:sz w:val="22"/>
          <w:szCs w:val="22"/>
          <w:color w:val="010000"/>
        </w:rPr>
        <w:t xml:space="preserve"> </w:t>
      </w:r>
      <w:r>
        <w:rPr>
          <w:rFonts w:ascii="Arial" w:cs="Arial" w:eastAsia="Arial" w:hAnsi="Arial"/>
          <w:sz w:val="22"/>
          <w:szCs w:val="22"/>
          <w:color w:val="000000"/>
        </w:rPr>
        <w:t>Company’s code of conduct or other written policy; or</w:t>
      </w:r>
    </w:p>
    <w:p>
      <w:pPr>
        <w:spacing w:after="0" w:line="175" w:lineRule="exact"/>
        <w:rPr>
          <w:sz w:val="20"/>
          <w:szCs w:val="20"/>
          <w:color w:val="auto"/>
        </w:rPr>
      </w:pPr>
    </w:p>
    <w:p>
      <w:pPr>
        <w:ind w:left="960" w:hanging="315"/>
        <w:spacing w:after="0"/>
        <w:tabs>
          <w:tab w:leader="none" w:pos="960"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 xml:space="preserve">any other material breach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Plan.</w:t>
      </w:r>
    </w:p>
    <w:p>
      <w:pPr>
        <w:spacing w:after="0" w:line="220"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010000"/>
        </w:rPr>
        <w:t>(g)</w:t>
      </w:r>
      <w:r>
        <w:rPr>
          <w:rFonts w:ascii="Arial" w:cs="Arial" w:eastAsia="Arial" w:hAnsi="Arial"/>
          <w:sz w:val="22"/>
          <w:szCs w:val="22"/>
          <w:color w:val="000000"/>
        </w:rPr>
        <w:t>“</w:t>
      </w:r>
      <w:r>
        <w:rPr>
          <w:rFonts w:ascii="Arial" w:cs="Arial" w:eastAsia="Arial" w:hAnsi="Arial"/>
          <w:sz w:val="22"/>
          <w:szCs w:val="22"/>
          <w:b w:val="1"/>
          <w:bCs w:val="1"/>
          <w:color w:val="000000"/>
        </w:rPr>
        <w:t>Change-in-Control Severance Benefits</w:t>
      </w:r>
      <w:r>
        <w:rPr>
          <w:rFonts w:ascii="Arial" w:cs="Arial" w:eastAsia="Arial" w:hAnsi="Arial"/>
          <w:sz w:val="22"/>
          <w:szCs w:val="22"/>
          <w:color w:val="000000"/>
        </w:rPr>
        <w:t>” means the Severance Benefit described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3.2</w:t>
      </w:r>
      <w:r>
        <w:rPr>
          <w:rFonts w:ascii="Arial" w:cs="Arial" w:eastAsia="Arial" w:hAnsi="Arial"/>
          <w:sz w:val="22"/>
          <w:szCs w:val="22"/>
          <w:color w:val="00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(h)</w:t>
      </w:r>
      <w:r>
        <w:rPr>
          <w:rFonts w:ascii="Arial" w:cs="Arial" w:eastAsia="Arial" w:hAnsi="Arial"/>
          <w:sz w:val="22"/>
          <w:szCs w:val="22"/>
          <w:color w:val="000000"/>
        </w:rPr>
        <w:t>“</w:t>
      </w:r>
      <w:r>
        <w:rPr>
          <w:rFonts w:ascii="Arial" w:cs="Arial" w:eastAsia="Arial" w:hAnsi="Arial"/>
          <w:sz w:val="22"/>
          <w:szCs w:val="22"/>
          <w:b w:val="1"/>
          <w:bCs w:val="1"/>
          <w:color w:val="000000"/>
        </w:rPr>
        <w:t>Change in Control</w:t>
      </w:r>
      <w:r>
        <w:rPr>
          <w:rFonts w:ascii="Arial" w:cs="Arial" w:eastAsia="Arial" w:hAnsi="Arial"/>
          <w:sz w:val="22"/>
          <w:szCs w:val="22"/>
          <w:color w:val="000000"/>
        </w:rPr>
        <w:t>” shall mean the first to occur of any of the following events:</w:t>
      </w:r>
    </w:p>
    <w:p>
      <w:pPr>
        <w:spacing w:after="0" w:line="226" w:lineRule="exact"/>
        <w:rPr>
          <w:sz w:val="20"/>
          <w:szCs w:val="20"/>
          <w:color w:val="auto"/>
        </w:rPr>
      </w:pPr>
    </w:p>
    <w:p>
      <w:pPr>
        <w:jc w:val="right"/>
        <w:ind w:left="640"/>
        <w:spacing w:after="0" w:line="251" w:lineRule="auto"/>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Any “person” (as that term is used in Sections 13 and 14(d)(2) of the Securities Exchange Act of 1934</w:t>
      </w:r>
      <w:r>
        <w:rPr>
          <w:rFonts w:ascii="Arial" w:cs="Arial" w:eastAsia="Arial" w:hAnsi="Arial"/>
          <w:sz w:val="22"/>
          <w:szCs w:val="22"/>
          <w:color w:val="010000"/>
        </w:rPr>
        <w:t xml:space="preserve"> </w:t>
      </w:r>
      <w:r>
        <w:rPr>
          <w:rFonts w:ascii="Arial" w:cs="Arial" w:eastAsia="Arial" w:hAnsi="Arial"/>
          <w:sz w:val="22"/>
          <w:szCs w:val="22"/>
          <w:color w:val="000000"/>
        </w:rPr>
        <w:t>(“</w:t>
      </w:r>
      <w:r>
        <w:rPr>
          <w:rFonts w:ascii="Arial" w:cs="Arial" w:eastAsia="Arial" w:hAnsi="Arial"/>
          <w:sz w:val="22"/>
          <w:szCs w:val="22"/>
          <w:u w:val="single" w:color="auto"/>
          <w:color w:val="000000"/>
        </w:rPr>
        <w:t>Exchange Act</w:t>
      </w:r>
      <w:r>
        <w:rPr>
          <w:rFonts w:ascii="Arial" w:cs="Arial" w:eastAsia="Arial" w:hAnsi="Arial"/>
          <w:sz w:val="22"/>
          <w:szCs w:val="22"/>
          <w:color w:val="000000"/>
        </w:rPr>
        <w:t>”)) other than Clearway Energy Group LLC or one of its subsidiaries or affiliates</w:t>
      </w:r>
    </w:p>
    <w:p>
      <w:pPr>
        <w:spacing w:after="0" w:line="2" w:lineRule="exact"/>
        <w:rPr>
          <w:sz w:val="20"/>
          <w:szCs w:val="20"/>
          <w:color w:val="auto"/>
        </w:rPr>
      </w:pPr>
    </w:p>
    <w:p>
      <w:pPr>
        <w:jc w:val="both"/>
        <w:ind w:left="2160" w:hanging="3"/>
        <w:spacing w:after="0" w:line="288" w:lineRule="auto"/>
        <w:tabs>
          <w:tab w:leader="none" w:pos="25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59" w:lineRule="exact"/>
        <w:rPr>
          <w:sz w:val="20"/>
          <w:szCs w:val="20"/>
          <w:color w:val="auto"/>
        </w:rPr>
      </w:pPr>
    </w:p>
    <w:p>
      <w:pPr>
        <w:jc w:val="both"/>
        <w:ind w:left="2220" w:hanging="1566"/>
        <w:spacing w:after="0" w:line="258"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color w:val="000000"/>
        </w:rPr>
        <w:t>Persons who on the Effective Date constitute the Board (the “</w:t>
      </w:r>
      <w:r>
        <w:rPr>
          <w:rFonts w:ascii="Arial" w:cs="Arial" w:eastAsia="Arial" w:hAnsi="Arial"/>
          <w:sz w:val="21"/>
          <w:szCs w:val="21"/>
          <w:u w:val="single" w:color="auto"/>
          <w:color w:val="000000"/>
        </w:rPr>
        <w:t>Incumbent Directors</w:t>
      </w:r>
      <w:r>
        <w:rPr>
          <w:rFonts w:ascii="Arial" w:cs="Arial" w:eastAsia="Arial" w:hAnsi="Arial"/>
          <w:sz w:val="21"/>
          <w:szCs w:val="21"/>
          <w:color w:val="000000"/>
        </w:rPr>
        <w:t>”) cease for any reason,</w:t>
      </w:r>
      <w:r>
        <w:rPr>
          <w:rFonts w:ascii="Arial" w:cs="Arial" w:eastAsia="Arial" w:hAnsi="Arial"/>
          <w:sz w:val="21"/>
          <w:szCs w:val="21"/>
          <w:color w:val="010000"/>
        </w:rPr>
        <w:t xml:space="preserve"> </w:t>
      </w:r>
      <w:r>
        <w:rPr>
          <w:rFonts w:ascii="Arial" w:cs="Arial" w:eastAsia="Arial" w:hAnsi="Arial"/>
          <w:sz w:val="21"/>
          <w:szCs w:val="21"/>
          <w:color w:val="000000"/>
        </w:rPr>
        <w:t>including without limitation, as a result 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w:t>
      </w:r>
    </w:p>
    <w:p>
      <w:pPr>
        <w:spacing w:after="0" w:line="200" w:lineRule="exact"/>
        <w:rPr>
          <w:sz w:val="20"/>
          <w:szCs w:val="20"/>
          <w:color w:val="auto"/>
        </w:rPr>
      </w:pPr>
    </w:p>
    <w:p>
      <w:pPr>
        <w:spacing w:after="0" w:line="35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604" w:right="239" w:bottom="1440" w:gutter="0" w:footer="0" w:header="0"/>
        </w:sectPr>
      </w:pPr>
    </w:p>
    <w:bookmarkStart w:id="176" w:name="page177"/>
    <w:bookmarkEnd w:id="176"/>
    <w:p>
      <w:pPr>
        <w:ind w:left="1304"/>
        <w:spacing w:after="0" w:line="232" w:lineRule="auto"/>
        <w:rPr>
          <w:sz w:val="20"/>
          <w:szCs w:val="20"/>
          <w:color w:val="auto"/>
        </w:rPr>
      </w:pPr>
      <w:r>
        <w:rPr>
          <w:rFonts w:ascii="Arial" w:cs="Arial" w:eastAsia="Arial" w:hAnsi="Arial"/>
          <w:sz w:val="22"/>
          <w:szCs w:val="22"/>
          <w:color w:val="auto"/>
        </w:rPr>
        <w:t>reason of agreement intended to avoid or settle any such actual or threatened contest or solicitation, shall not be considered an Incumbent Director; or</w:t>
      </w:r>
    </w:p>
    <w:p>
      <w:pPr>
        <w:spacing w:after="0" w:line="186" w:lineRule="exact"/>
        <w:rPr>
          <w:sz w:val="20"/>
          <w:szCs w:val="20"/>
          <w:color w:val="auto"/>
        </w:rPr>
      </w:pPr>
    </w:p>
    <w:p>
      <w:pPr>
        <w:jc w:val="both"/>
        <w:ind w:left="2264" w:hanging="1620"/>
        <w:spacing w:after="0" w:line="288" w:lineRule="auto"/>
        <w:rPr>
          <w:sz w:val="20"/>
          <w:szCs w:val="20"/>
          <w:color w:val="auto"/>
        </w:rPr>
      </w:pPr>
      <w:r>
        <w:rPr>
          <w:rFonts w:ascii="Arial" w:cs="Arial" w:eastAsia="Arial" w:hAnsi="Arial"/>
          <w:sz w:val="19"/>
          <w:szCs w:val="19"/>
          <w:color w:val="010000"/>
        </w:rPr>
        <w:t>(iii)</w:t>
      </w:r>
      <w:r>
        <w:rPr>
          <w:rFonts w:ascii="Arial" w:cs="Arial" w:eastAsia="Arial" w:hAnsi="Arial"/>
          <w:sz w:val="19"/>
          <w:szCs w:val="19"/>
          <w:color w:val="000000"/>
        </w:rPr>
        <w:t>Consummation of a reorganization, merger, consolidation, or sale or other disposition of all or substantially all of</w:t>
      </w:r>
      <w:r>
        <w:rPr>
          <w:rFonts w:ascii="Arial" w:cs="Arial" w:eastAsia="Arial" w:hAnsi="Arial"/>
          <w:sz w:val="19"/>
          <w:szCs w:val="19"/>
          <w:color w:val="010000"/>
        </w:rPr>
        <w:t xml:space="preserve"> </w:t>
      </w:r>
      <w:r>
        <w:rPr>
          <w:rFonts w:ascii="Arial" w:cs="Arial" w:eastAsia="Arial" w:hAnsi="Arial"/>
          <w:sz w:val="19"/>
          <w:szCs w:val="19"/>
          <w:color w:val="000000"/>
        </w:rPr>
        <w:t>the assets of the Company (a “</w:t>
      </w:r>
      <w:r>
        <w:rPr>
          <w:rFonts w:ascii="Arial" w:cs="Arial" w:eastAsia="Arial" w:hAnsi="Arial"/>
          <w:sz w:val="19"/>
          <w:szCs w:val="19"/>
          <w:u w:val="single" w:color="auto"/>
          <w:color w:val="000000"/>
        </w:rPr>
        <w:t>Business Combination</w:t>
      </w:r>
      <w:r>
        <w:rPr>
          <w:rFonts w:ascii="Arial" w:cs="Arial" w:eastAsia="Arial" w:hAnsi="Arial"/>
          <w:sz w:val="19"/>
          <w:szCs w:val="19"/>
          <w:color w:val="000000"/>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55" w:lineRule="exact"/>
        <w:rPr>
          <w:sz w:val="20"/>
          <w:szCs w:val="20"/>
          <w:color w:val="auto"/>
        </w:rPr>
      </w:pPr>
    </w:p>
    <w:p>
      <w:pPr>
        <w:ind w:left="2264" w:hanging="1615"/>
        <w:spacing w:after="0" w:line="263" w:lineRule="auto"/>
        <w:tabs>
          <w:tab w:leader="none" w:pos="967"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The stockholders of the Company approve any plan or proposal for the liquidation or dissolution of the Company.</w:t>
      </w:r>
    </w:p>
    <w:p>
      <w:pPr>
        <w:spacing w:after="0" w:line="168" w:lineRule="exact"/>
        <w:rPr>
          <w:rFonts w:ascii="Arial" w:cs="Arial" w:eastAsia="Arial" w:hAnsi="Arial"/>
          <w:sz w:val="22"/>
          <w:szCs w:val="22"/>
          <w:color w:val="010000"/>
        </w:rPr>
      </w:pPr>
    </w:p>
    <w:p>
      <w:pPr>
        <w:ind w:left="864" w:hanging="864"/>
        <w:spacing w:after="0" w:line="269" w:lineRule="auto"/>
        <w:tabs>
          <w:tab w:leader="none" w:pos="21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and the treasury regulations and other official guidance promulgated thereunder.</w:t>
      </w:r>
    </w:p>
    <w:p>
      <w:pPr>
        <w:spacing w:after="0" w:line="162" w:lineRule="exact"/>
        <w:rPr>
          <w:rFonts w:ascii="Arial" w:cs="Arial" w:eastAsia="Arial" w:hAnsi="Arial"/>
          <w:sz w:val="22"/>
          <w:szCs w:val="22"/>
          <w:color w:val="010000"/>
        </w:rPr>
      </w:pPr>
    </w:p>
    <w:p>
      <w:pPr>
        <w:ind w:left="864" w:hanging="864"/>
        <w:spacing w:after="0" w:line="269" w:lineRule="auto"/>
        <w:tabs>
          <w:tab w:leader="none" w:pos="21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any other committee appointed by the Board to perform the functions of the Compensation Committee.</w:t>
      </w:r>
    </w:p>
    <w:p>
      <w:pPr>
        <w:spacing w:after="0" w:line="162" w:lineRule="exact"/>
        <w:rPr>
          <w:sz w:val="20"/>
          <w:szCs w:val="20"/>
          <w:color w:val="auto"/>
        </w:rPr>
      </w:pPr>
    </w:p>
    <w:p>
      <w:pPr>
        <w:ind w:left="904" w:hanging="904"/>
        <w:spacing w:after="0" w:line="269" w:lineRule="auto"/>
        <w:rPr>
          <w:sz w:val="20"/>
          <w:szCs w:val="20"/>
          <w:color w:val="auto"/>
        </w:rPr>
      </w:pPr>
      <w:r>
        <w:rPr>
          <w:rFonts w:ascii="Arial" w:cs="Arial" w:eastAsia="Arial" w:hAnsi="Arial"/>
          <w:sz w:val="22"/>
          <w:szCs w:val="22"/>
          <w:color w:val="010000"/>
        </w:rPr>
        <w:t>(k)</w:t>
      </w:r>
      <w:r>
        <w:rPr>
          <w:rFonts w:ascii="Arial" w:cs="Arial" w:eastAsia="Arial" w:hAnsi="Arial"/>
          <w:sz w:val="22"/>
          <w:szCs w:val="22"/>
          <w:color w:val="000000"/>
        </w:rPr>
        <w:t>“</w:t>
      </w:r>
      <w:r>
        <w:rPr>
          <w:rFonts w:ascii="Arial" w:cs="Arial" w:eastAsia="Arial" w:hAnsi="Arial"/>
          <w:sz w:val="22"/>
          <w:szCs w:val="22"/>
          <w:b w:val="1"/>
          <w:bCs w:val="1"/>
          <w:color w:val="000000"/>
        </w:rPr>
        <w:t>Company</w:t>
      </w:r>
      <w:r>
        <w:rPr>
          <w:rFonts w:ascii="Arial" w:cs="Arial" w:eastAsia="Arial" w:hAnsi="Arial"/>
          <w:sz w:val="22"/>
          <w:szCs w:val="22"/>
          <w:color w:val="000000"/>
        </w:rPr>
        <w:t>” means Clearway Energy, Inc., a Delaware corporation, or any successor thereto as provided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8</w:t>
      </w:r>
      <w:r>
        <w:rPr>
          <w:rFonts w:ascii="Arial" w:cs="Arial" w:eastAsia="Arial" w:hAnsi="Arial"/>
          <w:sz w:val="22"/>
          <w:szCs w:val="22"/>
          <w:color w:val="010000"/>
        </w:rPr>
        <w:t xml:space="preserve"> </w:t>
      </w:r>
      <w:r>
        <w:rPr>
          <w:rFonts w:ascii="Arial" w:cs="Arial" w:eastAsia="Arial" w:hAnsi="Arial"/>
          <w:sz w:val="22"/>
          <w:szCs w:val="22"/>
          <w:color w:val="000000"/>
        </w:rPr>
        <w:t>herein.</w:t>
      </w:r>
    </w:p>
    <w:p>
      <w:pPr>
        <w:spacing w:after="0" w:line="162" w:lineRule="exact"/>
        <w:rPr>
          <w:sz w:val="20"/>
          <w:szCs w:val="20"/>
          <w:color w:val="auto"/>
        </w:rPr>
      </w:pPr>
    </w:p>
    <w:p>
      <w:pPr>
        <w:ind w:left="224" w:hanging="224"/>
        <w:spacing w:after="0"/>
        <w:tabs>
          <w:tab w:leader="none" w:pos="224"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324" w:hanging="324"/>
        <w:spacing w:after="0"/>
        <w:tabs>
          <w:tab w:leader="none" w:pos="324"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Delay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3.4(b)</w:t>
      </w:r>
      <w:r>
        <w:rPr>
          <w:rFonts w:ascii="Arial" w:cs="Arial" w:eastAsia="Arial" w:hAnsi="Arial"/>
          <w:sz w:val="21"/>
          <w:szCs w:val="21"/>
          <w:color w:val="auto"/>
        </w:rPr>
        <w:t>.</w:t>
      </w:r>
    </w:p>
    <w:p>
      <w:pPr>
        <w:spacing w:after="0" w:line="231" w:lineRule="exact"/>
        <w:rPr>
          <w:sz w:val="20"/>
          <w:szCs w:val="20"/>
          <w:color w:val="auto"/>
        </w:rPr>
      </w:pPr>
    </w:p>
    <w:p>
      <w:pPr>
        <w:ind w:left="904" w:right="20" w:hanging="904"/>
        <w:spacing w:after="0" w:line="269" w:lineRule="auto"/>
        <w:rPr>
          <w:sz w:val="20"/>
          <w:szCs w:val="20"/>
          <w:color w:val="auto"/>
        </w:rPr>
      </w:pPr>
      <w:r>
        <w:rPr>
          <w:rFonts w:ascii="Arial" w:cs="Arial" w:eastAsia="Arial" w:hAnsi="Arial"/>
          <w:sz w:val="22"/>
          <w:szCs w:val="22"/>
          <w:color w:val="010000"/>
        </w:rPr>
        <w:t>(n)</w:t>
      </w:r>
      <w:r>
        <w:rPr>
          <w:rFonts w:ascii="Arial" w:cs="Arial" w:eastAsia="Arial" w:hAnsi="Arial"/>
          <w:sz w:val="22"/>
          <w:szCs w:val="22"/>
          <w:color w:val="000000"/>
        </w:rPr>
        <w:t>“</w:t>
      </w:r>
      <w:r>
        <w:rPr>
          <w:rFonts w:ascii="Arial" w:cs="Arial" w:eastAsia="Arial" w:hAnsi="Arial"/>
          <w:sz w:val="22"/>
          <w:szCs w:val="22"/>
          <w:b w:val="1"/>
          <w:bCs w:val="1"/>
          <w:color w:val="000000"/>
        </w:rPr>
        <w:t>Disability</w:t>
      </w:r>
      <w:r>
        <w:rPr>
          <w:rFonts w:ascii="Arial" w:cs="Arial" w:eastAsia="Arial" w:hAnsi="Arial"/>
          <w:sz w:val="22"/>
          <w:szCs w:val="22"/>
          <w:color w:val="000000"/>
        </w:rPr>
        <w:t>” shall mean a disability that would entitle Executive to payment of monthly disability payments under any</w:t>
      </w:r>
      <w:r>
        <w:rPr>
          <w:rFonts w:ascii="Arial" w:cs="Arial" w:eastAsia="Arial" w:hAnsi="Arial"/>
          <w:sz w:val="22"/>
          <w:szCs w:val="22"/>
          <w:color w:val="010000"/>
        </w:rPr>
        <w:t xml:space="preserve"> </w:t>
      </w:r>
      <w:r>
        <w:rPr>
          <w:rFonts w:ascii="Arial" w:cs="Arial" w:eastAsia="Arial" w:hAnsi="Arial"/>
          <w:sz w:val="22"/>
          <w:szCs w:val="22"/>
          <w:color w:val="000000"/>
        </w:rPr>
        <w:t>Company long-term disability plan.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010000"/>
        </w:rPr>
        <w:t>(o)</w:t>
      </w:r>
      <w:r>
        <w:rPr>
          <w:rFonts w:ascii="Arial" w:cs="Arial" w:eastAsia="Arial" w:hAnsi="Arial"/>
          <w:sz w:val="22"/>
          <w:szCs w:val="22"/>
          <w:color w:val="000000"/>
        </w:rPr>
        <w:t>“</w:t>
      </w:r>
      <w:r>
        <w:rPr>
          <w:rFonts w:ascii="Arial" w:cs="Arial" w:eastAsia="Arial" w:hAnsi="Arial"/>
          <w:sz w:val="22"/>
          <w:szCs w:val="22"/>
          <w:b w:val="1"/>
          <w:bCs w:val="1"/>
          <w:color w:val="000000"/>
        </w:rPr>
        <w:t>Effective Date</w:t>
      </w:r>
      <w:r>
        <w:rPr>
          <w:rFonts w:ascii="Arial" w:cs="Arial" w:eastAsia="Arial" w:hAnsi="Arial"/>
          <w:sz w:val="22"/>
          <w:szCs w:val="22"/>
          <w:color w:val="000000"/>
        </w:rPr>
        <w:t>” means the commencement date of this Plan as specified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1.2</w:t>
      </w:r>
      <w:r>
        <w:rPr>
          <w:rFonts w:ascii="Arial" w:cs="Arial" w:eastAsia="Arial" w:hAnsi="Arial"/>
          <w:sz w:val="22"/>
          <w:szCs w:val="22"/>
          <w:color w:val="010000"/>
        </w:rPr>
        <w:t xml:space="preserve"> </w:t>
      </w:r>
      <w:r>
        <w:rPr>
          <w:rFonts w:ascii="Arial" w:cs="Arial" w:eastAsia="Arial" w:hAnsi="Arial"/>
          <w:sz w:val="22"/>
          <w:szCs w:val="22"/>
          <w:color w:val="000000"/>
        </w:rPr>
        <w:t>of this Plan.</w:t>
      </w:r>
    </w:p>
    <w:p>
      <w:pPr>
        <w:spacing w:after="0" w:line="220" w:lineRule="exact"/>
        <w:rPr>
          <w:sz w:val="20"/>
          <w:szCs w:val="20"/>
          <w:color w:val="auto"/>
        </w:rPr>
      </w:pPr>
    </w:p>
    <w:p>
      <w:pPr>
        <w:ind w:left="904" w:hanging="904"/>
        <w:spacing w:after="0" w:line="269" w:lineRule="auto"/>
        <w:rPr>
          <w:sz w:val="20"/>
          <w:szCs w:val="20"/>
          <w:color w:val="auto"/>
        </w:rPr>
      </w:pPr>
      <w:r>
        <w:rPr>
          <w:rFonts w:ascii="Arial" w:cs="Arial" w:eastAsia="Arial" w:hAnsi="Arial"/>
          <w:sz w:val="22"/>
          <w:szCs w:val="22"/>
          <w:color w:val="010000"/>
        </w:rPr>
        <w:t>(p)</w:t>
      </w:r>
      <w:r>
        <w:rPr>
          <w:rFonts w:ascii="Arial" w:cs="Arial" w:eastAsia="Arial" w:hAnsi="Arial"/>
          <w:sz w:val="22"/>
          <w:szCs w:val="22"/>
          <w:color w:val="000000"/>
        </w:rPr>
        <w:t>“</w:t>
      </w:r>
      <w:r>
        <w:rPr>
          <w:rFonts w:ascii="Arial" w:cs="Arial" w:eastAsia="Arial" w:hAnsi="Arial"/>
          <w:sz w:val="22"/>
          <w:szCs w:val="22"/>
          <w:b w:val="1"/>
          <w:bCs w:val="1"/>
          <w:color w:val="000000"/>
        </w:rPr>
        <w:t>Effective Date of Termination</w:t>
      </w:r>
      <w:r>
        <w:rPr>
          <w:rFonts w:ascii="Arial" w:cs="Arial" w:eastAsia="Arial" w:hAnsi="Arial"/>
          <w:sz w:val="22"/>
          <w:szCs w:val="22"/>
          <w:color w:val="000000"/>
        </w:rPr>
        <w:t>” means the date on which a Qualifying Termination occurs, as defined hereunder,</w:t>
      </w:r>
      <w:r>
        <w:rPr>
          <w:rFonts w:ascii="Arial" w:cs="Arial" w:eastAsia="Arial" w:hAnsi="Arial"/>
          <w:sz w:val="22"/>
          <w:szCs w:val="22"/>
          <w:color w:val="010000"/>
        </w:rPr>
        <w:t xml:space="preserve"> </w:t>
      </w:r>
      <w:r>
        <w:rPr>
          <w:rFonts w:ascii="Arial" w:cs="Arial" w:eastAsia="Arial" w:hAnsi="Arial"/>
          <w:sz w:val="22"/>
          <w:szCs w:val="22"/>
          <w:color w:val="000000"/>
        </w:rPr>
        <w:t>which triggers the payment of Severance Benefits hereunder.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010000"/>
        </w:rPr>
        <w:t>(q)</w:t>
      </w:r>
      <w:r>
        <w:rPr>
          <w:rFonts w:ascii="Arial" w:cs="Arial" w:eastAsia="Arial" w:hAnsi="Arial"/>
          <w:sz w:val="22"/>
          <w:szCs w:val="22"/>
          <w:color w:val="000000"/>
        </w:rPr>
        <w:t>“</w:t>
      </w:r>
      <w:r>
        <w:rPr>
          <w:rFonts w:ascii="Arial" w:cs="Arial" w:eastAsia="Arial" w:hAnsi="Arial"/>
          <w:sz w:val="22"/>
          <w:szCs w:val="22"/>
          <w:b w:val="1"/>
          <w:bCs w:val="1"/>
          <w:color w:val="000000"/>
        </w:rPr>
        <w:t>Executive</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1.1</w:t>
      </w:r>
      <w:r>
        <w:rPr>
          <w:rFonts w:ascii="Arial" w:cs="Arial" w:eastAsia="Arial" w:hAnsi="Arial"/>
          <w:sz w:val="22"/>
          <w:szCs w:val="22"/>
          <w:color w:val="000000"/>
        </w:rPr>
        <w:t>.</w:t>
      </w:r>
    </w:p>
    <w:p>
      <w:pPr>
        <w:spacing w:after="0" w:line="200" w:lineRule="exact"/>
        <w:rPr>
          <w:sz w:val="20"/>
          <w:szCs w:val="20"/>
          <w:color w:val="auto"/>
        </w:rPr>
      </w:pP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577" w:right="239" w:bottom="1440" w:gutter="0" w:footer="0" w:header="0"/>
        </w:sectPr>
      </w:pPr>
    </w:p>
    <w:bookmarkStart w:id="177" w:name="page178"/>
    <w:bookmarkEnd w:id="177"/>
    <w:p>
      <w:pPr>
        <w:jc w:val="both"/>
        <w:ind w:left="864" w:hanging="863"/>
        <w:spacing w:after="0" w:line="315" w:lineRule="auto"/>
        <w:rPr>
          <w:sz w:val="20"/>
          <w:szCs w:val="20"/>
          <w:color w:val="auto"/>
        </w:rPr>
      </w:pPr>
      <w:r>
        <w:rPr>
          <w:rFonts w:ascii="Arial" w:cs="Arial" w:eastAsia="Arial" w:hAnsi="Arial"/>
          <w:sz w:val="19"/>
          <w:szCs w:val="19"/>
          <w:color w:val="010000"/>
        </w:rPr>
        <w:t>(r)</w:t>
      </w:r>
      <w:r>
        <w:rPr>
          <w:rFonts w:ascii="Arial" w:cs="Arial" w:eastAsia="Arial" w:hAnsi="Arial"/>
          <w:sz w:val="19"/>
          <w:szCs w:val="19"/>
          <w:color w:val="000000"/>
        </w:rPr>
        <w:t>“</w:t>
      </w:r>
      <w:r>
        <w:rPr>
          <w:rFonts w:ascii="Arial" w:cs="Arial" w:eastAsia="Arial" w:hAnsi="Arial"/>
          <w:sz w:val="19"/>
          <w:szCs w:val="19"/>
          <w:b w:val="1"/>
          <w:bCs w:val="1"/>
          <w:color w:val="000000"/>
        </w:rPr>
        <w:t>Executive Vice President</w:t>
      </w:r>
      <w:r>
        <w:rPr>
          <w:rFonts w:ascii="Arial" w:cs="Arial" w:eastAsia="Arial" w:hAnsi="Arial"/>
          <w:sz w:val="19"/>
          <w:szCs w:val="19"/>
          <w:color w:val="000000"/>
        </w:rPr>
        <w:t>” shall include those employees of the Company with the Job Level of EVP immediately prior</w:t>
      </w:r>
      <w:r>
        <w:rPr>
          <w:rFonts w:ascii="Arial" w:cs="Arial" w:eastAsia="Arial" w:hAnsi="Arial"/>
          <w:sz w:val="19"/>
          <w:szCs w:val="19"/>
          <w:color w:val="010000"/>
        </w:rPr>
        <w:t xml:space="preserve"> </w:t>
      </w:r>
      <w:r>
        <w:rPr>
          <w:rFonts w:ascii="Arial" w:cs="Arial" w:eastAsia="Arial" w:hAnsi="Arial"/>
          <w:sz w:val="19"/>
          <w:szCs w:val="19"/>
          <w:color w:val="000000"/>
        </w:rPr>
        <w:t>to the Change in Control, or such other employee who is designated as an EVP in the Company’s human resources information system immediately prior to the Change in Control other than the CEO.</w:t>
      </w:r>
    </w:p>
    <w:p>
      <w:pPr>
        <w:spacing w:after="0" w:line="126" w:lineRule="exact"/>
        <w:rPr>
          <w:sz w:val="20"/>
          <w:szCs w:val="20"/>
          <w:color w:val="auto"/>
        </w:rPr>
      </w:pPr>
    </w:p>
    <w:p>
      <w:pPr>
        <w:jc w:val="both"/>
        <w:ind w:left="884" w:hanging="877"/>
        <w:spacing w:after="0" w:line="269" w:lineRule="auto"/>
        <w:rPr>
          <w:sz w:val="20"/>
          <w:szCs w:val="20"/>
          <w:color w:val="auto"/>
        </w:rPr>
      </w:pPr>
      <w:r>
        <w:rPr>
          <w:rFonts w:ascii="Arial" w:cs="Arial" w:eastAsia="Arial" w:hAnsi="Arial"/>
          <w:sz w:val="22"/>
          <w:szCs w:val="22"/>
          <w:color w:val="010000"/>
        </w:rPr>
        <w:t>(s)</w:t>
      </w:r>
      <w:r>
        <w:rPr>
          <w:rFonts w:ascii="Arial" w:cs="Arial" w:eastAsia="Arial" w:hAnsi="Arial"/>
          <w:sz w:val="22"/>
          <w:szCs w:val="22"/>
          <w:color w:val="000000"/>
        </w:rPr>
        <w:t>“</w:t>
      </w:r>
      <w:r>
        <w:rPr>
          <w:rFonts w:ascii="Arial" w:cs="Arial" w:eastAsia="Arial" w:hAnsi="Arial"/>
          <w:sz w:val="22"/>
          <w:szCs w:val="22"/>
          <w:b w:val="1"/>
          <w:bCs w:val="1"/>
          <w:color w:val="000000"/>
        </w:rPr>
        <w:t>Former Parent Company</w:t>
      </w:r>
      <w:r>
        <w:rPr>
          <w:rFonts w:ascii="Arial" w:cs="Arial" w:eastAsia="Arial" w:hAnsi="Arial"/>
          <w:sz w:val="22"/>
          <w:szCs w:val="22"/>
          <w:color w:val="000000"/>
        </w:rPr>
        <w:t>” means, collectively NRG Energy, Inc., a Delaware corporation, Xcel Energy, Inc., a</w:t>
      </w:r>
      <w:r>
        <w:rPr>
          <w:rFonts w:ascii="Arial" w:cs="Arial" w:eastAsia="Arial" w:hAnsi="Arial"/>
          <w:sz w:val="22"/>
          <w:szCs w:val="22"/>
          <w:color w:val="010000"/>
        </w:rPr>
        <w:t xml:space="preserve"> </w:t>
      </w:r>
      <w:r>
        <w:rPr>
          <w:rFonts w:ascii="Arial" w:cs="Arial" w:eastAsia="Arial" w:hAnsi="Arial"/>
          <w:sz w:val="22"/>
          <w:szCs w:val="22"/>
          <w:color w:val="000000"/>
        </w:rPr>
        <w:t>Minnesota corporation, and their affiliates and any successors thereto.</w:t>
      </w:r>
    </w:p>
    <w:p>
      <w:pPr>
        <w:spacing w:after="0" w:line="162" w:lineRule="exact"/>
        <w:rPr>
          <w:sz w:val="20"/>
          <w:szCs w:val="20"/>
          <w:color w:val="auto"/>
        </w:rPr>
      </w:pPr>
    </w:p>
    <w:p>
      <w:pPr>
        <w:ind w:left="224" w:hanging="224"/>
        <w:spacing w:after="0"/>
        <w:tabs>
          <w:tab w:leader="none" w:pos="224"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General Severance Benefits</w:t>
      </w:r>
      <w:r>
        <w:rPr>
          <w:rFonts w:ascii="Arial" w:cs="Arial" w:eastAsia="Arial" w:hAnsi="Arial"/>
          <w:sz w:val="22"/>
          <w:szCs w:val="22"/>
          <w:color w:val="auto"/>
        </w:rPr>
        <w:t xml:space="preserve">” means the Severance Benefit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20" w:lineRule="exact"/>
        <w:rPr>
          <w:sz w:val="20"/>
          <w:szCs w:val="20"/>
          <w:color w:val="auto"/>
        </w:rPr>
      </w:pPr>
    </w:p>
    <w:p>
      <w:pPr>
        <w:ind w:left="904" w:hanging="904"/>
        <w:spacing w:after="0" w:line="269" w:lineRule="auto"/>
        <w:rPr>
          <w:sz w:val="20"/>
          <w:szCs w:val="20"/>
          <w:color w:val="auto"/>
        </w:rPr>
      </w:pPr>
      <w:r>
        <w:rPr>
          <w:rFonts w:ascii="Arial" w:cs="Arial" w:eastAsia="Arial" w:hAnsi="Arial"/>
          <w:sz w:val="22"/>
          <w:szCs w:val="22"/>
          <w:color w:val="010000"/>
        </w:rPr>
        <w:t>(u)</w:t>
      </w:r>
      <w:r>
        <w:rPr>
          <w:rFonts w:ascii="Arial" w:cs="Arial" w:eastAsia="Arial" w:hAnsi="Arial"/>
          <w:sz w:val="22"/>
          <w:szCs w:val="22"/>
          <w:color w:val="000000"/>
        </w:rPr>
        <w:t>“</w:t>
      </w:r>
      <w:r>
        <w:rPr>
          <w:rFonts w:ascii="Arial" w:cs="Arial" w:eastAsia="Arial" w:hAnsi="Arial"/>
          <w:sz w:val="22"/>
          <w:szCs w:val="22"/>
          <w:b w:val="1"/>
          <w:bCs w:val="1"/>
          <w:color w:val="000000"/>
        </w:rPr>
        <w:t>Good Reason</w:t>
      </w:r>
      <w:r>
        <w:rPr>
          <w:rFonts w:ascii="Arial" w:cs="Arial" w:eastAsia="Arial" w:hAnsi="Arial"/>
          <w:sz w:val="22"/>
          <w:szCs w:val="22"/>
          <w:color w:val="000000"/>
        </w:rPr>
        <w:t>” shall mean without the Executive’s express written consent the occurrence of any one or more of the</w:t>
      </w:r>
      <w:r>
        <w:rPr>
          <w:rFonts w:ascii="Arial" w:cs="Arial" w:eastAsia="Arial" w:hAnsi="Arial"/>
          <w:sz w:val="22"/>
          <w:szCs w:val="22"/>
          <w:color w:val="010000"/>
        </w:rPr>
        <w:t xml:space="preserve"> </w:t>
      </w:r>
      <w:r>
        <w:rPr>
          <w:rFonts w:ascii="Arial" w:cs="Arial" w:eastAsia="Arial" w:hAnsi="Arial"/>
          <w:sz w:val="22"/>
          <w:szCs w:val="22"/>
          <w:color w:val="000000"/>
        </w:rPr>
        <w:t>following:</w:t>
      </w:r>
    </w:p>
    <w:p>
      <w:pPr>
        <w:spacing w:after="0" w:line="168" w:lineRule="exact"/>
        <w:rPr>
          <w:sz w:val="20"/>
          <w:szCs w:val="20"/>
          <w:color w:val="auto"/>
        </w:rPr>
      </w:pPr>
    </w:p>
    <w:p>
      <w:pPr>
        <w:ind w:left="2164" w:right="20" w:hanging="1515"/>
        <w:spacing w:after="0" w:line="263" w:lineRule="auto"/>
        <w:tabs>
          <w:tab w:leader="none" w:pos="867"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The Company materially reduces the amount of the Executive’s then current Base Salary or the target for his annual bonus; or</w:t>
      </w:r>
    </w:p>
    <w:p>
      <w:pPr>
        <w:spacing w:after="0" w:line="175" w:lineRule="exact"/>
        <w:rPr>
          <w:sz w:val="20"/>
          <w:szCs w:val="20"/>
          <w:color w:val="auto"/>
        </w:rPr>
      </w:pPr>
    </w:p>
    <w:p>
      <w:pPr>
        <w:jc w:val="both"/>
        <w:ind w:left="2224" w:hanging="1566"/>
        <w:spacing w:after="0" w:line="25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A material reduction in the Executive’s benefits under or relative level of participation in the Company’s</w:t>
      </w:r>
      <w:r>
        <w:rPr>
          <w:rFonts w:ascii="Arial" w:cs="Arial" w:eastAsia="Arial" w:hAnsi="Arial"/>
          <w:sz w:val="22"/>
          <w:szCs w:val="22"/>
          <w:color w:val="010000"/>
        </w:rPr>
        <w:t xml:space="preserve"> </w:t>
      </w:r>
      <w:r>
        <w:rPr>
          <w:rFonts w:ascii="Arial" w:cs="Arial" w:eastAsia="Arial" w:hAnsi="Arial"/>
          <w:sz w:val="22"/>
          <w:szCs w:val="22"/>
          <w:color w:val="000000"/>
        </w:rPr>
        <w:t>employee benefit or retirement plans, policies, practices, or arrangements in which the Executive participates as of the Effective Date of this Plan; or</w:t>
      </w:r>
    </w:p>
    <w:p>
      <w:pPr>
        <w:spacing w:after="0" w:line="186" w:lineRule="exact"/>
        <w:rPr>
          <w:sz w:val="20"/>
          <w:szCs w:val="20"/>
          <w:color w:val="auto"/>
        </w:rPr>
      </w:pPr>
    </w:p>
    <w:p>
      <w:pPr>
        <w:jc w:val="both"/>
        <w:ind w:left="2264" w:hanging="1620"/>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A material diminution in the Executive’s title, authority, duties, or responsibilities or the assignment of duties to</w:t>
      </w:r>
      <w:r>
        <w:rPr>
          <w:rFonts w:ascii="Arial" w:cs="Arial" w:eastAsia="Arial" w:hAnsi="Arial"/>
          <w:sz w:val="22"/>
          <w:szCs w:val="22"/>
          <w:color w:val="010000"/>
        </w:rPr>
        <w:t xml:space="preserve"> </w:t>
      </w:r>
      <w:r>
        <w:rPr>
          <w:rFonts w:ascii="Arial" w:cs="Arial" w:eastAsia="Arial" w:hAnsi="Arial"/>
          <w:sz w:val="22"/>
          <w:szCs w:val="22"/>
          <w:color w:val="000000"/>
        </w:rPr>
        <w:t>the Executive which are materially inconsistent with his position; or</w:t>
      </w:r>
    </w:p>
    <w:p>
      <w:pPr>
        <w:spacing w:after="0" w:line="175" w:lineRule="exact"/>
        <w:rPr>
          <w:sz w:val="20"/>
          <w:szCs w:val="20"/>
          <w:color w:val="auto"/>
        </w:rPr>
      </w:pPr>
    </w:p>
    <w:p>
      <w:pPr>
        <w:ind w:left="2264" w:hanging="1615"/>
        <w:spacing w:after="0" w:line="312" w:lineRule="auto"/>
        <w:tabs>
          <w:tab w:leader="none" w:pos="967"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34" w:lineRule="exact"/>
        <w:rPr>
          <w:sz w:val="20"/>
          <w:szCs w:val="20"/>
          <w:color w:val="auto"/>
        </w:rPr>
      </w:pPr>
    </w:p>
    <w:p>
      <w:pPr>
        <w:jc w:val="both"/>
        <w:ind w:left="644"/>
        <w:spacing w:after="0" w:line="248" w:lineRule="auto"/>
        <w:rPr>
          <w:sz w:val="20"/>
          <w:szCs w:val="20"/>
          <w:color w:val="auto"/>
        </w:rPr>
      </w:pPr>
      <w:r>
        <w:rPr>
          <w:rFonts w:ascii="Arial" w:cs="Arial" w:eastAsia="Arial" w:hAnsi="Arial"/>
          <w:sz w:val="22"/>
          <w:szCs w:val="22"/>
          <w:color w:val="auto"/>
        </w:rPr>
        <w:t>For purposes of this Plan, the Executive is not entitled to assert that his termination is for Good Reason unless the Executive gives the Board written notice of the event or events which are the basis for such claim within ninety (90) days after the event or events occur, describing such claim in reasonably sufficient detail to allow the Board to address the event or events and a period of not less than thirty (30) days after to cure or fully remedy the alleged condition.</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010000"/>
        </w:rPr>
        <w:t>(v)</w:t>
      </w:r>
      <w:r>
        <w:rPr>
          <w:rFonts w:ascii="Arial" w:cs="Arial" w:eastAsia="Arial" w:hAnsi="Arial"/>
          <w:sz w:val="22"/>
          <w:szCs w:val="22"/>
          <w:color w:val="000000"/>
        </w:rPr>
        <w:t>“</w:t>
      </w:r>
      <w:r>
        <w:rPr>
          <w:rFonts w:ascii="Arial" w:cs="Arial" w:eastAsia="Arial" w:hAnsi="Arial"/>
          <w:sz w:val="22"/>
          <w:szCs w:val="22"/>
          <w:b w:val="1"/>
          <w:bCs w:val="1"/>
          <w:color w:val="000000"/>
        </w:rPr>
        <w:t>Initial Term</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1.2</w:t>
      </w:r>
      <w:r>
        <w:rPr>
          <w:rFonts w:ascii="Arial" w:cs="Arial" w:eastAsia="Arial" w:hAnsi="Arial"/>
          <w:sz w:val="22"/>
          <w:szCs w:val="22"/>
          <w:color w:val="000000"/>
        </w:rPr>
        <w:t>.</w:t>
      </w:r>
    </w:p>
    <w:p>
      <w:pPr>
        <w:spacing w:after="0" w:line="220" w:lineRule="exact"/>
        <w:rPr>
          <w:sz w:val="20"/>
          <w:szCs w:val="20"/>
          <w:color w:val="auto"/>
        </w:rPr>
      </w:pPr>
    </w:p>
    <w:p>
      <w:pPr>
        <w:ind w:left="304" w:hanging="304"/>
        <w:spacing w:after="0"/>
        <w:tabs>
          <w:tab w:leader="none" w:pos="304"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Noncompete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Article 5(c)</w:t>
      </w:r>
      <w:r>
        <w:rPr>
          <w:rFonts w:ascii="Arial" w:cs="Arial" w:eastAsia="Arial" w:hAnsi="Arial"/>
          <w:sz w:val="21"/>
          <w:szCs w:val="21"/>
          <w:color w:val="auto"/>
        </w:rPr>
        <w:t>.</w:t>
      </w:r>
    </w:p>
    <w:p>
      <w:pPr>
        <w:spacing w:after="0" w:line="231" w:lineRule="exact"/>
        <w:rPr>
          <w:sz w:val="20"/>
          <w:szCs w:val="20"/>
          <w:color w:val="auto"/>
        </w:rPr>
      </w:pPr>
    </w:p>
    <w:p>
      <w:pPr>
        <w:jc w:val="both"/>
        <w:ind w:left="904" w:hanging="904"/>
        <w:spacing w:after="0" w:line="256" w:lineRule="auto"/>
        <w:rPr>
          <w:sz w:val="20"/>
          <w:szCs w:val="20"/>
          <w:color w:val="auto"/>
        </w:rPr>
      </w:pPr>
      <w:r>
        <w:rPr>
          <w:rFonts w:ascii="Arial" w:cs="Arial" w:eastAsia="Arial" w:hAnsi="Arial"/>
          <w:sz w:val="22"/>
          <w:szCs w:val="22"/>
          <w:color w:val="010000"/>
        </w:rPr>
        <w:t>(x)</w:t>
      </w:r>
      <w:r>
        <w:rPr>
          <w:rFonts w:ascii="Arial" w:cs="Arial" w:eastAsia="Arial" w:hAnsi="Arial"/>
          <w:sz w:val="22"/>
          <w:szCs w:val="22"/>
          <w:color w:val="000000"/>
        </w:rPr>
        <w:t>“</w:t>
      </w:r>
      <w:r>
        <w:rPr>
          <w:rFonts w:ascii="Arial" w:cs="Arial" w:eastAsia="Arial" w:hAnsi="Arial"/>
          <w:sz w:val="22"/>
          <w:szCs w:val="22"/>
          <w:b w:val="1"/>
          <w:bCs w:val="1"/>
          <w:color w:val="000000"/>
        </w:rPr>
        <w:t>Notice of Termination</w:t>
      </w:r>
      <w:r>
        <w:rPr>
          <w:rFonts w:ascii="Arial" w:cs="Arial" w:eastAsia="Arial" w:hAnsi="Arial"/>
          <w:sz w:val="22"/>
          <w:szCs w:val="22"/>
          <w:color w:val="000000"/>
        </w:rPr>
        <w:t>” shall mean a written notice which shall indicate the specific termination provision in this Plan</w:t>
      </w:r>
      <w:r>
        <w:rPr>
          <w:rFonts w:ascii="Arial" w:cs="Arial" w:eastAsia="Arial" w:hAnsi="Arial"/>
          <w:sz w:val="22"/>
          <w:szCs w:val="22"/>
          <w:color w:val="010000"/>
        </w:rPr>
        <w:t xml:space="preserve"> </w:t>
      </w:r>
      <w:r>
        <w:rPr>
          <w:rFonts w:ascii="Arial" w:cs="Arial" w:eastAsia="Arial" w:hAnsi="Arial"/>
          <w:sz w:val="22"/>
          <w:szCs w:val="22"/>
          <w:color w:val="000000"/>
        </w:rPr>
        <w:t>relied upon, and shall set forth in reasonable detail the facts and circumstances claimed to provide a basis for termination of the Executive’s employment under the provision so indicated.</w:t>
      </w:r>
    </w:p>
    <w:p>
      <w:pPr>
        <w:spacing w:after="0" w:line="200" w:lineRule="exact"/>
        <w:rPr>
          <w:sz w:val="20"/>
          <w:szCs w:val="20"/>
          <w:color w:val="auto"/>
        </w:rPr>
      </w:pPr>
    </w:p>
    <w:p>
      <w:pPr>
        <w:spacing w:after="0" w:line="347"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599" w:right="239" w:bottom="1440" w:gutter="0" w:footer="0" w:header="0"/>
        </w:sectPr>
      </w:pPr>
    </w:p>
    <w:bookmarkStart w:id="178" w:name="page179"/>
    <w:bookmarkEnd w:id="178"/>
    <w:p>
      <w:pPr>
        <w:ind w:left="4"/>
        <w:spacing w:after="0"/>
        <w:rPr>
          <w:sz w:val="20"/>
          <w:szCs w:val="20"/>
          <w:color w:val="auto"/>
        </w:rPr>
      </w:pPr>
      <w:r>
        <w:rPr>
          <w:rFonts w:ascii="Arial" w:cs="Arial" w:eastAsia="Arial" w:hAnsi="Arial"/>
          <w:sz w:val="22"/>
          <w:szCs w:val="22"/>
          <w:color w:val="010000"/>
        </w:rPr>
        <w:t>(y)</w:t>
      </w:r>
      <w:r>
        <w:rPr>
          <w:rFonts w:ascii="Arial" w:cs="Arial" w:eastAsia="Arial" w:hAnsi="Arial"/>
          <w:sz w:val="22"/>
          <w:szCs w:val="22"/>
          <w:color w:val="000000"/>
        </w:rPr>
        <w:t>“</w:t>
      </w:r>
      <w:r>
        <w:rPr>
          <w:rFonts w:ascii="Arial" w:cs="Arial" w:eastAsia="Arial" w:hAnsi="Arial"/>
          <w:sz w:val="22"/>
          <w:szCs w:val="22"/>
          <w:b w:val="1"/>
          <w:bCs w:val="1"/>
          <w:color w:val="000000"/>
        </w:rPr>
        <w:t>Parachute Payment Ratio</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6</w:t>
      </w:r>
      <w:r>
        <w:rPr>
          <w:rFonts w:ascii="Arial" w:cs="Arial" w:eastAsia="Arial" w:hAnsi="Arial"/>
          <w:sz w:val="22"/>
          <w:szCs w:val="22"/>
          <w:color w:val="000000"/>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(z)</w:t>
      </w:r>
      <w:r>
        <w:rPr>
          <w:rFonts w:ascii="Arial" w:cs="Arial" w:eastAsia="Arial" w:hAnsi="Arial"/>
          <w:sz w:val="22"/>
          <w:szCs w:val="22"/>
          <w:color w:val="000000"/>
        </w:rPr>
        <w:t>“</w:t>
      </w:r>
      <w:r>
        <w:rPr>
          <w:rFonts w:ascii="Arial" w:cs="Arial" w:eastAsia="Arial" w:hAnsi="Arial"/>
          <w:sz w:val="22"/>
          <w:szCs w:val="22"/>
          <w:b w:val="1"/>
          <w:bCs w:val="1"/>
          <w:color w:val="000000"/>
        </w:rPr>
        <w:t>Plan</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1.1</w:t>
      </w:r>
      <w:r>
        <w:rPr>
          <w:rFonts w:ascii="Arial" w:cs="Arial" w:eastAsia="Arial" w:hAnsi="Arial"/>
          <w:sz w:val="22"/>
          <w:szCs w:val="22"/>
          <w:color w:val="000000"/>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(aa)</w:t>
      </w:r>
      <w:r>
        <w:rPr>
          <w:rFonts w:ascii="Arial" w:cs="Arial" w:eastAsia="Arial" w:hAnsi="Arial"/>
          <w:sz w:val="22"/>
          <w:szCs w:val="22"/>
          <w:color w:val="000000"/>
        </w:rPr>
        <w:t>“</w:t>
      </w:r>
      <w:r>
        <w:rPr>
          <w:rFonts w:ascii="Arial" w:cs="Arial" w:eastAsia="Arial" w:hAnsi="Arial"/>
          <w:sz w:val="22"/>
          <w:szCs w:val="22"/>
          <w:b w:val="1"/>
          <w:bCs w:val="1"/>
          <w:color w:val="000000"/>
        </w:rPr>
        <w:t>Qualifying Termination</w:t>
      </w:r>
      <w:r>
        <w:rPr>
          <w:rFonts w:ascii="Arial" w:cs="Arial" w:eastAsia="Arial" w:hAnsi="Arial"/>
          <w:sz w:val="22"/>
          <w:szCs w:val="22"/>
          <w:color w:val="000000"/>
        </w:rPr>
        <w:t>” means:</w:t>
      </w:r>
    </w:p>
    <w:p>
      <w:pPr>
        <w:spacing w:after="0" w:line="226" w:lineRule="exact"/>
        <w:rPr>
          <w:sz w:val="20"/>
          <w:szCs w:val="20"/>
          <w:color w:val="auto"/>
        </w:rPr>
      </w:pPr>
    </w:p>
    <w:p>
      <w:pPr>
        <w:ind w:left="2164" w:hanging="1515"/>
        <w:spacing w:after="0" w:line="263" w:lineRule="auto"/>
        <w:tabs>
          <w:tab w:leader="none" w:pos="867"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If such event occurs within the time period that is six (6) months immediately prior to, or twelve (12) months immediately following a Change in Control:</w:t>
      </w:r>
    </w:p>
    <w:p>
      <w:pPr>
        <w:spacing w:after="0" w:line="175" w:lineRule="exact"/>
        <w:rPr>
          <w:sz w:val="20"/>
          <w:szCs w:val="20"/>
          <w:color w:val="auto"/>
        </w:rPr>
      </w:pPr>
    </w:p>
    <w:p>
      <w:pPr>
        <w:jc w:val="both"/>
        <w:ind w:left="3544" w:hanging="2254"/>
        <w:spacing w:after="0" w:line="253" w:lineRule="auto"/>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An involuntary termination of the Executive’s employment by the Company for reasons other than</w:t>
      </w:r>
      <w:r>
        <w:rPr>
          <w:rFonts w:ascii="Arial" w:cs="Arial" w:eastAsia="Arial" w:hAnsi="Arial"/>
          <w:sz w:val="22"/>
          <w:szCs w:val="22"/>
          <w:color w:val="010000"/>
        </w:rPr>
        <w:t xml:space="preserve"> </w:t>
      </w:r>
      <w:r>
        <w:rPr>
          <w:rFonts w:ascii="Arial" w:cs="Arial" w:eastAsia="Arial" w:hAnsi="Arial"/>
          <w:sz w:val="22"/>
          <w:szCs w:val="22"/>
          <w:color w:val="000000"/>
        </w:rPr>
        <w:t>Cause, death, or Disability pursuant to a Notice of Termination delivered to the Executive by the Company; or</w:t>
      </w:r>
    </w:p>
    <w:p>
      <w:pPr>
        <w:spacing w:after="0" w:line="186" w:lineRule="exact"/>
        <w:rPr>
          <w:sz w:val="20"/>
          <w:szCs w:val="20"/>
          <w:color w:val="auto"/>
        </w:rPr>
      </w:pPr>
    </w:p>
    <w:p>
      <w:pPr>
        <w:jc w:val="both"/>
        <w:ind w:left="3544" w:hanging="2241"/>
        <w:spacing w:after="0" w:line="263" w:lineRule="auto"/>
        <w:rPr>
          <w:sz w:val="20"/>
          <w:szCs w:val="20"/>
          <w:color w:val="auto"/>
        </w:rPr>
      </w:pPr>
      <w:r>
        <w:rPr>
          <w:rFonts w:ascii="Arial" w:cs="Arial" w:eastAsia="Arial" w:hAnsi="Arial"/>
          <w:sz w:val="22"/>
          <w:szCs w:val="22"/>
          <w:color w:val="010000"/>
        </w:rPr>
        <w:t>(B)</w:t>
      </w:r>
      <w:r>
        <w:rPr>
          <w:rFonts w:ascii="Arial" w:cs="Arial" w:eastAsia="Arial" w:hAnsi="Arial"/>
          <w:sz w:val="22"/>
          <w:szCs w:val="22"/>
          <w:color w:val="000000"/>
        </w:rPr>
        <w:t>A voluntary termination by the Executive for Good Reason pursuant to a Notice of Termination delivered</w:t>
      </w:r>
      <w:r>
        <w:rPr>
          <w:rFonts w:ascii="Arial" w:cs="Arial" w:eastAsia="Arial" w:hAnsi="Arial"/>
          <w:sz w:val="22"/>
          <w:szCs w:val="22"/>
          <w:color w:val="010000"/>
        </w:rPr>
        <w:t xml:space="preserve"> </w:t>
      </w:r>
      <w:r>
        <w:rPr>
          <w:rFonts w:ascii="Arial" w:cs="Arial" w:eastAsia="Arial" w:hAnsi="Arial"/>
          <w:sz w:val="22"/>
          <w:szCs w:val="22"/>
          <w:color w:val="000000"/>
        </w:rPr>
        <w:t>to the Company by the Executive; or</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If such event occurs at any other time:</w:t>
      </w:r>
    </w:p>
    <w:p>
      <w:pPr>
        <w:spacing w:after="0" w:line="220" w:lineRule="exact"/>
        <w:rPr>
          <w:sz w:val="20"/>
          <w:szCs w:val="20"/>
          <w:color w:val="auto"/>
        </w:rPr>
      </w:pPr>
    </w:p>
    <w:p>
      <w:pPr>
        <w:jc w:val="both"/>
        <w:ind w:left="3544" w:hanging="2254"/>
        <w:spacing w:after="0" w:line="253" w:lineRule="auto"/>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An involuntary termination of the Executive’s employment by the Company for reasons other than</w:t>
      </w:r>
      <w:r>
        <w:rPr>
          <w:rFonts w:ascii="Arial" w:cs="Arial" w:eastAsia="Arial" w:hAnsi="Arial"/>
          <w:sz w:val="22"/>
          <w:szCs w:val="22"/>
          <w:color w:val="010000"/>
        </w:rPr>
        <w:t xml:space="preserve"> </w:t>
      </w:r>
      <w:r>
        <w:rPr>
          <w:rFonts w:ascii="Arial" w:cs="Arial" w:eastAsia="Arial" w:hAnsi="Arial"/>
          <w:sz w:val="22"/>
          <w:szCs w:val="22"/>
          <w:color w:val="000000"/>
        </w:rPr>
        <w:t>Cause, death, or Disability pursuant to a Notice of Termination delivered to the Executive by the Company.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(bb)</w:t>
      </w:r>
      <w:r>
        <w:rPr>
          <w:rFonts w:ascii="Arial" w:cs="Arial" w:eastAsia="Arial" w:hAnsi="Arial"/>
          <w:sz w:val="22"/>
          <w:szCs w:val="22"/>
          <w:color w:val="000000"/>
        </w:rPr>
        <w:t>“</w:t>
      </w:r>
      <w:r>
        <w:rPr>
          <w:rFonts w:ascii="Arial" w:cs="Arial" w:eastAsia="Arial" w:hAnsi="Arial"/>
          <w:sz w:val="22"/>
          <w:szCs w:val="22"/>
          <w:b w:val="1"/>
          <w:bCs w:val="1"/>
          <w:color w:val="000000"/>
        </w:rPr>
        <w:t>Release Effective Date</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3.1(d)</w:t>
      </w:r>
      <w:r>
        <w:rPr>
          <w:rFonts w:ascii="Arial" w:cs="Arial" w:eastAsia="Arial" w:hAnsi="Arial"/>
          <w:sz w:val="22"/>
          <w:szCs w:val="22"/>
          <w:color w:val="000000"/>
        </w:rPr>
        <w:t>.</w:t>
      </w:r>
    </w:p>
    <w:p>
      <w:pPr>
        <w:spacing w:after="0" w:line="220" w:lineRule="exact"/>
        <w:rPr>
          <w:sz w:val="20"/>
          <w:szCs w:val="20"/>
          <w:color w:val="auto"/>
        </w:rPr>
      </w:pPr>
    </w:p>
    <w:p>
      <w:pPr>
        <w:jc w:val="both"/>
        <w:ind w:left="984" w:hanging="985"/>
        <w:spacing w:after="0" w:line="256" w:lineRule="auto"/>
        <w:rPr>
          <w:sz w:val="20"/>
          <w:szCs w:val="20"/>
          <w:color w:val="auto"/>
        </w:rPr>
      </w:pPr>
      <w:r>
        <w:rPr>
          <w:rFonts w:ascii="Arial" w:cs="Arial" w:eastAsia="Arial" w:hAnsi="Arial"/>
          <w:sz w:val="22"/>
          <w:szCs w:val="22"/>
          <w:color w:val="010000"/>
        </w:rPr>
        <w:t>(cc)</w:t>
      </w:r>
      <w:r>
        <w:rPr>
          <w:rFonts w:ascii="Arial" w:cs="Arial" w:eastAsia="Arial" w:hAnsi="Arial"/>
          <w:sz w:val="22"/>
          <w:szCs w:val="22"/>
          <w:color w:val="000000"/>
        </w:rPr>
        <w:t>“</w:t>
      </w:r>
      <w:r>
        <w:rPr>
          <w:rFonts w:ascii="Arial" w:cs="Arial" w:eastAsia="Arial" w:hAnsi="Arial"/>
          <w:sz w:val="22"/>
          <w:szCs w:val="22"/>
          <w:b w:val="1"/>
          <w:bCs w:val="1"/>
          <w:color w:val="000000"/>
        </w:rPr>
        <w:t>Senior Vice President</w:t>
      </w:r>
      <w:r>
        <w:rPr>
          <w:rFonts w:ascii="Arial" w:cs="Arial" w:eastAsia="Arial" w:hAnsi="Arial"/>
          <w:sz w:val="22"/>
          <w:szCs w:val="22"/>
          <w:color w:val="000000"/>
        </w:rPr>
        <w:t>” shall include those employees of the Company with the Job Level of SVP immediately prior</w:t>
      </w:r>
      <w:r>
        <w:rPr>
          <w:rFonts w:ascii="Arial" w:cs="Arial" w:eastAsia="Arial" w:hAnsi="Arial"/>
          <w:sz w:val="22"/>
          <w:szCs w:val="22"/>
          <w:color w:val="010000"/>
        </w:rPr>
        <w:t xml:space="preserve"> </w:t>
      </w:r>
      <w:r>
        <w:rPr>
          <w:rFonts w:ascii="Arial" w:cs="Arial" w:eastAsia="Arial" w:hAnsi="Arial"/>
          <w:sz w:val="22"/>
          <w:szCs w:val="22"/>
          <w:color w:val="000000"/>
        </w:rPr>
        <w:t>to the Change in Control, or such other employee who is designated as an SVP in the Company’s human resources information system immediately prior to the Change in Control.</w:t>
      </w:r>
    </w:p>
    <w:p>
      <w:pPr>
        <w:spacing w:after="0" w:line="176" w:lineRule="exact"/>
        <w:rPr>
          <w:sz w:val="20"/>
          <w:szCs w:val="20"/>
          <w:color w:val="auto"/>
        </w:rPr>
      </w:pPr>
    </w:p>
    <w:p>
      <w:pPr>
        <w:jc w:val="both"/>
        <w:ind w:left="1004" w:right="20" w:hanging="1012"/>
        <w:spacing w:after="0" w:line="269" w:lineRule="auto"/>
        <w:rPr>
          <w:sz w:val="20"/>
          <w:szCs w:val="20"/>
          <w:color w:val="auto"/>
        </w:rPr>
      </w:pPr>
      <w:r>
        <w:rPr>
          <w:rFonts w:ascii="Arial" w:cs="Arial" w:eastAsia="Arial" w:hAnsi="Arial"/>
          <w:sz w:val="22"/>
          <w:szCs w:val="22"/>
          <w:color w:val="010000"/>
        </w:rPr>
        <w:t>(dd)</w:t>
      </w:r>
      <w:r>
        <w:rPr>
          <w:rFonts w:ascii="Arial" w:cs="Arial" w:eastAsia="Arial" w:hAnsi="Arial"/>
          <w:sz w:val="22"/>
          <w:szCs w:val="22"/>
          <w:color w:val="000000"/>
        </w:rPr>
        <w:t>“</w:t>
      </w:r>
      <w:r>
        <w:rPr>
          <w:rFonts w:ascii="Arial" w:cs="Arial" w:eastAsia="Arial" w:hAnsi="Arial"/>
          <w:sz w:val="22"/>
          <w:szCs w:val="22"/>
          <w:b w:val="1"/>
          <w:bCs w:val="1"/>
          <w:color w:val="000000"/>
        </w:rPr>
        <w:t>Severance Benefits</w:t>
      </w:r>
      <w:r>
        <w:rPr>
          <w:rFonts w:ascii="Arial" w:cs="Arial" w:eastAsia="Arial" w:hAnsi="Arial"/>
          <w:sz w:val="22"/>
          <w:szCs w:val="22"/>
          <w:color w:val="000000"/>
        </w:rPr>
        <w:t>” means the payment of Change-in-Control or General (as appropriate) Severance compensation as</w:t>
      </w:r>
      <w:r>
        <w:rPr>
          <w:rFonts w:ascii="Arial" w:cs="Arial" w:eastAsia="Arial" w:hAnsi="Arial"/>
          <w:sz w:val="22"/>
          <w:szCs w:val="22"/>
          <w:color w:val="010000"/>
        </w:rPr>
        <w:t xml:space="preserve"> </w:t>
      </w:r>
      <w:r>
        <w:rPr>
          <w:rFonts w:ascii="Arial" w:cs="Arial" w:eastAsia="Arial" w:hAnsi="Arial"/>
          <w:sz w:val="22"/>
          <w:szCs w:val="22"/>
          <w:color w:val="000000"/>
        </w:rPr>
        <w:t xml:space="preserve">provided in </w:t>
      </w:r>
      <w:r>
        <w:rPr>
          <w:rFonts w:ascii="Arial" w:cs="Arial" w:eastAsia="Arial" w:hAnsi="Arial"/>
          <w:sz w:val="22"/>
          <w:szCs w:val="22"/>
          <w:u w:val="single" w:color="auto"/>
          <w:color w:val="000000"/>
        </w:rPr>
        <w:t>Article 3</w:t>
      </w:r>
      <w:r>
        <w:rPr>
          <w:rFonts w:ascii="Arial" w:cs="Arial" w:eastAsia="Arial" w:hAnsi="Arial"/>
          <w:sz w:val="22"/>
          <w:szCs w:val="22"/>
          <w:color w:val="000000"/>
        </w:rPr>
        <w:t xml:space="preserve"> herein.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010000"/>
        </w:rPr>
        <w:t>(ee)</w:t>
      </w:r>
      <w:r>
        <w:rPr>
          <w:rFonts w:ascii="Arial" w:cs="Arial" w:eastAsia="Arial" w:hAnsi="Arial"/>
          <w:sz w:val="22"/>
          <w:szCs w:val="22"/>
          <w:color w:val="000000"/>
        </w:rPr>
        <w:t>“</w:t>
      </w:r>
      <w:r>
        <w:rPr>
          <w:rFonts w:ascii="Arial" w:cs="Arial" w:eastAsia="Arial" w:hAnsi="Arial"/>
          <w:sz w:val="22"/>
          <w:szCs w:val="22"/>
          <w:b w:val="1"/>
          <w:bCs w:val="1"/>
          <w:color w:val="000000"/>
        </w:rPr>
        <w:t>Specified Employee</w:t>
      </w:r>
      <w:r>
        <w:rPr>
          <w:rFonts w:ascii="Arial" w:cs="Arial" w:eastAsia="Arial" w:hAnsi="Arial"/>
          <w:sz w:val="22"/>
          <w:szCs w:val="22"/>
          <w:color w:val="000000"/>
        </w:rPr>
        <w:t>” means any Executive described in Section 409A(a)(2)(B)(i) of the Code.</w:t>
      </w:r>
    </w:p>
    <w:p>
      <w:pPr>
        <w:spacing w:after="0" w:line="220" w:lineRule="exact"/>
        <w:rPr>
          <w:sz w:val="20"/>
          <w:szCs w:val="20"/>
          <w:color w:val="auto"/>
        </w:rPr>
      </w:pPr>
    </w:p>
    <w:p>
      <w:pPr>
        <w:ind w:left="304" w:hanging="304"/>
        <w:spacing w:after="0"/>
        <w:tabs>
          <w:tab w:leader="none" w:pos="304"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Successive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(gg)</w:t>
      </w:r>
      <w:r>
        <w:rPr>
          <w:rFonts w:ascii="Arial" w:cs="Arial" w:eastAsia="Arial" w:hAnsi="Arial"/>
          <w:sz w:val="22"/>
          <w:szCs w:val="22"/>
          <w:color w:val="000000"/>
        </w:rPr>
        <w:t>“</w:t>
      </w:r>
      <w:r>
        <w:rPr>
          <w:rFonts w:ascii="Arial" w:cs="Arial" w:eastAsia="Arial" w:hAnsi="Arial"/>
          <w:sz w:val="22"/>
          <w:szCs w:val="22"/>
          <w:b w:val="1"/>
          <w:bCs w:val="1"/>
          <w:color w:val="000000"/>
        </w:rPr>
        <w:t>Third Party Information</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5(a)</w:t>
      </w:r>
      <w:r>
        <w:rPr>
          <w:rFonts w:ascii="Arial" w:cs="Arial" w:eastAsia="Arial" w:hAnsi="Arial"/>
          <w:sz w:val="22"/>
          <w:szCs w:val="22"/>
          <w:color w:val="000000"/>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(hh)</w:t>
      </w:r>
      <w:r>
        <w:rPr>
          <w:rFonts w:ascii="Arial" w:cs="Arial" w:eastAsia="Arial" w:hAnsi="Arial"/>
          <w:sz w:val="22"/>
          <w:szCs w:val="22"/>
          <w:color w:val="000000"/>
        </w:rPr>
        <w:t>“</w:t>
      </w:r>
      <w:r>
        <w:rPr>
          <w:rFonts w:ascii="Arial" w:cs="Arial" w:eastAsia="Arial" w:hAnsi="Arial"/>
          <w:sz w:val="22"/>
          <w:szCs w:val="22"/>
          <w:b w:val="1"/>
          <w:bCs w:val="1"/>
          <w:color w:val="000000"/>
        </w:rPr>
        <w:t>Total Payments</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6</w:t>
      </w:r>
      <w:r>
        <w:rPr>
          <w:rFonts w:ascii="Arial" w:cs="Arial" w:eastAsia="Arial" w:hAnsi="Arial"/>
          <w:sz w:val="22"/>
          <w:szCs w:val="22"/>
          <w:color w:val="000000"/>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w:t>
      </w:r>
      <w:r>
        <w:rPr>
          <w:rFonts w:ascii="Arial" w:cs="Arial" w:eastAsia="Arial" w:hAnsi="Arial"/>
          <w:sz w:val="22"/>
          <w:szCs w:val="22"/>
          <w:b w:val="1"/>
          <w:bCs w:val="1"/>
          <w:color w:val="000000"/>
        </w:rPr>
        <w:t>Work Product</w:t>
      </w:r>
      <w:r>
        <w:rPr>
          <w:rFonts w:ascii="Arial" w:cs="Arial" w:eastAsia="Arial" w:hAnsi="Arial"/>
          <w:sz w:val="22"/>
          <w:szCs w:val="22"/>
          <w:color w:val="000000"/>
        </w:rPr>
        <w:t>” shall have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5(b)</w:t>
      </w:r>
      <w:r>
        <w:rPr>
          <w:rFonts w:ascii="Arial" w:cs="Arial" w:eastAsia="Arial" w:hAnsi="Arial"/>
          <w:sz w:val="22"/>
          <w:szCs w:val="22"/>
          <w:color w:val="000000"/>
        </w:rPr>
        <w:t>.</w:t>
      </w:r>
    </w:p>
    <w:p>
      <w:pPr>
        <w:spacing w:after="0" w:line="200" w:lineRule="exact"/>
        <w:rPr>
          <w:sz w:val="20"/>
          <w:szCs w:val="20"/>
          <w:color w:val="auto"/>
        </w:rPr>
      </w:pP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598" w:right="239" w:bottom="1440" w:gutter="0" w:footer="0" w:header="0"/>
        </w:sectPr>
      </w:pPr>
    </w:p>
    <w:bookmarkStart w:id="179" w:name="page180"/>
    <w:bookmarkEnd w:id="179"/>
    <w:p>
      <w:pPr>
        <w:spacing w:after="0"/>
        <w:tabs>
          <w:tab w:leader="none" w:pos="1020" w:val="left"/>
        </w:tabs>
        <w:rPr>
          <w:sz w:val="20"/>
          <w:szCs w:val="20"/>
          <w:color w:val="auto"/>
        </w:rPr>
      </w:pPr>
      <w:r>
        <w:rPr>
          <w:rFonts w:ascii="Arial" w:cs="Arial" w:eastAsia="Arial" w:hAnsi="Arial"/>
          <w:sz w:val="22"/>
          <w:szCs w:val="22"/>
          <w:b w:val="1"/>
          <w:bCs w:val="1"/>
          <w:color w:val="010000"/>
        </w:rPr>
        <w:t>Article 3.</w:t>
      </w:r>
      <w:r>
        <w:rPr>
          <w:sz w:val="20"/>
          <w:szCs w:val="20"/>
          <w:color w:val="auto"/>
        </w:rPr>
        <w:tab/>
      </w:r>
      <w:r>
        <w:rPr>
          <w:rFonts w:ascii="Arial" w:cs="Arial" w:eastAsia="Arial" w:hAnsi="Arial"/>
          <w:sz w:val="18"/>
          <w:szCs w:val="18"/>
          <w:b w:val="1"/>
          <w:bCs w:val="1"/>
          <w:color w:val="auto"/>
        </w:rPr>
        <w:t>Severance Benefits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010000"/>
        </w:rPr>
        <w:t>3.1</w:t>
      </w:r>
      <w:r>
        <w:rPr>
          <w:sz w:val="20"/>
          <w:szCs w:val="20"/>
          <w:color w:val="auto"/>
        </w:rPr>
        <w:tab/>
      </w:r>
      <w:r>
        <w:rPr>
          <w:rFonts w:ascii="Arial" w:cs="Arial" w:eastAsia="Arial" w:hAnsi="Arial"/>
          <w:sz w:val="19"/>
          <w:szCs w:val="19"/>
          <w:b w:val="1"/>
          <w:bCs w:val="1"/>
          <w:color w:val="auto"/>
        </w:rPr>
        <w:t>Right to Severance Benefits</w:t>
      </w:r>
    </w:p>
    <w:p>
      <w:pPr>
        <w:spacing w:after="0" w:line="233" w:lineRule="exact"/>
        <w:rPr>
          <w:sz w:val="20"/>
          <w:szCs w:val="20"/>
          <w:color w:val="auto"/>
        </w:rPr>
      </w:pPr>
    </w:p>
    <w:p>
      <w:pPr>
        <w:jc w:val="both"/>
        <w:ind w:left="1540" w:hanging="890"/>
        <w:spacing w:after="0" w:line="252" w:lineRule="auto"/>
        <w:rPr>
          <w:sz w:val="20"/>
          <w:szCs w:val="20"/>
          <w:color w:val="auto"/>
        </w:rPr>
      </w:pPr>
      <w:r>
        <w:rPr>
          <w:rFonts w:ascii="Arial" w:cs="Arial" w:eastAsia="Arial" w:hAnsi="Arial"/>
          <w:sz w:val="22"/>
          <w:szCs w:val="22"/>
          <w:color w:val="010000"/>
        </w:rPr>
        <w:t>(a)</w:t>
      </w:r>
      <w:r>
        <w:rPr>
          <w:rFonts w:ascii="Arial" w:cs="Arial" w:eastAsia="Arial" w:hAnsi="Arial"/>
          <w:sz w:val="22"/>
          <w:szCs w:val="22"/>
          <w:b w:val="1"/>
          <w:bCs w:val="1"/>
          <w:color w:val="000000"/>
        </w:rPr>
        <w:t>Change-in-Control Severance Benefits.</w:t>
      </w:r>
      <w:r>
        <w:rPr>
          <w:rFonts w:ascii="Arial" w:cs="Arial" w:eastAsia="Arial" w:hAnsi="Arial"/>
          <w:sz w:val="22"/>
          <w:szCs w:val="22"/>
          <w:color w:val="010000"/>
        </w:rPr>
        <w:t xml:space="preserve"> </w:t>
      </w:r>
      <w:r>
        <w:rPr>
          <w:rFonts w:ascii="Arial" w:cs="Arial" w:eastAsia="Arial" w:hAnsi="Arial"/>
          <w:sz w:val="22"/>
          <w:szCs w:val="22"/>
          <w:color w:val="000000"/>
        </w:rPr>
        <w:t xml:space="preserve">The Executive shall be entitled to receive from the Company Change-in-Control Severance Benefits, as described in </w:t>
      </w:r>
      <w:r>
        <w:rPr>
          <w:rFonts w:ascii="Arial" w:cs="Arial" w:eastAsia="Arial" w:hAnsi="Arial"/>
          <w:sz w:val="22"/>
          <w:szCs w:val="22"/>
          <w:u w:val="single" w:color="auto"/>
          <w:color w:val="000000"/>
        </w:rPr>
        <w:t>Section 3.2</w:t>
      </w:r>
      <w:r>
        <w:rPr>
          <w:rFonts w:ascii="Arial" w:cs="Arial" w:eastAsia="Arial" w:hAnsi="Arial"/>
          <w:sz w:val="22"/>
          <w:szCs w:val="22"/>
          <w:color w:val="000000"/>
        </w:rPr>
        <w:t xml:space="preserve"> herein, if a Qualifying Termination of the Executive’s employment has occurred within six (6) months immediately prior to or twelve (12) months immediately following a Change in Control of the Company.</w:t>
      </w:r>
    </w:p>
    <w:p>
      <w:pPr>
        <w:spacing w:after="0" w:line="180" w:lineRule="exact"/>
        <w:rPr>
          <w:sz w:val="20"/>
          <w:szCs w:val="20"/>
          <w:color w:val="auto"/>
        </w:rPr>
      </w:pPr>
    </w:p>
    <w:p>
      <w:pPr>
        <w:jc w:val="both"/>
        <w:ind w:left="1560" w:hanging="904"/>
        <w:spacing w:after="0" w:line="252" w:lineRule="auto"/>
        <w:rPr>
          <w:sz w:val="20"/>
          <w:szCs w:val="20"/>
          <w:color w:val="auto"/>
        </w:rPr>
      </w:pPr>
      <w:r>
        <w:rPr>
          <w:rFonts w:ascii="Arial" w:cs="Arial" w:eastAsia="Arial" w:hAnsi="Arial"/>
          <w:sz w:val="22"/>
          <w:szCs w:val="22"/>
          <w:color w:val="010000"/>
        </w:rPr>
        <w:t>(b)</w:t>
      </w:r>
      <w:r>
        <w:rPr>
          <w:rFonts w:ascii="Arial" w:cs="Arial" w:eastAsia="Arial" w:hAnsi="Arial"/>
          <w:sz w:val="22"/>
          <w:szCs w:val="22"/>
          <w:b w:val="1"/>
          <w:bCs w:val="1"/>
          <w:color w:val="000000"/>
        </w:rPr>
        <w:t>General Severance Benefits</w:t>
      </w:r>
      <w:r>
        <w:rPr>
          <w:rFonts w:ascii="Arial" w:cs="Arial" w:eastAsia="Arial" w:hAnsi="Arial"/>
          <w:sz w:val="22"/>
          <w:szCs w:val="22"/>
          <w:color w:val="000000"/>
        </w:rPr>
        <w:t>. The Executive shall be entitled to receive from the Company General Severance Benefits,</w:t>
      </w:r>
      <w:r>
        <w:rPr>
          <w:rFonts w:ascii="Arial" w:cs="Arial" w:eastAsia="Arial" w:hAnsi="Arial"/>
          <w:sz w:val="22"/>
          <w:szCs w:val="22"/>
          <w:color w:val="010000"/>
        </w:rPr>
        <w:t xml:space="preserve"> </w:t>
      </w:r>
      <w:r>
        <w:rPr>
          <w:rFonts w:ascii="Arial" w:cs="Arial" w:eastAsia="Arial" w:hAnsi="Arial"/>
          <w:sz w:val="22"/>
          <w:szCs w:val="22"/>
          <w:color w:val="000000"/>
        </w:rPr>
        <w:t xml:space="preserve">as described in </w:t>
      </w:r>
      <w:r>
        <w:rPr>
          <w:rFonts w:ascii="Arial" w:cs="Arial" w:eastAsia="Arial" w:hAnsi="Arial"/>
          <w:sz w:val="22"/>
          <w:szCs w:val="22"/>
          <w:u w:val="single" w:color="auto"/>
          <w:color w:val="000000"/>
        </w:rPr>
        <w:t>Section 3.3</w:t>
      </w:r>
      <w:r>
        <w:rPr>
          <w:rFonts w:ascii="Arial" w:cs="Arial" w:eastAsia="Arial" w:hAnsi="Arial"/>
          <w:sz w:val="22"/>
          <w:szCs w:val="22"/>
          <w:color w:val="000000"/>
        </w:rPr>
        <w:t xml:space="preserve"> herein, if a Qualifying Termination of the Executive’s employment has occurred other than during the six (6) months immediately prior to or twelve (12) months immediately following a Change in Control.</w:t>
      </w:r>
    </w:p>
    <w:p>
      <w:pPr>
        <w:spacing w:after="0" w:line="180" w:lineRule="exact"/>
        <w:rPr>
          <w:sz w:val="20"/>
          <w:szCs w:val="20"/>
          <w:color w:val="auto"/>
        </w:rPr>
      </w:pPr>
    </w:p>
    <w:p>
      <w:pPr>
        <w:jc w:val="both"/>
        <w:ind w:left="1540" w:right="20" w:hanging="890"/>
        <w:spacing w:after="0" w:line="269" w:lineRule="auto"/>
        <w:rPr>
          <w:sz w:val="20"/>
          <w:szCs w:val="20"/>
          <w:color w:val="auto"/>
        </w:rPr>
      </w:pPr>
      <w:r>
        <w:rPr>
          <w:rFonts w:ascii="Arial" w:cs="Arial" w:eastAsia="Arial" w:hAnsi="Arial"/>
          <w:sz w:val="22"/>
          <w:szCs w:val="22"/>
          <w:color w:val="010000"/>
        </w:rPr>
        <w:t>(c)</w:t>
      </w:r>
      <w:r>
        <w:rPr>
          <w:rFonts w:ascii="Arial" w:cs="Arial" w:eastAsia="Arial" w:hAnsi="Arial"/>
          <w:sz w:val="22"/>
          <w:szCs w:val="22"/>
          <w:b w:val="1"/>
          <w:bCs w:val="1"/>
          <w:color w:val="000000"/>
        </w:rPr>
        <w:t>No Severance Benefits</w:t>
      </w:r>
      <w:r>
        <w:rPr>
          <w:rFonts w:ascii="Arial" w:cs="Arial" w:eastAsia="Arial" w:hAnsi="Arial"/>
          <w:sz w:val="22"/>
          <w:szCs w:val="22"/>
          <w:color w:val="000000"/>
        </w:rPr>
        <w:t>. The Executive shall not be entitled to receive Severance Benefits if the Executive’s employment</w:t>
      </w:r>
      <w:r>
        <w:rPr>
          <w:rFonts w:ascii="Arial" w:cs="Arial" w:eastAsia="Arial" w:hAnsi="Arial"/>
          <w:sz w:val="22"/>
          <w:szCs w:val="22"/>
          <w:color w:val="010000"/>
        </w:rPr>
        <w:t xml:space="preserve"> </w:t>
      </w:r>
      <w:r>
        <w:rPr>
          <w:rFonts w:ascii="Arial" w:cs="Arial" w:eastAsia="Arial" w:hAnsi="Arial"/>
          <w:sz w:val="22"/>
          <w:szCs w:val="22"/>
          <w:color w:val="000000"/>
        </w:rPr>
        <w:t>with the Company ends for reasons other than a Qualifying Termination.</w:t>
      </w:r>
    </w:p>
    <w:p>
      <w:pPr>
        <w:spacing w:after="0" w:line="162" w:lineRule="exact"/>
        <w:rPr>
          <w:sz w:val="20"/>
          <w:szCs w:val="20"/>
          <w:color w:val="auto"/>
        </w:rPr>
      </w:pPr>
    </w:p>
    <w:p>
      <w:pPr>
        <w:jc w:val="both"/>
        <w:ind w:left="1560" w:hanging="904"/>
        <w:spacing w:after="0" w:line="288" w:lineRule="auto"/>
        <w:rPr>
          <w:sz w:val="20"/>
          <w:szCs w:val="20"/>
          <w:color w:val="auto"/>
        </w:rPr>
      </w:pPr>
      <w:r>
        <w:rPr>
          <w:rFonts w:ascii="Arial" w:cs="Arial" w:eastAsia="Arial" w:hAnsi="Arial"/>
          <w:sz w:val="19"/>
          <w:szCs w:val="19"/>
          <w:color w:val="010000"/>
        </w:rPr>
        <w:t>(d)</w:t>
      </w:r>
      <w:r>
        <w:rPr>
          <w:rFonts w:ascii="Arial" w:cs="Arial" w:eastAsia="Arial" w:hAnsi="Arial"/>
          <w:sz w:val="19"/>
          <w:szCs w:val="19"/>
          <w:b w:val="1"/>
          <w:bCs w:val="1"/>
          <w:color w:val="000000"/>
        </w:rPr>
        <w:t>General Release and Acknowledgement of Restrictive Covenants</w:t>
      </w:r>
      <w:r>
        <w:rPr>
          <w:rFonts w:ascii="Arial" w:cs="Arial" w:eastAsia="Arial" w:hAnsi="Arial"/>
          <w:sz w:val="19"/>
          <w:szCs w:val="19"/>
          <w:color w:val="000000"/>
        </w:rPr>
        <w:t>. As a condition to receiving Severance Benefits</w:t>
      </w:r>
      <w:r>
        <w:rPr>
          <w:rFonts w:ascii="Arial" w:cs="Arial" w:eastAsia="Arial" w:hAnsi="Arial"/>
          <w:sz w:val="19"/>
          <w:szCs w:val="19"/>
          <w:color w:val="010000"/>
        </w:rPr>
        <w:t xml:space="preserve"> </w:t>
      </w:r>
      <w:r>
        <w:rPr>
          <w:rFonts w:ascii="Arial" w:cs="Arial" w:eastAsia="Arial" w:hAnsi="Arial"/>
          <w:sz w:val="19"/>
          <w:szCs w:val="19"/>
          <w:color w:val="000000"/>
        </w:rPr>
        <w:t xml:space="preserve">under either </w:t>
      </w:r>
      <w:r>
        <w:rPr>
          <w:rFonts w:ascii="Arial" w:cs="Arial" w:eastAsia="Arial" w:hAnsi="Arial"/>
          <w:sz w:val="19"/>
          <w:szCs w:val="19"/>
          <w:u w:val="single" w:color="auto"/>
          <w:color w:val="000000"/>
        </w:rPr>
        <w:t>Section 3.2</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3.3</w:t>
      </w:r>
      <w:r>
        <w:rPr>
          <w:rFonts w:ascii="Arial" w:cs="Arial" w:eastAsia="Arial" w:hAnsi="Arial"/>
          <w:sz w:val="19"/>
          <w:szCs w:val="19"/>
          <w:color w:val="000000"/>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9"/>
          <w:szCs w:val="19"/>
          <w:u w:val="single" w:color="auto"/>
          <w:color w:val="000000"/>
        </w:rPr>
        <w:t>Release Effective Date</w:t>
      </w:r>
      <w:r>
        <w:rPr>
          <w:rFonts w:ascii="Arial" w:cs="Arial" w:eastAsia="Arial" w:hAnsi="Arial"/>
          <w:sz w:val="19"/>
          <w:szCs w:val="19"/>
          <w:color w:val="000000"/>
        </w:rPr>
        <w:t xml:space="preserve">”. The Executive must also execute a notice acknowledging the restrictive covenants in </w:t>
      </w:r>
      <w:r>
        <w:rPr>
          <w:rFonts w:ascii="Arial" w:cs="Arial" w:eastAsia="Arial" w:hAnsi="Arial"/>
          <w:sz w:val="19"/>
          <w:szCs w:val="19"/>
          <w:u w:val="single" w:color="auto"/>
          <w:color w:val="000000"/>
        </w:rPr>
        <w:t>Article 5</w:t>
      </w:r>
      <w:r>
        <w:rPr>
          <w:rFonts w:ascii="Arial" w:cs="Arial" w:eastAsia="Arial" w:hAnsi="Arial"/>
          <w:sz w:val="19"/>
          <w:szCs w:val="19"/>
          <w:color w:val="000000"/>
        </w:rPr>
        <w:t xml:space="preserve"> within sixty (60) days of the date of termination. Any payments under </w:t>
      </w:r>
      <w:r>
        <w:rPr>
          <w:rFonts w:ascii="Arial" w:cs="Arial" w:eastAsia="Arial" w:hAnsi="Arial"/>
          <w:sz w:val="19"/>
          <w:szCs w:val="19"/>
          <w:u w:val="single" w:color="auto"/>
          <w:color w:val="000000"/>
        </w:rPr>
        <w:t>Section 3.2</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3.3</w:t>
      </w:r>
      <w:r>
        <w:rPr>
          <w:rFonts w:ascii="Arial" w:cs="Arial" w:eastAsia="Arial" w:hAnsi="Arial"/>
          <w:sz w:val="19"/>
          <w:szCs w:val="19"/>
          <w:color w:val="000000"/>
        </w:rPr>
        <w:t xml:space="preserve"> shall commence only after execution of the release and acknowledgement, and in the manner provided in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3.4</w:t>
      </w:r>
      <w:r>
        <w:rPr>
          <w:rFonts w:ascii="Arial" w:cs="Arial" w:eastAsia="Arial" w:hAnsi="Arial"/>
          <w:sz w:val="19"/>
          <w:szCs w:val="19"/>
          <w:color w:val="000000"/>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49" w:lineRule="exact"/>
        <w:rPr>
          <w:sz w:val="20"/>
          <w:szCs w:val="20"/>
          <w:color w:val="auto"/>
        </w:rPr>
      </w:pPr>
    </w:p>
    <w:p>
      <w:pPr>
        <w:jc w:val="both"/>
        <w:ind w:left="1540" w:hanging="890"/>
        <w:spacing w:after="0" w:line="293" w:lineRule="auto"/>
        <w:rPr>
          <w:sz w:val="20"/>
          <w:szCs w:val="20"/>
          <w:color w:val="auto"/>
        </w:rPr>
      </w:pPr>
      <w:r>
        <w:rPr>
          <w:rFonts w:ascii="Arial" w:cs="Arial" w:eastAsia="Arial" w:hAnsi="Arial"/>
          <w:sz w:val="19"/>
          <w:szCs w:val="19"/>
          <w:b w:val="1"/>
          <w:bCs w:val="1"/>
          <w:color w:val="010000"/>
        </w:rPr>
        <w:t>(e)</w:t>
      </w:r>
      <w:r>
        <w:rPr>
          <w:rFonts w:ascii="Arial" w:cs="Arial" w:eastAsia="Arial" w:hAnsi="Arial"/>
          <w:sz w:val="19"/>
          <w:szCs w:val="19"/>
          <w:b w:val="1"/>
          <w:bCs w:val="1"/>
          <w:color w:val="000000"/>
        </w:rPr>
        <w:t>No Duplication of Severance Benefits; Reduction of Other Benefits</w:t>
      </w:r>
      <w:r>
        <w:rPr>
          <w:rFonts w:ascii="Arial" w:cs="Arial" w:eastAsia="Arial" w:hAnsi="Arial"/>
          <w:sz w:val="19"/>
          <w:szCs w:val="19"/>
          <w:color w:val="000000"/>
        </w:rPr>
        <w:t xml:space="preserve">. If the Executive becomes entitled to Change-in-Control Severance Benefits, the Severance Benefits provided for under </w:t>
      </w:r>
      <w:r>
        <w:rPr>
          <w:rFonts w:ascii="Arial" w:cs="Arial" w:eastAsia="Arial" w:hAnsi="Arial"/>
          <w:sz w:val="19"/>
          <w:szCs w:val="19"/>
          <w:u w:val="single" w:color="auto"/>
          <w:color w:val="000000"/>
        </w:rPr>
        <w:t>Section 3.2</w:t>
      </w:r>
      <w:r>
        <w:rPr>
          <w:rFonts w:ascii="Arial" w:cs="Arial" w:eastAsia="Arial" w:hAnsi="Arial"/>
          <w:sz w:val="19"/>
          <w:szCs w:val="19"/>
          <w:color w:val="000000"/>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9"/>
          <w:szCs w:val="19"/>
          <w:u w:val="single" w:color="auto"/>
          <w:color w:val="000000"/>
        </w:rPr>
        <w:t>Section 3.3</w:t>
      </w:r>
      <w:r>
        <w:rPr>
          <w:rFonts w:ascii="Arial" w:cs="Arial" w:eastAsia="Arial" w:hAnsi="Arial"/>
          <w:sz w:val="19"/>
          <w:szCs w:val="19"/>
          <w:color w:val="000000"/>
        </w:rPr>
        <w:t xml:space="preserve"> herein. Likewise, if the Executive becomes entitled to General Severance Benefits, the Severance Benefits provided under </w:t>
      </w:r>
      <w:r>
        <w:rPr>
          <w:rFonts w:ascii="Arial" w:cs="Arial" w:eastAsia="Arial" w:hAnsi="Arial"/>
          <w:sz w:val="19"/>
          <w:szCs w:val="19"/>
          <w:u w:val="single" w:color="auto"/>
          <w:color w:val="000000"/>
        </w:rPr>
        <w:t>Section 3.3</w:t>
      </w:r>
      <w:r>
        <w:rPr>
          <w:rFonts w:ascii="Arial" w:cs="Arial" w:eastAsia="Arial" w:hAnsi="Arial"/>
          <w:sz w:val="19"/>
          <w:szCs w:val="19"/>
          <w:color w:val="000000"/>
        </w:rPr>
        <w:t xml:space="preserve"> hereunder shall be in lieu of all other Severance Benefits provided to the Executive under the provisions</w:t>
      </w: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8" w:right="239" w:bottom="1440" w:gutter="0" w:footer="0" w:header="0"/>
        </w:sectPr>
      </w:pPr>
    </w:p>
    <w:bookmarkStart w:id="180" w:name="page181"/>
    <w:bookmarkEnd w:id="180"/>
    <w:p>
      <w:pPr>
        <w:jc w:val="both"/>
        <w:ind w:left="1300"/>
        <w:spacing w:after="0" w:line="244" w:lineRule="auto"/>
        <w:rPr>
          <w:sz w:val="20"/>
          <w:szCs w:val="20"/>
          <w:color w:val="auto"/>
        </w:rPr>
      </w:pPr>
      <w:r>
        <w:rPr>
          <w:rFonts w:ascii="Arial" w:cs="Arial" w:eastAsia="Arial" w:hAnsi="Arial"/>
          <w:sz w:val="19"/>
          <w:szCs w:val="19"/>
          <w:color w:val="auto"/>
        </w:rPr>
        <w:t xml:space="preserve">of this Plan and any other Company-related severance plans, programs, or other agreements including, but not limited to, the Severance Benefits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 overpayment against any amount owed to the Executive (other than any amount that constitutes “deferred compensation” for purposes of Code Section 409A).</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010000"/>
        </w:rPr>
        <w:t>3.2</w:t>
      </w:r>
      <w:r>
        <w:rPr>
          <w:sz w:val="20"/>
          <w:szCs w:val="20"/>
          <w:color w:val="auto"/>
        </w:rPr>
        <w:tab/>
      </w:r>
      <w:r>
        <w:rPr>
          <w:rFonts w:ascii="Arial" w:cs="Arial" w:eastAsia="Arial" w:hAnsi="Arial"/>
          <w:sz w:val="19"/>
          <w:szCs w:val="19"/>
          <w:b w:val="1"/>
          <w:bCs w:val="1"/>
          <w:color w:val="auto"/>
        </w:rPr>
        <w:t xml:space="preserve">Description of Change-in-Control Severance Benefits. </w:t>
      </w:r>
      <w:r>
        <w:rPr>
          <w:rFonts w:ascii="Arial" w:cs="Arial" w:eastAsia="Arial" w:hAnsi="Arial"/>
          <w:sz w:val="19"/>
          <w:szCs w:val="19"/>
          <w:color w:val="auto"/>
        </w:rPr>
        <w:t>In the event the Executive becomes entitled to receive</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 xml:space="preserve">Change-in-Control Severance Benefits, as provided in </w:t>
      </w:r>
      <w:r>
        <w:rPr>
          <w:rFonts w:ascii="Arial" w:cs="Arial" w:eastAsia="Arial" w:hAnsi="Arial"/>
          <w:sz w:val="22"/>
          <w:szCs w:val="22"/>
          <w:u w:val="single" w:color="auto"/>
          <w:color w:val="auto"/>
        </w:rPr>
        <w:t>Section 3.1(a)</w:t>
      </w:r>
      <w:r>
        <w:rPr>
          <w:rFonts w:ascii="Arial" w:cs="Arial" w:eastAsia="Arial" w:hAnsi="Arial"/>
          <w:sz w:val="22"/>
          <w:szCs w:val="22"/>
          <w:color w:val="auto"/>
        </w:rPr>
        <w:t xml:space="preserve"> herein, the Company shall provide the Executive with the following:</w:t>
      </w:r>
    </w:p>
    <w:p>
      <w:pPr>
        <w:spacing w:after="0" w:line="179" w:lineRule="exact"/>
        <w:rPr>
          <w:sz w:val="20"/>
          <w:szCs w:val="20"/>
          <w:color w:val="auto"/>
        </w:rPr>
      </w:pPr>
    </w:p>
    <w:p>
      <w:pPr>
        <w:jc w:val="both"/>
        <w:ind w:left="1540" w:hanging="890"/>
        <w:spacing w:after="0" w:line="259" w:lineRule="auto"/>
        <w:rPr>
          <w:sz w:val="20"/>
          <w:szCs w:val="20"/>
          <w:color w:val="auto"/>
        </w:rPr>
      </w:pPr>
      <w:r>
        <w:rPr>
          <w:rFonts w:ascii="Arial" w:cs="Arial" w:eastAsia="Arial" w:hAnsi="Arial"/>
          <w:sz w:val="21"/>
          <w:szCs w:val="21"/>
          <w:color w:val="010000"/>
        </w:rPr>
        <w:t>(a)</w:t>
      </w:r>
      <w:r>
        <w:rPr>
          <w:rFonts w:ascii="Arial" w:cs="Arial" w:eastAsia="Arial" w:hAnsi="Arial"/>
          <w:sz w:val="21"/>
          <w:szCs w:val="21"/>
          <w:color w:val="000000"/>
        </w:rPr>
        <w:t>A lump-sum amount, paid upon the date that is sixty (60) calendar days following the Effective Date of Termination,</w:t>
      </w:r>
      <w:r>
        <w:rPr>
          <w:rFonts w:ascii="Arial" w:cs="Arial" w:eastAsia="Arial" w:hAnsi="Arial"/>
          <w:sz w:val="21"/>
          <w:szCs w:val="21"/>
          <w:color w:val="010000"/>
        </w:rPr>
        <w:t xml:space="preserve"> </w:t>
      </w:r>
      <w:r>
        <w:rPr>
          <w:rFonts w:ascii="Arial" w:cs="Arial" w:eastAsia="Arial" w:hAnsi="Arial"/>
          <w:sz w:val="21"/>
          <w:szCs w:val="21"/>
          <w:color w:val="000000"/>
        </w:rPr>
        <w:t xml:space="preserve">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000000"/>
        </w:rPr>
        <w:t>Section 3.2(a)</w:t>
      </w:r>
      <w:r>
        <w:rPr>
          <w:rFonts w:ascii="Arial" w:cs="Arial" w:eastAsia="Arial" w:hAnsi="Arial"/>
          <w:sz w:val="21"/>
          <w:szCs w:val="21"/>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4" w:lineRule="exact"/>
        <w:rPr>
          <w:sz w:val="20"/>
          <w:szCs w:val="20"/>
          <w:color w:val="auto"/>
        </w:rPr>
      </w:pPr>
    </w:p>
    <w:p>
      <w:pPr>
        <w:jc w:val="both"/>
        <w:ind w:left="1560" w:hanging="904"/>
        <w:spacing w:after="0" w:line="290" w:lineRule="auto"/>
        <w:rPr>
          <w:sz w:val="20"/>
          <w:szCs w:val="20"/>
          <w:color w:val="auto"/>
        </w:rPr>
      </w:pPr>
      <w:r>
        <w:rPr>
          <w:rFonts w:ascii="Arial" w:cs="Arial" w:eastAsia="Arial" w:hAnsi="Arial"/>
          <w:sz w:val="19"/>
          <w:szCs w:val="19"/>
          <w:color w:val="010000"/>
        </w:rPr>
        <w:t>(b)</w:t>
      </w:r>
      <w:r>
        <w:rPr>
          <w:rFonts w:ascii="Arial" w:cs="Arial" w:eastAsia="Arial" w:hAnsi="Arial"/>
          <w:sz w:val="19"/>
          <w:szCs w:val="19"/>
          <w:color w:val="000000"/>
        </w:rPr>
        <w:t>A lump-sum amount, paid upon the date that is sixty (60) calendar days following the Effective Date of Termination,</w:t>
      </w:r>
      <w:r>
        <w:rPr>
          <w:rFonts w:ascii="Arial" w:cs="Arial" w:eastAsia="Arial" w:hAnsi="Arial"/>
          <w:sz w:val="19"/>
          <w:szCs w:val="19"/>
          <w:color w:val="010000"/>
        </w:rPr>
        <w:t xml:space="preserve"> </w:t>
      </w:r>
      <w:r>
        <w:rPr>
          <w:rFonts w:ascii="Arial" w:cs="Arial" w:eastAsia="Arial" w:hAnsi="Arial"/>
          <w:sz w:val="19"/>
          <w:szCs w:val="19"/>
          <w:color w:val="000000"/>
        </w:rPr>
        <w:t xml:space="preserve">equal to: (i) two and ninety-nine one-hundredths (2.99) for EVPs, or (ii) two (2) for SVPs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19"/>
          <w:szCs w:val="19"/>
          <w:u w:val="single" w:color="auto"/>
          <w:color w:val="000000"/>
        </w:rPr>
        <w:t>Section 3.2(b)</w:t>
      </w:r>
      <w:r>
        <w:rPr>
          <w:rFonts w:ascii="Arial" w:cs="Arial" w:eastAsia="Arial" w:hAnsi="Arial"/>
          <w:sz w:val="19"/>
          <w:szCs w:val="19"/>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57" w:lineRule="exact"/>
        <w:rPr>
          <w:sz w:val="20"/>
          <w:szCs w:val="20"/>
          <w:color w:val="auto"/>
        </w:rPr>
      </w:pPr>
    </w:p>
    <w:p>
      <w:pPr>
        <w:jc w:val="both"/>
        <w:ind w:left="1540" w:hanging="890"/>
        <w:spacing w:after="0" w:line="312" w:lineRule="auto"/>
        <w:rPr>
          <w:sz w:val="20"/>
          <w:szCs w:val="20"/>
          <w:color w:val="auto"/>
        </w:rPr>
      </w:pPr>
      <w:r>
        <w:rPr>
          <w:rFonts w:ascii="Arial" w:cs="Arial" w:eastAsia="Arial" w:hAnsi="Arial"/>
          <w:sz w:val="19"/>
          <w:szCs w:val="19"/>
          <w:color w:val="010000"/>
        </w:rPr>
        <w:t>(c)</w:t>
      </w:r>
      <w:r>
        <w:rPr>
          <w:rFonts w:ascii="Arial" w:cs="Arial" w:eastAsia="Arial" w:hAnsi="Arial"/>
          <w:sz w:val="19"/>
          <w:szCs w:val="19"/>
          <w:color w:val="000000"/>
        </w:rPr>
        <w:t>A lump-sum amount, paid upon the date that is sixty (60) calendar days following the Effective Date of Termination,</w:t>
      </w:r>
      <w:r>
        <w:rPr>
          <w:rFonts w:ascii="Arial" w:cs="Arial" w:eastAsia="Arial" w:hAnsi="Arial"/>
          <w:sz w:val="19"/>
          <w:szCs w:val="19"/>
          <w:color w:val="010000"/>
        </w:rPr>
        <w:t xml:space="preserve"> </w:t>
      </w:r>
      <w:r>
        <w:rPr>
          <w:rFonts w:ascii="Arial" w:cs="Arial" w:eastAsia="Arial" w:hAnsi="Arial"/>
          <w:sz w:val="19"/>
          <w:szCs w:val="19"/>
          <w:color w:val="000000"/>
        </w:rPr>
        <w:t>equal to the Executive’s then current target bonus opportunity established under the bonus plan in which the Executive is then participating, for the plan year in which a Qualifying Termination occurs, adjusted</w:t>
      </w: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77" w:right="239" w:bottom="1440" w:gutter="0" w:footer="0" w:header="0"/>
        </w:sectPr>
      </w:pPr>
    </w:p>
    <w:bookmarkStart w:id="181" w:name="page182"/>
    <w:bookmarkEnd w:id="181"/>
    <w:p>
      <w:pPr>
        <w:jc w:val="both"/>
        <w:ind w:left="1300"/>
        <w:spacing w:after="0" w:line="224" w:lineRule="auto"/>
        <w:rPr>
          <w:sz w:val="20"/>
          <w:szCs w:val="20"/>
          <w:color w:val="auto"/>
        </w:rPr>
      </w:pPr>
      <w:r>
        <w:rPr>
          <w:rFonts w:ascii="Arial" w:cs="Arial" w:eastAsia="Arial" w:hAnsi="Arial"/>
          <w:sz w:val="21"/>
          <w:szCs w:val="21"/>
          <w:color w:val="auto"/>
        </w:rPr>
        <w:t xml:space="preserve">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21"/>
          <w:szCs w:val="21"/>
          <w:u w:val="single" w:color="auto"/>
          <w:color w:val="auto"/>
        </w:rPr>
        <w:t>Section 3.2(c)</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7" w:lineRule="exact"/>
        <w:rPr>
          <w:sz w:val="20"/>
          <w:szCs w:val="20"/>
          <w:color w:val="auto"/>
        </w:rPr>
      </w:pPr>
    </w:p>
    <w:p>
      <w:pPr>
        <w:jc w:val="both"/>
        <w:ind w:left="1560" w:hanging="904"/>
        <w:spacing w:after="0" w:line="250" w:lineRule="auto"/>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Payment of all or a portion of the Executive’s cost to participate in COBRA medical and dental continuation coverage for</w:t>
      </w:r>
      <w:r>
        <w:rPr>
          <w:rFonts w:ascii="Arial" w:cs="Arial" w:eastAsia="Arial" w:hAnsi="Arial"/>
          <w:sz w:val="22"/>
          <w:szCs w:val="22"/>
          <w:color w:val="010000"/>
        </w:rPr>
        <w:t xml:space="preserve"> </w:t>
      </w:r>
      <w:r>
        <w:rPr>
          <w:rFonts w:ascii="Arial" w:cs="Arial" w:eastAsia="Arial" w:hAnsi="Arial"/>
          <w:sz w:val="22"/>
          <w:szCs w:val="22"/>
          <w:color w:val="000000"/>
        </w:rPr>
        <w:t>eighteen (18) months following the Executive’s Effective Date of Termination, such that Executive maintains the same coverage level and cost, on an after tax basis, as in effect immediately prior to the Executive’s Effective Date of Termination.</w:t>
      </w:r>
    </w:p>
    <w:p>
      <w:pPr>
        <w:spacing w:after="0" w:line="188"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Notwithstanding the above, these medical and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50" w:lineRule="exact"/>
        <w:rPr>
          <w:sz w:val="20"/>
          <w:szCs w:val="20"/>
          <w:color w:val="auto"/>
        </w:rPr>
      </w:pPr>
    </w:p>
    <w:p>
      <w:pPr>
        <w:jc w:val="both"/>
        <w:ind w:left="1540" w:hanging="890"/>
        <w:spacing w:after="0" w:line="263" w:lineRule="auto"/>
        <w:rPr>
          <w:sz w:val="20"/>
          <w:szCs w:val="20"/>
          <w:color w:val="auto"/>
        </w:rPr>
      </w:pPr>
      <w:r>
        <w:rPr>
          <w:rFonts w:ascii="Arial" w:cs="Arial" w:eastAsia="Arial" w:hAnsi="Arial"/>
          <w:sz w:val="22"/>
          <w:szCs w:val="22"/>
          <w:color w:val="010000"/>
        </w:rPr>
        <w:t>(e)</w:t>
      </w:r>
      <w:r>
        <w:rPr>
          <w:rFonts w:ascii="Arial" w:cs="Arial" w:eastAsia="Arial" w:hAnsi="Arial"/>
          <w:sz w:val="22"/>
          <w:szCs w:val="22"/>
          <w:color w:val="000000"/>
        </w:rPr>
        <w:t>Treatment of outstanding long-term incentives shall be in accordance with the governing plan document and award</w:t>
      </w:r>
      <w:r>
        <w:rPr>
          <w:rFonts w:ascii="Arial" w:cs="Arial" w:eastAsia="Arial" w:hAnsi="Arial"/>
          <w:sz w:val="22"/>
          <w:szCs w:val="22"/>
          <w:color w:val="010000"/>
        </w:rPr>
        <w:t xml:space="preserve"> </w:t>
      </w:r>
      <w:r>
        <w:rPr>
          <w:rFonts w:ascii="Arial" w:cs="Arial" w:eastAsia="Arial" w:hAnsi="Arial"/>
          <w:sz w:val="22"/>
          <w:szCs w:val="22"/>
          <w:color w:val="000000"/>
        </w:rPr>
        <w:t>agreements, if any.</w:t>
      </w:r>
    </w:p>
    <w:p>
      <w:pPr>
        <w:spacing w:after="0" w:line="169" w:lineRule="exact"/>
        <w:rPr>
          <w:sz w:val="20"/>
          <w:szCs w:val="20"/>
          <w:color w:val="auto"/>
        </w:rPr>
      </w:pPr>
    </w:p>
    <w:p>
      <w:pPr>
        <w:ind w:firstLine="648"/>
        <w:spacing w:after="0" w:line="307" w:lineRule="auto"/>
        <w:rPr>
          <w:sz w:val="20"/>
          <w:szCs w:val="20"/>
          <w:color w:val="auto"/>
        </w:rPr>
      </w:pPr>
      <w:r>
        <w:rPr>
          <w:rFonts w:ascii="Arial" w:cs="Arial" w:eastAsia="Arial" w:hAnsi="Arial"/>
          <w:sz w:val="21"/>
          <w:szCs w:val="21"/>
          <w:b w:val="1"/>
          <w:bCs w:val="1"/>
          <w:color w:val="010000"/>
        </w:rPr>
        <w:t xml:space="preserve">3.3 </w:t>
      </w:r>
      <w:r>
        <w:rPr>
          <w:rFonts w:ascii="Arial" w:cs="Arial" w:eastAsia="Arial" w:hAnsi="Arial"/>
          <w:sz w:val="21"/>
          <w:szCs w:val="21"/>
          <w:b w:val="1"/>
          <w:bCs w:val="1"/>
          <w:color w:val="000000"/>
        </w:rPr>
        <w:t>Description of General Severance Benefits</w:t>
      </w:r>
      <w:r>
        <w:rPr>
          <w:rFonts w:ascii="Arial" w:cs="Arial" w:eastAsia="Arial" w:hAnsi="Arial"/>
          <w:sz w:val="21"/>
          <w:szCs w:val="21"/>
          <w:color w:val="000000"/>
        </w:rPr>
        <w:t>. In the event the Executive becomes entitled to receive General</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Severance Benefits as provided in </w:t>
      </w:r>
      <w:r>
        <w:rPr>
          <w:rFonts w:ascii="Arial" w:cs="Arial" w:eastAsia="Arial" w:hAnsi="Arial"/>
          <w:sz w:val="21"/>
          <w:szCs w:val="21"/>
          <w:u w:val="single" w:color="auto"/>
          <w:color w:val="000000"/>
        </w:rPr>
        <w:t>Section 3.1(b)</w:t>
      </w:r>
      <w:r>
        <w:rPr>
          <w:rFonts w:ascii="Arial" w:cs="Arial" w:eastAsia="Arial" w:hAnsi="Arial"/>
          <w:sz w:val="21"/>
          <w:szCs w:val="21"/>
          <w:color w:val="000000"/>
        </w:rPr>
        <w:t xml:space="preserve"> herein, the Company shall provide the Executive with the following:</w:t>
      </w:r>
    </w:p>
    <w:p>
      <w:pPr>
        <w:spacing w:after="0" w:line="131" w:lineRule="exact"/>
        <w:rPr>
          <w:sz w:val="20"/>
          <w:szCs w:val="20"/>
          <w:color w:val="auto"/>
        </w:rPr>
      </w:pPr>
    </w:p>
    <w:p>
      <w:pPr>
        <w:jc w:val="both"/>
        <w:ind w:left="1540" w:hanging="890"/>
        <w:spacing w:after="0" w:line="259" w:lineRule="auto"/>
        <w:rPr>
          <w:sz w:val="20"/>
          <w:szCs w:val="20"/>
          <w:color w:val="auto"/>
        </w:rPr>
      </w:pPr>
      <w:r>
        <w:rPr>
          <w:rFonts w:ascii="Arial" w:cs="Arial" w:eastAsia="Arial" w:hAnsi="Arial"/>
          <w:sz w:val="21"/>
          <w:szCs w:val="21"/>
          <w:color w:val="010000"/>
        </w:rPr>
        <w:t>(a)</w:t>
      </w:r>
      <w:r>
        <w:rPr>
          <w:rFonts w:ascii="Arial" w:cs="Arial" w:eastAsia="Arial" w:hAnsi="Arial"/>
          <w:sz w:val="21"/>
          <w:szCs w:val="21"/>
          <w:color w:val="000000"/>
        </w:rPr>
        <w:t>A lump-sum amount, paid upon the date that is sixty (60) calendar days following the Effective Date of Termination,</w:t>
      </w:r>
      <w:r>
        <w:rPr>
          <w:rFonts w:ascii="Arial" w:cs="Arial" w:eastAsia="Arial" w:hAnsi="Arial"/>
          <w:sz w:val="21"/>
          <w:szCs w:val="21"/>
          <w:color w:val="010000"/>
        </w:rPr>
        <w:t xml:space="preserve"> </w:t>
      </w:r>
      <w:r>
        <w:rPr>
          <w:rFonts w:ascii="Arial" w:cs="Arial" w:eastAsia="Arial" w:hAnsi="Arial"/>
          <w:sz w:val="21"/>
          <w:szCs w:val="21"/>
          <w:color w:val="000000"/>
        </w:rPr>
        <w:t xml:space="preserve">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000000"/>
        </w:rPr>
        <w:t>Section 3.3(a)</w:t>
      </w:r>
      <w:r>
        <w:rPr>
          <w:rFonts w:ascii="Arial" w:cs="Arial" w:eastAsia="Arial" w:hAnsi="Arial"/>
          <w:sz w:val="21"/>
          <w:szCs w:val="21"/>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4" w:lineRule="exact"/>
        <w:rPr>
          <w:sz w:val="20"/>
          <w:szCs w:val="20"/>
          <w:color w:val="auto"/>
        </w:rPr>
      </w:pPr>
    </w:p>
    <w:p>
      <w:pPr>
        <w:jc w:val="both"/>
        <w:ind w:left="1560" w:hanging="904"/>
        <w:spacing w:after="0" w:line="263" w:lineRule="auto"/>
        <w:rPr>
          <w:sz w:val="20"/>
          <w:szCs w:val="20"/>
          <w:color w:val="auto"/>
        </w:rPr>
      </w:pPr>
      <w:r>
        <w:rPr>
          <w:rFonts w:ascii="Arial" w:cs="Arial" w:eastAsia="Arial" w:hAnsi="Arial"/>
          <w:sz w:val="22"/>
          <w:szCs w:val="22"/>
          <w:color w:val="010000"/>
        </w:rPr>
        <w:t>(b)</w:t>
      </w:r>
      <w:r>
        <w:rPr>
          <w:rFonts w:ascii="Arial" w:cs="Arial" w:eastAsia="Arial" w:hAnsi="Arial"/>
          <w:sz w:val="22"/>
          <w:szCs w:val="22"/>
          <w:color w:val="000000"/>
        </w:rPr>
        <w:t>A lump-sum amount, paid upon the date that is sixty (60) calendar days following the Effective Date of Termination,</w:t>
      </w:r>
      <w:r>
        <w:rPr>
          <w:rFonts w:ascii="Arial" w:cs="Arial" w:eastAsia="Arial" w:hAnsi="Arial"/>
          <w:sz w:val="22"/>
          <w:szCs w:val="22"/>
          <w:color w:val="010000"/>
        </w:rPr>
        <w:t xml:space="preserve"> </w:t>
      </w:r>
      <w:r>
        <w:rPr>
          <w:rFonts w:ascii="Arial" w:cs="Arial" w:eastAsia="Arial" w:hAnsi="Arial"/>
          <w:sz w:val="22"/>
          <w:szCs w:val="22"/>
          <w:color w:val="000000"/>
        </w:rPr>
        <w:t>equal to one and one-half (1.5) times the</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77" w:right="239" w:bottom="1440" w:gutter="0" w:footer="0" w:header="0"/>
        </w:sectPr>
      </w:pPr>
    </w:p>
    <w:bookmarkStart w:id="182" w:name="page183"/>
    <w:bookmarkEnd w:id="182"/>
    <w:p>
      <w:pPr>
        <w:jc w:val="both"/>
        <w:ind w:left="640"/>
        <w:spacing w:after="0" w:line="226" w:lineRule="auto"/>
        <w:rPr>
          <w:sz w:val="20"/>
          <w:szCs w:val="20"/>
          <w:color w:val="auto"/>
        </w:rPr>
      </w:pPr>
      <w:r>
        <w:rPr>
          <w:rFonts w:ascii="Arial" w:cs="Arial" w:eastAsia="Arial" w:hAnsi="Arial"/>
          <w:sz w:val="21"/>
          <w:szCs w:val="21"/>
          <w:color w:val="auto"/>
        </w:rPr>
        <w:t xml:space="preserve">Executive’s Base Salary; provided that to the extent the payment of any amounts pursuant to this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7" w:lineRule="exact"/>
        <w:rPr>
          <w:sz w:val="20"/>
          <w:szCs w:val="20"/>
          <w:color w:val="auto"/>
        </w:rPr>
      </w:pPr>
    </w:p>
    <w:p>
      <w:pPr>
        <w:jc w:val="both"/>
        <w:ind w:left="880" w:hanging="890"/>
        <w:spacing w:after="0" w:line="250" w:lineRule="auto"/>
        <w:rPr>
          <w:sz w:val="20"/>
          <w:szCs w:val="20"/>
          <w:color w:val="auto"/>
        </w:rPr>
      </w:pPr>
      <w:r>
        <w:rPr>
          <w:rFonts w:ascii="Arial" w:cs="Arial" w:eastAsia="Arial" w:hAnsi="Arial"/>
          <w:sz w:val="22"/>
          <w:szCs w:val="22"/>
          <w:color w:val="010000"/>
        </w:rPr>
        <w:t>(c)</w:t>
      </w:r>
      <w:r>
        <w:rPr>
          <w:rFonts w:ascii="Arial" w:cs="Arial" w:eastAsia="Arial" w:hAnsi="Arial"/>
          <w:sz w:val="22"/>
          <w:szCs w:val="22"/>
          <w:color w:val="000000"/>
        </w:rPr>
        <w:t>Payment of all or a portion of the Executive’s cost to participate in COBRA medical and dental continuation coverage for</w:t>
      </w:r>
      <w:r>
        <w:rPr>
          <w:rFonts w:ascii="Arial" w:cs="Arial" w:eastAsia="Arial" w:hAnsi="Arial"/>
          <w:sz w:val="22"/>
          <w:szCs w:val="22"/>
          <w:color w:val="010000"/>
        </w:rPr>
        <w:t xml:space="preserve"> </w:t>
      </w:r>
      <w:r>
        <w:rPr>
          <w:rFonts w:ascii="Arial" w:cs="Arial" w:eastAsia="Arial" w:hAnsi="Arial"/>
          <w:sz w:val="22"/>
          <w:szCs w:val="22"/>
          <w:color w:val="000000"/>
        </w:rPr>
        <w:t>eighteen (18) months following the Executive’s Effective Date of Termination, such that Executive maintains the same coverage level and cost, on an after tax basis, as in effect immediately prior to the Executive’s Effective Date of Termination.</w:t>
      </w:r>
    </w:p>
    <w:p>
      <w:pPr>
        <w:spacing w:after="0" w:line="188" w:lineRule="exact"/>
        <w:rPr>
          <w:sz w:val="20"/>
          <w:szCs w:val="20"/>
          <w:color w:val="auto"/>
        </w:rPr>
      </w:pPr>
    </w:p>
    <w:p>
      <w:pPr>
        <w:jc w:val="both"/>
        <w:ind w:left="640"/>
        <w:spacing w:after="0" w:line="246" w:lineRule="auto"/>
        <w:rPr>
          <w:sz w:val="20"/>
          <w:szCs w:val="20"/>
          <w:color w:val="auto"/>
        </w:rPr>
      </w:pPr>
      <w:r>
        <w:rPr>
          <w:rFonts w:ascii="Arial" w:cs="Arial" w:eastAsia="Arial" w:hAnsi="Arial"/>
          <w:sz w:val="22"/>
          <w:szCs w:val="22"/>
          <w:color w:val="auto"/>
        </w:rPr>
        <w:t>Notwithstanding the above, these medical and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97" w:lineRule="exact"/>
        <w:rPr>
          <w:sz w:val="20"/>
          <w:szCs w:val="20"/>
          <w:color w:val="auto"/>
        </w:rPr>
      </w:pPr>
    </w:p>
    <w:p>
      <w:pPr>
        <w:jc w:val="both"/>
        <w:ind w:left="900" w:hanging="904"/>
        <w:spacing w:after="0" w:line="263" w:lineRule="auto"/>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Treatment of outstanding long-term incentives shall be in accordance with the governing plan document and award</w:t>
      </w:r>
      <w:r>
        <w:rPr>
          <w:rFonts w:ascii="Arial" w:cs="Arial" w:eastAsia="Arial" w:hAnsi="Arial"/>
          <w:sz w:val="22"/>
          <w:szCs w:val="22"/>
          <w:color w:val="010000"/>
        </w:rPr>
        <w:t xml:space="preserve"> </w:t>
      </w:r>
      <w:r>
        <w:rPr>
          <w:rFonts w:ascii="Arial" w:cs="Arial" w:eastAsia="Arial" w:hAnsi="Arial"/>
          <w:sz w:val="22"/>
          <w:szCs w:val="22"/>
          <w:color w:val="000000"/>
        </w:rPr>
        <w:t>agreements, if any.</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010000"/>
        </w:rPr>
        <w:t>3.4</w:t>
      </w:r>
      <w:r>
        <w:rPr>
          <w:sz w:val="20"/>
          <w:szCs w:val="20"/>
          <w:color w:val="auto"/>
        </w:rPr>
        <w:tab/>
      </w:r>
      <w:r>
        <w:rPr>
          <w:rFonts w:ascii="Arial" w:cs="Arial" w:eastAsia="Arial" w:hAnsi="Arial"/>
          <w:sz w:val="19"/>
          <w:szCs w:val="19"/>
          <w:b w:val="1"/>
          <w:bCs w:val="1"/>
          <w:color w:val="auto"/>
        </w:rPr>
        <w:t>Coordination with Release and Delay Required by Code Section 409A</w:t>
      </w:r>
      <w:r>
        <w:rPr>
          <w:rFonts w:ascii="Arial" w:cs="Arial" w:eastAsia="Arial" w:hAnsi="Arial"/>
          <w:sz w:val="19"/>
          <w:szCs w:val="19"/>
          <w:color w:val="auto"/>
        </w:rPr>
        <w:t>.</w:t>
      </w:r>
    </w:p>
    <w:p>
      <w:pPr>
        <w:spacing w:after="0" w:line="239" w:lineRule="exact"/>
        <w:rPr>
          <w:sz w:val="20"/>
          <w:szCs w:val="20"/>
          <w:color w:val="auto"/>
        </w:rPr>
      </w:pPr>
    </w:p>
    <w:p>
      <w:pPr>
        <w:jc w:val="both"/>
        <w:ind w:left="880" w:hanging="890"/>
        <w:spacing w:after="0" w:line="260" w:lineRule="auto"/>
        <w:rPr>
          <w:sz w:val="20"/>
          <w:szCs w:val="20"/>
          <w:color w:val="auto"/>
        </w:rPr>
      </w:pPr>
      <w:r>
        <w:rPr>
          <w:rFonts w:ascii="Arial" w:cs="Arial" w:eastAsia="Arial" w:hAnsi="Arial"/>
          <w:sz w:val="21"/>
          <w:szCs w:val="21"/>
          <w:color w:val="010000"/>
        </w:rPr>
        <w:t>(a)</w:t>
      </w:r>
      <w:r>
        <w:rPr>
          <w:rFonts w:ascii="Arial" w:cs="Arial" w:eastAsia="Arial" w:hAnsi="Arial"/>
          <w:sz w:val="21"/>
          <w:szCs w:val="21"/>
          <w:color w:val="000000"/>
        </w:rPr>
        <w:t>To the extent any continuing benefit (or reimbursement thereof) to be provided is not “deferred compensation” for</w:t>
      </w:r>
      <w:r>
        <w:rPr>
          <w:rFonts w:ascii="Arial" w:cs="Arial" w:eastAsia="Arial" w:hAnsi="Arial"/>
          <w:sz w:val="21"/>
          <w:szCs w:val="21"/>
          <w:color w:val="010000"/>
        </w:rPr>
        <w:t xml:space="preserve"> </w:t>
      </w:r>
      <w:r>
        <w:rPr>
          <w:rFonts w:ascii="Arial" w:cs="Arial" w:eastAsia="Arial" w:hAnsi="Arial"/>
          <w:sz w:val="21"/>
          <w:szCs w:val="21"/>
          <w:color w:val="000000"/>
        </w:rPr>
        <w:t>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81" w:lineRule="exact"/>
        <w:rPr>
          <w:sz w:val="20"/>
          <w:szCs w:val="20"/>
          <w:color w:val="auto"/>
        </w:rPr>
      </w:pPr>
    </w:p>
    <w:p>
      <w:pPr>
        <w:jc w:val="both"/>
        <w:ind w:left="900" w:hanging="904"/>
        <w:spacing w:after="0" w:line="247" w:lineRule="auto"/>
        <w:rPr>
          <w:sz w:val="20"/>
          <w:szCs w:val="20"/>
          <w:color w:val="auto"/>
        </w:rPr>
      </w:pPr>
      <w:r>
        <w:rPr>
          <w:rFonts w:ascii="Arial" w:cs="Arial" w:eastAsia="Arial" w:hAnsi="Arial"/>
          <w:sz w:val="22"/>
          <w:szCs w:val="22"/>
          <w:color w:val="010000"/>
        </w:rPr>
        <w:t>(b)</w:t>
      </w:r>
      <w:r>
        <w:rPr>
          <w:rFonts w:ascii="Arial" w:cs="Arial" w:eastAsia="Arial" w:hAnsi="Arial"/>
          <w:sz w:val="22"/>
          <w:szCs w:val="22"/>
          <w:color w:val="000000"/>
        </w:rPr>
        <w:t>Notwithstanding any other payment schedule provided herein to the contrary, if the Executive is deemed on the date of</w:t>
      </w:r>
      <w:r>
        <w:rPr>
          <w:rFonts w:ascii="Arial" w:cs="Arial" w:eastAsia="Arial" w:hAnsi="Arial"/>
          <w:sz w:val="22"/>
          <w:szCs w:val="22"/>
          <w:color w:val="010000"/>
        </w:rPr>
        <w:t xml:space="preserve"> </w:t>
      </w:r>
      <w:r>
        <w:rPr>
          <w:rFonts w:ascii="Arial" w:cs="Arial" w:eastAsia="Arial" w:hAnsi="Arial"/>
          <w:sz w:val="22"/>
          <w:szCs w:val="22"/>
          <w:color w:val="000000"/>
        </w:rPr>
        <w:t xml:space="preserve">termination to be a Specified Employee, then, once the release and acknowledgement required by </w:t>
      </w:r>
      <w:r>
        <w:rPr>
          <w:rFonts w:ascii="Arial" w:cs="Arial" w:eastAsia="Arial" w:hAnsi="Arial"/>
          <w:sz w:val="22"/>
          <w:szCs w:val="22"/>
          <w:u w:val="single" w:color="auto"/>
          <w:color w:val="000000"/>
        </w:rPr>
        <w:t>Section 3.1(d)</w:t>
      </w:r>
      <w:r>
        <w:rPr>
          <w:rFonts w:ascii="Arial" w:cs="Arial" w:eastAsia="Arial" w:hAnsi="Arial"/>
          <w:sz w:val="22"/>
          <w:szCs w:val="22"/>
          <w:color w:val="000000"/>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w:t>
      </w:r>
    </w:p>
    <w:p>
      <w:pPr>
        <w:spacing w:after="0" w:line="200" w:lineRule="exact"/>
        <w:rPr>
          <w:sz w:val="20"/>
          <w:szCs w:val="20"/>
          <w:color w:val="auto"/>
        </w:rPr>
      </w:pPr>
    </w:p>
    <w:p>
      <w:pPr>
        <w:spacing w:after="0" w:line="35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60"/>
          </w:cols>
          <w:pgMar w:left="900" w:top="577" w:right="239" w:bottom="1440" w:gutter="0" w:footer="0" w:header="0"/>
        </w:sectPr>
      </w:pPr>
    </w:p>
    <w:bookmarkStart w:id="183" w:name="page184"/>
    <w:bookmarkEnd w:id="183"/>
    <w:p>
      <w:pPr>
        <w:jc w:val="both"/>
        <w:ind w:left="1300"/>
        <w:spacing w:after="0" w:line="226" w:lineRule="auto"/>
        <w:rPr>
          <w:sz w:val="20"/>
          <w:szCs w:val="20"/>
          <w:color w:val="auto"/>
        </w:rPr>
      </w:pPr>
      <w:r>
        <w:rPr>
          <w:rFonts w:ascii="Arial" w:cs="Arial" w:eastAsia="Arial" w:hAnsi="Arial"/>
          <w:sz w:val="21"/>
          <w:szCs w:val="21"/>
          <w:color w:val="auto"/>
        </w:rPr>
        <w:t>of the Executive, and (B) the date of the Executive’s death (the “</w:t>
      </w:r>
      <w:r>
        <w:rPr>
          <w:rFonts w:ascii="Arial" w:cs="Arial" w:eastAsia="Arial" w:hAnsi="Arial"/>
          <w:sz w:val="21"/>
          <w:szCs w:val="21"/>
          <w:u w:val="single" w:color="auto"/>
          <w:color w:val="auto"/>
        </w:rPr>
        <w:t>Delay Period</w:t>
      </w:r>
      <w:r>
        <w:rPr>
          <w:rFonts w:ascii="Arial" w:cs="Arial" w:eastAsia="Arial" w:hAnsi="Arial"/>
          <w:sz w:val="21"/>
          <w:szCs w:val="21"/>
          <w:color w:val="auto"/>
        </w:rPr>
        <w:t xml:space="preserve">”) to the extent required under Code Section 409A. Upon the expiration of the Delay Period, all payments delayed pursuant to this </w:t>
      </w:r>
      <w:r>
        <w:rPr>
          <w:rFonts w:ascii="Arial" w:cs="Arial" w:eastAsia="Arial" w:hAnsi="Arial"/>
          <w:sz w:val="21"/>
          <w:szCs w:val="21"/>
          <w:u w:val="single" w:color="auto"/>
          <w:color w:val="auto"/>
        </w:rPr>
        <w:t>Section 3.4(b)</w:t>
      </w:r>
      <w:r>
        <w:rPr>
          <w:rFonts w:ascii="Arial" w:cs="Arial" w:eastAsia="Arial" w:hAnsi="Arial"/>
          <w:sz w:val="21"/>
          <w:szCs w:val="21"/>
          <w:color w:val="auto"/>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4.</w:t>
      </w:r>
      <w:r>
        <w:rPr>
          <w:sz w:val="20"/>
          <w:szCs w:val="20"/>
          <w:color w:val="auto"/>
        </w:rPr>
        <w:tab/>
      </w:r>
      <w:r>
        <w:rPr>
          <w:rFonts w:ascii="Arial" w:cs="Arial" w:eastAsia="Arial" w:hAnsi="Arial"/>
          <w:sz w:val="19"/>
          <w:szCs w:val="19"/>
          <w:b w:val="1"/>
          <w:bCs w:val="1"/>
          <w:color w:val="auto"/>
        </w:rPr>
        <w:t>Ineligibility</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010000"/>
        </w:rPr>
        <w:t xml:space="preserve">4.1 </w:t>
      </w:r>
      <w:r>
        <w:rPr>
          <w:rFonts w:ascii="Arial" w:cs="Arial" w:eastAsia="Arial" w:hAnsi="Arial"/>
          <w:sz w:val="21"/>
          <w:szCs w:val="21"/>
          <w:b w:val="1"/>
          <w:bCs w:val="1"/>
          <w:color w:val="000000"/>
        </w:rPr>
        <w:t>Comparable Position.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Subject to the provisions of</w:t>
      </w:r>
      <w:r>
        <w:rPr>
          <w:rFonts w:ascii="Arial" w:cs="Arial" w:eastAsia="Arial" w:hAnsi="Arial"/>
          <w:sz w:val="21"/>
          <w:szCs w:val="21"/>
          <w:b w:val="1"/>
          <w:bCs w:val="1"/>
          <w:color w:val="010000"/>
        </w:rPr>
        <w:t xml:space="preserve"> </w:t>
      </w:r>
      <w:r>
        <w:rPr>
          <w:rFonts w:ascii="Arial" w:cs="Arial" w:eastAsia="Arial" w:hAnsi="Arial"/>
          <w:sz w:val="21"/>
          <w:szCs w:val="21"/>
          <w:u w:val="single" w:color="auto"/>
          <w:color w:val="000000"/>
        </w:rPr>
        <w:t>Section 2(z)(i)(B)</w:t>
      </w:r>
      <w:r>
        <w:rPr>
          <w:rFonts w:ascii="Arial" w:cs="Arial" w:eastAsia="Arial" w:hAnsi="Arial"/>
          <w:sz w:val="21"/>
          <w:szCs w:val="21"/>
          <w:color w:val="000000"/>
        </w:rPr>
        <w:t>, the Company may offer, or cause to be offered,</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21"/>
          <w:szCs w:val="21"/>
          <w:u w:val="single" w:color="auto"/>
          <w:color w:val="000000"/>
        </w:rPr>
        <w:t>Section 4.1</w:t>
      </w:r>
      <w:r>
        <w:rPr>
          <w:rFonts w:ascii="Arial" w:cs="Arial" w:eastAsia="Arial" w:hAnsi="Arial"/>
          <w:sz w:val="21"/>
          <w:szCs w:val="21"/>
          <w:color w:val="000000"/>
        </w:rPr>
        <w:t>. The failure of an Executive to accept the position, or apply for the position when required by the Company will render the Executive ineligible for benefits under this Plan.</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4.2 </w:t>
      </w:r>
      <w:r>
        <w:rPr>
          <w:rFonts w:ascii="Arial" w:cs="Arial" w:eastAsia="Arial" w:hAnsi="Arial"/>
          <w:sz w:val="22"/>
          <w:szCs w:val="22"/>
          <w:b w:val="1"/>
          <w:bCs w:val="1"/>
          <w:color w:val="000000"/>
        </w:rPr>
        <w:t>Other Circumstances.</w:t>
      </w:r>
      <w:r>
        <w:rPr>
          <w:rFonts w:ascii="Arial" w:cs="Arial" w:eastAsia="Arial" w:hAnsi="Arial"/>
          <w:sz w:val="22"/>
          <w:szCs w:val="22"/>
          <w:b w:val="1"/>
          <w:bCs w:val="1"/>
          <w:color w:val="010000"/>
        </w:rPr>
        <w:t xml:space="preserve"> </w:t>
      </w:r>
      <w:r>
        <w:rPr>
          <w:rFonts w:ascii="Arial" w:cs="Arial" w:eastAsia="Arial" w:hAnsi="Arial"/>
          <w:sz w:val="22"/>
          <w:szCs w:val="22"/>
          <w:color w:val="000000"/>
        </w:rPr>
        <w:t>Unless otherwise determined by the Committee, an Executive shall also be ineligible for</w:t>
      </w:r>
      <w:r>
        <w:rPr>
          <w:rFonts w:ascii="Arial" w:cs="Arial" w:eastAsia="Arial" w:hAnsi="Arial"/>
          <w:sz w:val="22"/>
          <w:szCs w:val="22"/>
          <w:b w:val="1"/>
          <w:bCs w:val="1"/>
          <w:color w:val="010000"/>
        </w:rPr>
        <w:t xml:space="preserve"> </w:t>
      </w:r>
      <w:r>
        <w:rPr>
          <w:rFonts w:ascii="Arial" w:cs="Arial" w:eastAsia="Arial" w:hAnsi="Arial"/>
          <w:sz w:val="22"/>
          <w:szCs w:val="22"/>
          <w:color w:val="000000"/>
        </w:rPr>
        <w:t>benefits under this Plan if the Executive:</w:t>
      </w:r>
    </w:p>
    <w:p>
      <w:pPr>
        <w:spacing w:after="0" w:line="154" w:lineRule="exact"/>
        <w:rPr>
          <w:sz w:val="20"/>
          <w:szCs w:val="20"/>
          <w:color w:val="auto"/>
        </w:rPr>
      </w:pPr>
    </w:p>
    <w:p>
      <w:pPr>
        <w:ind w:left="660" w:right="3480"/>
        <w:spacing w:after="0" w:line="448" w:lineRule="auto"/>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voluntarily terminates employment or retires prior to the Qualifying Termination;</w:t>
      </w:r>
      <w:r>
        <w:rPr>
          <w:rFonts w:ascii="Arial" w:cs="Arial" w:eastAsia="Arial" w:hAnsi="Arial"/>
          <w:sz w:val="22"/>
          <w:szCs w:val="22"/>
          <w:color w:val="010000"/>
        </w:rPr>
        <w:t xml:space="preserve"> (b)</w:t>
      </w:r>
      <w:r>
        <w:rPr>
          <w:rFonts w:ascii="Arial" w:cs="Arial" w:eastAsia="Arial" w:hAnsi="Arial"/>
          <w:sz w:val="22"/>
          <w:szCs w:val="22"/>
          <w:color w:val="000000"/>
        </w:rPr>
        <w:t>is receiving long-term Disability benefits;</w:t>
      </w:r>
    </w:p>
    <w:p>
      <w:pPr>
        <w:spacing w:after="0" w:line="1" w:lineRule="exact"/>
        <w:rPr>
          <w:sz w:val="20"/>
          <w:szCs w:val="20"/>
          <w:color w:val="auto"/>
        </w:rPr>
      </w:pPr>
    </w:p>
    <w:p>
      <w:pPr>
        <w:jc w:val="both"/>
        <w:ind w:left="1540" w:hanging="890"/>
        <w:spacing w:after="0" w:line="263" w:lineRule="auto"/>
        <w:rPr>
          <w:sz w:val="20"/>
          <w:szCs w:val="20"/>
          <w:color w:val="auto"/>
        </w:rPr>
      </w:pPr>
      <w:r>
        <w:rPr>
          <w:rFonts w:ascii="Arial" w:cs="Arial" w:eastAsia="Arial" w:hAnsi="Arial"/>
          <w:sz w:val="22"/>
          <w:szCs w:val="22"/>
          <w:color w:val="010000"/>
        </w:rPr>
        <w:t>(c)</w:t>
      </w:r>
      <w:r>
        <w:rPr>
          <w:rFonts w:ascii="Arial" w:cs="Arial" w:eastAsia="Arial" w:hAnsi="Arial"/>
          <w:sz w:val="22"/>
          <w:szCs w:val="22"/>
          <w:color w:val="000000"/>
        </w:rPr>
        <w:t>is entitled to any other compensation or benefit which is determined, in the Company’s sole discretion, to supersede the</w:t>
      </w:r>
      <w:r>
        <w:rPr>
          <w:rFonts w:ascii="Arial" w:cs="Arial" w:eastAsia="Arial" w:hAnsi="Arial"/>
          <w:sz w:val="22"/>
          <w:szCs w:val="22"/>
          <w:color w:val="010000"/>
        </w:rPr>
        <w:t xml:space="preserve"> </w:t>
      </w:r>
      <w:r>
        <w:rPr>
          <w:rFonts w:ascii="Arial" w:cs="Arial" w:eastAsia="Arial" w:hAnsi="Arial"/>
          <w:sz w:val="22"/>
          <w:szCs w:val="22"/>
          <w:color w:val="000000"/>
        </w:rPr>
        <w:t>Severance Benefits offered under this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was discharged for Cause; and</w:t>
      </w:r>
    </w:p>
    <w:p>
      <w:pPr>
        <w:spacing w:after="0" w:line="220" w:lineRule="exact"/>
        <w:rPr>
          <w:sz w:val="20"/>
          <w:szCs w:val="20"/>
          <w:color w:val="auto"/>
        </w:rPr>
      </w:pPr>
    </w:p>
    <w:p>
      <w:pPr>
        <w:jc w:val="both"/>
        <w:ind w:left="1540" w:hanging="890"/>
        <w:spacing w:after="0" w:line="253" w:lineRule="auto"/>
        <w:rPr>
          <w:sz w:val="20"/>
          <w:szCs w:val="20"/>
          <w:color w:val="auto"/>
        </w:rPr>
      </w:pPr>
      <w:r>
        <w:rPr>
          <w:rFonts w:ascii="Arial" w:cs="Arial" w:eastAsia="Arial" w:hAnsi="Arial"/>
          <w:sz w:val="22"/>
          <w:szCs w:val="22"/>
          <w:color w:val="010000"/>
        </w:rPr>
        <w:t>(e)</w:t>
      </w:r>
      <w:r>
        <w:rPr>
          <w:rFonts w:ascii="Arial" w:cs="Arial" w:eastAsia="Arial" w:hAnsi="Arial"/>
          <w:sz w:val="22"/>
          <w:szCs w:val="22"/>
          <w:color w:val="000000"/>
        </w:rPr>
        <w:t>was offered employment by a successor employer or by a purchaser in the event of a spin-off or sale of a subsidiary,</w:t>
      </w:r>
      <w:r>
        <w:rPr>
          <w:rFonts w:ascii="Arial" w:cs="Arial" w:eastAsia="Arial" w:hAnsi="Arial"/>
          <w:sz w:val="22"/>
          <w:szCs w:val="22"/>
          <w:color w:val="010000"/>
        </w:rPr>
        <w:t xml:space="preserve"> </w:t>
      </w:r>
      <w:r>
        <w:rPr>
          <w:rFonts w:ascii="Arial" w:cs="Arial" w:eastAsia="Arial" w:hAnsi="Arial"/>
          <w:sz w:val="22"/>
          <w:szCs w:val="22"/>
          <w:color w:val="000000"/>
        </w:rPr>
        <w:t>business unit or business assets of the Company or its subsidiaries, whether or not the Executive accepts or declines the offer of employment.</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5.</w:t>
      </w:r>
      <w:r>
        <w:rPr>
          <w:sz w:val="20"/>
          <w:szCs w:val="20"/>
          <w:color w:val="auto"/>
        </w:rPr>
        <w:tab/>
      </w:r>
      <w:r>
        <w:rPr>
          <w:rFonts w:ascii="Arial" w:cs="Arial" w:eastAsia="Arial" w:hAnsi="Arial"/>
          <w:sz w:val="19"/>
          <w:szCs w:val="19"/>
          <w:b w:val="1"/>
          <w:bCs w:val="1"/>
          <w:color w:val="auto"/>
        </w:rPr>
        <w:t>Restrictive Covenants</w:t>
      </w:r>
    </w:p>
    <w:p>
      <w:pPr>
        <w:spacing w:after="0" w:line="23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In the event the Executive becomes entitled to receive Change-in-Control Severance Benefits as provided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or General Severance Benefits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the following shall apply:</w:t>
      </w:r>
    </w:p>
    <w:p>
      <w:pPr>
        <w:spacing w:after="0" w:line="169" w:lineRule="exact"/>
        <w:rPr>
          <w:sz w:val="20"/>
          <w:szCs w:val="20"/>
          <w:color w:val="auto"/>
        </w:rPr>
      </w:pPr>
    </w:p>
    <w:p>
      <w:pPr>
        <w:ind w:left="1540" w:hanging="890"/>
        <w:spacing w:after="0" w:line="269" w:lineRule="auto"/>
        <w:rPr>
          <w:sz w:val="20"/>
          <w:szCs w:val="20"/>
          <w:color w:val="auto"/>
        </w:rPr>
      </w:pPr>
      <w:r>
        <w:rPr>
          <w:rFonts w:ascii="Arial" w:cs="Arial" w:eastAsia="Arial" w:hAnsi="Arial"/>
          <w:sz w:val="22"/>
          <w:szCs w:val="22"/>
          <w:color w:val="010000"/>
        </w:rPr>
        <w:t>(a)</w:t>
      </w:r>
      <w:r>
        <w:rPr>
          <w:rFonts w:ascii="Arial" w:cs="Arial" w:eastAsia="Arial" w:hAnsi="Arial"/>
          <w:sz w:val="22"/>
          <w:szCs w:val="22"/>
          <w:b w:val="1"/>
          <w:bCs w:val="1"/>
          <w:color w:val="000000"/>
        </w:rPr>
        <w:t>Confidential Information</w:t>
      </w:r>
      <w:r>
        <w:rPr>
          <w:rFonts w:ascii="Arial" w:cs="Arial" w:eastAsia="Arial" w:hAnsi="Arial"/>
          <w:sz w:val="22"/>
          <w:szCs w:val="22"/>
          <w:color w:val="000000"/>
        </w:rPr>
        <w:t>. The Executive acknowledges that the information, observations, and data (including trade</w:t>
      </w:r>
      <w:r>
        <w:rPr>
          <w:rFonts w:ascii="Arial" w:cs="Arial" w:eastAsia="Arial" w:hAnsi="Arial"/>
          <w:sz w:val="22"/>
          <w:szCs w:val="22"/>
          <w:color w:val="010000"/>
        </w:rPr>
        <w:t xml:space="preserve"> </w:t>
      </w:r>
      <w:r>
        <w:rPr>
          <w:rFonts w:ascii="Arial" w:cs="Arial" w:eastAsia="Arial" w:hAnsi="Arial"/>
          <w:sz w:val="22"/>
          <w:szCs w:val="22"/>
          <w:color w:val="000000"/>
        </w:rPr>
        <w:t>secrets) obtained by him while employed by</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77" w:right="239" w:bottom="1440" w:gutter="0" w:footer="0" w:header="0"/>
        </w:sectPr>
      </w:pPr>
    </w:p>
    <w:bookmarkStart w:id="184" w:name="page185"/>
    <w:bookmarkEnd w:id="184"/>
    <w:p>
      <w:pPr>
        <w:jc w:val="both"/>
        <w:ind w:left="100"/>
        <w:spacing w:after="0" w:line="241" w:lineRule="auto"/>
        <w:rPr>
          <w:sz w:val="20"/>
          <w:szCs w:val="20"/>
          <w:color w:val="auto"/>
        </w:rPr>
      </w:pPr>
      <w:r>
        <w:rPr>
          <w:rFonts w:ascii="Arial" w:cs="Arial" w:eastAsia="Arial" w:hAnsi="Arial"/>
          <w:sz w:val="19"/>
          <w:szCs w:val="19"/>
          <w:color w:val="auto"/>
        </w:rPr>
        <w:t>the Company concerning the business or affairs of the Company or any of its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200" w:lineRule="exact"/>
        <w:rPr>
          <w:sz w:val="20"/>
          <w:szCs w:val="20"/>
          <w:color w:val="auto"/>
        </w:rPr>
      </w:pPr>
    </w:p>
    <w:p>
      <w:pPr>
        <w:spacing w:after="0" w:line="203" w:lineRule="exact"/>
        <w:rPr>
          <w:sz w:val="20"/>
          <w:szCs w:val="20"/>
          <w:color w:val="auto"/>
        </w:rPr>
      </w:pPr>
    </w:p>
    <w:p>
      <w:pPr>
        <w:jc w:val="both"/>
        <w:ind w:left="360" w:hanging="904"/>
        <w:spacing w:after="0" w:line="286" w:lineRule="auto"/>
        <w:rPr>
          <w:sz w:val="20"/>
          <w:szCs w:val="20"/>
          <w:color w:val="auto"/>
        </w:rPr>
      </w:pPr>
      <w:r>
        <w:rPr>
          <w:rFonts w:ascii="Arial" w:cs="Arial" w:eastAsia="Arial" w:hAnsi="Arial"/>
          <w:sz w:val="19"/>
          <w:szCs w:val="19"/>
          <w:color w:val="010000"/>
        </w:rPr>
        <w:t>(b)</w:t>
      </w:r>
      <w:r>
        <w:rPr>
          <w:rFonts w:ascii="Arial" w:cs="Arial" w:eastAsia="Arial" w:hAnsi="Arial"/>
          <w:sz w:val="19"/>
          <w:szCs w:val="19"/>
          <w:b w:val="1"/>
          <w:bCs w:val="1"/>
          <w:color w:val="000000"/>
        </w:rPr>
        <w:t>Intellectual Property, Inventions, and Patents</w:t>
      </w:r>
      <w:r>
        <w:rPr>
          <w:rFonts w:ascii="Arial" w:cs="Arial" w:eastAsia="Arial" w:hAnsi="Arial"/>
          <w:sz w:val="19"/>
          <w:szCs w:val="19"/>
          <w:color w:val="000000"/>
        </w:rPr>
        <w:t>. The Executive acknowledges that all discoveries, concepts, ideas,</w:t>
      </w:r>
      <w:r>
        <w:rPr>
          <w:rFonts w:ascii="Arial" w:cs="Arial" w:eastAsia="Arial" w:hAnsi="Arial"/>
          <w:sz w:val="19"/>
          <w:szCs w:val="19"/>
          <w:color w:val="010000"/>
        </w:rPr>
        <w:t xml:space="preserve"> </w:t>
      </w:r>
      <w:r>
        <w:rPr>
          <w:rFonts w:ascii="Arial" w:cs="Arial" w:eastAsia="Arial" w:hAnsi="Arial"/>
          <w:sz w:val="19"/>
          <w:szCs w:val="19"/>
          <w:color w:val="000000"/>
        </w:rPr>
        <w:t>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9"/>
          <w:szCs w:val="19"/>
          <w:u w:val="single" w:color="auto"/>
          <w:color w:val="000000"/>
        </w:rPr>
        <w:t>Work Product</w:t>
      </w:r>
      <w:r>
        <w:rPr>
          <w:rFonts w:ascii="Arial" w:cs="Arial" w:eastAsia="Arial" w:hAnsi="Arial"/>
          <w:sz w:val="19"/>
          <w:szCs w:val="19"/>
          <w:color w:val="000000"/>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66" w:lineRule="exact"/>
        <w:rPr>
          <w:sz w:val="20"/>
          <w:szCs w:val="20"/>
          <w:color w:val="auto"/>
        </w:rPr>
      </w:pPr>
    </w:p>
    <w:p>
      <w:pPr>
        <w:ind w:left="100"/>
        <w:spacing w:after="0" w:line="263" w:lineRule="auto"/>
        <w:rPr>
          <w:sz w:val="20"/>
          <w:szCs w:val="20"/>
          <w:color w:val="auto"/>
        </w:rPr>
      </w:pPr>
      <w:r>
        <w:rPr>
          <w:rFonts w:ascii="Arial" w:cs="Arial" w:eastAsia="Arial" w:hAnsi="Arial"/>
          <w:sz w:val="22"/>
          <w:szCs w:val="22"/>
          <w:color w:val="auto"/>
        </w:rPr>
        <w:t>The Executive is hereby advised that the above paragraph regarding the Company’s and its affiliates’ ownership of Work Product does not apply to any invention for</w:t>
      </w:r>
    </w:p>
    <w:p>
      <w:pPr>
        <w:spacing w:after="0" w:line="200" w:lineRule="exact"/>
        <w:rPr>
          <w:sz w:val="20"/>
          <w:szCs w:val="20"/>
          <w:color w:val="auto"/>
        </w:rPr>
      </w:pPr>
    </w:p>
    <w:p>
      <w:pPr>
        <w:spacing w:after="0" w:line="34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20"/>
          </w:cols>
          <w:pgMar w:left="1440" w:top="577" w:right="239" w:bottom="1440" w:gutter="0" w:footer="0" w:header="0"/>
        </w:sectPr>
      </w:pPr>
    </w:p>
    <w:bookmarkStart w:id="185" w:name="page186"/>
    <w:bookmarkEnd w:id="185"/>
    <w:p>
      <w:pPr>
        <w:jc w:val="both"/>
        <w:ind w:left="100"/>
        <w:spacing w:after="0" w:line="248" w:lineRule="auto"/>
        <w:rPr>
          <w:sz w:val="20"/>
          <w:szCs w:val="20"/>
          <w:color w:val="auto"/>
        </w:rPr>
      </w:pPr>
      <w:r>
        <w:rPr>
          <w:rFonts w:ascii="Arial" w:cs="Arial" w:eastAsia="Arial" w:hAnsi="Arial"/>
          <w:sz w:val="22"/>
          <w:szCs w:val="22"/>
          <w:color w:val="auto"/>
        </w:rPr>
        <w:t>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86" w:lineRule="exact"/>
        <w:rPr>
          <w:sz w:val="20"/>
          <w:szCs w:val="20"/>
          <w:color w:val="auto"/>
        </w:rPr>
      </w:pPr>
    </w:p>
    <w:p>
      <w:pPr>
        <w:jc w:val="both"/>
        <w:ind w:left="340" w:hanging="890"/>
        <w:spacing w:after="0" w:line="286" w:lineRule="auto"/>
        <w:rPr>
          <w:sz w:val="20"/>
          <w:szCs w:val="20"/>
          <w:color w:val="auto"/>
        </w:rPr>
      </w:pPr>
      <w:r>
        <w:rPr>
          <w:rFonts w:ascii="Arial" w:cs="Arial" w:eastAsia="Arial" w:hAnsi="Arial"/>
          <w:sz w:val="19"/>
          <w:szCs w:val="19"/>
          <w:color w:val="010000"/>
        </w:rPr>
        <w:t>(c)</w:t>
      </w:r>
      <w:r>
        <w:rPr>
          <w:rFonts w:ascii="Arial" w:cs="Arial" w:eastAsia="Arial" w:hAnsi="Arial"/>
          <w:sz w:val="19"/>
          <w:szCs w:val="19"/>
          <w:b w:val="1"/>
          <w:bCs w:val="1"/>
          <w:color w:val="000000"/>
        </w:rPr>
        <w:t>Noncompete</w:t>
      </w:r>
      <w:r>
        <w:rPr>
          <w:rFonts w:ascii="Arial" w:cs="Arial" w:eastAsia="Arial" w:hAnsi="Arial"/>
          <w:sz w:val="19"/>
          <w:szCs w:val="19"/>
          <w:color w:val="000000"/>
        </w:rPr>
        <w:t>. In further consideration of the compensation to be paid to the Executive hereunder, the Executive</w:t>
      </w:r>
      <w:r>
        <w:rPr>
          <w:rFonts w:ascii="Arial" w:cs="Arial" w:eastAsia="Arial" w:hAnsi="Arial"/>
          <w:sz w:val="19"/>
          <w:szCs w:val="19"/>
          <w:color w:val="010000"/>
        </w:rPr>
        <w:t xml:space="preserve"> </w:t>
      </w:r>
      <w:r>
        <w:rPr>
          <w:rFonts w:ascii="Arial" w:cs="Arial" w:eastAsia="Arial" w:hAnsi="Arial"/>
          <w:sz w:val="19"/>
          <w:szCs w:val="19"/>
          <w:color w:val="000000"/>
        </w:rPr>
        <w:t>acknowledges that during the course of his employment with the Company and its affiliates he shall become familiar with the Company’s trade secrets and with other Confidential Information concerning the Company and its affiliates and that his services shall be of special, unique, and extraordinary value to the Company and its affiliates, and therefore, the Executive agrees that, during the Executive’s employment with the Company and for one (1) year thereafter (the “</w:t>
      </w:r>
      <w:r>
        <w:rPr>
          <w:rFonts w:ascii="Arial" w:cs="Arial" w:eastAsia="Arial" w:hAnsi="Arial"/>
          <w:sz w:val="19"/>
          <w:szCs w:val="19"/>
          <w:u w:val="single" w:color="auto"/>
          <w:color w:val="000000"/>
        </w:rPr>
        <w:t>Noncompete Period</w:t>
      </w:r>
      <w:r>
        <w:rPr>
          <w:rFonts w:ascii="Arial" w:cs="Arial" w:eastAsia="Arial" w:hAnsi="Arial"/>
          <w:sz w:val="19"/>
          <w:szCs w:val="19"/>
          <w:color w:val="000000"/>
        </w:rPr>
        <w:t xml:space="preserve">”), the Executive shall not directly or indirectly own any interest in, manage, control, participate in, consult with, render services for, be employed in an executive, managerial, or administrative capacity by, or in any manner engage in any company engaged in the business of wholesale or retail power generation, or any other business which competes with the businesses of the Company or its affiliates, as such businesses exist or are in process during the Executive’s employment with the Company, within any geographical area in which the Company or its affiliates engage or have definitive plans to engage in such businesses. Nothing herein shall prohibit the Executive from being a passive owner of not more than two percent (2%) of the outstanding stock of any class of a corporation which is publicly traded, so long as the Executive has no active participation in the business of such corporation. Notwithstanding the foregoing, the provisions of this </w:t>
      </w:r>
      <w:r>
        <w:rPr>
          <w:rFonts w:ascii="Arial" w:cs="Arial" w:eastAsia="Arial" w:hAnsi="Arial"/>
          <w:sz w:val="19"/>
          <w:szCs w:val="19"/>
          <w:u w:val="single" w:color="auto"/>
          <w:color w:val="000000"/>
        </w:rPr>
        <w:t>Article 5(c)</w:t>
      </w:r>
      <w:r>
        <w:rPr>
          <w:rFonts w:ascii="Arial" w:cs="Arial" w:eastAsia="Arial" w:hAnsi="Arial"/>
          <w:sz w:val="19"/>
          <w:szCs w:val="19"/>
          <w:color w:val="000000"/>
        </w:rPr>
        <w:t xml:space="preserve"> shall not apply in the case of termination of the Executive’s employment pursuant to any material breach of the Company’s obligations under </w:t>
      </w:r>
      <w:r>
        <w:rPr>
          <w:rFonts w:ascii="Arial" w:cs="Arial" w:eastAsia="Arial" w:hAnsi="Arial"/>
          <w:sz w:val="19"/>
          <w:szCs w:val="19"/>
          <w:u w:val="single" w:color="auto"/>
          <w:color w:val="000000"/>
        </w:rPr>
        <w:t>Article 3</w:t>
      </w:r>
      <w:r>
        <w:rPr>
          <w:rFonts w:ascii="Arial" w:cs="Arial" w:eastAsia="Arial" w:hAnsi="Arial"/>
          <w:sz w:val="19"/>
          <w:szCs w:val="19"/>
          <w:color w:val="000000"/>
        </w:rPr>
        <w:t xml:space="preserve"> which remains uncured for more than twenty (20) days after notice is received from the Executive of such breach, which such notice shall include a detailed description of the grounds constituting such breach.</w:t>
      </w:r>
    </w:p>
    <w:p>
      <w:pPr>
        <w:spacing w:after="0" w:line="200" w:lineRule="exact"/>
        <w:rPr>
          <w:sz w:val="20"/>
          <w:szCs w:val="20"/>
          <w:color w:val="auto"/>
        </w:rPr>
      </w:pPr>
    </w:p>
    <w:p>
      <w:pPr>
        <w:spacing w:after="0" w:line="209" w:lineRule="exact"/>
        <w:rPr>
          <w:sz w:val="20"/>
          <w:szCs w:val="20"/>
          <w:color w:val="auto"/>
        </w:rPr>
      </w:pPr>
    </w:p>
    <w:p>
      <w:pPr>
        <w:jc w:val="both"/>
        <w:ind w:left="360" w:hanging="904"/>
        <w:spacing w:after="0" w:line="259" w:lineRule="auto"/>
        <w:rPr>
          <w:sz w:val="20"/>
          <w:szCs w:val="20"/>
          <w:color w:val="auto"/>
        </w:rPr>
      </w:pPr>
      <w:r>
        <w:rPr>
          <w:rFonts w:ascii="Arial" w:cs="Arial" w:eastAsia="Arial" w:hAnsi="Arial"/>
          <w:sz w:val="21"/>
          <w:szCs w:val="21"/>
          <w:color w:val="010000"/>
        </w:rPr>
        <w:t>(d)</w:t>
      </w:r>
      <w:r>
        <w:rPr>
          <w:rFonts w:ascii="Arial" w:cs="Arial" w:eastAsia="Arial" w:hAnsi="Arial"/>
          <w:sz w:val="21"/>
          <w:szCs w:val="21"/>
          <w:b w:val="1"/>
          <w:bCs w:val="1"/>
          <w:color w:val="000000"/>
        </w:rPr>
        <w:t>Nonsolicitation</w:t>
      </w:r>
      <w:r>
        <w:rPr>
          <w:rFonts w:ascii="Arial" w:cs="Arial" w:eastAsia="Arial" w:hAnsi="Arial"/>
          <w:sz w:val="21"/>
          <w:szCs w:val="21"/>
          <w:color w:val="000000"/>
        </w:rPr>
        <w:t>. During the Noncompete Period, the Executive shall not directly or indirectly through another person or</w:t>
      </w:r>
      <w:r>
        <w:rPr>
          <w:rFonts w:ascii="Arial" w:cs="Arial" w:eastAsia="Arial" w:hAnsi="Arial"/>
          <w:sz w:val="21"/>
          <w:szCs w:val="21"/>
          <w:color w:val="010000"/>
        </w:rPr>
        <w:t xml:space="preserve"> </w:t>
      </w:r>
      <w:r>
        <w:rPr>
          <w:rFonts w:ascii="Arial" w:cs="Arial" w:eastAsia="Arial" w:hAnsi="Arial"/>
          <w:sz w:val="21"/>
          <w:szCs w:val="21"/>
          <w:color w:val="000000"/>
        </w:rPr>
        <w:t>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200" w:lineRule="exact"/>
        <w:rPr>
          <w:sz w:val="20"/>
          <w:szCs w:val="20"/>
          <w:color w:val="auto"/>
        </w:rPr>
      </w:pPr>
    </w:p>
    <w:p>
      <w:pPr>
        <w:spacing w:after="0" w:line="34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20"/>
          </w:cols>
          <w:pgMar w:left="1440" w:top="604" w:right="239" w:bottom="1440" w:gutter="0" w:footer="0" w:header="0"/>
        </w:sectPr>
      </w:pPr>
    </w:p>
    <w:bookmarkStart w:id="186" w:name="page187"/>
    <w:bookmarkEnd w:id="186"/>
    <w:p>
      <w:pPr>
        <w:jc w:val="both"/>
        <w:ind w:left="1540" w:hanging="890"/>
        <w:spacing w:after="0" w:line="287" w:lineRule="auto"/>
        <w:rPr>
          <w:sz w:val="20"/>
          <w:szCs w:val="20"/>
          <w:color w:val="auto"/>
        </w:rPr>
      </w:pPr>
      <w:r>
        <w:rPr>
          <w:rFonts w:ascii="Arial" w:cs="Arial" w:eastAsia="Arial" w:hAnsi="Arial"/>
          <w:sz w:val="19"/>
          <w:szCs w:val="19"/>
          <w:color w:val="010000"/>
        </w:rPr>
        <w:t>(e)</w:t>
      </w:r>
      <w:r>
        <w:rPr>
          <w:rFonts w:ascii="Arial" w:cs="Arial" w:eastAsia="Arial" w:hAnsi="Arial"/>
          <w:sz w:val="19"/>
          <w:szCs w:val="19"/>
          <w:b w:val="1"/>
          <w:bCs w:val="1"/>
          <w:color w:val="000000"/>
        </w:rPr>
        <w:t>Nondisparagement.</w:t>
      </w:r>
      <w:r>
        <w:rPr>
          <w:rFonts w:ascii="Arial" w:cs="Arial" w:eastAsia="Arial" w:hAnsi="Arial"/>
          <w:sz w:val="19"/>
          <w:szCs w:val="19"/>
          <w:color w:val="010000"/>
        </w:rPr>
        <w:t xml:space="preserve"> </w:t>
      </w:r>
      <w:r>
        <w:rPr>
          <w:rFonts w:ascii="Arial" w:cs="Arial" w:eastAsia="Arial" w:hAnsi="Arial"/>
          <w:sz w:val="19"/>
          <w:szCs w:val="19"/>
          <w:color w:val="000000"/>
        </w:rPr>
        <w:t>During the Noncompete Period, Executive shall not disparage the Company, its subsidiaries and</w:t>
      </w:r>
      <w:r>
        <w:rPr>
          <w:rFonts w:ascii="Arial" w:cs="Arial" w:eastAsia="Arial" w:hAnsi="Arial"/>
          <w:sz w:val="19"/>
          <w:szCs w:val="19"/>
          <w:color w:val="010000"/>
        </w:rPr>
        <w:t xml:space="preserve"> </w:t>
      </w:r>
      <w:r>
        <w:rPr>
          <w:rFonts w:ascii="Arial" w:cs="Arial" w:eastAsia="Arial" w:hAnsi="Arial"/>
          <w:sz w:val="19"/>
          <w:szCs w:val="19"/>
          <w:color w:val="000000"/>
        </w:rPr>
        <w:t xml:space="preserve">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Noncompete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9"/>
          <w:szCs w:val="19"/>
          <w:u w:val="single" w:color="auto"/>
          <w:color w:val="000000"/>
        </w:rPr>
        <w:t>Article 5(e)</w:t>
      </w:r>
      <w:r>
        <w:rPr>
          <w:rFonts w:ascii="Arial" w:cs="Arial" w:eastAsia="Arial" w:hAnsi="Arial"/>
          <w:sz w:val="19"/>
          <w:szCs w:val="19"/>
          <w:color w:val="000000"/>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51" w:lineRule="exact"/>
        <w:rPr>
          <w:sz w:val="20"/>
          <w:szCs w:val="20"/>
          <w:color w:val="auto"/>
        </w:rPr>
      </w:pPr>
    </w:p>
    <w:p>
      <w:pPr>
        <w:jc w:val="both"/>
        <w:ind w:left="1520" w:hanging="863"/>
        <w:spacing w:after="0" w:line="295" w:lineRule="auto"/>
        <w:rPr>
          <w:sz w:val="20"/>
          <w:szCs w:val="20"/>
          <w:color w:val="auto"/>
        </w:rPr>
      </w:pPr>
      <w:r>
        <w:rPr>
          <w:rFonts w:ascii="Arial" w:cs="Arial" w:eastAsia="Arial" w:hAnsi="Arial"/>
          <w:sz w:val="19"/>
          <w:szCs w:val="19"/>
          <w:color w:val="010000"/>
        </w:rPr>
        <w:t>(f)</w:t>
      </w:r>
      <w:r>
        <w:rPr>
          <w:rFonts w:ascii="Arial" w:cs="Arial" w:eastAsia="Arial" w:hAnsi="Arial"/>
          <w:sz w:val="19"/>
          <w:szCs w:val="19"/>
          <w:b w:val="1"/>
          <w:bCs w:val="1"/>
          <w:color w:val="000000"/>
        </w:rPr>
        <w:t>Duration, Scope, or Area</w:t>
      </w:r>
      <w:r>
        <w:rPr>
          <w:rFonts w:ascii="Arial" w:cs="Arial" w:eastAsia="Arial" w:hAnsi="Arial"/>
          <w:sz w:val="19"/>
          <w:szCs w:val="19"/>
          <w:color w:val="000000"/>
        </w:rPr>
        <w:t>. If, at the time of enforcement of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5</w:t>
      </w:r>
      <w:r>
        <w:rPr>
          <w:rFonts w:ascii="Arial" w:cs="Arial" w:eastAsia="Arial" w:hAnsi="Arial"/>
          <w:sz w:val="19"/>
          <w:szCs w:val="19"/>
          <w:color w:val="000000"/>
        </w:rPr>
        <w:t>, a court shall hold that the duration, scope, or</w:t>
      </w:r>
      <w:r>
        <w:rPr>
          <w:rFonts w:ascii="Arial" w:cs="Arial" w:eastAsia="Arial" w:hAnsi="Arial"/>
          <w:sz w:val="19"/>
          <w:szCs w:val="19"/>
          <w:color w:val="010000"/>
        </w:rPr>
        <w:t xml:space="preserve"> </w:t>
      </w:r>
      <w:r>
        <w:rPr>
          <w:rFonts w:ascii="Arial" w:cs="Arial" w:eastAsia="Arial" w:hAnsi="Arial"/>
          <w:sz w:val="19"/>
          <w:szCs w:val="19"/>
          <w:color w:val="000000"/>
        </w:rPr>
        <w:t xml:space="preserve">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Arial" w:cs="Arial" w:eastAsia="Arial" w:hAnsi="Arial"/>
          <w:sz w:val="19"/>
          <w:szCs w:val="19"/>
          <w:u w:val="single" w:color="auto"/>
          <w:color w:val="000000"/>
        </w:rPr>
        <w:t>Section 5(c)</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5(d)</w:t>
      </w:r>
      <w:r>
        <w:rPr>
          <w:rFonts w:ascii="Arial" w:cs="Arial" w:eastAsia="Arial" w:hAnsi="Arial"/>
          <w:sz w:val="19"/>
          <w:szCs w:val="19"/>
          <w:color w:val="000000"/>
        </w:rPr>
        <w:t xml:space="preserve"> shall not apply to any Executive whose principal work location for the Company at the time of termination was in the State of California.</w:t>
      </w:r>
    </w:p>
    <w:p>
      <w:pPr>
        <w:spacing w:after="0" w:line="144" w:lineRule="exact"/>
        <w:rPr>
          <w:sz w:val="20"/>
          <w:szCs w:val="20"/>
          <w:color w:val="auto"/>
        </w:rPr>
      </w:pPr>
    </w:p>
    <w:p>
      <w:pPr>
        <w:jc w:val="both"/>
        <w:ind w:left="1560" w:hanging="904"/>
        <w:spacing w:after="0" w:line="293" w:lineRule="auto"/>
        <w:rPr>
          <w:sz w:val="20"/>
          <w:szCs w:val="20"/>
          <w:color w:val="auto"/>
        </w:rPr>
      </w:pPr>
      <w:r>
        <w:rPr>
          <w:rFonts w:ascii="Arial" w:cs="Arial" w:eastAsia="Arial" w:hAnsi="Arial"/>
          <w:sz w:val="19"/>
          <w:szCs w:val="19"/>
          <w:color w:val="010000"/>
        </w:rPr>
        <w:t>(g)</w:t>
      </w:r>
      <w:r>
        <w:rPr>
          <w:rFonts w:ascii="Arial" w:cs="Arial" w:eastAsia="Arial" w:hAnsi="Arial"/>
          <w:sz w:val="19"/>
          <w:szCs w:val="19"/>
          <w:b w:val="1"/>
          <w:bCs w:val="1"/>
          <w:color w:val="000000"/>
        </w:rPr>
        <w:t>Company Enforcement</w:t>
      </w:r>
      <w:r>
        <w:rPr>
          <w:rFonts w:ascii="Arial" w:cs="Arial" w:eastAsia="Arial" w:hAnsi="Arial"/>
          <w:sz w:val="19"/>
          <w:szCs w:val="19"/>
          <w:color w:val="000000"/>
        </w:rPr>
        <w:t>. In the event of a breach or a threatened breach by the Executive of any of the provisions of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5</w:t>
      </w:r>
      <w:r>
        <w:rPr>
          <w:rFonts w:ascii="Arial" w:cs="Arial" w:eastAsia="Arial" w:hAnsi="Arial"/>
          <w:sz w:val="19"/>
          <w:szCs w:val="19"/>
          <w:color w:val="000000"/>
        </w:rPr>
        <w:t xml:space="preserve">,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the Executive of </w:t>
      </w:r>
      <w:r>
        <w:rPr>
          <w:rFonts w:ascii="Arial" w:cs="Arial" w:eastAsia="Arial" w:hAnsi="Arial"/>
          <w:sz w:val="19"/>
          <w:szCs w:val="19"/>
          <w:u w:val="single" w:color="auto"/>
          <w:color w:val="000000"/>
        </w:rPr>
        <w:t>Section 5(c)</w:t>
      </w:r>
      <w:r>
        <w:rPr>
          <w:rFonts w:ascii="Arial" w:cs="Arial" w:eastAsia="Arial" w:hAnsi="Arial"/>
          <w:sz w:val="19"/>
          <w:szCs w:val="19"/>
          <w:color w:val="000000"/>
        </w:rPr>
        <w:t>, the Noncompete Period shall be automatically extended by the amount of time between the initial occurrence of the breach or violation and when such breach or violation has been duly cured.</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6.</w:t>
      </w:r>
      <w:r>
        <w:rPr>
          <w:sz w:val="20"/>
          <w:szCs w:val="20"/>
          <w:color w:val="auto"/>
        </w:rPr>
        <w:tab/>
      </w:r>
      <w:r>
        <w:rPr>
          <w:rFonts w:ascii="Arial" w:cs="Arial" w:eastAsia="Arial" w:hAnsi="Arial"/>
          <w:sz w:val="19"/>
          <w:szCs w:val="19"/>
          <w:b w:val="1"/>
          <w:bCs w:val="1"/>
          <w:color w:val="auto"/>
        </w:rPr>
        <w:t>Certain Change in Control Payments</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9"/>
          <w:szCs w:val="19"/>
          <w:u w:val="single" w:color="auto"/>
          <w:color w:val="auto"/>
        </w:rPr>
        <w:t>Total Payments</w:t>
      </w:r>
      <w:r>
        <w:rPr>
          <w:rFonts w:ascii="Arial" w:cs="Arial" w:eastAsia="Arial" w:hAnsi="Arial"/>
          <w:sz w:val="19"/>
          <w:szCs w:val="19"/>
          <w:color w:val="auto"/>
        </w:rPr>
        <w:t xml:space="preserve">”) (a) constitute “parachute payments” within the meaning of Code Section 280G, and (b) but for this </w:t>
      </w:r>
      <w:r>
        <w:rPr>
          <w:rFonts w:ascii="Arial" w:cs="Arial" w:eastAsia="Arial" w:hAnsi="Arial"/>
          <w:sz w:val="19"/>
          <w:szCs w:val="19"/>
          <w:u w:val="single" w:color="auto"/>
          <w:color w:val="auto"/>
        </w:rPr>
        <w:t>Article 6</w:t>
      </w:r>
      <w:r>
        <w:rPr>
          <w:rFonts w:ascii="Arial" w:cs="Arial" w:eastAsia="Arial" w:hAnsi="Arial"/>
          <w:sz w:val="19"/>
          <w:szCs w:val="19"/>
          <w:color w:val="auto"/>
        </w:rPr>
        <w:t>, would be subject to the excise tax imposed by</w:t>
      </w: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8" w:right="239" w:bottom="1440" w:gutter="0" w:footer="0" w:header="0"/>
        </w:sectPr>
      </w:pPr>
    </w:p>
    <w:bookmarkStart w:id="187" w:name="page188"/>
    <w:bookmarkEnd w:id="187"/>
    <w:p>
      <w:pPr>
        <w:jc w:val="both"/>
        <w:spacing w:after="0" w:line="285" w:lineRule="auto"/>
        <w:rPr>
          <w:sz w:val="20"/>
          <w:szCs w:val="20"/>
          <w:color w:val="auto"/>
        </w:rPr>
      </w:pPr>
      <w:r>
        <w:rPr>
          <w:rFonts w:ascii="Arial" w:cs="Arial" w:eastAsia="Arial" w:hAnsi="Arial"/>
          <w:sz w:val="19"/>
          <w:szCs w:val="19"/>
          <w:color w:val="auto"/>
        </w:rPr>
        <w:t xml:space="preserve">Code Section 4999, then such Executive will be entitled to receive either (i) the full amount of the Total Payments or (ii) a portion of the Total Payments having a value equal to One Dollar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be made in writing by the Company’s independent certified public accountants appointed prior to any change in ownership (as defined under Code Section 280G(b)(2)) or tax counsel selected by such accountants (the “</w:t>
      </w:r>
      <w:r>
        <w:rPr>
          <w:rFonts w:ascii="Arial" w:cs="Arial" w:eastAsia="Arial" w:hAnsi="Arial"/>
          <w:sz w:val="19"/>
          <w:szCs w:val="19"/>
          <w:u w:val="single" w:color="auto"/>
          <w:color w:val="auto"/>
        </w:rPr>
        <w:t>Accountants</w:t>
      </w:r>
      <w:r>
        <w:rPr>
          <w:rFonts w:ascii="Arial" w:cs="Arial" w:eastAsia="Arial" w:hAnsi="Arial"/>
          <w:sz w:val="19"/>
          <w:szCs w:val="19"/>
          <w:color w:val="auto"/>
        </w:rPr>
        <w:t xml:space="preserve">”), whose determination shall be conclusive and binding for all purposes upon the applicable Executive. For purposes of making the calculations required by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9"/>
          <w:szCs w:val="19"/>
          <w:u w:val="single" w:color="auto"/>
          <w:color w:val="auto"/>
        </w:rPr>
        <w:t>Parachute Payment Ratio</w:t>
      </w:r>
      <w:r>
        <w:rPr>
          <w:rFonts w:ascii="Arial" w:cs="Arial" w:eastAsia="Arial" w:hAnsi="Arial"/>
          <w:sz w:val="19"/>
          <w:szCs w:val="19"/>
          <w:color w:val="auto"/>
        </w:rPr>
        <w:t>” shall mean a fraction the numerator of which is the value of the applicable “parachute payment” for purposes of Code Section 280G and the denominator of which is the actual present value of such payment.</w:t>
      </w:r>
    </w:p>
    <w:p>
      <w:pPr>
        <w:spacing w:after="0" w:line="15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7.</w:t>
      </w:r>
      <w:r>
        <w:rPr>
          <w:sz w:val="20"/>
          <w:szCs w:val="20"/>
          <w:color w:val="auto"/>
        </w:rPr>
        <w:tab/>
      </w:r>
      <w:r>
        <w:rPr>
          <w:rFonts w:ascii="Arial" w:cs="Arial" w:eastAsia="Arial" w:hAnsi="Arial"/>
          <w:sz w:val="19"/>
          <w:szCs w:val="19"/>
          <w:b w:val="1"/>
          <w:bCs w:val="1"/>
          <w:color w:val="auto"/>
        </w:rPr>
        <w:t>Legal Fees and Notice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010000"/>
        </w:rPr>
        <w:t xml:space="preserve">7.1 </w:t>
      </w:r>
      <w:r>
        <w:rPr>
          <w:rFonts w:ascii="Arial" w:cs="Arial" w:eastAsia="Arial" w:hAnsi="Arial"/>
          <w:sz w:val="22"/>
          <w:szCs w:val="22"/>
          <w:b w:val="1"/>
          <w:bCs w:val="1"/>
          <w:color w:val="000000"/>
        </w:rPr>
        <w:t>Payment of Legal Fees</w:t>
      </w:r>
      <w:r>
        <w:rPr>
          <w:rFonts w:ascii="Arial" w:cs="Arial" w:eastAsia="Arial" w:hAnsi="Arial"/>
          <w:sz w:val="22"/>
          <w:szCs w:val="22"/>
          <w:color w:val="000000"/>
        </w:rPr>
        <w:t>. Except as otherwise agreed to by the parties, the Company shall pay the Executive for costs</w:t>
      </w:r>
      <w:r>
        <w:rPr>
          <w:rFonts w:ascii="Arial" w:cs="Arial" w:eastAsia="Arial" w:hAnsi="Arial"/>
          <w:sz w:val="22"/>
          <w:szCs w:val="22"/>
          <w:b w:val="1"/>
          <w:bCs w:val="1"/>
          <w:color w:val="010000"/>
        </w:rPr>
        <w:t xml:space="preserve"> </w:t>
      </w:r>
      <w:r>
        <w:rPr>
          <w:rFonts w:ascii="Arial" w:cs="Arial" w:eastAsia="Arial" w:hAnsi="Arial"/>
          <w:sz w:val="22"/>
          <w:szCs w:val="22"/>
          <w:color w:val="000000"/>
        </w:rPr>
        <w:t>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7.2 </w:t>
      </w:r>
      <w:r>
        <w:rPr>
          <w:rFonts w:ascii="Arial" w:cs="Arial" w:eastAsia="Arial" w:hAnsi="Arial"/>
          <w:sz w:val="22"/>
          <w:szCs w:val="22"/>
          <w:b w:val="1"/>
          <w:bCs w:val="1"/>
          <w:color w:val="000000"/>
        </w:rPr>
        <w:t>Notice</w:t>
      </w:r>
      <w:r>
        <w:rPr>
          <w:rFonts w:ascii="Arial" w:cs="Arial" w:eastAsia="Arial" w:hAnsi="Arial"/>
          <w:sz w:val="22"/>
          <w:szCs w:val="22"/>
          <w:color w:val="000000"/>
        </w:rPr>
        <w:t>. Any notices, requests, demands, or other communications provided for by this Plan shall be sufficient if in</w:t>
      </w:r>
      <w:r>
        <w:rPr>
          <w:rFonts w:ascii="Arial" w:cs="Arial" w:eastAsia="Arial" w:hAnsi="Arial"/>
          <w:sz w:val="22"/>
          <w:szCs w:val="22"/>
          <w:b w:val="1"/>
          <w:bCs w:val="1"/>
          <w:color w:val="010000"/>
        </w:rPr>
        <w:t xml:space="preserve"> </w:t>
      </w:r>
      <w:r>
        <w:rPr>
          <w:rFonts w:ascii="Arial" w:cs="Arial" w:eastAsia="Arial" w:hAnsi="Arial"/>
          <w:sz w:val="22"/>
          <w:szCs w:val="22"/>
          <w:color w:val="000000"/>
        </w:rPr>
        <w:t>writing and if sent by registered or certified mail to the Executive at the last address he or she has filed in writing with the Company or, in the case of the Company, at its principal offices.</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8.</w:t>
      </w:r>
      <w:r>
        <w:rPr>
          <w:sz w:val="20"/>
          <w:szCs w:val="20"/>
          <w:color w:val="auto"/>
        </w:rPr>
        <w:tab/>
      </w:r>
      <w:r>
        <w:rPr>
          <w:rFonts w:ascii="Arial" w:cs="Arial" w:eastAsia="Arial" w:hAnsi="Arial"/>
          <w:sz w:val="18"/>
          <w:szCs w:val="18"/>
          <w:b w:val="1"/>
          <w:bCs w:val="1"/>
          <w:color w:val="auto"/>
        </w:rPr>
        <w:t>Successors and Assignment</w:t>
      </w:r>
    </w:p>
    <w:p>
      <w:pPr>
        <w:spacing w:after="0" w:line="23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010000"/>
        </w:rPr>
        <w:t xml:space="preserve">8.1 </w:t>
      </w:r>
      <w:r>
        <w:rPr>
          <w:rFonts w:ascii="Arial" w:cs="Arial" w:eastAsia="Arial" w:hAnsi="Arial"/>
          <w:sz w:val="19"/>
          <w:szCs w:val="19"/>
          <w:b w:val="1"/>
          <w:bCs w:val="1"/>
          <w:color w:val="000000"/>
        </w:rPr>
        <w:t>Successors to the Company</w:t>
      </w:r>
      <w:r>
        <w:rPr>
          <w:rFonts w:ascii="Arial" w:cs="Arial" w:eastAsia="Arial" w:hAnsi="Arial"/>
          <w:sz w:val="19"/>
          <w:szCs w:val="19"/>
          <w:color w:val="000000"/>
        </w:rPr>
        <w:t>. The Company shall require any successor (whether direct or indirect, by purchase,</w:t>
      </w:r>
      <w:r>
        <w:rPr>
          <w:rFonts w:ascii="Arial" w:cs="Arial" w:eastAsia="Arial" w:hAnsi="Arial"/>
          <w:sz w:val="19"/>
          <w:szCs w:val="19"/>
          <w:b w:val="1"/>
          <w:bCs w:val="1"/>
          <w:color w:val="010000"/>
        </w:rPr>
        <w:t xml:space="preserve"> </w:t>
      </w:r>
      <w:r>
        <w:rPr>
          <w:rFonts w:ascii="Arial" w:cs="Arial" w:eastAsia="Arial" w:hAnsi="Arial"/>
          <w:sz w:val="19"/>
          <w:szCs w:val="19"/>
          <w:color w:val="000000"/>
        </w:rPr>
        <w:t>merger, reorganization, consolidation, acquisition of property or stock, liquidation, or otherwise) of all or a significant portion of the assets of the Company by agreement, in form and substance satisfactory to the Executive, to expressly assume and agree to</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04" w:right="239" w:bottom="1440" w:gutter="0" w:footer="0" w:header="0"/>
        </w:sectPr>
      </w:pPr>
    </w:p>
    <w:bookmarkStart w:id="188" w:name="page189"/>
    <w:bookmarkEnd w:id="188"/>
    <w:p>
      <w:pPr>
        <w:jc w:val="both"/>
        <w:spacing w:after="0" w:line="312" w:lineRule="auto"/>
        <w:rPr>
          <w:sz w:val="20"/>
          <w:szCs w:val="20"/>
          <w:color w:val="auto"/>
        </w:rPr>
      </w:pPr>
      <w:r>
        <w:rPr>
          <w:rFonts w:ascii="Arial" w:cs="Arial" w:eastAsia="Arial" w:hAnsi="Arial"/>
          <w:sz w:val="19"/>
          <w:szCs w:val="19"/>
          <w:color w:val="auto"/>
        </w:rPr>
        <w:t>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2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010000"/>
        </w:rPr>
        <w:t xml:space="preserve">8.2 </w:t>
      </w:r>
      <w:r>
        <w:rPr>
          <w:rFonts w:ascii="Arial" w:cs="Arial" w:eastAsia="Arial" w:hAnsi="Arial"/>
          <w:sz w:val="21"/>
          <w:szCs w:val="21"/>
          <w:b w:val="1"/>
          <w:bCs w:val="1"/>
          <w:color w:val="000000"/>
        </w:rPr>
        <w:t>Assignment by the Executive</w:t>
      </w:r>
      <w:r>
        <w:rPr>
          <w:rFonts w:ascii="Arial" w:cs="Arial" w:eastAsia="Arial" w:hAnsi="Arial"/>
          <w:sz w:val="21"/>
          <w:szCs w:val="21"/>
          <w:color w:val="000000"/>
        </w:rPr>
        <w:t>. This Plan shall inure to the benefit of and be enforceable by the Executive’s personal</w:t>
      </w:r>
      <w:r>
        <w:rPr>
          <w:rFonts w:ascii="Arial" w:cs="Arial" w:eastAsia="Arial" w:hAnsi="Arial"/>
          <w:sz w:val="21"/>
          <w:szCs w:val="21"/>
          <w:b w:val="1"/>
          <w:bCs w:val="1"/>
          <w:color w:val="010000"/>
        </w:rPr>
        <w:t xml:space="preserve"> </w:t>
      </w:r>
      <w:r>
        <w:rPr>
          <w:rFonts w:ascii="Arial" w:cs="Arial" w:eastAsia="Arial" w:hAnsi="Arial"/>
          <w:sz w:val="21"/>
          <w:szCs w:val="21"/>
          <w:color w:val="000000"/>
        </w:rPr>
        <w:t>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010000"/>
        </w:rPr>
        <w:t>Article 9.</w:t>
      </w:r>
      <w:r>
        <w:rPr>
          <w:sz w:val="20"/>
          <w:szCs w:val="20"/>
          <w:color w:val="auto"/>
        </w:rPr>
        <w:tab/>
      </w:r>
      <w:r>
        <w:rPr>
          <w:rFonts w:ascii="Arial" w:cs="Arial" w:eastAsia="Arial" w:hAnsi="Arial"/>
          <w:sz w:val="19"/>
          <w:szCs w:val="19"/>
          <w:b w:val="1"/>
          <w:bCs w:val="1"/>
          <w:color w:val="auto"/>
        </w:rPr>
        <w:t>Miscellaneous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9.1 </w:t>
      </w:r>
      <w:r>
        <w:rPr>
          <w:rFonts w:ascii="Arial" w:cs="Arial" w:eastAsia="Arial" w:hAnsi="Arial"/>
          <w:sz w:val="22"/>
          <w:szCs w:val="22"/>
          <w:b w:val="1"/>
          <w:bCs w:val="1"/>
          <w:color w:val="000000"/>
        </w:rPr>
        <w:t>Employment Status</w:t>
      </w:r>
      <w:r>
        <w:rPr>
          <w:rFonts w:ascii="Arial" w:cs="Arial" w:eastAsia="Arial" w:hAnsi="Arial"/>
          <w:sz w:val="22"/>
          <w:szCs w:val="22"/>
          <w:color w:val="000000"/>
        </w:rPr>
        <w:t>. Except as may be provided under any other agreement between the Executive and the Company,</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employment of the Executive by the Company is “at will” and may be terminated by either the Executive or the Company at any time, subject to applicable law.</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010000"/>
        </w:rPr>
        <w:t>9.2</w:t>
      </w:r>
      <w:r>
        <w:rPr>
          <w:sz w:val="20"/>
          <w:szCs w:val="20"/>
          <w:color w:val="auto"/>
        </w:rPr>
        <w:tab/>
      </w:r>
      <w:r>
        <w:rPr>
          <w:rFonts w:ascii="Arial" w:cs="Arial" w:eastAsia="Arial" w:hAnsi="Arial"/>
          <w:sz w:val="19"/>
          <w:szCs w:val="19"/>
          <w:b w:val="1"/>
          <w:bCs w:val="1"/>
          <w:color w:val="auto"/>
        </w:rPr>
        <w:t>Code Section 409A</w:t>
      </w:r>
      <w:r>
        <w:rPr>
          <w:rFonts w:ascii="Arial" w:cs="Arial" w:eastAsia="Arial" w:hAnsi="Arial"/>
          <w:sz w:val="19"/>
          <w:szCs w:val="19"/>
          <w:color w:val="auto"/>
        </w:rPr>
        <w:t>.</w:t>
      </w:r>
    </w:p>
    <w:p>
      <w:pPr>
        <w:spacing w:after="0" w:line="239" w:lineRule="exact"/>
        <w:rPr>
          <w:sz w:val="20"/>
          <w:szCs w:val="20"/>
          <w:color w:val="auto"/>
        </w:rPr>
      </w:pPr>
    </w:p>
    <w:p>
      <w:pPr>
        <w:jc w:val="both"/>
        <w:ind w:left="1540" w:hanging="890"/>
        <w:spacing w:after="0" w:line="261" w:lineRule="auto"/>
        <w:rPr>
          <w:sz w:val="20"/>
          <w:szCs w:val="20"/>
          <w:color w:val="auto"/>
        </w:rPr>
      </w:pPr>
      <w:r>
        <w:rPr>
          <w:rFonts w:ascii="Arial" w:cs="Arial" w:eastAsia="Arial" w:hAnsi="Arial"/>
          <w:sz w:val="21"/>
          <w:szCs w:val="21"/>
          <w:color w:val="010000"/>
        </w:rPr>
        <w:t>(a)</w:t>
      </w:r>
      <w:r>
        <w:rPr>
          <w:rFonts w:ascii="Arial" w:cs="Arial" w:eastAsia="Arial" w:hAnsi="Arial"/>
          <w:sz w:val="21"/>
          <w:szCs w:val="21"/>
          <w:color w:val="000000"/>
        </w:rPr>
        <w:t>All expenses or other reimbursements under this Plan shall be made on or prior to the last day of the taxable year</w:t>
      </w:r>
      <w:r>
        <w:rPr>
          <w:rFonts w:ascii="Arial" w:cs="Arial" w:eastAsia="Arial" w:hAnsi="Arial"/>
          <w:sz w:val="21"/>
          <w:szCs w:val="21"/>
          <w:color w:val="010000"/>
        </w:rPr>
        <w:t xml:space="preserve"> </w:t>
      </w:r>
      <w:r>
        <w:rPr>
          <w:rFonts w:ascii="Arial" w:cs="Arial" w:eastAsia="Arial" w:hAnsi="Arial"/>
          <w:sz w:val="21"/>
          <w:szCs w:val="21"/>
          <w:color w:val="000000"/>
        </w:rPr>
        <w:t>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80" w:lineRule="exact"/>
        <w:rPr>
          <w:sz w:val="20"/>
          <w:szCs w:val="20"/>
          <w:color w:val="auto"/>
        </w:rPr>
      </w:pPr>
    </w:p>
    <w:p>
      <w:pPr>
        <w:jc w:val="both"/>
        <w:ind w:left="1560" w:hanging="904"/>
        <w:spacing w:after="0" w:line="263" w:lineRule="auto"/>
        <w:rPr>
          <w:sz w:val="20"/>
          <w:szCs w:val="20"/>
          <w:color w:val="auto"/>
        </w:rPr>
      </w:pPr>
      <w:r>
        <w:rPr>
          <w:rFonts w:ascii="Arial" w:cs="Arial" w:eastAsia="Arial" w:hAnsi="Arial"/>
          <w:sz w:val="22"/>
          <w:szCs w:val="22"/>
          <w:color w:val="010000"/>
        </w:rPr>
        <w:t>(b)</w:t>
      </w:r>
      <w:r>
        <w:rPr>
          <w:rFonts w:ascii="Arial" w:cs="Arial" w:eastAsia="Arial" w:hAnsi="Arial"/>
          <w:sz w:val="22"/>
          <w:szCs w:val="22"/>
          <w:color w:val="000000"/>
        </w:rPr>
        <w:t>For purposes of Code Section 409A, the Executive’s right to receive any installment payment pursuant to this Plan shall</w:t>
      </w:r>
      <w:r>
        <w:rPr>
          <w:rFonts w:ascii="Arial" w:cs="Arial" w:eastAsia="Arial" w:hAnsi="Arial"/>
          <w:sz w:val="22"/>
          <w:szCs w:val="22"/>
          <w:color w:val="010000"/>
        </w:rPr>
        <w:t xml:space="preserve"> </w:t>
      </w:r>
      <w:r>
        <w:rPr>
          <w:rFonts w:ascii="Arial" w:cs="Arial" w:eastAsia="Arial" w:hAnsi="Arial"/>
          <w:sz w:val="22"/>
          <w:szCs w:val="22"/>
          <w:color w:val="000000"/>
        </w:rPr>
        <w:t>be treated as a right to receive a series of separate and distinct payments.</w:t>
      </w:r>
    </w:p>
    <w:p>
      <w:pPr>
        <w:spacing w:after="0" w:line="175" w:lineRule="exact"/>
        <w:rPr>
          <w:sz w:val="20"/>
          <w:szCs w:val="20"/>
          <w:color w:val="auto"/>
        </w:rPr>
      </w:pPr>
    </w:p>
    <w:p>
      <w:pPr>
        <w:jc w:val="both"/>
        <w:ind w:left="1540" w:hanging="890"/>
        <w:spacing w:after="0" w:line="253" w:lineRule="auto"/>
        <w:rPr>
          <w:sz w:val="20"/>
          <w:szCs w:val="20"/>
          <w:color w:val="auto"/>
        </w:rPr>
      </w:pPr>
      <w:r>
        <w:rPr>
          <w:rFonts w:ascii="Arial" w:cs="Arial" w:eastAsia="Arial" w:hAnsi="Arial"/>
          <w:sz w:val="22"/>
          <w:szCs w:val="22"/>
          <w:color w:val="010000"/>
        </w:rPr>
        <w:t>(c)</w:t>
      </w:r>
      <w:r>
        <w:rPr>
          <w:rFonts w:ascii="Arial" w:cs="Arial" w:eastAsia="Arial" w:hAnsi="Arial"/>
          <w:sz w:val="22"/>
          <w:szCs w:val="22"/>
          <w:color w:val="000000"/>
        </w:rPr>
        <w:t>Whenever a payment under this Plan specifies a payment period with reference to a number of days (</w:t>
      </w:r>
      <w:r>
        <w:rPr>
          <w:rFonts w:ascii="Arial" w:cs="Arial" w:eastAsia="Arial" w:hAnsi="Arial"/>
          <w:sz w:val="22"/>
          <w:szCs w:val="22"/>
          <w:u w:val="single" w:color="auto"/>
          <w:color w:val="000000"/>
        </w:rPr>
        <w:t>e.g.</w:t>
      </w:r>
      <w:r>
        <w:rPr>
          <w:rFonts w:ascii="Arial" w:cs="Arial" w:eastAsia="Arial" w:hAnsi="Arial"/>
          <w:sz w:val="22"/>
          <w:szCs w:val="22"/>
          <w:color w:val="000000"/>
        </w:rPr>
        <w:t>, “payment shall</w:t>
      </w:r>
      <w:r>
        <w:rPr>
          <w:rFonts w:ascii="Arial" w:cs="Arial" w:eastAsia="Arial" w:hAnsi="Arial"/>
          <w:sz w:val="22"/>
          <w:szCs w:val="22"/>
          <w:color w:val="010000"/>
        </w:rPr>
        <w:t xml:space="preserve"> </w:t>
      </w:r>
      <w:r>
        <w:rPr>
          <w:rFonts w:ascii="Arial" w:cs="Arial" w:eastAsia="Arial" w:hAnsi="Arial"/>
          <w:sz w:val="22"/>
          <w:szCs w:val="22"/>
          <w:color w:val="000000"/>
        </w:rPr>
        <w:t>be made within thirty (30) days following the date of termination”), the actual date of payment within the specified period shall be within the sole discretion of the Company.</w:t>
      </w:r>
    </w:p>
    <w:p>
      <w:pPr>
        <w:spacing w:after="0" w:line="186" w:lineRule="exact"/>
        <w:rPr>
          <w:sz w:val="20"/>
          <w:szCs w:val="20"/>
          <w:color w:val="auto"/>
        </w:rPr>
      </w:pPr>
    </w:p>
    <w:p>
      <w:pPr>
        <w:jc w:val="both"/>
        <w:ind w:left="1560" w:hanging="904"/>
        <w:spacing w:after="0" w:line="248" w:lineRule="auto"/>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A termination of employment shall not be deemed to have occurred for purposes of any provision of this Plan providing</w:t>
      </w:r>
      <w:r>
        <w:rPr>
          <w:rFonts w:ascii="Arial" w:cs="Arial" w:eastAsia="Arial" w:hAnsi="Arial"/>
          <w:sz w:val="22"/>
          <w:szCs w:val="22"/>
          <w:color w:val="010000"/>
        </w:rPr>
        <w:t xml:space="preserve"> </w:t>
      </w:r>
      <w:r>
        <w:rPr>
          <w:rFonts w:ascii="Arial" w:cs="Arial" w:eastAsia="Arial" w:hAnsi="Arial"/>
          <w:sz w:val="22"/>
          <w:szCs w:val="22"/>
          <w:color w:val="000000"/>
        </w:rPr>
        <w:t>for the payment of any amounts or benefits 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05" w:right="239" w:bottom="1440" w:gutter="0" w:footer="0" w:header="0"/>
        </w:sectPr>
      </w:pPr>
    </w:p>
    <w:bookmarkStart w:id="189" w:name="page190"/>
    <w:bookmarkEnd w:id="189"/>
    <w:p>
      <w:pPr>
        <w:jc w:val="both"/>
        <w:ind w:left="1540" w:hanging="890"/>
        <w:spacing w:after="0" w:line="253" w:lineRule="auto"/>
        <w:rPr>
          <w:sz w:val="20"/>
          <w:szCs w:val="20"/>
          <w:color w:val="auto"/>
        </w:rPr>
      </w:pPr>
      <w:r>
        <w:rPr>
          <w:rFonts w:ascii="Arial" w:cs="Arial" w:eastAsia="Arial" w:hAnsi="Arial"/>
          <w:sz w:val="22"/>
          <w:szCs w:val="22"/>
          <w:color w:val="010000"/>
        </w:rPr>
        <w:t>(e)</w:t>
      </w:r>
      <w:r>
        <w:rPr>
          <w:rFonts w:ascii="Arial" w:cs="Arial" w:eastAsia="Arial" w:hAnsi="Arial"/>
          <w:sz w:val="22"/>
          <w:szCs w:val="22"/>
          <w:color w:val="000000"/>
        </w:rPr>
        <w:t>Notwithstanding any other provision of this Plan to the contrary, in no event shall any payment under this Plan that</w:t>
      </w:r>
      <w:r>
        <w:rPr>
          <w:rFonts w:ascii="Arial" w:cs="Arial" w:eastAsia="Arial" w:hAnsi="Arial"/>
          <w:sz w:val="22"/>
          <w:szCs w:val="22"/>
          <w:color w:val="010000"/>
        </w:rPr>
        <w:t xml:space="preserve"> </w:t>
      </w:r>
      <w:r>
        <w:rPr>
          <w:rFonts w:ascii="Arial" w:cs="Arial" w:eastAsia="Arial" w:hAnsi="Arial"/>
          <w:sz w:val="22"/>
          <w:szCs w:val="22"/>
          <w:color w:val="000000"/>
        </w:rPr>
        <w:t>constitutes “deferred compensation” for purposes of Code Section 409A be subject to offset unless otherwise permitted by Code Section 409A.</w:t>
      </w:r>
    </w:p>
    <w:p>
      <w:pPr>
        <w:spacing w:after="0" w:line="186" w:lineRule="exact"/>
        <w:rPr>
          <w:sz w:val="20"/>
          <w:szCs w:val="20"/>
          <w:color w:val="auto"/>
        </w:rPr>
      </w:pPr>
    </w:p>
    <w:p>
      <w:pPr>
        <w:jc w:val="both"/>
        <w:ind w:left="1520" w:hanging="863"/>
        <w:spacing w:after="0" w:line="312" w:lineRule="auto"/>
        <w:rPr>
          <w:sz w:val="20"/>
          <w:szCs w:val="20"/>
          <w:color w:val="auto"/>
        </w:rPr>
      </w:pPr>
      <w:r>
        <w:rPr>
          <w:rFonts w:ascii="Arial" w:cs="Arial" w:eastAsia="Arial" w:hAnsi="Arial"/>
          <w:sz w:val="19"/>
          <w:szCs w:val="19"/>
          <w:color w:val="010000"/>
        </w:rPr>
        <w:t>(f)</w:t>
      </w:r>
      <w:r>
        <w:rPr>
          <w:rFonts w:ascii="Arial" w:cs="Arial" w:eastAsia="Arial" w:hAnsi="Arial"/>
          <w:sz w:val="19"/>
          <w:szCs w:val="19"/>
          <w:color w:val="000000"/>
        </w:rPr>
        <w:t>Notwithstanding any provisions in this Plan to the contrary, whenever a payment under this Plan may be made upon the</w:t>
      </w:r>
      <w:r>
        <w:rPr>
          <w:rFonts w:ascii="Arial" w:cs="Arial" w:eastAsia="Arial" w:hAnsi="Arial"/>
          <w:sz w:val="19"/>
          <w:szCs w:val="19"/>
          <w:color w:val="010000"/>
        </w:rPr>
        <w:t xml:space="preserve"> </w:t>
      </w:r>
      <w:r>
        <w:rPr>
          <w:rFonts w:ascii="Arial" w:cs="Arial" w:eastAsia="Arial" w:hAnsi="Arial"/>
          <w:sz w:val="19"/>
          <w:szCs w:val="19"/>
          <w:color w:val="000000"/>
        </w:rPr>
        <w:t>Release Effective Date, and the period in which the Executive could adopt the release (along with its accompany revocation period) crosses calendar years, no payments shall be made until the succeeding calendar year.</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010000"/>
        </w:rPr>
        <w:t xml:space="preserve">9.3 </w:t>
      </w:r>
      <w:r>
        <w:rPr>
          <w:rFonts w:ascii="Arial" w:cs="Arial" w:eastAsia="Arial" w:hAnsi="Arial"/>
          <w:sz w:val="21"/>
          <w:szCs w:val="21"/>
          <w:b w:val="1"/>
          <w:bCs w:val="1"/>
          <w:color w:val="000000"/>
        </w:rPr>
        <w:t>Entire Plan</w:t>
      </w:r>
      <w:r>
        <w:rPr>
          <w:rFonts w:ascii="Arial" w:cs="Arial" w:eastAsia="Arial" w:hAnsi="Arial"/>
          <w:sz w:val="21"/>
          <w:szCs w:val="21"/>
          <w:color w:val="000000"/>
        </w:rPr>
        <w:t>. This Plan supersedes any prior agreements or understandings, oral or written, between the parties hereto,</w:t>
      </w:r>
      <w:r>
        <w:rPr>
          <w:rFonts w:ascii="Arial" w:cs="Arial" w:eastAsia="Arial" w:hAnsi="Arial"/>
          <w:sz w:val="21"/>
          <w:szCs w:val="21"/>
          <w:b w:val="1"/>
          <w:bCs w:val="1"/>
          <w:color w:val="010000"/>
        </w:rPr>
        <w:t xml:space="preserve"> </w:t>
      </w:r>
      <w:r>
        <w:rPr>
          <w:rFonts w:ascii="Arial" w:cs="Arial" w:eastAsia="Arial" w:hAnsi="Arial"/>
          <w:sz w:val="21"/>
          <w:szCs w:val="21"/>
          <w:color w:val="000000"/>
        </w:rPr>
        <w:t>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73"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010000"/>
        </w:rPr>
        <w:t xml:space="preserve">9.4 </w:t>
      </w:r>
      <w:r>
        <w:rPr>
          <w:rFonts w:ascii="Arial" w:cs="Arial" w:eastAsia="Arial" w:hAnsi="Arial"/>
          <w:sz w:val="19"/>
          <w:szCs w:val="19"/>
          <w:b w:val="1"/>
          <w:bCs w:val="1"/>
          <w:color w:val="000000"/>
        </w:rPr>
        <w:t>Severability</w:t>
      </w:r>
      <w:r>
        <w:rPr>
          <w:rFonts w:ascii="Arial" w:cs="Arial" w:eastAsia="Arial" w:hAnsi="Arial"/>
          <w:sz w:val="19"/>
          <w:szCs w:val="19"/>
          <w:color w:val="000000"/>
        </w:rPr>
        <w:t>. In the event that any provision or portion of this Plan shall be determined to be invalid or unenforceable</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any reason, the remaining provisions of this Plan shall be unaffected thereby and shall remain in full force and effect.</w:t>
      </w:r>
    </w:p>
    <w:p>
      <w:pPr>
        <w:spacing w:after="0" w:line="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9.5 </w:t>
      </w:r>
      <w:r>
        <w:rPr>
          <w:rFonts w:ascii="Arial" w:cs="Arial" w:eastAsia="Arial" w:hAnsi="Arial"/>
          <w:sz w:val="22"/>
          <w:szCs w:val="22"/>
          <w:b w:val="1"/>
          <w:bCs w:val="1"/>
          <w:color w:val="000000"/>
        </w:rPr>
        <w:t>Tax Withholding</w:t>
      </w:r>
      <w:r>
        <w:rPr>
          <w:rFonts w:ascii="Arial" w:cs="Arial" w:eastAsia="Arial" w:hAnsi="Arial"/>
          <w:sz w:val="22"/>
          <w:szCs w:val="22"/>
          <w:color w:val="000000"/>
        </w:rPr>
        <w:t>. The Company may withhold from any benefits payable under this Plan all federal, state, city, or</w:t>
      </w:r>
      <w:r>
        <w:rPr>
          <w:rFonts w:ascii="Arial" w:cs="Arial" w:eastAsia="Arial" w:hAnsi="Arial"/>
          <w:sz w:val="22"/>
          <w:szCs w:val="22"/>
          <w:b w:val="1"/>
          <w:bCs w:val="1"/>
          <w:color w:val="010000"/>
        </w:rPr>
        <w:t xml:space="preserve"> </w:t>
      </w:r>
      <w:r>
        <w:rPr>
          <w:rFonts w:ascii="Arial" w:cs="Arial" w:eastAsia="Arial" w:hAnsi="Arial"/>
          <w:sz w:val="22"/>
          <w:szCs w:val="22"/>
          <w:color w:val="000000"/>
        </w:rPr>
        <w:t>other taxes as may be required pursuant to any law or governmental regulation or ruling.</w:t>
      </w:r>
    </w:p>
    <w:p>
      <w:pPr>
        <w:spacing w:after="0" w:line="14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010000"/>
        </w:rPr>
        <w:t xml:space="preserve">9.6 </w:t>
      </w:r>
      <w:r>
        <w:rPr>
          <w:rFonts w:ascii="Arial" w:cs="Arial" w:eastAsia="Arial" w:hAnsi="Arial"/>
          <w:sz w:val="21"/>
          <w:szCs w:val="21"/>
          <w:b w:val="1"/>
          <w:bCs w:val="1"/>
          <w:color w:val="000000"/>
        </w:rPr>
        <w:t>Beneficiaries</w:t>
      </w:r>
      <w:r>
        <w:rPr>
          <w:rFonts w:ascii="Arial" w:cs="Arial" w:eastAsia="Arial" w:hAnsi="Arial"/>
          <w:sz w:val="21"/>
          <w:szCs w:val="21"/>
          <w:color w:val="000000"/>
        </w:rPr>
        <w:t>. The Executive may designate one (1) or more persons or entities as the primary and/or contingent</w:t>
      </w:r>
      <w:r>
        <w:rPr>
          <w:rFonts w:ascii="Arial" w:cs="Arial" w:eastAsia="Arial" w:hAnsi="Arial"/>
          <w:sz w:val="21"/>
          <w:szCs w:val="21"/>
          <w:b w:val="1"/>
          <w:bCs w:val="1"/>
          <w:color w:val="010000"/>
        </w:rPr>
        <w:t xml:space="preserve"> </w:t>
      </w:r>
      <w:r>
        <w:rPr>
          <w:rFonts w:ascii="Arial" w:cs="Arial" w:eastAsia="Arial" w:hAnsi="Arial"/>
          <w:sz w:val="21"/>
          <w:szCs w:val="21"/>
          <w:color w:val="000000"/>
        </w:rPr>
        <w:t>beneficiaries of any amounts to be received under this Plan. Such designation must be in the form of a signed writing acceptable to the Board or the Board’s designee. The Executive may make or change such designation at any time.</w:t>
      </w:r>
    </w:p>
    <w:p>
      <w:pPr>
        <w:spacing w:after="0" w:line="15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010000"/>
        </w:rPr>
        <w:t xml:space="preserve">9.7 </w:t>
      </w:r>
      <w:r>
        <w:rPr>
          <w:rFonts w:ascii="Arial" w:cs="Arial" w:eastAsia="Arial" w:hAnsi="Arial"/>
          <w:sz w:val="21"/>
          <w:szCs w:val="21"/>
          <w:b w:val="1"/>
          <w:bCs w:val="1"/>
          <w:color w:val="000000"/>
        </w:rPr>
        <w:t>Payment Obligation Absolute</w:t>
      </w:r>
      <w:r>
        <w:rPr>
          <w:rFonts w:ascii="Arial" w:cs="Arial" w:eastAsia="Arial" w:hAnsi="Arial"/>
          <w:sz w:val="21"/>
          <w:szCs w:val="21"/>
          <w:color w:val="000000"/>
        </w:rPr>
        <w:t>. The Company’s obligation to make the payments provided for herein shall be absolute</w:t>
      </w:r>
      <w:r>
        <w:rPr>
          <w:rFonts w:ascii="Arial" w:cs="Arial" w:eastAsia="Arial" w:hAnsi="Arial"/>
          <w:sz w:val="21"/>
          <w:szCs w:val="21"/>
          <w:b w:val="1"/>
          <w:bCs w:val="1"/>
          <w:color w:val="010000"/>
        </w:rPr>
        <w:t xml:space="preserve"> </w:t>
      </w:r>
      <w:r>
        <w:rPr>
          <w:rFonts w:ascii="Arial" w:cs="Arial" w:eastAsia="Arial" w:hAnsi="Arial"/>
          <w:sz w:val="21"/>
          <w:szCs w:val="21"/>
          <w:color w:val="000000"/>
        </w:rPr>
        <w:t>and unconditional, and shall not be affected by any circumstances, including, without limitation, any offset, counterclaim, recoupment, defense, or other right which the Company may have against the Executive or anyone else.</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Executive shall not be obligated to seek other employment in mitigation of the amounts payable or arrangements made under any provision of this Plan, and except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9.8 </w:t>
      </w:r>
      <w:r>
        <w:rPr>
          <w:rFonts w:ascii="Arial" w:cs="Arial" w:eastAsia="Arial" w:hAnsi="Arial"/>
          <w:sz w:val="22"/>
          <w:szCs w:val="22"/>
          <w:b w:val="1"/>
          <w:bCs w:val="1"/>
          <w:color w:val="000000"/>
        </w:rPr>
        <w:t>Contractual Rights to Benefits</w:t>
      </w:r>
      <w:r>
        <w:rPr>
          <w:rFonts w:ascii="Arial" w:cs="Arial" w:eastAsia="Arial" w:hAnsi="Arial"/>
          <w:sz w:val="22"/>
          <w:szCs w:val="22"/>
          <w:color w:val="000000"/>
        </w:rPr>
        <w:t>. Subject to approval and ratification by the Board, this Plan establishes and vests in</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Executive a contractual right to the benefits to which he or she</w:t>
      </w: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04" w:right="239" w:bottom="1440" w:gutter="0" w:footer="0" w:header="0"/>
        </w:sectPr>
      </w:pPr>
    </w:p>
    <w:bookmarkStart w:id="190" w:name="page191"/>
    <w:bookmarkEnd w:id="190"/>
    <w:p>
      <w:pPr>
        <w:jc w:val="both"/>
        <w:spacing w:after="0" w:line="253" w:lineRule="auto"/>
        <w:rPr>
          <w:sz w:val="20"/>
          <w:szCs w:val="20"/>
          <w:color w:val="auto"/>
        </w:rPr>
      </w:pPr>
      <w:r>
        <w:rPr>
          <w:rFonts w:ascii="Arial" w:cs="Arial" w:eastAsia="Arial" w:hAnsi="Arial"/>
          <w:sz w:val="22"/>
          <w:szCs w:val="22"/>
          <w:color w:val="auto"/>
        </w:rPr>
        <w:t>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010000"/>
        </w:rPr>
        <w:t xml:space="preserve">9.9 </w:t>
      </w:r>
      <w:r>
        <w:rPr>
          <w:rFonts w:ascii="Arial" w:cs="Arial" w:eastAsia="Arial" w:hAnsi="Arial"/>
          <w:sz w:val="21"/>
          <w:szCs w:val="21"/>
          <w:b w:val="1"/>
          <w:bCs w:val="1"/>
          <w:color w:val="000000"/>
        </w:rPr>
        <w:t>Modification</w:t>
      </w:r>
      <w:r>
        <w:rPr>
          <w:rFonts w:ascii="Arial" w:cs="Arial" w:eastAsia="Arial" w:hAnsi="Arial"/>
          <w:sz w:val="21"/>
          <w:szCs w:val="21"/>
          <w:color w:val="000000"/>
        </w:rPr>
        <w:t>. No provision of this Plan may be modified, waived, or discharged with respect to any particular</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6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010000"/>
        </w:rPr>
        <w:t xml:space="preserve">9.10 </w:t>
      </w:r>
      <w:r>
        <w:rPr>
          <w:rFonts w:ascii="Arial" w:cs="Arial" w:eastAsia="Arial" w:hAnsi="Arial"/>
          <w:sz w:val="22"/>
          <w:szCs w:val="22"/>
          <w:b w:val="1"/>
          <w:bCs w:val="1"/>
          <w:color w:val="000000"/>
        </w:rPr>
        <w:t>Gender and Number</w:t>
      </w:r>
      <w:r>
        <w:rPr>
          <w:rFonts w:ascii="Arial" w:cs="Arial" w:eastAsia="Arial" w:hAnsi="Arial"/>
          <w:sz w:val="22"/>
          <w:szCs w:val="22"/>
          <w:color w:val="000000"/>
        </w:rPr>
        <w:t>. Except where otherwise indicated by the context, any masculine term used herein also shall</w:t>
      </w:r>
      <w:r>
        <w:rPr>
          <w:rFonts w:ascii="Arial" w:cs="Arial" w:eastAsia="Arial" w:hAnsi="Arial"/>
          <w:sz w:val="22"/>
          <w:szCs w:val="22"/>
          <w:b w:val="1"/>
          <w:bCs w:val="1"/>
          <w:color w:val="010000"/>
        </w:rPr>
        <w:t xml:space="preserve"> </w:t>
      </w:r>
      <w:r>
        <w:rPr>
          <w:rFonts w:ascii="Arial" w:cs="Arial" w:eastAsia="Arial" w:hAnsi="Arial"/>
          <w:sz w:val="22"/>
          <w:szCs w:val="22"/>
          <w:color w:val="000000"/>
        </w:rPr>
        <w:t>include the feminine; the plural shall include the singular and the singular shall include the plural.</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9.11 </w:t>
      </w:r>
      <w:r>
        <w:rPr>
          <w:rFonts w:ascii="Arial" w:cs="Arial" w:eastAsia="Arial" w:hAnsi="Arial"/>
          <w:sz w:val="22"/>
          <w:szCs w:val="22"/>
          <w:b w:val="1"/>
          <w:bCs w:val="1"/>
          <w:color w:val="000000"/>
        </w:rPr>
        <w:t>Applicable Law</w:t>
      </w:r>
      <w:r>
        <w:rPr>
          <w:rFonts w:ascii="Arial" w:cs="Arial" w:eastAsia="Arial" w:hAnsi="Arial"/>
          <w:sz w:val="22"/>
          <w:szCs w:val="22"/>
          <w:color w:val="000000"/>
        </w:rPr>
        <w:t>. To the extent not preempted by the laws of the United States, the laws of the state of New Jersey</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0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Management Change-in-Control and General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(Amended and Restated as of February 18, 2020)</w:t>
      </w:r>
    </w:p>
    <w:p>
      <w:pPr>
        <w:sectPr>
          <w:pgSz w:w="11900" w:h="16838" w:orient="portrait"/>
          <w:cols w:equalWidth="0" w:num="1">
            <w:col w:w="11420"/>
          </w:cols>
          <w:pgMar w:left="240" w:top="126"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1.</w:t>
      </w:r>
      <w:r>
        <w:rPr>
          <w:rFonts w:ascii="Arial" w:cs="Arial" w:eastAsia="Arial" w:hAnsi="Arial"/>
          <w:sz w:val="22"/>
          <w:szCs w:val="22"/>
          <w:b w:val="1"/>
          <w:bCs w:val="1"/>
          <w:color w:val="000000"/>
        </w:rPr>
        <w:t>Establishment and Term of the Plan 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2.</w:t>
      </w:r>
      <w:r>
        <w:rPr>
          <w:rFonts w:ascii="Arial" w:cs="Arial" w:eastAsia="Arial" w:hAnsi="Arial"/>
          <w:sz w:val="22"/>
          <w:szCs w:val="22"/>
          <w:b w:val="1"/>
          <w:bCs w:val="1"/>
          <w:color w:val="000000"/>
        </w:rPr>
        <w:t>Definitions 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3.</w:t>
      </w:r>
      <w:r>
        <w:rPr>
          <w:rFonts w:ascii="Arial" w:cs="Arial" w:eastAsia="Arial" w:hAnsi="Arial"/>
          <w:sz w:val="22"/>
          <w:szCs w:val="22"/>
          <w:b w:val="1"/>
          <w:bCs w:val="1"/>
          <w:color w:val="000000"/>
        </w:rPr>
        <w:t>Severance Benefits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4.</w:t>
      </w:r>
      <w:r>
        <w:rPr>
          <w:rFonts w:ascii="Arial" w:cs="Arial" w:eastAsia="Arial" w:hAnsi="Arial"/>
          <w:sz w:val="22"/>
          <w:szCs w:val="22"/>
          <w:b w:val="1"/>
          <w:bCs w:val="1"/>
          <w:color w:val="000000"/>
        </w:rPr>
        <w:t>Ineligibility 11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5.</w:t>
      </w:r>
      <w:r>
        <w:rPr>
          <w:rFonts w:ascii="Arial" w:cs="Arial" w:eastAsia="Arial" w:hAnsi="Arial"/>
          <w:sz w:val="22"/>
          <w:szCs w:val="22"/>
          <w:b w:val="1"/>
          <w:bCs w:val="1"/>
          <w:color w:val="000000"/>
        </w:rPr>
        <w:t>Restrictive Covenants 12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6.</w:t>
      </w:r>
      <w:r>
        <w:rPr>
          <w:rFonts w:ascii="Arial" w:cs="Arial" w:eastAsia="Arial" w:hAnsi="Arial"/>
          <w:sz w:val="22"/>
          <w:szCs w:val="22"/>
          <w:b w:val="1"/>
          <w:bCs w:val="1"/>
          <w:color w:val="000000"/>
        </w:rPr>
        <w:t>Certain Change in Control Payments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7.</w:t>
      </w:r>
      <w:r>
        <w:rPr>
          <w:rFonts w:ascii="Arial" w:cs="Arial" w:eastAsia="Arial" w:hAnsi="Arial"/>
          <w:sz w:val="22"/>
          <w:szCs w:val="22"/>
          <w:b w:val="1"/>
          <w:bCs w:val="1"/>
          <w:color w:val="000000"/>
        </w:rPr>
        <w:t>Legal Fees and Notice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8.</w:t>
      </w:r>
      <w:r>
        <w:rPr>
          <w:rFonts w:ascii="Arial" w:cs="Arial" w:eastAsia="Arial" w:hAnsi="Arial"/>
          <w:sz w:val="22"/>
          <w:szCs w:val="22"/>
          <w:b w:val="1"/>
          <w:bCs w:val="1"/>
          <w:color w:val="000000"/>
        </w:rPr>
        <w:t>Successors and Assignment 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9.</w:t>
      </w:r>
      <w:r>
        <w:rPr>
          <w:rFonts w:ascii="Arial" w:cs="Arial" w:eastAsia="Arial" w:hAnsi="Arial"/>
          <w:sz w:val="22"/>
          <w:szCs w:val="22"/>
          <w:b w:val="1"/>
          <w:bCs w:val="1"/>
          <w:color w:val="000000"/>
        </w:rPr>
        <w:t>Miscellaneous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98"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b w:val="1"/>
          <w:bCs w:val="1"/>
          <w:color w:val="auto"/>
        </w:rPr>
        <w:t>Clearway Energy,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Management Change-in-Control and General Severance Plan</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1.</w:t>
      </w:r>
      <w:r>
        <w:rPr>
          <w:sz w:val="20"/>
          <w:szCs w:val="20"/>
          <w:color w:val="auto"/>
        </w:rPr>
        <w:tab/>
      </w:r>
      <w:r>
        <w:rPr>
          <w:rFonts w:ascii="Arial" w:cs="Arial" w:eastAsia="Arial" w:hAnsi="Arial"/>
          <w:sz w:val="19"/>
          <w:szCs w:val="19"/>
          <w:b w:val="1"/>
          <w:bCs w:val="1"/>
          <w:color w:val="auto"/>
        </w:rPr>
        <w:t>Establishment and Term of the Plan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Establishment of the Plan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Clearway Energy, Inc. (hereinafter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originally adopted this Key Management Change-in-Control and General Severance Plan (the “</w:t>
      </w:r>
      <w:r>
        <w:rPr>
          <w:rFonts w:ascii="Arial" w:cs="Arial" w:eastAsia="Arial" w:hAnsi="Arial"/>
          <w:sz w:val="21"/>
          <w:szCs w:val="21"/>
          <w:u w:val="single" w:color="auto"/>
          <w:color w:val="auto"/>
        </w:rPr>
        <w:t>Plan</w:t>
      </w:r>
      <w:r>
        <w:rPr>
          <w:rFonts w:ascii="Arial" w:cs="Arial" w:eastAsia="Arial" w:hAnsi="Arial"/>
          <w:sz w:val="21"/>
          <w:szCs w:val="21"/>
          <w:color w:val="auto"/>
        </w:rPr>
        <w:t>”) effective January 1, 2017. The Plan was amended and restated by the Company as of January 1, 2018, again as of January 1, 2019, and is hereby further amended and restated as of February 18, 2020. The Plan provides Severance Benefits to Vice Presidents and Senior Directors of the Company (each an “</w:t>
      </w:r>
      <w:r>
        <w:rPr>
          <w:rFonts w:ascii="Arial" w:cs="Arial" w:eastAsia="Arial" w:hAnsi="Arial"/>
          <w:sz w:val="21"/>
          <w:szCs w:val="21"/>
          <w:u w:val="single" w:color="auto"/>
          <w:color w:val="auto"/>
        </w:rPr>
        <w:t>Executive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Executives</w:t>
      </w:r>
      <w:r>
        <w:rPr>
          <w:rFonts w:ascii="Arial" w:cs="Arial" w:eastAsia="Arial" w:hAnsi="Arial"/>
          <w:sz w:val="21"/>
          <w:szCs w:val="21"/>
          <w:color w:val="auto"/>
        </w:rPr>
        <w:t>”) upon certain terminations of employment from the Company.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Initial Term</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Plan commenced on January 1, 2017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continue in effect for a period of three (3) years (the “</w:t>
      </w:r>
      <w:r>
        <w:rPr>
          <w:rFonts w:ascii="Arial" w:cs="Arial" w:eastAsia="Arial" w:hAnsi="Arial"/>
          <w:sz w:val="22"/>
          <w:szCs w:val="22"/>
          <w:u w:val="single" w:color="auto"/>
          <w:color w:val="auto"/>
        </w:rPr>
        <w:t>Initial Term</w:t>
      </w:r>
      <w:r>
        <w:rPr>
          <w:rFonts w:ascii="Arial" w:cs="Arial" w:eastAsia="Arial" w:hAnsi="Arial"/>
          <w:sz w:val="22"/>
          <w:szCs w:val="22"/>
          <w:color w:val="auto"/>
        </w:rPr>
        <w: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b w:val="1"/>
          <w:bCs w:val="1"/>
          <w:color w:val="auto"/>
        </w:rPr>
        <w:t>Successive Periods</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Arial" w:cs="Arial" w:eastAsia="Arial" w:hAnsi="Arial"/>
          <w:sz w:val="22"/>
          <w:szCs w:val="22"/>
          <w:u w:val="single" w:color="auto"/>
          <w:color w:val="auto"/>
        </w:rPr>
        <w:t>Successive Period</w:t>
      </w:r>
      <w:r>
        <w:rPr>
          <w:rFonts w:ascii="Arial" w:cs="Arial" w:eastAsia="Arial" w:hAnsi="Arial"/>
          <w:sz w:val="22"/>
          <w:szCs w:val="22"/>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ectPr>
          <w:pgSz w:w="11900" w:h="16838" w:orient="portrait"/>
          <w:cols w:equalWidth="0" w:num="1">
            <w:col w:w="11420"/>
          </w:cols>
          <w:pgMar w:left="240" w:top="599" w:right="239" w:bottom="1440" w:gutter="0" w:footer="0" w:header="0"/>
        </w:sectPr>
      </w:pPr>
    </w:p>
    <w:bookmarkStart w:id="194" w:name="page195"/>
    <w:bookmarkEnd w:id="194"/>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Change-in-Control Renewal</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4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010000"/>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is capitalized.</w:t>
      </w:r>
    </w:p>
    <w:p>
      <w:pPr>
        <w:spacing w:after="0" w:line="169"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b w:val="1"/>
          <w:bCs w:val="1"/>
          <w:color w:val="auto"/>
        </w:rPr>
        <w:t xml:space="preserve">“Accountants”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49" w:lineRule="auto"/>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(i) any subsidiary corporation of the Company (or its successors), (ii) any corporation, trade or</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86" w:lineRule="exact"/>
        <w:rPr>
          <w:rFonts w:ascii="Arial" w:cs="Arial" w:eastAsia="Arial" w:hAnsi="Arial"/>
          <w:sz w:val="22"/>
          <w:szCs w:val="22"/>
          <w:color w:val="010000"/>
        </w:rPr>
      </w:pPr>
    </w:p>
    <w:p>
      <w:pPr>
        <w:ind w:left="1300" w:hanging="644"/>
        <w:spacing w:after="0" w:line="269" w:lineRule="auto"/>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means the greater of the Executive’s annual rate of salary, whether or not deferred, at: (i) the Effective Date of Termination or (ii) at the date of the Change in Control.</w:t>
      </w:r>
    </w:p>
    <w:p>
      <w:pPr>
        <w:spacing w:after="0" w:line="162"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xml:space="preserve">” means the persons or entities designated or deemed designated by the Executive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herein.</w:t>
      </w:r>
    </w:p>
    <w:p>
      <w:pPr>
        <w:spacing w:after="0" w:line="162" w:lineRule="exact"/>
        <w:rPr>
          <w:rFonts w:ascii="Arial" w:cs="Arial" w:eastAsia="Arial" w:hAnsi="Arial"/>
          <w:sz w:val="22"/>
          <w:szCs w:val="22"/>
          <w:color w:val="010000"/>
        </w:rPr>
      </w:pPr>
    </w:p>
    <w:p>
      <w:pPr>
        <w:ind w:left="1300" w:hanging="644"/>
        <w:spacing w:after="0"/>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010000"/>
        </w:rPr>
      </w:pPr>
    </w:p>
    <w:p>
      <w:pPr>
        <w:jc w:val="both"/>
        <w:ind w:left="1300" w:hanging="644"/>
        <w:spacing w:after="0" w:line="252" w:lineRule="auto"/>
        <w:tabs>
          <w:tab w:leader="none" w:pos="130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as to any Executive (i) “Cause”, as defined in any employment, consulting or similar agreement between the participant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86" w:lineRule="exact"/>
        <w:rPr>
          <w:rFonts w:ascii="Arial" w:cs="Arial" w:eastAsia="Arial" w:hAnsi="Arial"/>
          <w:sz w:val="22"/>
          <w:szCs w:val="22"/>
          <w:color w:val="010000"/>
        </w:rPr>
      </w:pPr>
    </w:p>
    <w:p>
      <w:pPr>
        <w:ind w:left="2820" w:hanging="1515"/>
        <w:spacing w:after="0" w:line="253" w:lineRule="auto"/>
        <w:tabs>
          <w:tab w:leader="none" w:pos="1523" w:val="left"/>
        </w:tabs>
        <w:numPr>
          <w:ilvl w:val="1"/>
          <w:numId w:val="95"/>
        </w:numPr>
        <w:rPr>
          <w:rFonts w:ascii="Arial" w:cs="Arial" w:eastAsia="Arial" w:hAnsi="Arial"/>
          <w:sz w:val="22"/>
          <w:szCs w:val="22"/>
          <w:color w:val="010000"/>
        </w:rPr>
      </w:pPr>
      <w:r>
        <w:rPr>
          <w:rFonts w:ascii="Arial" w:cs="Arial" w:eastAsia="Arial" w:hAnsi="Arial"/>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8" w:right="239" w:bottom="1440" w:gutter="0" w:footer="0" w:header="0"/>
        </w:sectPr>
      </w:pPr>
    </w:p>
    <w:bookmarkStart w:id="195" w:name="page196"/>
    <w:bookmarkEnd w:id="195"/>
    <w:p>
      <w:pPr>
        <w:ind w:left="2224" w:hanging="1566"/>
        <w:spacing w:after="0" w:line="26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the Executive’s willful failure to perform the Executive’s duties to the Company or an Affiliate (other than as a</w:t>
      </w:r>
      <w:r>
        <w:rPr>
          <w:rFonts w:ascii="Arial" w:cs="Arial" w:eastAsia="Arial" w:hAnsi="Arial"/>
          <w:sz w:val="22"/>
          <w:szCs w:val="22"/>
          <w:color w:val="010000"/>
        </w:rPr>
        <w:t xml:space="preserve"> </w:t>
      </w:r>
      <w:r>
        <w:rPr>
          <w:rFonts w:ascii="Arial" w:cs="Arial" w:eastAsia="Arial" w:hAnsi="Arial"/>
          <w:sz w:val="22"/>
          <w:szCs w:val="22"/>
          <w:color w:val="000000"/>
        </w:rPr>
        <w:t>result of death or a physical or mental incapacity);</w:t>
      </w:r>
    </w:p>
    <w:p>
      <w:pPr>
        <w:spacing w:after="0" w:line="175" w:lineRule="exact"/>
        <w:rPr>
          <w:sz w:val="20"/>
          <w:szCs w:val="20"/>
          <w:color w:val="auto"/>
        </w:rPr>
      </w:pPr>
    </w:p>
    <w:p>
      <w:pPr>
        <w:ind w:left="2264" w:hanging="1620"/>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indictment for, conviction of, or pleading of guilty or nolo contendere to, a felony or any crime involving moral</w:t>
      </w:r>
      <w:r>
        <w:rPr>
          <w:rFonts w:ascii="Arial" w:cs="Arial" w:eastAsia="Arial" w:hAnsi="Arial"/>
          <w:sz w:val="22"/>
          <w:szCs w:val="22"/>
          <w:color w:val="010000"/>
        </w:rPr>
        <w:t xml:space="preserve"> </w:t>
      </w:r>
      <w:r>
        <w:rPr>
          <w:rFonts w:ascii="Arial" w:cs="Arial" w:eastAsia="Arial" w:hAnsi="Arial"/>
          <w:sz w:val="22"/>
          <w:szCs w:val="22"/>
          <w:color w:val="000000"/>
        </w:rPr>
        <w:t>turpitude;</w:t>
      </w:r>
    </w:p>
    <w:p>
      <w:pPr>
        <w:spacing w:after="0" w:line="175" w:lineRule="exact"/>
        <w:rPr>
          <w:sz w:val="20"/>
          <w:szCs w:val="20"/>
          <w:color w:val="auto"/>
        </w:rPr>
      </w:pPr>
    </w:p>
    <w:p>
      <w:pPr>
        <w:ind w:left="2264" w:hanging="1615"/>
        <w:spacing w:after="0" w:line="287" w:lineRule="auto"/>
        <w:tabs>
          <w:tab w:leader="none" w:pos="967"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the Executive’s performance of any material act of theft, fraud, malfeasance or dishonesty in connection with the performance of the Executive’s duties to the Company or an Affiliate;</w:t>
      </w:r>
    </w:p>
    <w:p>
      <w:pPr>
        <w:spacing w:after="0" w:line="152" w:lineRule="exact"/>
        <w:rPr>
          <w:sz w:val="20"/>
          <w:szCs w:val="20"/>
          <w:color w:val="auto"/>
        </w:rPr>
      </w:pPr>
    </w:p>
    <w:p>
      <w:pPr>
        <w:ind w:left="2204" w:right="20" w:hanging="1552"/>
        <w:spacing w:after="0" w:line="263" w:lineRule="auto"/>
        <w:rPr>
          <w:sz w:val="20"/>
          <w:szCs w:val="20"/>
          <w:color w:val="auto"/>
        </w:rPr>
      </w:pPr>
      <w:r>
        <w:rPr>
          <w:rFonts w:ascii="Arial" w:cs="Arial" w:eastAsia="Arial" w:hAnsi="Arial"/>
          <w:sz w:val="22"/>
          <w:szCs w:val="22"/>
          <w:color w:val="010000"/>
        </w:rPr>
        <w:t>(v)</w:t>
      </w:r>
      <w:r>
        <w:rPr>
          <w:rFonts w:ascii="Arial" w:cs="Arial" w:eastAsia="Arial" w:hAnsi="Arial"/>
          <w:sz w:val="22"/>
          <w:szCs w:val="22"/>
          <w:color w:val="000000"/>
        </w:rPr>
        <w:t>breach of any written agreement between the Executive and the Company or an Affiliate, or a violation of the</w:t>
      </w:r>
      <w:r>
        <w:rPr>
          <w:rFonts w:ascii="Arial" w:cs="Arial" w:eastAsia="Arial" w:hAnsi="Arial"/>
          <w:sz w:val="22"/>
          <w:szCs w:val="22"/>
          <w:color w:val="010000"/>
        </w:rPr>
        <w:t xml:space="preserve"> </w:t>
      </w:r>
      <w:r>
        <w:rPr>
          <w:rFonts w:ascii="Arial" w:cs="Arial" w:eastAsia="Arial" w:hAnsi="Arial"/>
          <w:sz w:val="22"/>
          <w:szCs w:val="22"/>
          <w:color w:val="000000"/>
        </w:rPr>
        <w:t>Company’s code of conduct or other written policy; or</w:t>
      </w:r>
    </w:p>
    <w:p>
      <w:pPr>
        <w:spacing w:after="0" w:line="175" w:lineRule="exact"/>
        <w:rPr>
          <w:sz w:val="20"/>
          <w:szCs w:val="20"/>
          <w:color w:val="auto"/>
        </w:rPr>
      </w:pPr>
    </w:p>
    <w:p>
      <w:pPr>
        <w:ind w:left="1304" w:hanging="655"/>
        <w:spacing w:after="0"/>
        <w:tabs>
          <w:tab w:leader="none" w:pos="1304"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 xml:space="preserve">any other material breach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jc w:val="both"/>
        <w:ind w:left="1304"/>
        <w:spacing w:after="0" w:line="247" w:lineRule="auto"/>
        <w:rPr>
          <w:rFonts w:ascii="Arial" w:cs="Arial" w:eastAsia="Arial" w:hAnsi="Arial"/>
          <w:sz w:val="22"/>
          <w:szCs w:val="22"/>
          <w:color w:val="010000"/>
        </w:rPr>
      </w:pPr>
      <w:r>
        <w:rPr>
          <w:rFonts w:ascii="Arial" w:cs="Arial" w:eastAsia="Arial" w:hAnsi="Arial"/>
          <w:sz w:val="22"/>
          <w:szCs w:val="2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87" w:lineRule="exact"/>
        <w:rPr>
          <w:rFonts w:ascii="Arial" w:cs="Arial" w:eastAsia="Arial" w:hAnsi="Arial"/>
          <w:sz w:val="22"/>
          <w:szCs w:val="22"/>
          <w:color w:val="010000"/>
        </w:rPr>
      </w:pPr>
    </w:p>
    <w:p>
      <w:pPr>
        <w:ind w:left="644" w:hanging="644"/>
        <w:spacing w:after="0"/>
        <w:tabs>
          <w:tab w:leader="none" w:pos="644" w:val="left"/>
        </w:tabs>
        <w:numPr>
          <w:ilvl w:val="0"/>
          <w:numId w:val="98"/>
        </w:numPr>
        <w:rPr>
          <w:rFonts w:ascii="Arial" w:cs="Arial" w:eastAsia="Arial" w:hAnsi="Arial"/>
          <w:sz w:val="22"/>
          <w:szCs w:val="22"/>
          <w:color w:val="010000"/>
        </w:rPr>
      </w:pPr>
      <w:r>
        <w:rPr>
          <w:rFonts w:ascii="Arial" w:cs="Arial" w:eastAsia="Arial" w:hAnsi="Arial"/>
          <w:sz w:val="22"/>
          <w:szCs w:val="22"/>
          <w:b w:val="1"/>
          <w:bCs w:val="1"/>
          <w:color w:val="auto"/>
        </w:rPr>
        <w:t xml:space="preserve">“Change-in-Control Severance Benefits” </w:t>
      </w:r>
      <w:r>
        <w:rPr>
          <w:rFonts w:ascii="Arial" w:cs="Arial" w:eastAsia="Arial" w:hAnsi="Arial"/>
          <w:sz w:val="22"/>
          <w:szCs w:val="22"/>
          <w:color w:val="auto"/>
        </w:rPr>
        <w:t>means the Severance Benefit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first to occur of any of the following events:</w:t>
      </w:r>
    </w:p>
    <w:p>
      <w:pPr>
        <w:spacing w:after="0" w:line="225" w:lineRule="exact"/>
        <w:rPr>
          <w:rFonts w:ascii="Arial" w:cs="Arial" w:eastAsia="Arial" w:hAnsi="Arial"/>
          <w:sz w:val="22"/>
          <w:szCs w:val="22"/>
          <w:color w:val="010000"/>
        </w:rPr>
      </w:pPr>
    </w:p>
    <w:p>
      <w:pPr>
        <w:jc w:val="both"/>
        <w:ind w:left="1304" w:hanging="655"/>
        <w:spacing w:after="0" w:line="246" w:lineRule="auto"/>
        <w:tabs>
          <w:tab w:leader="none" w:pos="1304" w:val="left"/>
        </w:tabs>
        <w:numPr>
          <w:ilvl w:val="1"/>
          <w:numId w:val="98"/>
        </w:numPr>
        <w:rPr>
          <w:rFonts w:ascii="Arial" w:cs="Arial" w:eastAsia="Arial" w:hAnsi="Arial"/>
          <w:sz w:val="22"/>
          <w:szCs w:val="22"/>
          <w:color w:val="010000"/>
        </w:rPr>
      </w:pPr>
      <w:r>
        <w:rPr>
          <w:rFonts w:ascii="Arial" w:cs="Arial" w:eastAsia="Arial" w:hAnsi="Arial"/>
          <w:sz w:val="22"/>
          <w:szCs w:val="22"/>
          <w:color w:val="auto"/>
        </w:rPr>
        <w:t>Any “person” (as that term is used in Sections 13 and 14(d)(2) of the Securities Exchange Act of 1934 (“Exchange Act”))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91" w:lineRule="exact"/>
        <w:rPr>
          <w:rFonts w:ascii="Arial" w:cs="Arial" w:eastAsia="Arial" w:hAnsi="Arial"/>
          <w:sz w:val="22"/>
          <w:szCs w:val="22"/>
          <w:color w:val="010000"/>
        </w:rPr>
      </w:pPr>
    </w:p>
    <w:p>
      <w:pPr>
        <w:ind w:left="1304" w:hanging="655"/>
        <w:spacing w:after="0" w:line="263" w:lineRule="auto"/>
        <w:tabs>
          <w:tab w:leader="none" w:pos="1304" w:val="left"/>
        </w:tabs>
        <w:numPr>
          <w:ilvl w:val="1"/>
          <w:numId w:val="98"/>
        </w:numPr>
        <w:rPr>
          <w:rFonts w:ascii="Arial" w:cs="Arial" w:eastAsia="Arial" w:hAnsi="Arial"/>
          <w:sz w:val="22"/>
          <w:szCs w:val="22"/>
          <w:color w:val="010000"/>
        </w:rPr>
      </w:pPr>
      <w:r>
        <w:rPr>
          <w:rFonts w:ascii="Arial" w:cs="Arial" w:eastAsia="Arial" w:hAnsi="Arial"/>
          <w:sz w:val="22"/>
          <w:szCs w:val="22"/>
          <w:color w:val="auto"/>
        </w:rPr>
        <w:t>Persons who on the Effective Date constitute the Board (the “Incumbent Directors”) cease for any reason, including without limitation, as a result of</w:t>
      </w:r>
    </w:p>
    <w:p>
      <w:pPr>
        <w:spacing w:after="0" w:line="200" w:lineRule="exact"/>
        <w:rPr>
          <w:sz w:val="20"/>
          <w:szCs w:val="20"/>
          <w:color w:val="auto"/>
        </w:rPr>
      </w:pPr>
    </w:p>
    <w:p>
      <w:pPr>
        <w:spacing w:after="0" w:line="34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604" w:right="239" w:bottom="1440" w:gutter="0" w:footer="0" w:header="0"/>
        </w:sectPr>
      </w:pPr>
    </w:p>
    <w:bookmarkStart w:id="196" w:name="page197"/>
    <w:bookmarkEnd w:id="196"/>
    <w:p>
      <w:pPr>
        <w:jc w:val="both"/>
        <w:ind w:left="1304"/>
        <w:spacing w:after="0" w:line="245" w:lineRule="auto"/>
        <w:rPr>
          <w:sz w:val="20"/>
          <w:szCs w:val="20"/>
          <w:color w:val="auto"/>
        </w:rPr>
      </w:pPr>
      <w:r>
        <w:rPr>
          <w:rFonts w:ascii="Arial" w:cs="Arial" w:eastAsia="Arial" w:hAnsi="Arial"/>
          <w:sz w:val="19"/>
          <w:szCs w:val="19"/>
          <w:color w:val="auto"/>
        </w:rPr>
        <w:t>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80" w:lineRule="exact"/>
        <w:rPr>
          <w:sz w:val="20"/>
          <w:szCs w:val="20"/>
          <w:color w:val="auto"/>
        </w:rPr>
      </w:pPr>
    </w:p>
    <w:p>
      <w:pPr>
        <w:jc w:val="both"/>
        <w:ind w:left="1304" w:hanging="655"/>
        <w:spacing w:after="0" w:line="288" w:lineRule="auto"/>
        <w:tabs>
          <w:tab w:leader="none" w:pos="1304"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60" w:lineRule="exact"/>
        <w:rPr>
          <w:rFonts w:ascii="Arial" w:cs="Arial" w:eastAsia="Arial" w:hAnsi="Arial"/>
          <w:sz w:val="19"/>
          <w:szCs w:val="19"/>
          <w:color w:val="010000"/>
        </w:rPr>
      </w:pPr>
    </w:p>
    <w:p>
      <w:pPr>
        <w:ind w:left="1304" w:hanging="655"/>
        <w:spacing w:after="0" w:line="263" w:lineRule="auto"/>
        <w:tabs>
          <w:tab w:leader="none" w:pos="1304" w:val="left"/>
        </w:tabs>
        <w:numPr>
          <w:ilvl w:val="1"/>
          <w:numId w:val="99"/>
        </w:numPr>
        <w:rPr>
          <w:rFonts w:ascii="Arial" w:cs="Arial" w:eastAsia="Arial" w:hAnsi="Arial"/>
          <w:sz w:val="22"/>
          <w:szCs w:val="22"/>
          <w:color w:val="010000"/>
        </w:rPr>
      </w:pPr>
      <w:r>
        <w:rPr>
          <w:rFonts w:ascii="Arial" w:cs="Arial" w:eastAsia="Arial" w:hAnsi="Arial"/>
          <w:sz w:val="22"/>
          <w:szCs w:val="22"/>
          <w:color w:val="auto"/>
        </w:rPr>
        <w:t>The stockholders of the Company approve any plan or proposal for the liquidation or dissolution of the Company.</w:t>
      </w:r>
    </w:p>
    <w:p>
      <w:pPr>
        <w:spacing w:after="0" w:line="168" w:lineRule="exact"/>
        <w:rPr>
          <w:rFonts w:ascii="Arial" w:cs="Arial" w:eastAsia="Arial" w:hAnsi="Arial"/>
          <w:sz w:val="22"/>
          <w:szCs w:val="22"/>
          <w:color w:val="010000"/>
        </w:rPr>
      </w:pPr>
    </w:p>
    <w:p>
      <w:pPr>
        <w:ind w:left="644" w:right="20" w:hanging="644"/>
        <w:spacing w:after="0" w:line="269" w:lineRule="auto"/>
        <w:tabs>
          <w:tab w:leader="none" w:pos="644"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and the treasury regulations and other official guidance promulgated thereunder.</w:t>
      </w:r>
    </w:p>
    <w:p>
      <w:pPr>
        <w:spacing w:after="0" w:line="162" w:lineRule="exact"/>
        <w:rPr>
          <w:rFonts w:ascii="Arial" w:cs="Arial" w:eastAsia="Arial" w:hAnsi="Arial"/>
          <w:sz w:val="22"/>
          <w:szCs w:val="22"/>
          <w:color w:val="010000"/>
        </w:rPr>
      </w:pPr>
    </w:p>
    <w:p>
      <w:pPr>
        <w:ind w:left="644" w:hanging="644"/>
        <w:spacing w:after="0" w:line="269" w:lineRule="auto"/>
        <w:tabs>
          <w:tab w:leader="none" w:pos="644"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any other committee appointed by the Board to perform the functions of the Compensation Committee.</w:t>
      </w:r>
    </w:p>
    <w:p>
      <w:pPr>
        <w:spacing w:after="0" w:line="162" w:lineRule="exact"/>
        <w:rPr>
          <w:rFonts w:ascii="Arial" w:cs="Arial" w:eastAsia="Arial" w:hAnsi="Arial"/>
          <w:sz w:val="22"/>
          <w:szCs w:val="22"/>
          <w:color w:val="010000"/>
        </w:rPr>
      </w:pPr>
    </w:p>
    <w:p>
      <w:pPr>
        <w:ind w:left="644" w:hanging="644"/>
        <w:spacing w:after="0" w:line="269" w:lineRule="auto"/>
        <w:tabs>
          <w:tab w:leader="none" w:pos="644"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Clearway Energy, Inc., a Delaware corporation, or any successor thereto as provided in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herein.</w:t>
      </w:r>
    </w:p>
    <w:p>
      <w:pPr>
        <w:spacing w:after="0" w:line="162" w:lineRule="exact"/>
        <w:rPr>
          <w:rFonts w:ascii="Arial" w:cs="Arial" w:eastAsia="Arial" w:hAnsi="Arial"/>
          <w:sz w:val="22"/>
          <w:szCs w:val="22"/>
          <w:color w:val="010000"/>
        </w:rPr>
      </w:pPr>
    </w:p>
    <w:p>
      <w:pPr>
        <w:ind w:left="644" w:hanging="644"/>
        <w:spacing w:after="0"/>
        <w:tabs>
          <w:tab w:leader="none" w:pos="644" w:val="left"/>
        </w:tabs>
        <w:numPr>
          <w:ilvl w:val="0"/>
          <w:numId w:val="100"/>
        </w:numPr>
        <w:rPr>
          <w:rFonts w:ascii="Arial" w:cs="Arial" w:eastAsia="Arial" w:hAnsi="Arial"/>
          <w:sz w:val="22"/>
          <w:szCs w:val="22"/>
          <w:color w:val="010000"/>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00"/>
        </w:numPr>
        <w:rPr>
          <w:rFonts w:ascii="Arial" w:cs="Arial" w:eastAsia="Arial" w:hAnsi="Arial"/>
          <w:sz w:val="22"/>
          <w:szCs w:val="22"/>
          <w:color w:val="010000"/>
        </w:rPr>
      </w:pPr>
      <w:r>
        <w:rPr>
          <w:rFonts w:ascii="Arial" w:cs="Arial" w:eastAsia="Arial" w:hAnsi="Arial"/>
          <w:sz w:val="22"/>
          <w:szCs w:val="22"/>
          <w:b w:val="1"/>
          <w:bCs w:val="1"/>
          <w:color w:val="auto"/>
        </w:rPr>
        <w:t xml:space="preserve">“Delay Period”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3.4(b)</w:t>
      </w:r>
      <w:r>
        <w:rPr>
          <w:rFonts w:ascii="Arial" w:cs="Arial" w:eastAsia="Arial" w:hAnsi="Arial"/>
          <w:sz w:val="22"/>
          <w:szCs w:val="22"/>
          <w:color w:val="auto"/>
        </w:rPr>
        <w:t>.</w:t>
      </w:r>
    </w:p>
    <w:p>
      <w:pPr>
        <w:spacing w:after="0" w:line="200" w:lineRule="exact"/>
        <w:rPr>
          <w:sz w:val="20"/>
          <w:szCs w:val="20"/>
          <w:color w:val="auto"/>
        </w:rPr>
      </w:pP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577" w:right="239" w:bottom="1440" w:gutter="0" w:footer="0" w:header="0"/>
        </w:sectPr>
      </w:pPr>
    </w:p>
    <w:bookmarkStart w:id="197" w:name="page198"/>
    <w:bookmarkEnd w:id="197"/>
    <w:p>
      <w:pPr>
        <w:ind w:left="644" w:hanging="644"/>
        <w:spacing w:after="0" w:line="269" w:lineRule="auto"/>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shall mean a disability that would entitle Executive to payment of monthly disability payments under any Company long-term disability plan.</w:t>
      </w:r>
    </w:p>
    <w:p>
      <w:pPr>
        <w:spacing w:after="0" w:line="162" w:lineRule="exact"/>
        <w:rPr>
          <w:rFonts w:ascii="Arial" w:cs="Arial" w:eastAsia="Arial" w:hAnsi="Arial"/>
          <w:sz w:val="22"/>
          <w:szCs w:val="22"/>
          <w:color w:val="010000"/>
        </w:rPr>
      </w:pPr>
    </w:p>
    <w:p>
      <w:pPr>
        <w:ind w:left="644" w:hanging="644"/>
        <w:spacing w:after="0"/>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means the commencement date of this Plan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Plan.</w:t>
      </w:r>
    </w:p>
    <w:p>
      <w:pPr>
        <w:spacing w:after="0" w:line="219" w:lineRule="exact"/>
        <w:rPr>
          <w:rFonts w:ascii="Arial" w:cs="Arial" w:eastAsia="Arial" w:hAnsi="Arial"/>
          <w:sz w:val="22"/>
          <w:szCs w:val="22"/>
          <w:color w:val="010000"/>
        </w:rPr>
      </w:pPr>
    </w:p>
    <w:p>
      <w:pPr>
        <w:ind w:left="644" w:hanging="644"/>
        <w:spacing w:after="0" w:line="269" w:lineRule="auto"/>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 of Termination</w:t>
      </w:r>
      <w:r>
        <w:rPr>
          <w:rFonts w:ascii="Arial" w:cs="Arial" w:eastAsia="Arial" w:hAnsi="Arial"/>
          <w:sz w:val="22"/>
          <w:szCs w:val="22"/>
          <w:color w:val="auto"/>
        </w:rPr>
        <w:t>” means the date on which a Qualifying Termination occurs, as defined hereunder, which triggers the payment of Severance Benefits hereunder.</w:t>
      </w:r>
    </w:p>
    <w:p>
      <w:pPr>
        <w:spacing w:after="0" w:line="162" w:lineRule="exact"/>
        <w:rPr>
          <w:rFonts w:ascii="Arial" w:cs="Arial" w:eastAsia="Arial" w:hAnsi="Arial"/>
          <w:sz w:val="22"/>
          <w:szCs w:val="22"/>
          <w:color w:val="010000"/>
        </w:rPr>
      </w:pPr>
    </w:p>
    <w:p>
      <w:pPr>
        <w:ind w:left="644" w:hanging="644"/>
        <w:spacing w:after="0"/>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b w:val="1"/>
          <w:bCs w:val="1"/>
          <w:color w:val="auto"/>
        </w:rPr>
        <w:t xml:space="preserve">“Executive”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line="269" w:lineRule="auto"/>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Former Parent Company</w:t>
      </w:r>
      <w:r>
        <w:rPr>
          <w:rFonts w:ascii="Arial" w:cs="Arial" w:eastAsia="Arial" w:hAnsi="Arial"/>
          <w:sz w:val="22"/>
          <w:szCs w:val="22"/>
          <w:color w:val="auto"/>
        </w:rPr>
        <w:t>” means, collectively, NRG Energy, Inc., a Delaware corporation, Xcel Energy, Inc., a Minnesota corporation, and their affiliates and any successors thereto.</w:t>
      </w:r>
    </w:p>
    <w:p>
      <w:pPr>
        <w:spacing w:after="0" w:line="162" w:lineRule="exact"/>
        <w:rPr>
          <w:rFonts w:ascii="Arial" w:cs="Arial" w:eastAsia="Arial" w:hAnsi="Arial"/>
          <w:sz w:val="22"/>
          <w:szCs w:val="22"/>
          <w:color w:val="010000"/>
        </w:rPr>
      </w:pPr>
    </w:p>
    <w:p>
      <w:pPr>
        <w:ind w:left="644" w:hanging="644"/>
        <w:spacing w:after="0"/>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b w:val="1"/>
          <w:bCs w:val="1"/>
          <w:color w:val="auto"/>
        </w:rPr>
        <w:t xml:space="preserve">“General Severance Benefits” </w:t>
      </w:r>
      <w:r>
        <w:rPr>
          <w:rFonts w:ascii="Arial" w:cs="Arial" w:eastAsia="Arial" w:hAnsi="Arial"/>
          <w:sz w:val="22"/>
          <w:szCs w:val="22"/>
          <w:color w:val="auto"/>
        </w:rPr>
        <w:t>means the Severance Benefit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right="20" w:hanging="644"/>
        <w:spacing w:after="0" w:line="269" w:lineRule="auto"/>
        <w:tabs>
          <w:tab w:leader="none" w:pos="644"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without the Executive’s express written consent the occurrence of any one or more of the following:</w:t>
      </w:r>
    </w:p>
    <w:p>
      <w:pPr>
        <w:spacing w:after="0" w:line="168" w:lineRule="exact"/>
        <w:rPr>
          <w:rFonts w:ascii="Arial" w:cs="Arial" w:eastAsia="Arial" w:hAnsi="Arial"/>
          <w:sz w:val="22"/>
          <w:szCs w:val="22"/>
          <w:color w:val="010000"/>
        </w:rPr>
      </w:pPr>
    </w:p>
    <w:p>
      <w:pPr>
        <w:ind w:left="1304" w:right="20" w:hanging="655"/>
        <w:spacing w:after="0" w:line="263" w:lineRule="auto"/>
        <w:tabs>
          <w:tab w:leader="none" w:pos="1304" w:val="left"/>
        </w:tabs>
        <w:numPr>
          <w:ilvl w:val="1"/>
          <w:numId w:val="101"/>
        </w:numPr>
        <w:rPr>
          <w:rFonts w:ascii="Arial" w:cs="Arial" w:eastAsia="Arial" w:hAnsi="Arial"/>
          <w:sz w:val="22"/>
          <w:szCs w:val="22"/>
          <w:color w:val="010000"/>
        </w:rPr>
      </w:pPr>
      <w:r>
        <w:rPr>
          <w:rFonts w:ascii="Arial" w:cs="Arial" w:eastAsia="Arial" w:hAnsi="Arial"/>
          <w:sz w:val="22"/>
          <w:szCs w:val="22"/>
          <w:color w:val="auto"/>
        </w:rPr>
        <w:t>The Company materially reduces the amount of the Executive’s then current Base Salary or the target for his annual bonus; or</w:t>
      </w:r>
    </w:p>
    <w:p>
      <w:pPr>
        <w:spacing w:after="0" w:line="174" w:lineRule="exact"/>
        <w:rPr>
          <w:rFonts w:ascii="Arial" w:cs="Arial" w:eastAsia="Arial" w:hAnsi="Arial"/>
          <w:sz w:val="22"/>
          <w:szCs w:val="22"/>
          <w:color w:val="010000"/>
        </w:rPr>
      </w:pPr>
    </w:p>
    <w:p>
      <w:pPr>
        <w:jc w:val="both"/>
        <w:ind w:left="1304" w:hanging="655"/>
        <w:spacing w:after="0" w:line="253" w:lineRule="auto"/>
        <w:tabs>
          <w:tab w:leader="none" w:pos="1304" w:val="left"/>
        </w:tabs>
        <w:numPr>
          <w:ilvl w:val="1"/>
          <w:numId w:val="101"/>
        </w:numPr>
        <w:rPr>
          <w:rFonts w:ascii="Arial" w:cs="Arial" w:eastAsia="Arial" w:hAnsi="Arial"/>
          <w:sz w:val="22"/>
          <w:szCs w:val="22"/>
          <w:color w:val="010000"/>
        </w:rPr>
      </w:pPr>
      <w:r>
        <w:rPr>
          <w:rFonts w:ascii="Arial" w:cs="Arial" w:eastAsia="Arial" w:hAnsi="Arial"/>
          <w:sz w:val="22"/>
          <w:szCs w:val="22"/>
          <w:color w:val="auto"/>
        </w:rPr>
        <w:t>A material reduction in the Executive’s benefits under or relative level of participation in the Company’s employee benefit or retirement plans, policies, practices, or arrangements in which the Executive participates as of the Effective Date of this Plan; or</w:t>
      </w:r>
    </w:p>
    <w:p>
      <w:pPr>
        <w:spacing w:after="0" w:line="185" w:lineRule="exact"/>
        <w:rPr>
          <w:rFonts w:ascii="Arial" w:cs="Arial" w:eastAsia="Arial" w:hAnsi="Arial"/>
          <w:sz w:val="22"/>
          <w:szCs w:val="22"/>
          <w:color w:val="010000"/>
        </w:rPr>
      </w:pPr>
    </w:p>
    <w:p>
      <w:pPr>
        <w:ind w:left="1304" w:hanging="655"/>
        <w:spacing w:after="0" w:line="263" w:lineRule="auto"/>
        <w:tabs>
          <w:tab w:leader="none" w:pos="1304" w:val="left"/>
        </w:tabs>
        <w:numPr>
          <w:ilvl w:val="1"/>
          <w:numId w:val="101"/>
        </w:numPr>
        <w:rPr>
          <w:rFonts w:ascii="Arial" w:cs="Arial" w:eastAsia="Arial" w:hAnsi="Arial"/>
          <w:sz w:val="22"/>
          <w:szCs w:val="22"/>
          <w:color w:val="010000"/>
        </w:rPr>
      </w:pPr>
      <w:r>
        <w:rPr>
          <w:rFonts w:ascii="Arial" w:cs="Arial" w:eastAsia="Arial" w:hAnsi="Arial"/>
          <w:sz w:val="22"/>
          <w:szCs w:val="22"/>
          <w:color w:val="auto"/>
        </w:rPr>
        <w:t>A material diminution in the Executive’s title, authority, duties, or responsibilities or the assignment of duties to the Executive which are materially inconsistent with his position; or</w:t>
      </w:r>
    </w:p>
    <w:p>
      <w:pPr>
        <w:spacing w:after="0" w:line="174" w:lineRule="exact"/>
        <w:rPr>
          <w:rFonts w:ascii="Arial" w:cs="Arial" w:eastAsia="Arial" w:hAnsi="Arial"/>
          <w:sz w:val="22"/>
          <w:szCs w:val="22"/>
          <w:color w:val="010000"/>
        </w:rPr>
      </w:pPr>
    </w:p>
    <w:p>
      <w:pPr>
        <w:jc w:val="both"/>
        <w:ind w:left="1304" w:hanging="655"/>
        <w:spacing w:after="0" w:line="271" w:lineRule="auto"/>
        <w:tabs>
          <w:tab w:leader="none" w:pos="1304" w:val="left"/>
        </w:tabs>
        <w:numPr>
          <w:ilvl w:val="1"/>
          <w:numId w:val="101"/>
        </w:numPr>
        <w:rPr>
          <w:rFonts w:ascii="Arial" w:cs="Arial" w:eastAsia="Arial" w:hAnsi="Arial"/>
          <w:sz w:val="21"/>
          <w:szCs w:val="21"/>
          <w:color w:val="010000"/>
        </w:rPr>
      </w:pPr>
      <w:r>
        <w:rPr>
          <w:rFonts w:ascii="Arial" w:cs="Arial" w:eastAsia="Arial" w:hAnsi="Arial"/>
          <w:sz w:val="21"/>
          <w:szCs w:val="21"/>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68" w:lineRule="exact"/>
        <w:rPr>
          <w:sz w:val="20"/>
          <w:szCs w:val="20"/>
          <w:color w:val="auto"/>
        </w:rPr>
      </w:pPr>
    </w:p>
    <w:p>
      <w:pPr>
        <w:jc w:val="both"/>
        <w:ind w:left="644"/>
        <w:spacing w:after="0" w:line="248" w:lineRule="auto"/>
        <w:rPr>
          <w:sz w:val="20"/>
          <w:szCs w:val="20"/>
          <w:color w:val="auto"/>
        </w:rPr>
      </w:pPr>
      <w:r>
        <w:rPr>
          <w:rFonts w:ascii="Arial" w:cs="Arial" w:eastAsia="Arial" w:hAnsi="Arial"/>
          <w:sz w:val="22"/>
          <w:szCs w:val="22"/>
          <w:color w:val="auto"/>
        </w:rPr>
        <w:t>For purposes of this Plan, the Executive is not entitled to assert that his termination is for Good Reason unless the Executive gives the Board written notice of the event or events which are the basis for such claim within ninety (90) days after the event or events occur, describing such claim in reasonably sufficient detail to allow the Board to address the event or events and a period of not less than thirty (30) days after to cure or fully remedy the alleged condition.</w:t>
      </w:r>
    </w:p>
    <w:p>
      <w:pPr>
        <w:spacing w:after="0" w:line="186" w:lineRule="exact"/>
        <w:rPr>
          <w:sz w:val="20"/>
          <w:szCs w:val="20"/>
          <w:color w:val="auto"/>
        </w:rPr>
      </w:pPr>
    </w:p>
    <w:p>
      <w:pPr>
        <w:ind w:left="4964" w:right="4680" w:hanging="4964"/>
        <w:spacing w:after="0" w:line="870" w:lineRule="auto"/>
        <w:tabs>
          <w:tab w:leader="none" w:pos="656" w:val="left"/>
        </w:tabs>
        <w:numPr>
          <w:ilvl w:val="0"/>
          <w:numId w:val="102"/>
        </w:numPr>
        <w:rPr>
          <w:rFonts w:ascii="Arial" w:cs="Arial" w:eastAsia="Arial" w:hAnsi="Arial"/>
          <w:sz w:val="21"/>
          <w:szCs w:val="21"/>
          <w:color w:val="010000"/>
        </w:rPr>
      </w:pPr>
      <w:r>
        <w:rPr>
          <w:rFonts w:ascii="Arial" w:cs="Arial" w:eastAsia="Arial" w:hAnsi="Arial"/>
          <w:sz w:val="21"/>
          <w:szCs w:val="21"/>
          <w:b w:val="1"/>
          <w:bCs w:val="1"/>
          <w:color w:val="auto"/>
        </w:rPr>
        <w:t xml:space="preserve">“Initial Term” </w:t>
      </w:r>
      <w:r>
        <w:rPr>
          <w:rFonts w:ascii="Arial" w:cs="Arial" w:eastAsia="Arial" w:hAnsi="Arial"/>
          <w:sz w:val="21"/>
          <w:szCs w:val="21"/>
          <w:color w:val="auto"/>
        </w:rPr>
        <w:t>shall have the meaning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5</w:t>
      </w:r>
    </w:p>
    <w:p>
      <w:pPr>
        <w:sectPr>
          <w:pgSz w:w="11900" w:h="16838" w:orient="portrait"/>
          <w:cols w:equalWidth="0" w:num="1">
            <w:col w:w="10764"/>
          </w:cols>
          <w:pgMar w:left="896" w:top="598" w:right="239" w:bottom="1440" w:gutter="0" w:footer="0" w:header="0"/>
        </w:sectPr>
      </w:pPr>
    </w:p>
    <w:bookmarkStart w:id="198" w:name="page199"/>
    <w:bookmarkEnd w:id="198"/>
    <w:p>
      <w:pPr>
        <w:ind w:left="644" w:hanging="644"/>
        <w:spacing w:after="0"/>
        <w:tabs>
          <w:tab w:leader="none" w:pos="644" w:val="left"/>
        </w:tabs>
        <w:numPr>
          <w:ilvl w:val="0"/>
          <w:numId w:val="103"/>
        </w:numPr>
        <w:rPr>
          <w:rFonts w:ascii="Arial" w:cs="Arial" w:eastAsia="Arial" w:hAnsi="Arial"/>
          <w:sz w:val="22"/>
          <w:szCs w:val="22"/>
          <w:color w:val="010000"/>
        </w:rPr>
      </w:pPr>
      <w:r>
        <w:rPr>
          <w:rFonts w:ascii="Arial" w:cs="Arial" w:eastAsia="Arial" w:hAnsi="Arial"/>
          <w:sz w:val="22"/>
          <w:szCs w:val="22"/>
          <w:b w:val="1"/>
          <w:bCs w:val="1"/>
          <w:color w:val="auto"/>
        </w:rPr>
        <w:t xml:space="preserve">“Nonsolicitation Period”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5(c)</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44" w:hanging="644"/>
        <w:spacing w:after="0" w:line="274" w:lineRule="auto"/>
        <w:tabs>
          <w:tab w:leader="none" w:pos="644" w:val="left"/>
        </w:tabs>
        <w:numPr>
          <w:ilvl w:val="0"/>
          <w:numId w:val="103"/>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Notice of Termination</w:t>
      </w:r>
      <w:r>
        <w:rPr>
          <w:rFonts w:ascii="Arial" w:cs="Arial" w:eastAsia="Arial" w:hAnsi="Arial"/>
          <w:sz w:val="21"/>
          <w:szCs w:val="21"/>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158" w:lineRule="exact"/>
        <w:rPr>
          <w:rFonts w:ascii="Arial" w:cs="Arial" w:eastAsia="Arial" w:hAnsi="Arial"/>
          <w:sz w:val="21"/>
          <w:szCs w:val="21"/>
          <w:color w:val="010000"/>
        </w:rPr>
      </w:pPr>
    </w:p>
    <w:p>
      <w:pPr>
        <w:ind w:left="644" w:hanging="644"/>
        <w:spacing w:after="0"/>
        <w:tabs>
          <w:tab w:leader="none" w:pos="644" w:val="left"/>
        </w:tabs>
        <w:numPr>
          <w:ilvl w:val="0"/>
          <w:numId w:val="103"/>
        </w:numPr>
        <w:rPr>
          <w:rFonts w:ascii="Arial" w:cs="Arial" w:eastAsia="Arial" w:hAnsi="Arial"/>
          <w:sz w:val="22"/>
          <w:szCs w:val="22"/>
          <w:color w:val="010000"/>
        </w:rPr>
      </w:pPr>
      <w:r>
        <w:rPr>
          <w:rFonts w:ascii="Arial" w:cs="Arial" w:eastAsia="Arial" w:hAnsi="Arial"/>
          <w:sz w:val="22"/>
          <w:szCs w:val="22"/>
          <w:b w:val="1"/>
          <w:bCs w:val="1"/>
          <w:color w:val="auto"/>
        </w:rPr>
        <w:t xml:space="preserve">“Parachute Payment Ratio”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03"/>
        </w:numPr>
        <w:rPr>
          <w:rFonts w:ascii="Arial" w:cs="Arial" w:eastAsia="Arial" w:hAnsi="Arial"/>
          <w:sz w:val="22"/>
          <w:szCs w:val="22"/>
          <w:color w:val="010000"/>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644" w:hanging="644"/>
        <w:spacing w:after="0"/>
        <w:tabs>
          <w:tab w:leader="none" w:pos="644"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w:t>
      </w:r>
    </w:p>
    <w:p>
      <w:pPr>
        <w:spacing w:after="0" w:line="225" w:lineRule="exact"/>
        <w:rPr>
          <w:rFonts w:ascii="Arial" w:cs="Arial" w:eastAsia="Arial" w:hAnsi="Arial"/>
          <w:sz w:val="22"/>
          <w:szCs w:val="22"/>
          <w:color w:val="010000"/>
        </w:rPr>
      </w:pPr>
    </w:p>
    <w:p>
      <w:pPr>
        <w:ind w:left="1304" w:hanging="655"/>
        <w:spacing w:after="0" w:line="263" w:lineRule="auto"/>
        <w:tabs>
          <w:tab w:leader="none" w:pos="1304"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If such event occurs within the time period that is six (6) months immediately prior to, or twelve (12) months immediately following a Change in Control:</w:t>
      </w:r>
    </w:p>
    <w:p>
      <w:pPr>
        <w:spacing w:after="0" w:line="174" w:lineRule="exact"/>
        <w:rPr>
          <w:rFonts w:ascii="Arial" w:cs="Arial" w:eastAsia="Arial" w:hAnsi="Arial"/>
          <w:sz w:val="22"/>
          <w:szCs w:val="22"/>
          <w:color w:val="010000"/>
        </w:rPr>
      </w:pPr>
    </w:p>
    <w:p>
      <w:pPr>
        <w:jc w:val="both"/>
        <w:ind w:left="1944" w:hanging="647"/>
        <w:spacing w:after="0" w:line="253" w:lineRule="auto"/>
        <w:tabs>
          <w:tab w:leader="none" w:pos="1944"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An involuntary termination of the Executive’s employment by the Company for reasons other than Cause, death, or Disability pursuant to a Notice of Termination delivered to the Executive by the Company; or</w:t>
      </w:r>
    </w:p>
    <w:p>
      <w:pPr>
        <w:spacing w:after="0" w:line="185" w:lineRule="exact"/>
        <w:rPr>
          <w:rFonts w:ascii="Arial" w:cs="Arial" w:eastAsia="Arial" w:hAnsi="Arial"/>
          <w:sz w:val="22"/>
          <w:szCs w:val="22"/>
          <w:color w:val="010000"/>
        </w:rPr>
      </w:pPr>
    </w:p>
    <w:p>
      <w:pPr>
        <w:ind w:left="1944" w:right="20" w:hanging="647"/>
        <w:spacing w:after="0" w:line="263" w:lineRule="auto"/>
        <w:tabs>
          <w:tab w:leader="none" w:pos="1944"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A voluntary termination by the Executive for Good Reason pursuant to a Notice of Termination delivered to the Company by the Executive; or</w:t>
      </w:r>
    </w:p>
    <w:p>
      <w:pPr>
        <w:spacing w:after="0" w:line="174" w:lineRule="exact"/>
        <w:rPr>
          <w:rFonts w:ascii="Arial" w:cs="Arial" w:eastAsia="Arial" w:hAnsi="Arial"/>
          <w:sz w:val="22"/>
          <w:szCs w:val="22"/>
          <w:color w:val="010000"/>
        </w:rPr>
      </w:pPr>
    </w:p>
    <w:p>
      <w:pPr>
        <w:ind w:left="1304" w:hanging="655"/>
        <w:spacing w:after="0"/>
        <w:tabs>
          <w:tab w:leader="none" w:pos="1304"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If such event occurs at any other time:</w:t>
      </w:r>
    </w:p>
    <w:p>
      <w:pPr>
        <w:spacing w:after="0" w:line="219" w:lineRule="exact"/>
        <w:rPr>
          <w:rFonts w:ascii="Arial" w:cs="Arial" w:eastAsia="Arial" w:hAnsi="Arial"/>
          <w:sz w:val="22"/>
          <w:szCs w:val="22"/>
          <w:color w:val="010000"/>
        </w:rPr>
      </w:pPr>
    </w:p>
    <w:p>
      <w:pPr>
        <w:ind w:left="1944" w:hanging="647"/>
        <w:spacing w:after="0" w:line="263" w:lineRule="auto"/>
        <w:tabs>
          <w:tab w:leader="none" w:pos="1944" w:val="left"/>
        </w:tabs>
        <w:numPr>
          <w:ilvl w:val="2"/>
          <w:numId w:val="103"/>
        </w:numPr>
        <w:rPr>
          <w:rFonts w:ascii="Arial" w:cs="Arial" w:eastAsia="Arial" w:hAnsi="Arial"/>
          <w:sz w:val="22"/>
          <w:szCs w:val="22"/>
          <w:color w:val="010000"/>
        </w:rPr>
      </w:pPr>
      <w:r>
        <w:rPr>
          <w:rFonts w:ascii="Arial" w:cs="Arial" w:eastAsia="Arial" w:hAnsi="Arial"/>
          <w:sz w:val="22"/>
          <w:szCs w:val="22"/>
          <w:color w:val="auto"/>
        </w:rPr>
        <w:t>An involuntary termination of the Executive’s employment by the Company due to reductions in force or other factors as a result of a Company restructuring.</w:t>
      </w:r>
    </w:p>
    <w:p>
      <w:pPr>
        <w:spacing w:after="0" w:line="169" w:lineRule="exact"/>
        <w:rPr>
          <w:sz w:val="20"/>
          <w:szCs w:val="20"/>
          <w:color w:val="auto"/>
        </w:rPr>
      </w:pPr>
    </w:p>
    <w:p>
      <w:pPr>
        <w:ind w:left="644" w:hanging="644"/>
        <w:spacing w:after="0"/>
        <w:tabs>
          <w:tab w:leader="none" w:pos="644" w:val="left"/>
        </w:tabs>
        <w:numPr>
          <w:ilvl w:val="0"/>
          <w:numId w:val="104"/>
        </w:numPr>
        <w:rPr>
          <w:rFonts w:ascii="Arial" w:cs="Arial" w:eastAsia="Arial" w:hAnsi="Arial"/>
          <w:sz w:val="22"/>
          <w:szCs w:val="22"/>
          <w:color w:val="010000"/>
        </w:rPr>
      </w:pPr>
      <w:r>
        <w:rPr>
          <w:rFonts w:ascii="Arial" w:cs="Arial" w:eastAsia="Arial" w:hAnsi="Arial"/>
          <w:sz w:val="22"/>
          <w:szCs w:val="22"/>
          <w:b w:val="1"/>
          <w:bCs w:val="1"/>
          <w:color w:val="auto"/>
        </w:rPr>
        <w:t xml:space="preserve">“Release Effective Date”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3.1(d).</w:t>
      </w:r>
    </w:p>
    <w:p>
      <w:pPr>
        <w:spacing w:after="0" w:line="219" w:lineRule="exact"/>
        <w:rPr>
          <w:rFonts w:ascii="Arial" w:cs="Arial" w:eastAsia="Arial" w:hAnsi="Arial"/>
          <w:sz w:val="22"/>
          <w:szCs w:val="22"/>
          <w:color w:val="010000"/>
        </w:rPr>
      </w:pPr>
    </w:p>
    <w:p>
      <w:pPr>
        <w:jc w:val="both"/>
        <w:ind w:left="644" w:hanging="644"/>
        <w:spacing w:after="0" w:line="274" w:lineRule="auto"/>
        <w:tabs>
          <w:tab w:leader="none" w:pos="644"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Senior Director</w:t>
      </w:r>
      <w:r>
        <w:rPr>
          <w:rFonts w:ascii="Arial" w:cs="Arial" w:eastAsia="Arial" w:hAnsi="Arial"/>
          <w:sz w:val="21"/>
          <w:szCs w:val="21"/>
          <w:color w:val="auto"/>
        </w:rPr>
        <w:t>” shall include those employees of the Company with the Job Level of Senior Director immediately prior to the Change in Control, or such other employee who is designated as a Senior Director in the Company’s human resources information system immediately prior to the Change in Control.</w:t>
      </w:r>
    </w:p>
    <w:p>
      <w:pPr>
        <w:spacing w:after="0" w:line="158" w:lineRule="exact"/>
        <w:rPr>
          <w:rFonts w:ascii="Arial" w:cs="Arial" w:eastAsia="Arial" w:hAnsi="Arial"/>
          <w:sz w:val="21"/>
          <w:szCs w:val="21"/>
          <w:color w:val="010000"/>
        </w:rPr>
      </w:pPr>
    </w:p>
    <w:p>
      <w:pPr>
        <w:ind w:left="644" w:hanging="644"/>
        <w:spacing w:after="0" w:line="269" w:lineRule="auto"/>
        <w:tabs>
          <w:tab w:leader="none" w:pos="64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Severance Benefits</w:t>
      </w:r>
      <w:r>
        <w:rPr>
          <w:rFonts w:ascii="Arial" w:cs="Arial" w:eastAsia="Arial" w:hAnsi="Arial"/>
          <w:sz w:val="22"/>
          <w:szCs w:val="22"/>
          <w:color w:val="auto"/>
        </w:rPr>
        <w:t xml:space="preserve">” means the payment of Change-in-Control or General (as appropriate) Severance compensation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herein.</w:t>
      </w:r>
    </w:p>
    <w:p>
      <w:pPr>
        <w:spacing w:after="0" w:line="162" w:lineRule="exact"/>
        <w:rPr>
          <w:rFonts w:ascii="Arial" w:cs="Arial" w:eastAsia="Arial" w:hAnsi="Arial"/>
          <w:sz w:val="22"/>
          <w:szCs w:val="22"/>
          <w:color w:val="010000"/>
        </w:rPr>
      </w:pPr>
    </w:p>
    <w:p>
      <w:pPr>
        <w:jc w:val="both"/>
        <w:ind w:left="644" w:hanging="644"/>
        <w:spacing w:after="0" w:line="256" w:lineRule="auto"/>
        <w:tabs>
          <w:tab w:leader="none" w:pos="64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Severance Weeks</w:t>
      </w:r>
      <w:r>
        <w:rPr>
          <w:rFonts w:ascii="Arial" w:cs="Arial" w:eastAsia="Arial" w:hAnsi="Arial"/>
          <w:sz w:val="22"/>
          <w:szCs w:val="22"/>
          <w:color w:val="auto"/>
        </w:rPr>
        <w:t>” means the greater of (i) twenty-four (24) or (ii) the product of one and one half (1.5) and the number of Executive’s Years of Service, provided that the maximum number of Severance Weeks shall be fifty-two (52).</w:t>
      </w:r>
    </w:p>
    <w:p>
      <w:pPr>
        <w:spacing w:after="0" w:line="176" w:lineRule="exact"/>
        <w:rPr>
          <w:rFonts w:ascii="Arial" w:cs="Arial" w:eastAsia="Arial" w:hAnsi="Arial"/>
          <w:sz w:val="22"/>
          <w:szCs w:val="22"/>
          <w:color w:val="010000"/>
        </w:rPr>
      </w:pPr>
    </w:p>
    <w:p>
      <w:pPr>
        <w:ind w:left="644" w:hanging="644"/>
        <w:spacing w:after="0"/>
        <w:tabs>
          <w:tab w:leader="none" w:pos="64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Specified Employee</w:t>
      </w:r>
      <w:r>
        <w:rPr>
          <w:rFonts w:ascii="Arial" w:cs="Arial" w:eastAsia="Arial" w:hAnsi="Arial"/>
          <w:sz w:val="22"/>
          <w:szCs w:val="22"/>
          <w:color w:val="auto"/>
        </w:rPr>
        <w:t>” means any Executive described in Code Section 409A(a)(2)(B)(i).</w:t>
      </w:r>
    </w:p>
    <w:p>
      <w:pPr>
        <w:spacing w:after="0" w:line="200" w:lineRule="exact"/>
        <w:rPr>
          <w:sz w:val="20"/>
          <w:szCs w:val="20"/>
          <w:color w:val="auto"/>
        </w:rPr>
      </w:pP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598" w:right="239" w:bottom="1440" w:gutter="0" w:footer="0" w:header="0"/>
        </w:sectPr>
      </w:pPr>
    </w:p>
    <w:bookmarkStart w:id="199" w:name="page200"/>
    <w:bookmarkEnd w:id="199"/>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b w:val="1"/>
          <w:bCs w:val="1"/>
          <w:color w:val="auto"/>
        </w:rPr>
        <w:t xml:space="preserve">“Successive Periods”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b w:val="1"/>
          <w:bCs w:val="1"/>
          <w:color w:val="auto"/>
        </w:rPr>
        <w:t xml:space="preserve">“Third Party Information”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5(a)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56" w:lineRule="auto"/>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Vice President</w:t>
      </w:r>
      <w:r>
        <w:rPr>
          <w:rFonts w:ascii="Arial" w:cs="Arial" w:eastAsia="Arial" w:hAnsi="Arial"/>
          <w:sz w:val="22"/>
          <w:szCs w:val="22"/>
          <w:color w:val="auto"/>
        </w:rPr>
        <w:t>” shall include those employees of the Company with the Job Level of VP immediately prior to the Change in Control, or such other employee who is designated as a VP in the Company’s human resources information system immediately prior to the Change in Control.</w:t>
      </w:r>
    </w:p>
    <w:p>
      <w:pPr>
        <w:spacing w:after="0" w:line="176"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Weekly Compensation</w:t>
      </w:r>
      <w:r>
        <w:rPr>
          <w:rFonts w:ascii="Arial" w:cs="Arial" w:eastAsia="Arial" w:hAnsi="Arial"/>
          <w:sz w:val="22"/>
          <w:szCs w:val="22"/>
          <w:color w:val="auto"/>
        </w:rPr>
        <w:t>” means the Executive’s Base Salary divided by fifty-two (52).</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b w:val="1"/>
          <w:bCs w:val="1"/>
          <w:color w:val="auto"/>
        </w:rPr>
        <w:t xml:space="preserve">“Total Payments”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b w:val="1"/>
          <w:bCs w:val="1"/>
          <w:color w:val="auto"/>
        </w:rPr>
        <w:t xml:space="preserve">“Work Product” </w:t>
      </w:r>
      <w:r>
        <w:rPr>
          <w:rFonts w:ascii="Arial" w:cs="Arial" w:eastAsia="Arial" w:hAnsi="Arial"/>
          <w:sz w:val="22"/>
          <w:szCs w:val="22"/>
          <w:color w:val="auto"/>
        </w:rPr>
        <w:t>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5(b)</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hanging="644"/>
        <w:spacing w:after="0" w:line="293" w:lineRule="auto"/>
        <w:tabs>
          <w:tab w:leader="none" w:pos="1300" w:val="left"/>
        </w:tabs>
        <w:numPr>
          <w:ilvl w:val="0"/>
          <w:numId w:val="105"/>
        </w:numPr>
        <w:rPr>
          <w:rFonts w:ascii="Arial" w:cs="Arial" w:eastAsia="Arial" w:hAnsi="Arial"/>
          <w:sz w:val="19"/>
          <w:szCs w:val="19"/>
          <w:color w:val="010000"/>
        </w:rPr>
      </w:pPr>
      <w:r>
        <w:rPr>
          <w:rFonts w:ascii="Arial" w:cs="Arial" w:eastAsia="Arial" w:hAnsi="Arial"/>
          <w:sz w:val="19"/>
          <w:szCs w:val="19"/>
          <w:b w:val="1"/>
          <w:bCs w:val="1"/>
          <w:color w:val="auto"/>
        </w:rPr>
        <w:t xml:space="preserve">“Year of Service” </w:t>
      </w:r>
      <w:r>
        <w:rPr>
          <w:rFonts w:ascii="Arial" w:cs="Arial" w:eastAsia="Arial" w:hAnsi="Arial"/>
          <w:sz w:val="19"/>
          <w:szCs w:val="19"/>
          <w:color w:val="auto"/>
        </w:rPr>
        <w:t>shall mean an Executive’s completed and partial calendar years of continuous service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its Affiliates (including with any predecessor thereof). Years of Service shall include time on a leave of absence to the extent required by law. Years of Service shall not include any accrued but unused paid time off benefits as of the Executive’s Qualifying Termination. Service as a temporary or temporary/part-time employee will not be considered a termination or interruption of employment, but will not count toward Years of Service. Years of Service will terminate on the Executive’s Qualifying Termination. An Executive who terminates employment and is rehired by the Company or an Affiliate will not receive credit for any prior Years of Service.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3.</w:t>
      </w:r>
      <w:r>
        <w:rPr>
          <w:rFonts w:ascii="Arial" w:cs="Arial" w:eastAsia="Arial" w:hAnsi="Arial"/>
          <w:sz w:val="22"/>
          <w:szCs w:val="22"/>
          <w:b w:val="1"/>
          <w:bCs w:val="1"/>
          <w:color w:val="000000"/>
        </w:rPr>
        <w:t>Severance Benefits</w:t>
      </w:r>
    </w:p>
    <w:p>
      <w:pPr>
        <w:spacing w:after="0" w:line="220"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b w:val="1"/>
          <w:bCs w:val="1"/>
          <w:color w:val="auto"/>
        </w:rPr>
        <w:t>Right to Severance Benefits Change-in-Control Severance Benefits</w:t>
      </w:r>
      <w:r>
        <w:rPr>
          <w:rFonts w:ascii="Arial" w:cs="Arial" w:eastAsia="Arial" w:hAnsi="Arial"/>
          <w:sz w:val="22"/>
          <w:szCs w:val="22"/>
          <w:color w:val="auto"/>
        </w:rPr>
        <w:t>. The Executive shall be entitled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from the Company Change-in-Control Severance Benefits, as described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if a Qualifying Termination of the Executive’s employment has occurred within six (6) months immediately prior to, or twelve (12) months immediately following, a Change in Control of the Company.</w:t>
      </w:r>
    </w:p>
    <w:p>
      <w:pPr>
        <w:spacing w:after="0" w:line="180" w:lineRule="exact"/>
        <w:rPr>
          <w:sz w:val="20"/>
          <w:szCs w:val="20"/>
          <w:color w:val="auto"/>
        </w:rPr>
      </w:pPr>
    </w:p>
    <w:p>
      <w:pPr>
        <w:jc w:val="both"/>
        <w:ind w:left="1300" w:hanging="644"/>
        <w:spacing w:after="0" w:line="252" w:lineRule="auto"/>
        <w:tabs>
          <w:tab w:leader="none" w:pos="1300" w:val="left"/>
        </w:tabs>
        <w:numPr>
          <w:ilvl w:val="0"/>
          <w:numId w:val="106"/>
        </w:numPr>
        <w:rPr>
          <w:rFonts w:ascii="Arial" w:cs="Arial" w:eastAsia="Arial" w:hAnsi="Arial"/>
          <w:sz w:val="22"/>
          <w:szCs w:val="22"/>
          <w:color w:val="010000"/>
        </w:rPr>
      </w:pPr>
      <w:r>
        <w:rPr>
          <w:rFonts w:ascii="Arial" w:cs="Arial" w:eastAsia="Arial" w:hAnsi="Arial"/>
          <w:sz w:val="22"/>
          <w:szCs w:val="22"/>
          <w:b w:val="1"/>
          <w:bCs w:val="1"/>
          <w:color w:val="auto"/>
        </w:rPr>
        <w:t>General Severance Benefits</w:t>
      </w:r>
      <w:r>
        <w:rPr>
          <w:rFonts w:ascii="Arial" w:cs="Arial" w:eastAsia="Arial" w:hAnsi="Arial"/>
          <w:sz w:val="22"/>
          <w:szCs w:val="22"/>
          <w:color w:val="auto"/>
        </w:rPr>
        <w:t>. The Executive shall be entitled to receive from the Company General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Benefits, as described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if a Qualifying Termination of the Executive’s employment has occurred other than during the six (6) months immediately prior to, or twelve (12) months immediately following, a Change in Control.</w:t>
      </w:r>
    </w:p>
    <w:p>
      <w:pPr>
        <w:spacing w:after="0" w:line="180" w:lineRule="exact"/>
        <w:rPr>
          <w:rFonts w:ascii="Arial" w:cs="Arial" w:eastAsia="Arial" w:hAnsi="Arial"/>
          <w:sz w:val="22"/>
          <w:szCs w:val="22"/>
          <w:color w:val="010000"/>
        </w:rPr>
      </w:pPr>
    </w:p>
    <w:p>
      <w:pPr>
        <w:ind w:left="1300" w:right="20" w:hanging="644"/>
        <w:spacing w:after="0" w:line="269" w:lineRule="auto"/>
        <w:tabs>
          <w:tab w:leader="none" w:pos="1300" w:val="left"/>
        </w:tabs>
        <w:numPr>
          <w:ilvl w:val="0"/>
          <w:numId w:val="106"/>
        </w:numPr>
        <w:rPr>
          <w:rFonts w:ascii="Arial" w:cs="Arial" w:eastAsia="Arial" w:hAnsi="Arial"/>
          <w:sz w:val="22"/>
          <w:szCs w:val="22"/>
          <w:color w:val="010000"/>
        </w:rPr>
      </w:pPr>
      <w:r>
        <w:rPr>
          <w:rFonts w:ascii="Arial" w:cs="Arial" w:eastAsia="Arial" w:hAnsi="Arial"/>
          <w:sz w:val="22"/>
          <w:szCs w:val="22"/>
          <w:b w:val="1"/>
          <w:bCs w:val="1"/>
          <w:color w:val="auto"/>
        </w:rPr>
        <w:t>No Severance Benefits</w:t>
      </w:r>
      <w:r>
        <w:rPr>
          <w:rFonts w:ascii="Arial" w:cs="Arial" w:eastAsia="Arial" w:hAnsi="Arial"/>
          <w:sz w:val="22"/>
          <w:szCs w:val="22"/>
          <w:color w:val="auto"/>
        </w:rPr>
        <w:t>. The Executive shall not be entitled to receive Severance Benefits if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ends for reasons other than a Qualifying Termination.</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8" w:right="239" w:bottom="1440" w:gutter="0" w:footer="0" w:header="0"/>
        </w:sectPr>
      </w:pPr>
    </w:p>
    <w:bookmarkStart w:id="200" w:name="page201"/>
    <w:bookmarkEnd w:id="200"/>
    <w:p>
      <w:pPr>
        <w:jc w:val="both"/>
        <w:ind w:left="644" w:hanging="644"/>
        <w:spacing w:after="0" w:line="288" w:lineRule="auto"/>
        <w:tabs>
          <w:tab w:leader="none" w:pos="644" w:val="left"/>
        </w:tabs>
        <w:numPr>
          <w:ilvl w:val="0"/>
          <w:numId w:val="107"/>
        </w:numPr>
        <w:rPr>
          <w:rFonts w:ascii="Arial" w:cs="Arial" w:eastAsia="Arial" w:hAnsi="Arial"/>
          <w:sz w:val="19"/>
          <w:szCs w:val="19"/>
          <w:color w:val="010000"/>
        </w:rPr>
      </w:pPr>
      <w:r>
        <w:rPr>
          <w:rFonts w:ascii="Arial" w:cs="Arial" w:eastAsia="Arial" w:hAnsi="Arial"/>
          <w:sz w:val="19"/>
          <w:szCs w:val="19"/>
          <w:b w:val="1"/>
          <w:bCs w:val="1"/>
          <w:color w:val="auto"/>
        </w:rPr>
        <w:t>General Release and Acknowledgement of Restrictive Covenants</w:t>
      </w:r>
      <w:r>
        <w:rPr>
          <w:rFonts w:ascii="Arial" w:cs="Arial" w:eastAsia="Arial" w:hAnsi="Arial"/>
          <w:sz w:val="19"/>
          <w:szCs w:val="19"/>
          <w:color w:val="auto"/>
        </w:rPr>
        <w:t>. As a condition to receiving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Benefits under either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9"/>
          <w:szCs w:val="19"/>
          <w:u w:val="single" w:color="auto"/>
          <w:color w:val="auto"/>
        </w:rPr>
        <w:t>Release Effective Date</w:t>
      </w:r>
      <w:r>
        <w:rPr>
          <w:rFonts w:ascii="Arial" w:cs="Arial" w:eastAsia="Arial" w:hAnsi="Arial"/>
          <w:sz w:val="19"/>
          <w:szCs w:val="19"/>
          <w:color w:val="auto"/>
        </w:rPr>
        <w:t xml:space="preserve">”. The Executive must also execute a notice acknowledging the restrictive covenants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within sixty (60) days of the date of termination. Any payments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shall commence only after execution of the release and acknowledgement, and in the manner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jc w:val="both"/>
        <w:ind w:left="644" w:hanging="644"/>
        <w:spacing w:after="0" w:line="286" w:lineRule="auto"/>
        <w:tabs>
          <w:tab w:leader="none" w:pos="644" w:val="left"/>
        </w:tabs>
        <w:numPr>
          <w:ilvl w:val="0"/>
          <w:numId w:val="107"/>
        </w:numPr>
        <w:rPr>
          <w:rFonts w:ascii="Arial" w:cs="Arial" w:eastAsia="Arial" w:hAnsi="Arial"/>
          <w:sz w:val="19"/>
          <w:szCs w:val="19"/>
          <w:color w:val="010000"/>
        </w:rPr>
      </w:pPr>
      <w:r>
        <w:rPr>
          <w:rFonts w:ascii="Arial" w:cs="Arial" w:eastAsia="Arial" w:hAnsi="Arial"/>
          <w:sz w:val="19"/>
          <w:szCs w:val="19"/>
          <w:b w:val="1"/>
          <w:bCs w:val="1"/>
          <w:color w:val="auto"/>
        </w:rPr>
        <w:t>No Duplication of Severance Benefits; Reduction of Other Benefits</w:t>
      </w:r>
      <w:r>
        <w:rPr>
          <w:rFonts w:ascii="Arial" w:cs="Arial" w:eastAsia="Arial" w:hAnsi="Arial"/>
          <w:sz w:val="19"/>
          <w:szCs w:val="19"/>
          <w:color w:val="auto"/>
        </w:rPr>
        <w:t>. If the Executive becomes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Change-in-Control Severance Benefits, the Severance Benefits provided for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herein. Likewise, if the Executive becomes entitled to General Severance Benefits, the Severance Benefits provided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 overpayment against any amount owed to the Executive (other than any amount that constitutes “deferred compensation” for purposes of Code Section 409A).</w:t>
      </w:r>
    </w:p>
    <w:p>
      <w:pPr>
        <w:spacing w:after="0" w:line="200" w:lineRule="exact"/>
        <w:rPr>
          <w:sz w:val="20"/>
          <w:szCs w:val="20"/>
          <w:color w:val="auto"/>
        </w:rPr>
      </w:pPr>
    </w:p>
    <w:p>
      <w:pPr>
        <w:spacing w:after="0" w:line="326"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598" w:right="239" w:bottom="1440" w:gutter="0" w:footer="0" w:header="0"/>
        </w:sectPr>
      </w:pPr>
    </w:p>
    <w:bookmarkStart w:id="201" w:name="page202"/>
    <w:bookmarkEnd w:id="201"/>
    <w:p>
      <w:pPr>
        <w:ind w:left="4"/>
        <w:spacing w:after="0"/>
        <w:tabs>
          <w:tab w:leader="none" w:pos="623"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Description of Change-in-Control Severance Benefits</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19"/>
          <w:szCs w:val="19"/>
          <w:color w:val="auto"/>
        </w:rPr>
        <w:t xml:space="preserve">In the event the Executive becomes entitled to receive Change-in-Control Severance Benefits, as provided in </w:t>
      </w:r>
      <w:r>
        <w:rPr>
          <w:rFonts w:ascii="Arial" w:cs="Arial" w:eastAsia="Arial" w:hAnsi="Arial"/>
          <w:sz w:val="19"/>
          <w:szCs w:val="19"/>
          <w:u w:val="single" w:color="auto"/>
          <w:color w:val="auto"/>
        </w:rPr>
        <w:t>Section</w:t>
      </w:r>
    </w:p>
    <w:p>
      <w:pPr>
        <w:spacing w:after="0" w:line="56" w:lineRule="exact"/>
        <w:rPr>
          <w:sz w:val="20"/>
          <w:szCs w:val="20"/>
          <w:color w:val="auto"/>
        </w:rPr>
      </w:pPr>
    </w:p>
    <w:p>
      <w:pPr>
        <w:ind w:left="644"/>
        <w:spacing w:after="0"/>
        <w:rPr>
          <w:sz w:val="20"/>
          <w:szCs w:val="20"/>
          <w:color w:val="auto"/>
        </w:rPr>
      </w:pPr>
      <w:r>
        <w:rPr>
          <w:rFonts w:ascii="Arial" w:cs="Arial" w:eastAsia="Arial" w:hAnsi="Arial"/>
          <w:sz w:val="22"/>
          <w:szCs w:val="22"/>
          <w:u w:val="single" w:color="auto"/>
          <w:color w:val="auto"/>
        </w:rPr>
        <w:t>3.1(a)</w:t>
      </w:r>
      <w:r>
        <w:rPr>
          <w:rFonts w:ascii="Arial" w:cs="Arial" w:eastAsia="Arial" w:hAnsi="Arial"/>
          <w:sz w:val="22"/>
          <w:szCs w:val="22"/>
          <w:color w:val="auto"/>
        </w:rPr>
        <w:t xml:space="preserve"> herein, the Company shall provide the Executive with the following:</w:t>
      </w:r>
    </w:p>
    <w:p>
      <w:pPr>
        <w:spacing w:after="0" w:line="202" w:lineRule="exact"/>
        <w:rPr>
          <w:sz w:val="20"/>
          <w:szCs w:val="20"/>
          <w:color w:val="auto"/>
        </w:rPr>
      </w:pPr>
    </w:p>
    <w:p>
      <w:pPr>
        <w:jc w:val="both"/>
        <w:ind w:left="644" w:hanging="644"/>
        <w:spacing w:after="0" w:line="259" w:lineRule="auto"/>
        <w:tabs>
          <w:tab w:leader="none" w:pos="644"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4" w:lineRule="exact"/>
        <w:rPr>
          <w:rFonts w:ascii="Arial" w:cs="Arial" w:eastAsia="Arial" w:hAnsi="Arial"/>
          <w:sz w:val="21"/>
          <w:szCs w:val="21"/>
          <w:color w:val="010000"/>
        </w:rPr>
      </w:pPr>
    </w:p>
    <w:p>
      <w:pPr>
        <w:jc w:val="both"/>
        <w:ind w:left="644" w:hanging="644"/>
        <w:spacing w:after="0" w:line="259" w:lineRule="auto"/>
        <w:tabs>
          <w:tab w:leader="none" w:pos="644"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(i) one and one-half (1.5) for VPs, (ii) one (1) for Senior Directors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4" w:lineRule="exact"/>
        <w:rPr>
          <w:rFonts w:ascii="Arial" w:cs="Arial" w:eastAsia="Arial" w:hAnsi="Arial"/>
          <w:sz w:val="21"/>
          <w:szCs w:val="21"/>
          <w:color w:val="010000"/>
        </w:rPr>
      </w:pPr>
    </w:p>
    <w:p>
      <w:pPr>
        <w:jc w:val="both"/>
        <w:ind w:left="644" w:hanging="644"/>
        <w:spacing w:after="0" w:line="289" w:lineRule="auto"/>
        <w:tabs>
          <w:tab w:leader="none" w:pos="644"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3.2(c)</w:t>
      </w:r>
      <w:r>
        <w:rPr>
          <w:rFonts w:ascii="Arial" w:cs="Arial" w:eastAsia="Arial" w:hAnsi="Arial"/>
          <w:sz w:val="19"/>
          <w:szCs w:val="19"/>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57" w:lineRule="exact"/>
        <w:rPr>
          <w:rFonts w:ascii="Arial" w:cs="Arial" w:eastAsia="Arial" w:hAnsi="Arial"/>
          <w:sz w:val="19"/>
          <w:szCs w:val="19"/>
          <w:color w:val="010000"/>
        </w:rPr>
      </w:pPr>
    </w:p>
    <w:p>
      <w:pPr>
        <w:jc w:val="both"/>
        <w:ind w:left="644" w:hanging="644"/>
        <w:spacing w:after="0" w:line="253" w:lineRule="auto"/>
        <w:tabs>
          <w:tab w:leader="none" w:pos="644"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Payment for all or a portion of the Executive’s cost to participate in COBRA medical and dental continuation coverage for a period equal to (i) eighteen (18) months for VPs and (ii) twelve (12) months for Senior Directors, in each case following the</w:t>
      </w:r>
    </w:p>
    <w:p>
      <w:pPr>
        <w:spacing w:after="0" w:line="200" w:lineRule="exact"/>
        <w:rPr>
          <w:sz w:val="20"/>
          <w:szCs w:val="20"/>
          <w:color w:val="auto"/>
        </w:rPr>
      </w:pPr>
    </w:p>
    <w:p>
      <w:pPr>
        <w:spacing w:after="0" w:line="351"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598" w:right="239" w:bottom="1440" w:gutter="0" w:footer="0" w:header="0"/>
        </w:sectPr>
      </w:pPr>
    </w:p>
    <w:bookmarkStart w:id="202" w:name="page203"/>
    <w:bookmarkEnd w:id="202"/>
    <w:p>
      <w:pPr>
        <w:jc w:val="both"/>
        <w:ind w:left="644" w:right="20"/>
        <w:spacing w:after="0" w:line="247" w:lineRule="auto"/>
        <w:rPr>
          <w:sz w:val="20"/>
          <w:szCs w:val="20"/>
          <w:color w:val="auto"/>
        </w:rPr>
      </w:pPr>
      <w:r>
        <w:rPr>
          <w:rFonts w:ascii="Arial" w:cs="Arial" w:eastAsia="Arial" w:hAnsi="Arial"/>
          <w:sz w:val="21"/>
          <w:szCs w:val="21"/>
          <w:color w:val="auto"/>
        </w:rPr>
        <w:t>Executive’s Effective Date of Termination, such that Executive maintains the same coverage level and cost, on an after tax basis, as in effect immediately prior to the Executive’s Effective Date of Termination.</w:t>
      </w:r>
    </w:p>
    <w:p>
      <w:pPr>
        <w:spacing w:after="0" w:line="178" w:lineRule="exact"/>
        <w:rPr>
          <w:sz w:val="20"/>
          <w:szCs w:val="20"/>
          <w:color w:val="auto"/>
        </w:rPr>
      </w:pPr>
    </w:p>
    <w:p>
      <w:pPr>
        <w:jc w:val="both"/>
        <w:ind w:left="644"/>
        <w:spacing w:after="0" w:line="259" w:lineRule="auto"/>
        <w:rPr>
          <w:sz w:val="20"/>
          <w:szCs w:val="20"/>
          <w:color w:val="auto"/>
        </w:rPr>
      </w:pPr>
      <w:r>
        <w:rPr>
          <w:rFonts w:ascii="Arial" w:cs="Arial" w:eastAsia="Arial" w:hAnsi="Arial"/>
          <w:sz w:val="21"/>
          <w:szCs w:val="21"/>
          <w:color w:val="auto"/>
        </w:rPr>
        <w:t>Notwithstanding the above, these medical and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78"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Description of General Severance Benefits</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19"/>
          <w:szCs w:val="19"/>
          <w:color w:val="auto"/>
        </w:rPr>
        <w:t xml:space="preserve">In the event the Executive becomes entitled to receive General Severance Benefits as provided in </w:t>
      </w:r>
      <w:r>
        <w:rPr>
          <w:rFonts w:ascii="Arial" w:cs="Arial" w:eastAsia="Arial" w:hAnsi="Arial"/>
          <w:sz w:val="19"/>
          <w:szCs w:val="19"/>
          <w:u w:val="single" w:color="auto"/>
          <w:color w:val="auto"/>
        </w:rPr>
        <w:t>Section 3.1(b)</w:t>
      </w:r>
    </w:p>
    <w:p>
      <w:pPr>
        <w:spacing w:after="0" w:line="5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herein, the Company shall provide the Executive with the following:</w:t>
      </w:r>
    </w:p>
    <w:p>
      <w:pPr>
        <w:spacing w:after="0" w:line="202" w:lineRule="exact"/>
        <w:rPr>
          <w:sz w:val="20"/>
          <w:szCs w:val="20"/>
          <w:color w:val="auto"/>
        </w:rPr>
      </w:pPr>
    </w:p>
    <w:p>
      <w:pPr>
        <w:jc w:val="both"/>
        <w:ind w:left="644" w:hanging="644"/>
        <w:spacing w:after="0" w:line="259" w:lineRule="auto"/>
        <w:tabs>
          <w:tab w:leader="none" w:pos="644" w:val="left"/>
        </w:tabs>
        <w:numPr>
          <w:ilvl w:val="0"/>
          <w:numId w:val="109"/>
        </w:numPr>
        <w:rPr>
          <w:rFonts w:ascii="Arial" w:cs="Arial" w:eastAsia="Arial" w:hAnsi="Arial"/>
          <w:sz w:val="21"/>
          <w:szCs w:val="21"/>
          <w:color w:val="010000"/>
        </w:rPr>
      </w:pPr>
      <w:r>
        <w:rPr>
          <w:rFonts w:ascii="Arial" w:cs="Arial" w:eastAsia="Arial" w:hAnsi="Arial"/>
          <w:sz w:val="21"/>
          <w:szCs w:val="21"/>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4" w:lineRule="exact"/>
        <w:rPr>
          <w:rFonts w:ascii="Arial" w:cs="Arial" w:eastAsia="Arial" w:hAnsi="Arial"/>
          <w:sz w:val="21"/>
          <w:szCs w:val="21"/>
          <w:color w:val="010000"/>
        </w:rPr>
      </w:pPr>
    </w:p>
    <w:p>
      <w:pPr>
        <w:jc w:val="both"/>
        <w:ind w:left="644" w:hanging="644"/>
        <w:spacing w:after="0" w:line="246" w:lineRule="auto"/>
        <w:tabs>
          <w:tab w:leader="none" w:pos="644"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 xml:space="preserve">A lump-sum amount, paid upon the date that is sixty (60) calendar days following the Effective Date of Termination, equal to the product of (i) the Executive’s Weekly Compensation and (ii) the Executive’s Severance Weeks; provided that to the extent the payment of any amounts pursuant to this </w:t>
      </w:r>
      <w:r>
        <w:rPr>
          <w:rFonts w:ascii="Arial" w:cs="Arial" w:eastAsia="Arial" w:hAnsi="Arial"/>
          <w:sz w:val="22"/>
          <w:szCs w:val="22"/>
          <w:u w:val="single" w:color="auto"/>
          <w:color w:val="auto"/>
        </w:rPr>
        <w:t>Section 3.3(b)</w:t>
      </w:r>
      <w:r>
        <w:rPr>
          <w:rFonts w:ascii="Arial" w:cs="Arial" w:eastAsia="Arial" w:hAnsi="Arial"/>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97" w:lineRule="exact"/>
        <w:rPr>
          <w:rFonts w:ascii="Arial" w:cs="Arial" w:eastAsia="Arial" w:hAnsi="Arial"/>
          <w:sz w:val="22"/>
          <w:szCs w:val="22"/>
          <w:color w:val="010000"/>
        </w:rPr>
      </w:pPr>
    </w:p>
    <w:p>
      <w:pPr>
        <w:jc w:val="both"/>
        <w:ind w:left="644" w:hanging="644"/>
        <w:spacing w:after="0" w:line="253" w:lineRule="auto"/>
        <w:tabs>
          <w:tab w:leader="none" w:pos="644"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Payment of all or a portion of the Executive’s cost to participate in COBRA medical and dental continuation coverage for a number of weeks equal to the Executive’s Severance Weeks commencing upon the Executive’s Effective Date of Termination,</w:t>
      </w:r>
    </w:p>
    <w:p>
      <w:pPr>
        <w:spacing w:after="0" w:line="200" w:lineRule="exact"/>
        <w:rPr>
          <w:sz w:val="20"/>
          <w:szCs w:val="20"/>
          <w:color w:val="auto"/>
        </w:rPr>
      </w:pPr>
    </w:p>
    <w:p>
      <w:pPr>
        <w:spacing w:after="0" w:line="351"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64"/>
          </w:cols>
          <w:pgMar w:left="896" w:top="578" w:right="239" w:bottom="1440" w:gutter="0" w:footer="0" w:header="0"/>
        </w:sectPr>
      </w:pPr>
    </w:p>
    <w:bookmarkStart w:id="203" w:name="page204"/>
    <w:bookmarkEnd w:id="203"/>
    <w:p>
      <w:pPr>
        <w:jc w:val="both"/>
        <w:ind w:left="1300"/>
        <w:spacing w:after="0" w:line="232" w:lineRule="auto"/>
        <w:rPr>
          <w:sz w:val="20"/>
          <w:szCs w:val="20"/>
          <w:color w:val="auto"/>
        </w:rPr>
      </w:pPr>
      <w:r>
        <w:rPr>
          <w:rFonts w:ascii="Arial" w:cs="Arial" w:eastAsia="Arial" w:hAnsi="Arial"/>
          <w:sz w:val="22"/>
          <w:szCs w:val="22"/>
          <w:color w:val="auto"/>
        </w:rPr>
        <w:t>such that Executive maintains the same coverage level and cost, on an after tax basis, as in effect immediately prior to the Executive’s Effective Date of Termination.</w:t>
      </w:r>
    </w:p>
    <w:p>
      <w:pPr>
        <w:spacing w:after="0" w:line="186"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Notwithstanding the above, these medical and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color w:val="auto"/>
        </w:rPr>
        <w:t>Coordination with Release and Delay Required by Code Section 409A.</w:t>
      </w:r>
    </w:p>
    <w:p>
      <w:pPr>
        <w:spacing w:after="0" w:line="226" w:lineRule="exact"/>
        <w:rPr>
          <w:sz w:val="20"/>
          <w:szCs w:val="20"/>
          <w:color w:val="auto"/>
        </w:rPr>
      </w:pPr>
    </w:p>
    <w:p>
      <w:pPr>
        <w:jc w:val="both"/>
        <w:ind w:left="1300" w:hanging="644"/>
        <w:spacing w:after="0" w:line="260" w:lineRule="auto"/>
        <w:tabs>
          <w:tab w:leader="none" w:pos="1300" w:val="left"/>
        </w:tabs>
        <w:numPr>
          <w:ilvl w:val="0"/>
          <w:numId w:val="110"/>
        </w:numPr>
        <w:rPr>
          <w:rFonts w:ascii="Arial" w:cs="Arial" w:eastAsia="Arial" w:hAnsi="Arial"/>
          <w:sz w:val="21"/>
          <w:szCs w:val="21"/>
          <w:color w:val="010000"/>
        </w:rPr>
      </w:pPr>
      <w:r>
        <w:rPr>
          <w:rFonts w:ascii="Arial" w:cs="Arial" w:eastAsia="Arial" w:hAnsi="Arial"/>
          <w:sz w:val="21"/>
          <w:szCs w:val="21"/>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81" w:lineRule="exact"/>
        <w:rPr>
          <w:rFonts w:ascii="Arial" w:cs="Arial" w:eastAsia="Arial" w:hAnsi="Arial"/>
          <w:sz w:val="21"/>
          <w:szCs w:val="21"/>
          <w:color w:val="010000"/>
        </w:rPr>
      </w:pPr>
    </w:p>
    <w:p>
      <w:pPr>
        <w:jc w:val="both"/>
        <w:ind w:left="1300" w:hanging="644"/>
        <w:spacing w:after="0" w:line="288" w:lineRule="auto"/>
        <w:tabs>
          <w:tab w:leader="none" w:pos="1300"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 xml:space="preserve">Notwithstanding any other payment schedule provided herein to the contrary, if the Executive is deemed on the date of termination to be a Specified Employee, then, once the release and acknowledgement required by </w:t>
      </w:r>
      <w:r>
        <w:rPr>
          <w:rFonts w:ascii="Arial" w:cs="Arial" w:eastAsia="Arial" w:hAnsi="Arial"/>
          <w:sz w:val="19"/>
          <w:szCs w:val="19"/>
          <w:u w:val="single" w:color="auto"/>
          <w:color w:val="auto"/>
        </w:rPr>
        <w:t>Section 3.1(d)</w:t>
      </w:r>
      <w:r>
        <w:rPr>
          <w:rFonts w:ascii="Arial" w:cs="Arial" w:eastAsia="Arial" w:hAnsi="Arial"/>
          <w:sz w:val="19"/>
          <w:szCs w:val="19"/>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xml:space="preserve">”) to the extent required under Code Section 409A. Upon the expiration of the Delay Period, all payments delayed pursuant to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4.</w:t>
      </w:r>
      <w:r>
        <w:rPr>
          <w:rFonts w:ascii="Arial" w:cs="Arial" w:eastAsia="Arial" w:hAnsi="Arial"/>
          <w:sz w:val="22"/>
          <w:szCs w:val="22"/>
          <w:b w:val="1"/>
          <w:bCs w:val="1"/>
          <w:color w:val="000000"/>
        </w:rPr>
        <w:t>Ineligibility</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77" w:right="239" w:bottom="1440" w:gutter="0" w:footer="0" w:header="0"/>
        </w:sectPr>
      </w:pPr>
    </w:p>
    <w:bookmarkStart w:id="204" w:name="page205"/>
    <w:bookmarkEnd w:id="204"/>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Comparable Position.</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2(z)(i)(B)</w:t>
      </w:r>
      <w:r>
        <w:rPr>
          <w:rFonts w:ascii="Arial" w:cs="Arial" w:eastAsia="Arial" w:hAnsi="Arial"/>
          <w:sz w:val="22"/>
          <w:szCs w:val="22"/>
          <w:color w:val="auto"/>
        </w:rPr>
        <w:t xml:space="preserve">, the Company may offer, or cause to be offered, 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22"/>
          <w:szCs w:val="22"/>
          <w:u w:val="single" w:color="auto"/>
          <w:color w:val="auto"/>
        </w:rPr>
        <w:t>Section 4.1</w:t>
      </w:r>
      <w:r>
        <w:rPr>
          <w:rFonts w:ascii="Arial" w:cs="Arial" w:eastAsia="Arial" w:hAnsi="Arial"/>
          <w:sz w:val="22"/>
          <w:szCs w:val="22"/>
          <w:color w:val="auto"/>
        </w:rPr>
        <w:t>. The failure of an Executive to accept the position, or apply for the position when required by the Company will render the Executive ineligible for benefits under this Plan.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Other Circumstances.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determined by the Committee, an Executive shall also be ineligible for benefits under this Plan if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2" w:lineRule="exact"/>
        <w:rPr>
          <w:sz w:val="20"/>
          <w:szCs w:val="20"/>
          <w:color w:val="auto"/>
        </w:rPr>
      </w:pPr>
    </w:p>
    <w:p>
      <w:pPr>
        <w:ind w:left="660" w:right="3480"/>
        <w:spacing w:after="0" w:line="448" w:lineRule="auto"/>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voluntarily terminates employment or retires prior to the Qualifying Termination;</w:t>
      </w:r>
      <w:r>
        <w:rPr>
          <w:rFonts w:ascii="Arial" w:cs="Arial" w:eastAsia="Arial" w:hAnsi="Arial"/>
          <w:sz w:val="22"/>
          <w:szCs w:val="22"/>
          <w:color w:val="010000"/>
        </w:rPr>
        <w:t xml:space="preserve"> (b)</w:t>
      </w:r>
      <w:r>
        <w:rPr>
          <w:rFonts w:ascii="Arial" w:cs="Arial" w:eastAsia="Arial" w:hAnsi="Arial"/>
          <w:sz w:val="22"/>
          <w:szCs w:val="22"/>
          <w:color w:val="000000"/>
        </w:rPr>
        <w:t>is receiving long-term Disability benefits;</w:t>
      </w:r>
    </w:p>
    <w:p>
      <w:pPr>
        <w:spacing w:after="0" w:line="1" w:lineRule="exact"/>
        <w:rPr>
          <w:sz w:val="20"/>
          <w:szCs w:val="20"/>
          <w:color w:val="auto"/>
        </w:rPr>
      </w:pPr>
    </w:p>
    <w:p>
      <w:pPr>
        <w:jc w:val="both"/>
        <w:ind w:left="1540" w:hanging="890"/>
        <w:spacing w:after="0" w:line="263" w:lineRule="auto"/>
        <w:rPr>
          <w:sz w:val="20"/>
          <w:szCs w:val="20"/>
          <w:color w:val="auto"/>
        </w:rPr>
      </w:pPr>
      <w:r>
        <w:rPr>
          <w:rFonts w:ascii="Arial" w:cs="Arial" w:eastAsia="Arial" w:hAnsi="Arial"/>
          <w:sz w:val="22"/>
          <w:szCs w:val="22"/>
          <w:color w:val="010000"/>
        </w:rPr>
        <w:t>(c)</w:t>
      </w:r>
      <w:r>
        <w:rPr>
          <w:rFonts w:ascii="Arial" w:cs="Arial" w:eastAsia="Arial" w:hAnsi="Arial"/>
          <w:sz w:val="22"/>
          <w:szCs w:val="22"/>
          <w:color w:val="000000"/>
        </w:rPr>
        <w:t>is entitled to any other compensation or benefit which is determined, in the Company’s sole discretion, to supersede the</w:t>
      </w:r>
      <w:r>
        <w:rPr>
          <w:rFonts w:ascii="Arial" w:cs="Arial" w:eastAsia="Arial" w:hAnsi="Arial"/>
          <w:sz w:val="22"/>
          <w:szCs w:val="22"/>
          <w:color w:val="010000"/>
        </w:rPr>
        <w:t xml:space="preserve"> </w:t>
      </w:r>
      <w:r>
        <w:rPr>
          <w:rFonts w:ascii="Arial" w:cs="Arial" w:eastAsia="Arial" w:hAnsi="Arial"/>
          <w:sz w:val="22"/>
          <w:szCs w:val="22"/>
          <w:color w:val="000000"/>
        </w:rPr>
        <w:t>Severance Benefits offered under this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(d)</w:t>
      </w:r>
      <w:r>
        <w:rPr>
          <w:rFonts w:ascii="Arial" w:cs="Arial" w:eastAsia="Arial" w:hAnsi="Arial"/>
          <w:sz w:val="22"/>
          <w:szCs w:val="22"/>
          <w:color w:val="000000"/>
        </w:rPr>
        <w:t>was discharged for Cause; and</w:t>
      </w:r>
    </w:p>
    <w:p>
      <w:pPr>
        <w:spacing w:after="0" w:line="220" w:lineRule="exact"/>
        <w:rPr>
          <w:sz w:val="20"/>
          <w:szCs w:val="20"/>
          <w:color w:val="auto"/>
        </w:rPr>
      </w:pPr>
    </w:p>
    <w:p>
      <w:pPr>
        <w:jc w:val="both"/>
        <w:ind w:left="1540" w:hanging="890"/>
        <w:spacing w:after="0" w:line="253" w:lineRule="auto"/>
        <w:rPr>
          <w:sz w:val="20"/>
          <w:szCs w:val="20"/>
          <w:color w:val="auto"/>
        </w:rPr>
      </w:pPr>
      <w:r>
        <w:rPr>
          <w:rFonts w:ascii="Arial" w:cs="Arial" w:eastAsia="Arial" w:hAnsi="Arial"/>
          <w:sz w:val="22"/>
          <w:szCs w:val="22"/>
          <w:color w:val="010000"/>
        </w:rPr>
        <w:t>(e)</w:t>
      </w:r>
      <w:r>
        <w:rPr>
          <w:rFonts w:ascii="Arial" w:cs="Arial" w:eastAsia="Arial" w:hAnsi="Arial"/>
          <w:sz w:val="22"/>
          <w:szCs w:val="22"/>
          <w:color w:val="000000"/>
        </w:rPr>
        <w:t>was offered employment by a successor employer or by a purchaser in the event of a spin-off or sale of a subsidiary,</w:t>
      </w:r>
      <w:r>
        <w:rPr>
          <w:rFonts w:ascii="Arial" w:cs="Arial" w:eastAsia="Arial" w:hAnsi="Arial"/>
          <w:sz w:val="22"/>
          <w:szCs w:val="22"/>
          <w:color w:val="010000"/>
        </w:rPr>
        <w:t xml:space="preserve"> </w:t>
      </w:r>
      <w:r>
        <w:rPr>
          <w:rFonts w:ascii="Arial" w:cs="Arial" w:eastAsia="Arial" w:hAnsi="Arial"/>
          <w:sz w:val="22"/>
          <w:szCs w:val="22"/>
          <w:color w:val="000000"/>
        </w:rPr>
        <w:t>business unit or business assets of the Company or its subsidiaries, whether or not the Executive accepts or declines the offer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5.</w:t>
      </w:r>
      <w:r>
        <w:rPr>
          <w:rFonts w:ascii="Arial" w:cs="Arial" w:eastAsia="Arial" w:hAnsi="Arial"/>
          <w:sz w:val="22"/>
          <w:szCs w:val="22"/>
          <w:b w:val="1"/>
          <w:bCs w:val="1"/>
          <w:color w:val="000000"/>
        </w:rPr>
        <w:t>Restrictive Covenants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In the event the Executive becomes entitled to receive Change-in-Control Severance Benefits as provided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herein or General Severance Benefits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herein, the following shall apply:</w:t>
      </w:r>
    </w:p>
    <w:p>
      <w:pPr>
        <w:spacing w:after="0" w:line="169" w:lineRule="exact"/>
        <w:rPr>
          <w:sz w:val="20"/>
          <w:szCs w:val="20"/>
          <w:color w:val="auto"/>
        </w:rPr>
      </w:pPr>
    </w:p>
    <w:p>
      <w:pPr>
        <w:jc w:val="both"/>
        <w:ind w:left="1300" w:hanging="644"/>
        <w:spacing w:after="0" w:line="295" w:lineRule="auto"/>
        <w:tabs>
          <w:tab w:leader="none" w:pos="1300" w:val="left"/>
        </w:tabs>
        <w:numPr>
          <w:ilvl w:val="0"/>
          <w:numId w:val="111"/>
        </w:numPr>
        <w:rPr>
          <w:rFonts w:ascii="Arial" w:cs="Arial" w:eastAsia="Arial" w:hAnsi="Arial"/>
          <w:sz w:val="19"/>
          <w:szCs w:val="19"/>
          <w:color w:val="010000"/>
        </w:rPr>
      </w:pPr>
      <w:r>
        <w:rPr>
          <w:rFonts w:ascii="Arial" w:cs="Arial" w:eastAsia="Arial" w:hAnsi="Arial"/>
          <w:sz w:val="19"/>
          <w:szCs w:val="19"/>
          <w:b w:val="1"/>
          <w:bCs w:val="1"/>
          <w:color w:val="auto"/>
        </w:rPr>
        <w:t>Confidential Information</w:t>
      </w:r>
      <w:r>
        <w:rPr>
          <w:rFonts w:ascii="Arial" w:cs="Arial" w:eastAsia="Arial" w:hAnsi="Arial"/>
          <w:sz w:val="19"/>
          <w:szCs w:val="19"/>
          <w:color w:val="auto"/>
        </w:rPr>
        <w:t>. The Executive acknowledges that the information, observations, and data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trade secrets) obtained by him while employed by the Company concerning the business or affairs of the Company or any of its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w:t>
      </w: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8" w:right="239" w:bottom="1440" w:gutter="0" w:footer="0" w:header="0"/>
        </w:sectPr>
      </w:pPr>
    </w:p>
    <w:bookmarkStart w:id="205" w:name="page206"/>
    <w:bookmarkEnd w:id="205"/>
    <w:p>
      <w:pPr>
        <w:jc w:val="both"/>
        <w:ind w:left="644"/>
        <w:spacing w:after="0" w:line="243" w:lineRule="auto"/>
        <w:rPr>
          <w:sz w:val="20"/>
          <w:szCs w:val="20"/>
          <w:color w:val="auto"/>
        </w:rPr>
      </w:pPr>
      <w:r>
        <w:rPr>
          <w:rFonts w:ascii="Arial" w:cs="Arial" w:eastAsia="Arial" w:hAnsi="Arial"/>
          <w:sz w:val="19"/>
          <w:szCs w:val="19"/>
          <w:color w:val="auto"/>
        </w:rPr>
        <w:t>in the possession of the Company and its affiliates (“</w:t>
      </w:r>
      <w:r>
        <w:rPr>
          <w:rFonts w:ascii="Arial" w:cs="Arial" w:eastAsia="Arial" w:hAnsi="Arial"/>
          <w:sz w:val="19"/>
          <w:szCs w:val="19"/>
          <w:u w:val="single" w:color="auto"/>
          <w:color w:val="auto"/>
        </w:rPr>
        <w:t>Third Party Information</w:t>
      </w:r>
      <w:r>
        <w:rPr>
          <w:rFonts w:ascii="Arial" w:cs="Arial" w:eastAsia="Arial" w:hAnsi="Arial"/>
          <w:sz w:val="19"/>
          <w:szCs w:val="19"/>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81" w:lineRule="exact"/>
        <w:rPr>
          <w:sz w:val="20"/>
          <w:szCs w:val="20"/>
          <w:color w:val="auto"/>
        </w:rPr>
      </w:pPr>
    </w:p>
    <w:p>
      <w:pPr>
        <w:jc w:val="both"/>
        <w:ind w:left="644" w:hanging="644"/>
        <w:spacing w:after="0" w:line="286" w:lineRule="auto"/>
        <w:tabs>
          <w:tab w:leader="none" w:pos="644" w:val="left"/>
        </w:tabs>
        <w:numPr>
          <w:ilvl w:val="0"/>
          <w:numId w:val="112"/>
        </w:numPr>
        <w:rPr>
          <w:rFonts w:ascii="Arial" w:cs="Arial" w:eastAsia="Arial" w:hAnsi="Arial"/>
          <w:sz w:val="19"/>
          <w:szCs w:val="19"/>
          <w:color w:val="010000"/>
        </w:rPr>
      </w:pPr>
      <w:r>
        <w:rPr>
          <w:rFonts w:ascii="Arial" w:cs="Arial" w:eastAsia="Arial" w:hAnsi="Arial"/>
          <w:sz w:val="19"/>
          <w:szCs w:val="19"/>
          <w:b w:val="1"/>
          <w:bCs w:val="1"/>
          <w:color w:val="auto"/>
        </w:rPr>
        <w:t>Intellectual Property, Inventions, and Patents</w:t>
      </w:r>
      <w:r>
        <w:rPr>
          <w:rFonts w:ascii="Arial" w:cs="Arial" w:eastAsia="Arial" w:hAnsi="Arial"/>
          <w:sz w:val="19"/>
          <w:szCs w:val="19"/>
          <w:color w:val="auto"/>
        </w:rPr>
        <w:t>. The Executive acknowledges that all discoveries, concepts, ideas,</w:t>
      </w:r>
      <w:r>
        <w:rPr>
          <w:rFonts w:ascii="Arial" w:cs="Arial" w:eastAsia="Arial" w:hAnsi="Arial"/>
          <w:sz w:val="19"/>
          <w:szCs w:val="19"/>
          <w:b w:val="1"/>
          <w:bCs w:val="1"/>
          <w:color w:val="auto"/>
        </w:rPr>
        <w:t xml:space="preserve"> </w:t>
      </w:r>
      <w:r>
        <w:rPr>
          <w:rFonts w:ascii="Arial" w:cs="Arial" w:eastAsia="Arial" w:hAnsi="Arial"/>
          <w:sz w:val="19"/>
          <w:szCs w:val="19"/>
          <w:color w:val="auto"/>
        </w:rPr>
        <w:t>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200" w:lineRule="exact"/>
        <w:rPr>
          <w:rFonts w:ascii="Arial" w:cs="Arial" w:eastAsia="Arial" w:hAnsi="Arial"/>
          <w:sz w:val="19"/>
          <w:szCs w:val="19"/>
          <w:color w:val="010000"/>
        </w:rPr>
      </w:pPr>
    </w:p>
    <w:p>
      <w:pPr>
        <w:spacing w:after="0" w:line="225" w:lineRule="exact"/>
        <w:rPr>
          <w:rFonts w:ascii="Arial" w:cs="Arial" w:eastAsia="Arial" w:hAnsi="Arial"/>
          <w:sz w:val="19"/>
          <w:szCs w:val="19"/>
          <w:color w:val="010000"/>
        </w:rPr>
      </w:pPr>
    </w:p>
    <w:p>
      <w:pPr>
        <w:jc w:val="both"/>
        <w:ind w:left="644"/>
        <w:spacing w:after="0" w:line="248" w:lineRule="auto"/>
        <w:rPr>
          <w:rFonts w:ascii="Arial" w:cs="Arial" w:eastAsia="Arial" w:hAnsi="Arial"/>
          <w:sz w:val="19"/>
          <w:szCs w:val="19"/>
          <w:color w:val="010000"/>
        </w:rPr>
      </w:pPr>
      <w:r>
        <w:rPr>
          <w:rFonts w:ascii="Arial" w:cs="Arial" w:eastAsia="Arial" w:hAnsi="Arial"/>
          <w:sz w:val="22"/>
          <w:szCs w:val="22"/>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w:t>
      </w:r>
    </w:p>
    <w:p>
      <w:pPr>
        <w:spacing w:after="0" w:line="200" w:lineRule="exact"/>
        <w:rPr>
          <w:sz w:val="20"/>
          <w:szCs w:val="20"/>
          <w:color w:val="auto"/>
        </w:rPr>
      </w:pPr>
    </w:p>
    <w:p>
      <w:pPr>
        <w:spacing w:after="0" w:line="357"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577" w:right="239" w:bottom="1440" w:gutter="0" w:footer="0" w:header="0"/>
        </w:sectPr>
      </w:pPr>
    </w:p>
    <w:bookmarkStart w:id="206" w:name="page207"/>
    <w:bookmarkEnd w:id="206"/>
    <w:p>
      <w:pPr>
        <w:ind w:left="644"/>
        <w:spacing w:after="0" w:line="263" w:lineRule="auto"/>
        <w:rPr>
          <w:sz w:val="20"/>
          <w:szCs w:val="20"/>
          <w:color w:val="auto"/>
        </w:rPr>
      </w:pPr>
      <w:r>
        <w:rPr>
          <w:rFonts w:ascii="Arial" w:cs="Arial" w:eastAsia="Arial" w:hAnsi="Arial"/>
          <w:sz w:val="22"/>
          <w:szCs w:val="22"/>
          <w:color w:val="auto"/>
        </w:rPr>
        <w:t>or development, or (ii) the invention results from any work performed by the Executive for the Company or any affiliate.</w:t>
      </w:r>
    </w:p>
    <w:p>
      <w:pPr>
        <w:spacing w:after="0" w:line="169" w:lineRule="exact"/>
        <w:rPr>
          <w:sz w:val="20"/>
          <w:szCs w:val="20"/>
          <w:color w:val="auto"/>
        </w:rPr>
      </w:pPr>
    </w:p>
    <w:p>
      <w:pPr>
        <w:jc w:val="both"/>
        <w:ind w:left="644" w:hanging="644"/>
        <w:spacing w:after="0" w:line="289" w:lineRule="auto"/>
        <w:tabs>
          <w:tab w:leader="none" w:pos="644" w:val="left"/>
        </w:tabs>
        <w:numPr>
          <w:ilvl w:val="0"/>
          <w:numId w:val="113"/>
        </w:numPr>
        <w:rPr>
          <w:rFonts w:ascii="Arial" w:cs="Arial" w:eastAsia="Arial" w:hAnsi="Arial"/>
          <w:sz w:val="19"/>
          <w:szCs w:val="19"/>
          <w:color w:val="010000"/>
        </w:rPr>
      </w:pPr>
      <w:r>
        <w:rPr>
          <w:rFonts w:ascii="Arial" w:cs="Arial" w:eastAsia="Arial" w:hAnsi="Arial"/>
          <w:sz w:val="19"/>
          <w:szCs w:val="19"/>
          <w:b w:val="1"/>
          <w:bCs w:val="1"/>
          <w:color w:val="auto"/>
        </w:rPr>
        <w:t>Nonsolicitation</w:t>
      </w:r>
      <w:r>
        <w:rPr>
          <w:rFonts w:ascii="Arial" w:cs="Arial" w:eastAsia="Arial" w:hAnsi="Arial"/>
          <w:sz w:val="19"/>
          <w:szCs w:val="19"/>
          <w:color w:val="auto"/>
        </w:rPr>
        <w:t>. During Executive’s employment with the Company and for one (1) year thereafter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Nonsolicitation Period</w:t>
      </w:r>
      <w:r>
        <w:rPr>
          <w:rFonts w:ascii="Arial" w:cs="Arial" w:eastAsia="Arial" w:hAnsi="Arial"/>
          <w:sz w:val="19"/>
          <w:szCs w:val="19"/>
          <w:color w:val="auto"/>
        </w:rPr>
        <w:t>”), the Executive shall not directly or indirectly through another 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51" w:lineRule="exact"/>
        <w:rPr>
          <w:rFonts w:ascii="Arial" w:cs="Arial" w:eastAsia="Arial" w:hAnsi="Arial"/>
          <w:sz w:val="19"/>
          <w:szCs w:val="19"/>
          <w:color w:val="010000"/>
        </w:rPr>
      </w:pPr>
    </w:p>
    <w:p>
      <w:pPr>
        <w:jc w:val="both"/>
        <w:ind w:left="644" w:hanging="644"/>
        <w:spacing w:after="0" w:line="287" w:lineRule="auto"/>
        <w:tabs>
          <w:tab w:leader="none" w:pos="644" w:val="left"/>
        </w:tabs>
        <w:numPr>
          <w:ilvl w:val="0"/>
          <w:numId w:val="113"/>
        </w:numPr>
        <w:rPr>
          <w:rFonts w:ascii="Arial" w:cs="Arial" w:eastAsia="Arial" w:hAnsi="Arial"/>
          <w:sz w:val="19"/>
          <w:szCs w:val="19"/>
          <w:color w:val="010000"/>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During the Nonsolicitation Period, Executive shall not disparage the Company,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Nonsolicitation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9"/>
          <w:szCs w:val="19"/>
          <w:u w:val="single" w:color="auto"/>
          <w:color w:val="auto"/>
        </w:rPr>
        <w:t>Section 5(d)</w:t>
      </w:r>
      <w:r>
        <w:rPr>
          <w:rFonts w:ascii="Arial" w:cs="Arial" w:eastAsia="Arial" w:hAnsi="Arial"/>
          <w:sz w:val="19"/>
          <w:szCs w:val="19"/>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50" w:lineRule="exact"/>
        <w:rPr>
          <w:rFonts w:ascii="Arial" w:cs="Arial" w:eastAsia="Arial" w:hAnsi="Arial"/>
          <w:sz w:val="19"/>
          <w:szCs w:val="19"/>
          <w:color w:val="010000"/>
        </w:rPr>
      </w:pPr>
    </w:p>
    <w:p>
      <w:pPr>
        <w:jc w:val="both"/>
        <w:ind w:left="644" w:hanging="644"/>
        <w:spacing w:after="0" w:line="249" w:lineRule="auto"/>
        <w:tabs>
          <w:tab w:leader="none" w:pos="644" w:val="left"/>
        </w:tabs>
        <w:numPr>
          <w:ilvl w:val="0"/>
          <w:numId w:val="113"/>
        </w:numPr>
        <w:rPr>
          <w:rFonts w:ascii="Arial" w:cs="Arial" w:eastAsia="Arial" w:hAnsi="Arial"/>
          <w:sz w:val="22"/>
          <w:szCs w:val="22"/>
          <w:color w:val="010000"/>
        </w:rPr>
      </w:pPr>
      <w:r>
        <w:rPr>
          <w:rFonts w:ascii="Arial" w:cs="Arial" w:eastAsia="Arial" w:hAnsi="Arial"/>
          <w:sz w:val="22"/>
          <w:szCs w:val="22"/>
          <w:b w:val="1"/>
          <w:bCs w:val="1"/>
          <w:color w:val="auto"/>
        </w:rPr>
        <w:t>Duration, Scope, or Area</w:t>
      </w:r>
      <w:r>
        <w:rPr>
          <w:rFonts w:ascii="Arial" w:cs="Arial" w:eastAsia="Arial" w:hAnsi="Arial"/>
          <w:sz w:val="22"/>
          <w:szCs w:val="22"/>
          <w:color w:val="auto"/>
        </w:rPr>
        <w:t>. If, at the time of enforcement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5</w:t>
      </w:r>
      <w:r>
        <w:rPr>
          <w:rFonts w:ascii="Arial" w:cs="Arial" w:eastAsia="Arial" w:hAnsi="Arial"/>
          <w:sz w:val="22"/>
          <w:szCs w:val="22"/>
          <w:color w:val="auto"/>
        </w:rPr>
        <w:t>, a court shall hold that the duration, scope,</w:t>
      </w:r>
      <w:r>
        <w:rPr>
          <w:rFonts w:ascii="Arial" w:cs="Arial" w:eastAsia="Arial" w:hAnsi="Arial"/>
          <w:sz w:val="22"/>
          <w:szCs w:val="22"/>
          <w:b w:val="1"/>
          <w:bCs w:val="1"/>
          <w:color w:val="auto"/>
        </w:rPr>
        <w:t xml:space="preserve"> </w:t>
      </w:r>
      <w:r>
        <w:rPr>
          <w:rFonts w:ascii="Arial" w:cs="Arial" w:eastAsia="Arial" w:hAnsi="Arial"/>
          <w:sz w:val="22"/>
          <w:szCs w:val="22"/>
          <w:color w:val="auto"/>
        </w:rPr>
        <w:t>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200" w:lineRule="exact"/>
        <w:rPr>
          <w:sz w:val="20"/>
          <w:szCs w:val="20"/>
          <w:color w:val="auto"/>
        </w:rPr>
      </w:pPr>
    </w:p>
    <w:p>
      <w:pPr>
        <w:spacing w:after="0" w:line="357"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4"/>
          </w:cols>
          <w:pgMar w:left="896" w:top="604" w:right="239" w:bottom="1440" w:gutter="0" w:footer="0" w:header="0"/>
        </w:sectPr>
      </w:pPr>
    </w:p>
    <w:bookmarkStart w:id="207" w:name="page208"/>
    <w:bookmarkEnd w:id="207"/>
    <w:p>
      <w:pPr>
        <w:jc w:val="both"/>
        <w:ind w:left="1300" w:hanging="644"/>
        <w:spacing w:after="0" w:line="264" w:lineRule="auto"/>
        <w:tabs>
          <w:tab w:leader="none" w:pos="1300" w:val="left"/>
        </w:tabs>
        <w:numPr>
          <w:ilvl w:val="0"/>
          <w:numId w:val="114"/>
        </w:numPr>
        <w:rPr>
          <w:rFonts w:ascii="Arial" w:cs="Arial" w:eastAsia="Arial" w:hAnsi="Arial"/>
          <w:sz w:val="21"/>
          <w:szCs w:val="21"/>
          <w:color w:val="010000"/>
        </w:rPr>
      </w:pPr>
      <w:r>
        <w:rPr>
          <w:rFonts w:ascii="Arial" w:cs="Arial" w:eastAsia="Arial" w:hAnsi="Arial"/>
          <w:sz w:val="21"/>
          <w:szCs w:val="21"/>
          <w:b w:val="1"/>
          <w:bCs w:val="1"/>
          <w:color w:val="auto"/>
        </w:rPr>
        <w:t>Company Enforcement</w:t>
      </w:r>
      <w:r>
        <w:rPr>
          <w:rFonts w:ascii="Arial" w:cs="Arial" w:eastAsia="Arial" w:hAnsi="Arial"/>
          <w:sz w:val="21"/>
          <w:szCs w:val="21"/>
          <w:color w:val="auto"/>
        </w:rPr>
        <w:t>. In the event of a breach or a threatened breach by the Executive of any of the provisions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this </w:t>
      </w:r>
      <w:r>
        <w:rPr>
          <w:rFonts w:ascii="Arial" w:cs="Arial" w:eastAsia="Arial" w:hAnsi="Arial"/>
          <w:sz w:val="21"/>
          <w:szCs w:val="21"/>
          <w:u w:val="single" w:color="auto"/>
          <w:color w:val="auto"/>
        </w:rPr>
        <w:t>Article 5</w:t>
      </w:r>
      <w:r>
        <w:rPr>
          <w:rFonts w:ascii="Arial" w:cs="Arial" w:eastAsia="Arial" w:hAnsi="Arial"/>
          <w:sz w:val="21"/>
          <w:szCs w:val="21"/>
          <w:color w:val="auto"/>
        </w:rPr>
        <w:t>,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6.</w:t>
      </w:r>
      <w:r>
        <w:rPr>
          <w:rFonts w:ascii="Arial" w:cs="Arial" w:eastAsia="Arial" w:hAnsi="Arial"/>
          <w:sz w:val="22"/>
          <w:szCs w:val="22"/>
          <w:b w:val="1"/>
          <w:bCs w:val="1"/>
          <w:color w:val="000000"/>
        </w:rPr>
        <w:t>Certain Change in Control Payments</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9"/>
          <w:szCs w:val="19"/>
          <w:u w:val="single" w:color="auto"/>
          <w:color w:val="auto"/>
        </w:rPr>
        <w:t>Total Payments</w:t>
      </w:r>
      <w:r>
        <w:rPr>
          <w:rFonts w:ascii="Arial" w:cs="Arial" w:eastAsia="Arial" w:hAnsi="Arial"/>
          <w:sz w:val="19"/>
          <w:szCs w:val="19"/>
          <w:color w:val="auto"/>
        </w:rPr>
        <w:t xml:space="preserve">”) (a) constitute “parachute payments” within the meaning of Code Section 280G, and (b) but for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would be subject to the excise tax imposed by Code Section 4999, then such Executive will be entitled to receive either (i) the full amount of the Total Payments or (ii) a portion of the Total Payments having a value equal to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be made in writing by the Company’s independent certified public accountants appointed prior to any change in ownership (as defined under Code Section 280G(b)(2)) or tax counsel selected by such accountants (the “</w:t>
      </w:r>
      <w:r>
        <w:rPr>
          <w:rFonts w:ascii="Arial" w:cs="Arial" w:eastAsia="Arial" w:hAnsi="Arial"/>
          <w:sz w:val="19"/>
          <w:szCs w:val="19"/>
          <w:u w:val="single" w:color="auto"/>
          <w:color w:val="auto"/>
        </w:rPr>
        <w:t>Accountants</w:t>
      </w:r>
      <w:r>
        <w:rPr>
          <w:rFonts w:ascii="Arial" w:cs="Arial" w:eastAsia="Arial" w:hAnsi="Arial"/>
          <w:sz w:val="19"/>
          <w:szCs w:val="19"/>
          <w:color w:val="auto"/>
        </w:rPr>
        <w:t xml:space="preserve">”), whose determination shall be conclusive and binding for all purposes upon the applicable Executive. For purposes of making the calculations required by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9"/>
          <w:szCs w:val="19"/>
          <w:u w:val="single" w:color="auto"/>
          <w:color w:val="auto"/>
        </w:rPr>
        <w:t>Parachute Payment Ratio</w:t>
      </w:r>
      <w:r>
        <w:rPr>
          <w:rFonts w:ascii="Arial" w:cs="Arial" w:eastAsia="Arial" w:hAnsi="Arial"/>
          <w:sz w:val="19"/>
          <w:szCs w:val="19"/>
          <w:color w:val="auto"/>
        </w:rPr>
        <w:t>” shall mean a fraction the numerator of which is the value of the applicable “parachute payment” for purposes of Code Section 280G and the denominator of which is the actual present value of such payment.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7.</w:t>
      </w:r>
      <w:r>
        <w:rPr>
          <w:rFonts w:ascii="Arial" w:cs="Arial" w:eastAsia="Arial" w:hAnsi="Arial"/>
          <w:sz w:val="22"/>
          <w:szCs w:val="22"/>
          <w:b w:val="1"/>
          <w:bCs w:val="1"/>
          <w:color w:val="000000"/>
        </w:rPr>
        <w:t>Legal Fees and Notice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Payment of Legal Fees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as otherwise agreed to by the parties, the Company shall pay the Executive for costs of litigation or other disputes including, without limitation, reasonable attorneys’ fees incurred by</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9" w:right="239" w:bottom="1440" w:gutter="0" w:footer="0" w:header="0"/>
        </w:sectPr>
      </w:pPr>
    </w:p>
    <w:bookmarkStart w:id="208" w:name="page209"/>
    <w:bookmarkEnd w:id="208"/>
    <w:p>
      <w:pPr>
        <w:jc w:val="both"/>
        <w:spacing w:after="0" w:line="253" w:lineRule="auto"/>
        <w:rPr>
          <w:sz w:val="20"/>
          <w:szCs w:val="20"/>
          <w:color w:val="auto"/>
        </w:rPr>
      </w:pPr>
      <w:r>
        <w:rPr>
          <w:rFonts w:ascii="Arial" w:cs="Arial" w:eastAsia="Arial" w:hAnsi="Arial"/>
          <w:sz w:val="22"/>
          <w:szCs w:val="22"/>
          <w:color w:val="auto"/>
        </w:rPr>
        <w:t>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Notice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8.</w:t>
      </w:r>
      <w:r>
        <w:rPr>
          <w:rFonts w:ascii="Arial" w:cs="Arial" w:eastAsia="Arial" w:hAnsi="Arial"/>
          <w:sz w:val="22"/>
          <w:szCs w:val="22"/>
          <w:b w:val="1"/>
          <w:bCs w:val="1"/>
          <w:color w:val="000000"/>
        </w:rPr>
        <w:t>Successors and Assignment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b w:val="1"/>
          <w:bCs w:val="1"/>
          <w:color w:val="auto"/>
        </w:rPr>
        <w:t>Successors to the Company</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Assignment by the Executive</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Article 9.</w:t>
      </w:r>
      <w:r>
        <w:rPr>
          <w:rFonts w:ascii="Arial" w:cs="Arial" w:eastAsia="Arial" w:hAnsi="Arial"/>
          <w:sz w:val="22"/>
          <w:szCs w:val="22"/>
          <w:b w:val="1"/>
          <w:bCs w:val="1"/>
          <w:color w:val="000000"/>
        </w:rPr>
        <w:t>Miscellaneous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Employment Status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Code Section 409A</w:t>
      </w:r>
      <w:r>
        <w:rPr>
          <w:rFonts w:ascii="Arial" w:cs="Arial" w:eastAsia="Arial" w:hAnsi="Arial"/>
          <w:sz w:val="19"/>
          <w:szCs w:val="19"/>
          <w:color w:val="auto"/>
        </w:rPr>
        <w:t>.</w:t>
      </w:r>
    </w:p>
    <w:p>
      <w:pPr>
        <w:spacing w:after="0" w:line="226" w:lineRule="exact"/>
        <w:rPr>
          <w:sz w:val="20"/>
          <w:szCs w:val="20"/>
          <w:color w:val="auto"/>
        </w:rPr>
      </w:pPr>
    </w:p>
    <w:p>
      <w:pPr>
        <w:ind w:left="1300" w:hanging="644"/>
        <w:spacing w:after="0" w:line="263" w:lineRule="auto"/>
        <w:tabs>
          <w:tab w:leader="none" w:pos="1300"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All expenses or other reimbursements under this Plan shall be made on or prior to the last day of the taxable year following the taxable year in which such expenses</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04" w:right="239" w:bottom="1440" w:gutter="0" w:footer="0" w:header="0"/>
        </w:sectPr>
      </w:pPr>
    </w:p>
    <w:bookmarkStart w:id="209" w:name="page210"/>
    <w:bookmarkEnd w:id="209"/>
    <w:p>
      <w:pPr>
        <w:jc w:val="both"/>
        <w:ind w:left="1300"/>
        <w:spacing w:after="0" w:line="216" w:lineRule="auto"/>
        <w:rPr>
          <w:sz w:val="20"/>
          <w:szCs w:val="20"/>
          <w:color w:val="auto"/>
        </w:rPr>
      </w:pPr>
      <w:r>
        <w:rPr>
          <w:rFonts w:ascii="Arial" w:cs="Arial" w:eastAsia="Arial" w:hAnsi="Arial"/>
          <w:sz w:val="22"/>
          <w:szCs w:val="22"/>
          <w:color w:val="auto"/>
        </w:rPr>
        <w:t>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85" w:lineRule="exact"/>
        <w:rPr>
          <w:sz w:val="20"/>
          <w:szCs w:val="20"/>
          <w:color w:val="auto"/>
        </w:rPr>
      </w:pPr>
    </w:p>
    <w:p>
      <w:pPr>
        <w:ind w:left="1300" w:right="20" w:hanging="644"/>
        <w:spacing w:after="0" w:line="263" w:lineRule="auto"/>
        <w:tabs>
          <w:tab w:leader="none" w:pos="1300"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For purposes of Code Section 409A, the Executive’s right to receive any installment payment pursuant to this Plan shall be treated as a right to receive a series of separate and distinct payments.</w:t>
      </w:r>
    </w:p>
    <w:p>
      <w:pPr>
        <w:spacing w:after="0" w:line="174"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Whenever a payment under this Plan specifies a payment period with reference to a number of days (</w:t>
      </w:r>
      <w:r>
        <w:rPr>
          <w:rFonts w:ascii="Arial" w:cs="Arial" w:eastAsia="Arial" w:hAnsi="Arial"/>
          <w:sz w:val="22"/>
          <w:szCs w:val="22"/>
          <w:u w:val="single" w:color="auto"/>
          <w:color w:val="auto"/>
        </w:rPr>
        <w:t>e.g.</w:t>
      </w:r>
      <w:r>
        <w:rPr>
          <w:rFonts w:ascii="Arial" w:cs="Arial" w:eastAsia="Arial" w:hAnsi="Arial"/>
          <w:sz w:val="22"/>
          <w:szCs w:val="22"/>
          <w:color w:val="auto"/>
        </w:rPr>
        <w:t>, “payment shall be made within thirty (30) days following the date of termination”), the actual date of payment within the specified period shall be within the sole discretion of the Company.</w:t>
      </w:r>
    </w:p>
    <w:p>
      <w:pPr>
        <w:spacing w:after="0" w:line="185" w:lineRule="exact"/>
        <w:rPr>
          <w:rFonts w:ascii="Arial" w:cs="Arial" w:eastAsia="Arial" w:hAnsi="Arial"/>
          <w:sz w:val="22"/>
          <w:szCs w:val="22"/>
          <w:color w:val="010000"/>
        </w:rPr>
      </w:pPr>
    </w:p>
    <w:p>
      <w:pPr>
        <w:jc w:val="both"/>
        <w:ind w:left="1300" w:hanging="644"/>
        <w:spacing w:after="0" w:line="248" w:lineRule="auto"/>
        <w:tabs>
          <w:tab w:leader="none" w:pos="1300"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92" w:lineRule="exact"/>
        <w:rPr>
          <w:rFonts w:ascii="Arial" w:cs="Arial" w:eastAsia="Arial" w:hAnsi="Arial"/>
          <w:sz w:val="22"/>
          <w:szCs w:val="22"/>
          <w:color w:val="010000"/>
        </w:rPr>
      </w:pPr>
    </w:p>
    <w:p>
      <w:pPr>
        <w:jc w:val="both"/>
        <w:ind w:left="1300" w:hanging="644"/>
        <w:spacing w:after="0" w:line="253" w:lineRule="auto"/>
        <w:tabs>
          <w:tab w:leader="none" w:pos="1300"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85" w:lineRule="exact"/>
        <w:rPr>
          <w:rFonts w:ascii="Arial" w:cs="Arial" w:eastAsia="Arial" w:hAnsi="Arial"/>
          <w:sz w:val="22"/>
          <w:szCs w:val="22"/>
          <w:color w:val="010000"/>
        </w:rPr>
      </w:pPr>
    </w:p>
    <w:p>
      <w:pPr>
        <w:jc w:val="both"/>
        <w:ind w:left="1300" w:hanging="644"/>
        <w:spacing w:after="0" w:line="312" w:lineRule="auto"/>
        <w:tabs>
          <w:tab w:leader="none" w:pos="1300"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1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Entire Plan</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77" w:right="239" w:bottom="1440" w:gutter="0" w:footer="0" w:header="0"/>
        </w:sectPr>
      </w:pPr>
    </w:p>
    <w:bookmarkStart w:id="210" w:name="page211"/>
    <w:bookmarkEnd w:id="210"/>
    <w:p>
      <w:pPr>
        <w:ind w:left="660"/>
        <w:spacing w:after="0"/>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Severability</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the event that any provision or portion of this Plan shall be determined to be invalid or unenforceable for any reason, the remaining provisions of this Plan shall be unaffected thereby and shall remain in full force and effect.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b w:val="1"/>
          <w:bCs w:val="1"/>
          <w:color w:val="auto"/>
        </w:rPr>
        <w:t>Tax Withholding</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may withhold from any benefits payable under this Plan all federal, state, city, or other taxes as may be required pursuant to any law or governmental regulation or ruling.</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b w:val="1"/>
          <w:bCs w:val="1"/>
          <w:color w:val="auto"/>
        </w:rPr>
        <w:t>Beneficiaries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b w:val="1"/>
          <w:bCs w:val="1"/>
          <w:color w:val="auto"/>
        </w:rPr>
        <w:t>Payment Obligation Absolute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Executive shall not be obligated to seek other employment in mitigation of the amounts payable or arrangements made under any provision of this Plan, and except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b w:val="1"/>
          <w:bCs w:val="1"/>
          <w:color w:val="auto"/>
        </w:rPr>
        <w:t>Contractual Rights to Benefits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b w:val="1"/>
          <w:bCs w:val="1"/>
          <w:color w:val="auto"/>
        </w:rPr>
        <w:t>Modification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8" w:right="239" w:bottom="1440" w:gutter="0" w:footer="0" w:header="0"/>
        </w:sectPr>
      </w:pPr>
    </w:p>
    <w:bookmarkStart w:id="211" w:name="page212"/>
    <w:bookmarkEnd w:id="211"/>
    <w:p>
      <w:pPr>
        <w:ind w:left="660"/>
        <w:spacing w:after="0"/>
        <w:tabs>
          <w:tab w:leader="none" w:pos="128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b w:val="1"/>
          <w:bCs w:val="1"/>
          <w:color w:val="auto"/>
        </w:rPr>
        <w:t>Gender and Number</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where otherwise indicated by the context, any masculine term used herein also shall include the feminine; the plural shall include the singular and the singular shall include the plural.</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b w:val="1"/>
          <w:bCs w:val="1"/>
          <w:color w:val="auto"/>
        </w:rPr>
        <w:t>Applicable Law</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8"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10.31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INFORMATION IN THIS EXHIBIT IDENTIFIED BY THE MARK “[***]” IS CONFIDENTIAL AND HAS BEEN EXCLUDED PURSUANT TO ITEM 601(B)(10)(IV) OF REGULATION S-K BECAUSE IT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NRG DGPV HOLDCO 3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September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ectPr>
          <w:pgSz w:w="11900" w:h="16838" w:orient="portrait"/>
          <w:cols w:equalWidth="0" w:num="1">
            <w:col w:w="11420"/>
          </w:cols>
          <w:pgMar w:left="240" w:top="126" w:right="239" w:bottom="1440" w:gutter="0" w:footer="0" w:header="0"/>
        </w:sectPr>
      </w:pPr>
    </w:p>
    <w:bookmarkStart w:id="213" w:name="page214"/>
    <w:bookmarkEnd w:id="213"/>
    <w:p>
      <w:pPr>
        <w:jc w:val="center"/>
        <w:ind w:right="40"/>
        <w:spacing w:after="0"/>
        <w:rPr>
          <w:sz w:val="20"/>
          <w:szCs w:val="20"/>
          <w:color w:val="auto"/>
        </w:rPr>
      </w:pPr>
      <w:r>
        <w:rPr>
          <w:rFonts w:ascii="Arial" w:cs="Arial" w:eastAsia="Arial" w:hAnsi="Arial"/>
          <w:sz w:val="22"/>
          <w:szCs w:val="22"/>
          <w:b w:val="1"/>
          <w:bCs w:val="1"/>
          <w:color w:val="auto"/>
        </w:rPr>
        <w:t>NRG DGPV HOLDCO 3 LLC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26" w:lineRule="exact"/>
        <w:rPr>
          <w:sz w:val="20"/>
          <w:szCs w:val="20"/>
          <w:color w:val="auto"/>
        </w:rPr>
      </w:pPr>
    </w:p>
    <w:p>
      <w:pPr>
        <w:spacing w:after="0"/>
        <w:rPr>
          <w:rFonts w:ascii="Arial" w:cs="Arial" w:eastAsia="Arial" w:hAnsi="Arial"/>
          <w:sz w:val="22"/>
          <w:szCs w:val="22"/>
          <w:color w:val="0000FF"/>
        </w:rPr>
      </w:pPr>
      <w:hyperlink w:anchor="page223">
        <w:r>
          <w:rPr>
            <w:rFonts w:ascii="Arial" w:cs="Arial" w:eastAsia="Arial" w:hAnsi="Arial"/>
            <w:sz w:val="22"/>
            <w:szCs w:val="22"/>
            <w:u w:val="single" w:color="auto"/>
            <w:color w:val="0000FF"/>
          </w:rPr>
          <w:t>ARTICLE I DEFINITIONS</w:t>
        </w:r>
        <w:r>
          <w:rPr>
            <w:rFonts w:ascii="Arial" w:cs="Arial" w:eastAsia="Arial" w:hAnsi="Arial"/>
            <w:sz w:val="22"/>
            <w:szCs w:val="22"/>
            <w:color w:val="0000FF"/>
          </w:rPr>
          <w:t xml:space="preserve"> </w:t>
        </w:r>
      </w:hyperlink>
      <w:r>
        <w:rPr>
          <w:rFonts w:ascii="Arial" w:cs="Arial" w:eastAsia="Arial" w:hAnsi="Arial"/>
          <w:sz w:val="22"/>
          <w:szCs w:val="22"/>
          <w:color w:val="000000"/>
        </w:rPr>
        <w:t>2</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23">
        <w:r>
          <w:rPr>
            <w:rFonts w:ascii="Arial" w:cs="Arial" w:eastAsia="Arial" w:hAnsi="Arial"/>
            <w:sz w:val="22"/>
            <w:szCs w:val="22"/>
            <w:u w:val="single" w:color="auto"/>
            <w:color w:val="0000FF"/>
          </w:rPr>
          <w:t>Section 1.1</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Certain Definitions. </w:t>
      </w:r>
      <w:r>
        <w:rPr>
          <w:rFonts w:ascii="Arial" w:cs="Arial" w:eastAsia="Arial" w:hAnsi="Arial"/>
          <w:sz w:val="19"/>
          <w:szCs w:val="19"/>
          <w:color w:val="000000"/>
        </w:rPr>
        <w:t>2</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1.2</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Other Definitional Provisions </w:t>
      </w:r>
      <w:r>
        <w:rPr>
          <w:rFonts w:ascii="Arial" w:cs="Arial" w:eastAsia="Arial" w:hAnsi="Arial"/>
          <w:sz w:val="19"/>
          <w:szCs w:val="19"/>
          <w:color w:val="000000"/>
        </w:rPr>
        <w:t>22</w:t>
      </w:r>
    </w:p>
    <w:p>
      <w:pPr>
        <w:spacing w:after="0" w:line="112" w:lineRule="exact"/>
        <w:rPr>
          <w:sz w:val="20"/>
          <w:szCs w:val="20"/>
          <w:color w:val="auto"/>
        </w:rPr>
      </w:pPr>
    </w:p>
    <w:p>
      <w:pPr>
        <w:spacing w:after="0"/>
        <w:rPr>
          <w:rFonts w:ascii="Arial" w:cs="Arial" w:eastAsia="Arial" w:hAnsi="Arial"/>
          <w:sz w:val="22"/>
          <w:szCs w:val="22"/>
          <w:color w:val="0000FF"/>
        </w:rPr>
      </w:pPr>
      <w:hyperlink w:anchor="page244">
        <w:r>
          <w:rPr>
            <w:rFonts w:ascii="Arial" w:cs="Arial" w:eastAsia="Arial" w:hAnsi="Arial"/>
            <w:sz w:val="22"/>
            <w:szCs w:val="22"/>
            <w:u w:val="single" w:color="auto"/>
            <w:color w:val="0000FF"/>
          </w:rPr>
          <w:t>ARTICLE II THE COMPANY</w:t>
        </w:r>
        <w:r>
          <w:rPr>
            <w:rFonts w:ascii="Arial" w:cs="Arial" w:eastAsia="Arial" w:hAnsi="Arial"/>
            <w:sz w:val="22"/>
            <w:szCs w:val="22"/>
            <w:color w:val="0000FF"/>
          </w:rPr>
          <w:t xml:space="preserve"> </w:t>
        </w:r>
      </w:hyperlink>
      <w:r>
        <w:rPr>
          <w:rFonts w:ascii="Arial" w:cs="Arial" w:eastAsia="Arial" w:hAnsi="Arial"/>
          <w:sz w:val="22"/>
          <w:szCs w:val="22"/>
          <w:color w:val="000000"/>
        </w:rPr>
        <w:t>23</w:t>
      </w:r>
    </w:p>
    <w:p>
      <w:pPr>
        <w:spacing w:after="0" w:line="112" w:lineRule="exact"/>
        <w:rPr>
          <w:sz w:val="20"/>
          <w:szCs w:val="20"/>
          <w:color w:val="auto"/>
        </w:rPr>
      </w:pPr>
    </w:p>
    <w:p>
      <w:pPr>
        <w:ind w:left="340"/>
        <w:spacing w:after="0"/>
        <w:tabs>
          <w:tab w:leader="none" w:pos="1520" w:val="left"/>
        </w:tabs>
        <w:rPr>
          <w:rFonts w:ascii="Arial" w:cs="Arial" w:eastAsia="Arial" w:hAnsi="Arial"/>
          <w:sz w:val="22"/>
          <w:szCs w:val="22"/>
          <w:color w:val="0000FF"/>
        </w:rPr>
      </w:pPr>
      <w:hyperlink w:anchor="page244">
        <w:r>
          <w:rPr>
            <w:rFonts w:ascii="Arial" w:cs="Arial" w:eastAsia="Arial" w:hAnsi="Arial"/>
            <w:sz w:val="22"/>
            <w:szCs w:val="22"/>
            <w:u w:val="single" w:color="auto"/>
            <w:color w:val="0000FF"/>
          </w:rPr>
          <w:t>Section 2.1</w:t>
        </w:r>
      </w:hyperlink>
      <w:r>
        <w:rPr>
          <w:rFonts w:ascii="Arial" w:cs="Arial" w:eastAsia="Arial" w:hAnsi="Arial"/>
          <w:sz w:val="22"/>
          <w:szCs w:val="22"/>
          <w:color w:val="0000FF"/>
        </w:rPr>
        <w:tab/>
      </w:r>
      <w:r>
        <w:rPr>
          <w:rFonts w:ascii="Arial" w:cs="Arial" w:eastAsia="Arial" w:hAnsi="Arial"/>
          <w:sz w:val="19"/>
          <w:szCs w:val="19"/>
          <w:u w:val="single" w:color="auto"/>
          <w:color w:val="0000FF"/>
        </w:rPr>
        <w:t xml:space="preserve">Continuation of Limited Liability Company. </w:t>
      </w:r>
      <w:r>
        <w:rPr>
          <w:rFonts w:ascii="Arial" w:cs="Arial" w:eastAsia="Arial" w:hAnsi="Arial"/>
          <w:sz w:val="19"/>
          <w:szCs w:val="19"/>
          <w:color w:val="000000"/>
        </w:rPr>
        <w:t>23</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960" w:type="dxa"/>
            <w:vAlign w:val="bottom"/>
          </w:tcPr>
          <w:p>
            <w:pPr>
              <w:spacing w:after="0"/>
              <w:rPr>
                <w:rFonts w:ascii="Arial" w:cs="Arial" w:eastAsia="Arial" w:hAnsi="Arial"/>
                <w:sz w:val="22"/>
                <w:szCs w:val="22"/>
                <w:color w:val="0000FF"/>
                <w:w w:val="85"/>
              </w:rPr>
            </w:pPr>
            <w:hyperlink w:anchor="page244">
              <w:r>
                <w:rPr>
                  <w:rFonts w:ascii="Arial" w:cs="Arial" w:eastAsia="Arial" w:hAnsi="Arial"/>
                  <w:sz w:val="22"/>
                  <w:szCs w:val="22"/>
                  <w:color w:val="0000FF"/>
                  <w:w w:val="85"/>
                </w:rPr>
                <w:t>Section 2.2</w:t>
              </w:r>
            </w:hyperlink>
          </w:p>
        </w:tc>
        <w:tc>
          <w:tcPr>
            <w:tcW w:w="240" w:type="dxa"/>
            <w:vAlign w:val="bottom"/>
          </w:tcPr>
          <w:p>
            <w:pPr>
              <w:spacing w:after="0"/>
              <w:rPr>
                <w:sz w:val="21"/>
                <w:szCs w:val="21"/>
                <w:color w:val="auto"/>
              </w:rPr>
            </w:pPr>
          </w:p>
        </w:tc>
        <w:tc>
          <w:tcPr>
            <w:tcW w:w="3480" w:type="dxa"/>
            <w:vAlign w:val="bottom"/>
            <w:gridSpan w:val="5"/>
          </w:tcPr>
          <w:p>
            <w:pPr>
              <w:spacing w:after="0"/>
              <w:rPr>
                <w:sz w:val="20"/>
                <w:szCs w:val="20"/>
                <w:color w:val="auto"/>
              </w:rPr>
            </w:pPr>
            <w:r>
              <w:rPr>
                <w:rFonts w:ascii="Arial" w:cs="Arial" w:eastAsia="Arial" w:hAnsi="Arial"/>
                <w:sz w:val="22"/>
                <w:szCs w:val="22"/>
                <w:color w:val="0000FF"/>
              </w:rPr>
              <w:t xml:space="preserve">Name. </w:t>
            </w:r>
            <w:r>
              <w:rPr>
                <w:rFonts w:ascii="Arial" w:cs="Arial" w:eastAsia="Arial" w:hAnsi="Arial"/>
                <w:sz w:val="22"/>
                <w:szCs w:val="22"/>
                <w:color w:val="000000"/>
              </w:rPr>
              <w:t>23</w:t>
            </w:r>
          </w:p>
        </w:tc>
      </w:tr>
      <w:tr>
        <w:trPr>
          <w:trHeight w:val="20"/>
        </w:trPr>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4680" w:type="dxa"/>
            <w:vAlign w:val="bottom"/>
            <w:gridSpan w:val="7"/>
          </w:tcPr>
          <w:p>
            <w:pPr>
              <w:spacing w:after="0"/>
              <w:rPr>
                <w:rFonts w:ascii="Arial" w:cs="Arial" w:eastAsia="Arial" w:hAnsi="Arial"/>
                <w:sz w:val="22"/>
                <w:szCs w:val="22"/>
                <w:color w:val="0000FF"/>
              </w:rPr>
            </w:pPr>
            <w:hyperlink w:anchor="page244">
              <w:r>
                <w:rPr>
                  <w:rFonts w:ascii="Arial" w:cs="Arial" w:eastAsia="Arial" w:hAnsi="Arial"/>
                  <w:sz w:val="22"/>
                  <w:szCs w:val="22"/>
                  <w:color w:val="0000FF"/>
                </w:rPr>
                <w:t xml:space="preserve">Section 2.3  </w:t>
              </w:r>
            </w:hyperlink>
            <w:r>
              <w:rPr>
                <w:rFonts w:ascii="Arial" w:cs="Arial" w:eastAsia="Arial" w:hAnsi="Arial"/>
                <w:sz w:val="22"/>
                <w:szCs w:val="22"/>
                <w:color w:val="0000FF"/>
              </w:rPr>
              <w:t xml:space="preserve">Principal Office. </w:t>
            </w:r>
            <w:r>
              <w:rPr>
                <w:rFonts w:ascii="Arial" w:cs="Arial" w:eastAsia="Arial" w:hAnsi="Arial"/>
                <w:sz w:val="22"/>
                <w:szCs w:val="22"/>
                <w:color w:val="000000"/>
              </w:rPr>
              <w:t>24</w:t>
            </w:r>
          </w:p>
        </w:tc>
      </w:tr>
      <w:tr>
        <w:trPr>
          <w:trHeight w:val="20"/>
        </w:trPr>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960" w:type="dxa"/>
            <w:vAlign w:val="bottom"/>
          </w:tcPr>
          <w:p>
            <w:pPr>
              <w:spacing w:after="0"/>
              <w:rPr>
                <w:rFonts w:ascii="Arial" w:cs="Arial" w:eastAsia="Arial" w:hAnsi="Arial"/>
                <w:sz w:val="22"/>
                <w:szCs w:val="22"/>
                <w:color w:val="0000FF"/>
                <w:w w:val="85"/>
              </w:rPr>
            </w:pPr>
            <w:hyperlink w:anchor="page244">
              <w:r>
                <w:rPr>
                  <w:rFonts w:ascii="Arial" w:cs="Arial" w:eastAsia="Arial" w:hAnsi="Arial"/>
                  <w:sz w:val="22"/>
                  <w:szCs w:val="22"/>
                  <w:color w:val="0000FF"/>
                  <w:w w:val="85"/>
                </w:rPr>
                <w:t>Section 2.4</w:t>
              </w:r>
            </w:hyperlink>
          </w:p>
        </w:tc>
        <w:tc>
          <w:tcPr>
            <w:tcW w:w="2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Arial" w:cs="Arial" w:eastAsia="Arial" w:hAnsi="Arial"/>
                <w:sz w:val="22"/>
                <w:szCs w:val="22"/>
                <w:color w:val="0000FF"/>
                <w:w w:val="88"/>
              </w:rPr>
              <w:t xml:space="preserve">Registered Office; Registered Agent. </w:t>
            </w:r>
            <w:r>
              <w:rPr>
                <w:rFonts w:ascii="Arial" w:cs="Arial" w:eastAsia="Arial" w:hAnsi="Arial"/>
                <w:sz w:val="22"/>
                <w:szCs w:val="22"/>
                <w:color w:val="000000"/>
                <w:w w:val="88"/>
              </w:rPr>
              <w:t>24</w:t>
            </w:r>
          </w:p>
        </w:tc>
      </w:tr>
      <w:tr>
        <w:trPr>
          <w:trHeight w:val="345"/>
        </w:trPr>
        <w:tc>
          <w:tcPr>
            <w:tcW w:w="960" w:type="dxa"/>
            <w:vAlign w:val="bottom"/>
            <w:tcBorders>
              <w:top w:val="single" w:sz="8" w:color="0000FF"/>
            </w:tcBorders>
          </w:tcPr>
          <w:p>
            <w:pPr>
              <w:spacing w:after="0"/>
              <w:rPr>
                <w:rFonts w:ascii="Arial" w:cs="Arial" w:eastAsia="Arial" w:hAnsi="Arial"/>
                <w:sz w:val="22"/>
                <w:szCs w:val="22"/>
                <w:color w:val="0000FF"/>
                <w:w w:val="85"/>
              </w:rPr>
            </w:pPr>
            <w:hyperlink w:anchor="page245">
              <w:r>
                <w:rPr>
                  <w:rFonts w:ascii="Arial" w:cs="Arial" w:eastAsia="Arial" w:hAnsi="Arial"/>
                  <w:sz w:val="22"/>
                  <w:szCs w:val="22"/>
                  <w:color w:val="0000FF"/>
                  <w:w w:val="85"/>
                </w:rPr>
                <w:t>Section 2.5</w:t>
              </w:r>
            </w:hyperlink>
          </w:p>
        </w:tc>
        <w:tc>
          <w:tcPr>
            <w:tcW w:w="240" w:type="dxa"/>
            <w:vAlign w:val="bottom"/>
          </w:tcPr>
          <w:p>
            <w:pPr>
              <w:spacing w:after="0"/>
              <w:rPr>
                <w:sz w:val="24"/>
                <w:szCs w:val="24"/>
                <w:color w:val="auto"/>
              </w:rPr>
            </w:pPr>
          </w:p>
        </w:tc>
        <w:tc>
          <w:tcPr>
            <w:tcW w:w="3200" w:type="dxa"/>
            <w:vAlign w:val="bottom"/>
            <w:tcBorders>
              <w:top w:val="single" w:sz="8" w:color="0000FF"/>
            </w:tcBorders>
            <w:gridSpan w:val="4"/>
          </w:tcPr>
          <w:p>
            <w:pPr>
              <w:spacing w:after="0"/>
              <w:rPr>
                <w:sz w:val="20"/>
                <w:szCs w:val="20"/>
                <w:color w:val="auto"/>
              </w:rPr>
            </w:pPr>
            <w:r>
              <w:rPr>
                <w:rFonts w:ascii="Arial" w:cs="Arial" w:eastAsia="Arial" w:hAnsi="Arial"/>
                <w:sz w:val="22"/>
                <w:szCs w:val="22"/>
                <w:color w:val="0000FF"/>
              </w:rPr>
              <w:t xml:space="preserve">Purposes. </w:t>
            </w:r>
            <w:r>
              <w:rPr>
                <w:rFonts w:ascii="Arial" w:cs="Arial" w:eastAsia="Arial" w:hAnsi="Arial"/>
                <w:sz w:val="22"/>
                <w:szCs w:val="22"/>
                <w:color w:val="000000"/>
              </w:rPr>
              <w:t>24</w:t>
            </w:r>
          </w:p>
        </w:tc>
        <w:tc>
          <w:tcPr>
            <w:tcW w:w="280" w:type="dxa"/>
            <w:vAlign w:val="bottom"/>
          </w:tcPr>
          <w:p>
            <w:pPr>
              <w:spacing w:after="0"/>
              <w:rPr>
                <w:sz w:val="24"/>
                <w:szCs w:val="24"/>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r>
      <w:tr>
        <w:trPr>
          <w:trHeight w:val="345"/>
        </w:trPr>
        <w:tc>
          <w:tcPr>
            <w:tcW w:w="960" w:type="dxa"/>
            <w:vAlign w:val="bottom"/>
          </w:tcPr>
          <w:p>
            <w:pPr>
              <w:spacing w:after="0"/>
              <w:rPr>
                <w:rFonts w:ascii="Arial" w:cs="Arial" w:eastAsia="Arial" w:hAnsi="Arial"/>
                <w:sz w:val="22"/>
                <w:szCs w:val="22"/>
                <w:color w:val="0000FF"/>
                <w:w w:val="85"/>
              </w:rPr>
            </w:pPr>
            <w:hyperlink w:anchor="page245">
              <w:r>
                <w:rPr>
                  <w:rFonts w:ascii="Arial" w:cs="Arial" w:eastAsia="Arial" w:hAnsi="Arial"/>
                  <w:sz w:val="22"/>
                  <w:szCs w:val="22"/>
                  <w:color w:val="0000FF"/>
                  <w:w w:val="85"/>
                </w:rPr>
                <w:t>Section 2.6</w:t>
              </w:r>
            </w:hyperlink>
          </w:p>
        </w:tc>
        <w:tc>
          <w:tcPr>
            <w:tcW w:w="2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Arial" w:cs="Arial" w:eastAsia="Arial" w:hAnsi="Arial"/>
                <w:sz w:val="22"/>
                <w:szCs w:val="22"/>
                <w:color w:val="0000FF"/>
              </w:rPr>
              <w:t xml:space="preserve">Term.  </w:t>
            </w:r>
            <w:r>
              <w:rPr>
                <w:rFonts w:ascii="Arial" w:cs="Arial" w:eastAsia="Arial" w:hAnsi="Arial"/>
                <w:sz w:val="22"/>
                <w:szCs w:val="22"/>
                <w:color w:val="000000"/>
              </w:rPr>
              <w:t>24</w:t>
            </w:r>
          </w:p>
        </w:tc>
      </w:tr>
      <w:tr>
        <w:trPr>
          <w:trHeight w:val="20"/>
        </w:trPr>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27" w:lineRule="exact"/>
        <w:rPr>
          <w:sz w:val="20"/>
          <w:szCs w:val="20"/>
          <w:color w:val="auto"/>
        </w:rPr>
      </w:pPr>
    </w:p>
    <w:p>
      <w:pPr>
        <w:ind w:left="340"/>
        <w:spacing w:after="0"/>
        <w:tabs>
          <w:tab w:leader="none" w:pos="1520" w:val="left"/>
          <w:tab w:leader="none" w:pos="3200" w:val="left"/>
        </w:tabs>
        <w:rPr>
          <w:rFonts w:ascii="Arial" w:cs="Arial" w:eastAsia="Arial" w:hAnsi="Arial"/>
          <w:sz w:val="22"/>
          <w:szCs w:val="22"/>
          <w:color w:val="0000FF"/>
        </w:rPr>
      </w:pPr>
      <w:hyperlink w:anchor="page245">
        <w:r>
          <w:rPr>
            <w:rFonts w:ascii="Arial" w:cs="Arial" w:eastAsia="Arial" w:hAnsi="Arial"/>
            <w:sz w:val="22"/>
            <w:szCs w:val="22"/>
            <w:u w:val="single" w:color="auto"/>
            <w:color w:val="0000FF"/>
          </w:rPr>
          <w:t>Section 2.7</w:t>
        </w:r>
      </w:hyperlink>
      <w:r>
        <w:rPr>
          <w:rFonts w:ascii="Arial" w:cs="Arial" w:eastAsia="Arial" w:hAnsi="Arial"/>
          <w:sz w:val="22"/>
          <w:szCs w:val="22"/>
          <w:color w:val="0000FF"/>
        </w:rPr>
        <w:tab/>
      </w:r>
      <w:r>
        <w:rPr>
          <w:rFonts w:ascii="Arial" w:cs="Arial" w:eastAsia="Arial" w:hAnsi="Arial"/>
          <w:sz w:val="22"/>
          <w:szCs w:val="22"/>
          <w:u w:val="single" w:color="auto"/>
          <w:color w:val="0000FF"/>
        </w:rPr>
        <w:t>Title to Property.</w:t>
      </w:r>
      <w:r>
        <w:rPr>
          <w:rFonts w:ascii="Arial" w:cs="Arial" w:eastAsia="Arial" w:hAnsi="Arial"/>
          <w:sz w:val="22"/>
          <w:szCs w:val="22"/>
          <w:color w:val="0000FF"/>
        </w:rPr>
        <w:tab/>
      </w:r>
      <w:r>
        <w:rPr>
          <w:rFonts w:ascii="Arial" w:cs="Arial" w:eastAsia="Arial" w:hAnsi="Arial"/>
          <w:sz w:val="19"/>
          <w:szCs w:val="19"/>
          <w:color w:val="0000FF"/>
        </w:rPr>
        <w:t>24</w:t>
      </w:r>
    </w:p>
    <w:p>
      <w:pPr>
        <w:spacing w:after="0" w:line="112" w:lineRule="exact"/>
        <w:rPr>
          <w:sz w:val="20"/>
          <w:szCs w:val="20"/>
          <w:color w:val="auto"/>
        </w:rPr>
      </w:pPr>
    </w:p>
    <w:p>
      <w:pPr>
        <w:ind w:left="340" w:right="2680"/>
        <w:spacing w:after="0" w:line="345" w:lineRule="auto"/>
        <w:rPr>
          <w:rFonts w:ascii="Arial" w:cs="Arial" w:eastAsia="Arial" w:hAnsi="Arial"/>
          <w:sz w:val="22"/>
          <w:szCs w:val="22"/>
          <w:color w:val="0000FF"/>
        </w:rPr>
      </w:pPr>
      <w:hyperlink w:anchor="page245">
        <w:r>
          <w:rPr>
            <w:rFonts w:ascii="Arial" w:cs="Arial" w:eastAsia="Arial" w:hAnsi="Arial"/>
            <w:sz w:val="22"/>
            <w:szCs w:val="22"/>
            <w:u w:val="single" w:color="auto"/>
            <w:color w:val="0000FF"/>
          </w:rPr>
          <w:t xml:space="preserve">Section 2.8 </w:t>
        </w:r>
      </w:hyperlink>
      <w:r>
        <w:rPr>
          <w:rFonts w:ascii="Arial" w:cs="Arial" w:eastAsia="Arial" w:hAnsi="Arial"/>
          <w:sz w:val="22"/>
          <w:szCs w:val="22"/>
          <w:color w:val="0000FF"/>
        </w:rPr>
        <w:t xml:space="preserve">Units; </w:t>
      </w:r>
      <w:r>
        <w:rPr>
          <w:rFonts w:ascii="Arial" w:cs="Arial" w:eastAsia="Arial" w:hAnsi="Arial"/>
          <w:sz w:val="22"/>
          <w:szCs w:val="22"/>
          <w:u w:val="single" w:color="auto"/>
          <w:color w:val="0000FF"/>
        </w:rPr>
        <w:t>Certificates of Membership Interest; Applicability of Article 8 of UCC.</w:t>
      </w:r>
      <w:r>
        <w:rPr>
          <w:rFonts w:ascii="Arial" w:cs="Arial" w:eastAsia="Arial" w:hAnsi="Arial"/>
          <w:sz w:val="22"/>
          <w:szCs w:val="22"/>
          <w:color w:val="0000FF"/>
        </w:rPr>
        <w:t xml:space="preserve"> </w:t>
      </w:r>
      <w:r>
        <w:rPr>
          <w:rFonts w:ascii="Arial" w:cs="Arial" w:eastAsia="Arial" w:hAnsi="Arial"/>
          <w:sz w:val="22"/>
          <w:szCs w:val="22"/>
          <w:color w:val="000000"/>
        </w:rPr>
        <w:t>25</w:t>
      </w:r>
      <w:r>
        <w:rPr>
          <w:rFonts w:ascii="Arial" w:cs="Arial" w:eastAsia="Arial" w:hAnsi="Arial"/>
          <w:sz w:val="22"/>
          <w:szCs w:val="22"/>
          <w:color w:val="0000FF"/>
        </w:rPr>
        <w:t xml:space="preserve"> </w:t>
      </w:r>
      <w:hyperlink w:anchor="page245">
        <w:r>
          <w:rPr>
            <w:rFonts w:ascii="Arial" w:cs="Arial" w:eastAsia="Arial" w:hAnsi="Arial"/>
            <w:sz w:val="22"/>
            <w:szCs w:val="22"/>
            <w:u w:val="single" w:color="auto"/>
            <w:color w:val="0000FF"/>
          </w:rPr>
          <w:t xml:space="preserve">Section 2.9 </w:t>
        </w:r>
      </w:hyperlink>
      <w:r>
        <w:rPr>
          <w:rFonts w:ascii="Arial" w:cs="Arial" w:eastAsia="Arial" w:hAnsi="Arial"/>
          <w:sz w:val="22"/>
          <w:szCs w:val="22"/>
          <w:color w:val="0000FF"/>
        </w:rPr>
        <w:t xml:space="preserve">No </w:t>
      </w:r>
      <w:r>
        <w:rPr>
          <w:rFonts w:ascii="Arial" w:cs="Arial" w:eastAsia="Arial" w:hAnsi="Arial"/>
          <w:sz w:val="22"/>
          <w:szCs w:val="22"/>
          <w:u w:val="single" w:color="auto"/>
          <w:color w:val="0000FF"/>
        </w:rPr>
        <w:t>Partnership.</w:t>
      </w:r>
      <w:r>
        <w:rPr>
          <w:rFonts w:ascii="Arial" w:cs="Arial" w:eastAsia="Arial" w:hAnsi="Arial"/>
          <w:sz w:val="22"/>
          <w:szCs w:val="22"/>
          <w:color w:val="0000FF"/>
        </w:rPr>
        <w:t xml:space="preserve"> </w:t>
      </w:r>
      <w:r>
        <w:rPr>
          <w:rFonts w:ascii="Arial" w:cs="Arial" w:eastAsia="Arial" w:hAnsi="Arial"/>
          <w:sz w:val="22"/>
          <w:szCs w:val="22"/>
          <w:color w:val="000000"/>
        </w:rPr>
        <w:t>25</w:t>
      </w:r>
    </w:p>
    <w:p>
      <w:pPr>
        <w:spacing w:after="0" w:line="2" w:lineRule="exact"/>
        <w:rPr>
          <w:sz w:val="20"/>
          <w:szCs w:val="20"/>
          <w:color w:val="auto"/>
        </w:rPr>
      </w:pPr>
    </w:p>
    <w:p>
      <w:pPr>
        <w:spacing w:after="0"/>
        <w:rPr>
          <w:rFonts w:ascii="Arial" w:cs="Arial" w:eastAsia="Arial" w:hAnsi="Arial"/>
          <w:sz w:val="22"/>
          <w:szCs w:val="22"/>
          <w:color w:val="0000FF"/>
        </w:rPr>
      </w:pPr>
      <w:hyperlink w:anchor="page245">
        <w:r>
          <w:rPr>
            <w:rFonts w:ascii="Arial" w:cs="Arial" w:eastAsia="Arial" w:hAnsi="Arial"/>
            <w:sz w:val="22"/>
            <w:szCs w:val="22"/>
            <w:u w:val="single" w:color="auto"/>
            <w:color w:val="0000FF"/>
          </w:rPr>
          <w:t>ARTICLE III CAPITAL CONTRIBUTIONS</w:t>
        </w:r>
      </w:hyperlink>
      <w:r>
        <w:rPr>
          <w:rFonts w:ascii="Arial" w:cs="Arial" w:eastAsia="Arial" w:hAnsi="Arial"/>
          <w:sz w:val="22"/>
          <w:szCs w:val="22"/>
          <w:color w:val="000000"/>
        </w:rPr>
        <w:t>25</w:t>
      </w:r>
    </w:p>
    <w:p>
      <w:pPr>
        <w:spacing w:after="0" w:line="112" w:lineRule="exact"/>
        <w:rPr>
          <w:sz w:val="20"/>
          <w:szCs w:val="20"/>
          <w:color w:val="auto"/>
        </w:rPr>
      </w:pPr>
    </w:p>
    <w:p>
      <w:pPr>
        <w:ind w:left="340"/>
        <w:spacing w:after="0"/>
        <w:tabs>
          <w:tab w:leader="none" w:pos="1520" w:val="left"/>
          <w:tab w:leader="none" w:pos="3160" w:val="left"/>
        </w:tabs>
        <w:rPr>
          <w:rFonts w:ascii="Arial" w:cs="Arial" w:eastAsia="Arial" w:hAnsi="Arial"/>
          <w:sz w:val="22"/>
          <w:szCs w:val="22"/>
          <w:color w:val="0000FF"/>
        </w:rPr>
      </w:pPr>
      <w:hyperlink w:anchor="page245">
        <w:r>
          <w:rPr>
            <w:rFonts w:ascii="Arial" w:cs="Arial" w:eastAsia="Arial" w:hAnsi="Arial"/>
            <w:sz w:val="22"/>
            <w:szCs w:val="22"/>
            <w:u w:val="single" w:color="auto"/>
            <w:color w:val="0000FF"/>
          </w:rPr>
          <w:t>Section 3.1</w:t>
        </w:r>
      </w:hyperlink>
      <w:r>
        <w:rPr>
          <w:rFonts w:ascii="Arial" w:cs="Arial" w:eastAsia="Arial" w:hAnsi="Arial"/>
          <w:sz w:val="22"/>
          <w:szCs w:val="22"/>
          <w:color w:val="0000FF"/>
        </w:rPr>
        <w:tab/>
      </w:r>
      <w:r>
        <w:rPr>
          <w:rFonts w:ascii="Arial" w:cs="Arial" w:eastAsia="Arial" w:hAnsi="Arial"/>
          <w:sz w:val="22"/>
          <w:szCs w:val="22"/>
          <w:u w:val="single" w:color="auto"/>
          <w:color w:val="0000FF"/>
        </w:rPr>
        <w:t>Class A Interest.</w:t>
      </w:r>
      <w:r>
        <w:rPr>
          <w:rFonts w:ascii="Arial" w:cs="Arial" w:eastAsia="Arial" w:hAnsi="Arial"/>
          <w:sz w:val="22"/>
          <w:szCs w:val="22"/>
          <w:color w:val="0000FF"/>
        </w:rPr>
        <w:tab/>
      </w:r>
      <w:r>
        <w:rPr>
          <w:rFonts w:ascii="Arial" w:cs="Arial" w:eastAsia="Arial" w:hAnsi="Arial"/>
          <w:sz w:val="19"/>
          <w:szCs w:val="19"/>
          <w:color w:val="0000FF"/>
        </w:rPr>
        <w:t>25</w:t>
      </w:r>
    </w:p>
    <w:p>
      <w:pPr>
        <w:spacing w:after="0" w:line="112" w:lineRule="exact"/>
        <w:rPr>
          <w:sz w:val="20"/>
          <w:szCs w:val="20"/>
          <w:color w:val="auto"/>
        </w:rPr>
      </w:pPr>
    </w:p>
    <w:p>
      <w:pPr>
        <w:ind w:left="340"/>
        <w:spacing w:after="0"/>
        <w:tabs>
          <w:tab w:leader="none" w:pos="1520" w:val="left"/>
          <w:tab w:leader="none" w:pos="3160" w:val="left"/>
        </w:tabs>
        <w:rPr>
          <w:rFonts w:ascii="Arial" w:cs="Arial" w:eastAsia="Arial" w:hAnsi="Arial"/>
          <w:sz w:val="22"/>
          <w:szCs w:val="22"/>
          <w:color w:val="0000FF"/>
        </w:rPr>
      </w:pPr>
      <w:hyperlink w:anchor="page245">
        <w:r>
          <w:rPr>
            <w:rFonts w:ascii="Arial" w:cs="Arial" w:eastAsia="Arial" w:hAnsi="Arial"/>
            <w:sz w:val="22"/>
            <w:szCs w:val="22"/>
            <w:u w:val="single" w:color="auto"/>
            <w:color w:val="0000FF"/>
          </w:rPr>
          <w:t>Section 3.2</w:t>
        </w:r>
      </w:hyperlink>
      <w:r>
        <w:rPr>
          <w:rFonts w:ascii="Arial" w:cs="Arial" w:eastAsia="Arial" w:hAnsi="Arial"/>
          <w:sz w:val="22"/>
          <w:szCs w:val="22"/>
          <w:color w:val="0000FF"/>
        </w:rPr>
        <w:tab/>
      </w:r>
      <w:r>
        <w:rPr>
          <w:rFonts w:ascii="Arial" w:cs="Arial" w:eastAsia="Arial" w:hAnsi="Arial"/>
          <w:sz w:val="22"/>
          <w:szCs w:val="22"/>
          <w:u w:val="single" w:color="auto"/>
          <w:color w:val="0000FF"/>
        </w:rPr>
        <w:t>Class B Interest.</w:t>
      </w:r>
      <w:r>
        <w:rPr>
          <w:rFonts w:ascii="Arial" w:cs="Arial" w:eastAsia="Arial" w:hAnsi="Arial"/>
          <w:sz w:val="22"/>
          <w:szCs w:val="22"/>
          <w:color w:val="0000FF"/>
        </w:rPr>
        <w:tab/>
      </w:r>
      <w:r>
        <w:rPr>
          <w:rFonts w:ascii="Arial" w:cs="Arial" w:eastAsia="Arial" w:hAnsi="Arial"/>
          <w:sz w:val="19"/>
          <w:szCs w:val="19"/>
          <w:color w:val="0000FF"/>
        </w:rPr>
        <w:t>25</w:t>
      </w:r>
    </w:p>
    <w:p>
      <w:pPr>
        <w:spacing w:after="0" w:line="112" w:lineRule="exact"/>
        <w:rPr>
          <w:sz w:val="20"/>
          <w:szCs w:val="20"/>
          <w:color w:val="auto"/>
        </w:rPr>
      </w:pPr>
    </w:p>
    <w:p>
      <w:pPr>
        <w:ind w:left="340"/>
        <w:spacing w:after="0"/>
        <w:tabs>
          <w:tab w:leader="none" w:pos="1520" w:val="left"/>
          <w:tab w:leader="none" w:pos="5060" w:val="left"/>
        </w:tabs>
        <w:rPr>
          <w:rFonts w:ascii="Arial" w:cs="Arial" w:eastAsia="Arial" w:hAnsi="Arial"/>
          <w:sz w:val="22"/>
          <w:szCs w:val="22"/>
          <w:color w:val="0000FF"/>
        </w:rPr>
      </w:pPr>
      <w:hyperlink w:anchor="page246">
        <w:r>
          <w:rPr>
            <w:rFonts w:ascii="Arial" w:cs="Arial" w:eastAsia="Arial" w:hAnsi="Arial"/>
            <w:sz w:val="22"/>
            <w:szCs w:val="22"/>
            <w:u w:val="single" w:color="auto"/>
            <w:color w:val="0000FF"/>
          </w:rPr>
          <w:t>Section 3.3</w:t>
        </w:r>
      </w:hyperlink>
      <w:r>
        <w:rPr>
          <w:rFonts w:ascii="Arial" w:cs="Arial" w:eastAsia="Arial" w:hAnsi="Arial"/>
          <w:sz w:val="22"/>
          <w:szCs w:val="22"/>
          <w:color w:val="0000FF"/>
        </w:rPr>
        <w:tab/>
      </w:r>
      <w:r>
        <w:rPr>
          <w:rFonts w:ascii="Arial" w:cs="Arial" w:eastAsia="Arial" w:hAnsi="Arial"/>
          <w:sz w:val="22"/>
          <w:szCs w:val="22"/>
          <w:u w:val="single" w:color="auto"/>
          <w:color w:val="0000FF"/>
        </w:rPr>
        <w:t>Other Required Capital Contributions.</w:t>
      </w:r>
      <w:r>
        <w:rPr>
          <w:rFonts w:ascii="Arial" w:cs="Arial" w:eastAsia="Arial" w:hAnsi="Arial"/>
          <w:sz w:val="22"/>
          <w:szCs w:val="22"/>
          <w:color w:val="0000FF"/>
        </w:rPr>
        <w:tab/>
      </w:r>
      <w:r>
        <w:rPr>
          <w:rFonts w:ascii="Arial" w:cs="Arial" w:eastAsia="Arial" w:hAnsi="Arial"/>
          <w:sz w:val="19"/>
          <w:szCs w:val="19"/>
          <w:color w:val="0000FF"/>
        </w:rPr>
        <w:t>26</w:t>
      </w:r>
    </w:p>
    <w:p>
      <w:pPr>
        <w:spacing w:after="0" w:line="112" w:lineRule="exact"/>
        <w:rPr>
          <w:sz w:val="20"/>
          <w:szCs w:val="20"/>
          <w:color w:val="auto"/>
        </w:rPr>
      </w:pPr>
    </w:p>
    <w:p>
      <w:pPr>
        <w:ind w:left="340"/>
        <w:spacing w:after="0"/>
        <w:tabs>
          <w:tab w:leader="none" w:pos="1520" w:val="left"/>
          <w:tab w:leader="none" w:pos="3120" w:val="left"/>
        </w:tabs>
        <w:rPr>
          <w:rFonts w:ascii="Arial" w:cs="Arial" w:eastAsia="Arial" w:hAnsi="Arial"/>
          <w:sz w:val="22"/>
          <w:szCs w:val="22"/>
          <w:color w:val="0000FF"/>
        </w:rPr>
      </w:pPr>
      <w:hyperlink w:anchor="page247">
        <w:r>
          <w:rPr>
            <w:rFonts w:ascii="Arial" w:cs="Arial" w:eastAsia="Arial" w:hAnsi="Arial"/>
            <w:sz w:val="22"/>
            <w:szCs w:val="22"/>
            <w:u w:val="single" w:color="auto"/>
            <w:color w:val="0000FF"/>
          </w:rPr>
          <w:t>Section 3.4</w:t>
        </w:r>
      </w:hyperlink>
      <w:r>
        <w:rPr>
          <w:rFonts w:ascii="Arial" w:cs="Arial" w:eastAsia="Arial" w:hAnsi="Arial"/>
          <w:sz w:val="22"/>
          <w:szCs w:val="22"/>
          <w:color w:val="0000FF"/>
        </w:rPr>
        <w:tab/>
      </w:r>
      <w:r>
        <w:rPr>
          <w:rFonts w:ascii="Arial" w:cs="Arial" w:eastAsia="Arial" w:hAnsi="Arial"/>
          <w:sz w:val="22"/>
          <w:szCs w:val="22"/>
          <w:u w:val="single" w:color="auto"/>
          <w:color w:val="0000FF"/>
        </w:rPr>
        <w:t>Member Loans.</w:t>
      </w:r>
      <w:r>
        <w:rPr>
          <w:rFonts w:ascii="Arial" w:cs="Arial" w:eastAsia="Arial" w:hAnsi="Arial"/>
          <w:sz w:val="22"/>
          <w:szCs w:val="22"/>
          <w:color w:val="0000FF"/>
        </w:rPr>
        <w:tab/>
      </w:r>
      <w:r>
        <w:rPr>
          <w:rFonts w:ascii="Arial" w:cs="Arial" w:eastAsia="Arial" w:hAnsi="Arial"/>
          <w:sz w:val="17"/>
          <w:szCs w:val="17"/>
          <w:color w:val="0000FF"/>
        </w:rPr>
        <w:t>28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814" w:right="239" w:bottom="1440" w:gutter="0" w:footer="0" w:header="0"/>
        </w:sectPr>
      </w:pPr>
    </w:p>
    <w:bookmarkStart w:id="214" w:name="page215"/>
    <w:bookmarkEnd w:id="214"/>
    <w:p>
      <w:pPr>
        <w:ind w:left="340"/>
        <w:spacing w:after="0"/>
        <w:tabs>
          <w:tab w:leader="none" w:pos="1520" w:val="left"/>
          <w:tab w:leader="none" w:pos="5620" w:val="left"/>
        </w:tabs>
        <w:rPr>
          <w:rFonts w:ascii="Arial" w:cs="Arial" w:eastAsia="Arial" w:hAnsi="Arial"/>
          <w:sz w:val="22"/>
          <w:szCs w:val="22"/>
          <w:color w:val="0000FF"/>
        </w:rPr>
      </w:pPr>
      <w:hyperlink w:anchor="page247">
        <w:r>
          <w:rPr>
            <w:rFonts w:ascii="Arial" w:cs="Arial" w:eastAsia="Arial" w:hAnsi="Arial"/>
            <w:sz w:val="22"/>
            <w:szCs w:val="22"/>
            <w:u w:val="single" w:color="auto"/>
            <w:color w:val="0000FF"/>
          </w:rPr>
          <w:t>Section 3.5</w:t>
        </w:r>
      </w:hyperlink>
      <w:r>
        <w:rPr>
          <w:rFonts w:ascii="Arial" w:cs="Arial" w:eastAsia="Arial" w:hAnsi="Arial"/>
          <w:sz w:val="22"/>
          <w:szCs w:val="22"/>
          <w:color w:val="0000FF"/>
        </w:rPr>
        <w:tab/>
      </w:r>
      <w:r>
        <w:rPr>
          <w:rFonts w:ascii="Arial" w:cs="Arial" w:eastAsia="Arial" w:hAnsi="Arial"/>
          <w:sz w:val="22"/>
          <w:szCs w:val="22"/>
          <w:u w:val="single" w:color="auto"/>
          <w:color w:val="0000FF"/>
        </w:rPr>
        <w:t>No Right to Return of Capital Contributions.</w:t>
      </w:r>
      <w:r>
        <w:rPr>
          <w:rFonts w:ascii="Arial" w:cs="Arial" w:eastAsia="Arial" w:hAnsi="Arial"/>
          <w:sz w:val="22"/>
          <w:szCs w:val="22"/>
          <w:color w:val="0000FF"/>
        </w:rPr>
        <w:tab/>
      </w:r>
      <w:r>
        <w:rPr>
          <w:rFonts w:ascii="Arial" w:cs="Arial" w:eastAsia="Arial" w:hAnsi="Arial"/>
          <w:sz w:val="19"/>
          <w:szCs w:val="19"/>
          <w:color w:val="0000FF"/>
        </w:rPr>
        <w:t>28</w:t>
      </w:r>
    </w:p>
    <w:p>
      <w:pPr>
        <w:spacing w:after="0" w:line="112" w:lineRule="exact"/>
        <w:rPr>
          <w:sz w:val="20"/>
          <w:szCs w:val="20"/>
          <w:color w:val="auto"/>
        </w:rPr>
      </w:pPr>
    </w:p>
    <w:p>
      <w:pPr>
        <w:ind w:left="340" w:right="5039" w:hanging="323"/>
        <w:spacing w:after="0" w:line="362" w:lineRule="auto"/>
        <w:rPr>
          <w:rFonts w:ascii="Arial" w:cs="Arial" w:eastAsia="Arial" w:hAnsi="Arial"/>
          <w:sz w:val="21"/>
          <w:szCs w:val="21"/>
          <w:color w:val="0000FF"/>
        </w:rPr>
      </w:pPr>
      <w:hyperlink w:anchor="page247">
        <w:r>
          <w:rPr>
            <w:rFonts w:ascii="Arial" w:cs="Arial" w:eastAsia="Arial" w:hAnsi="Arial"/>
            <w:sz w:val="21"/>
            <w:szCs w:val="21"/>
            <w:u w:val="single" w:color="auto"/>
            <w:color w:val="0000FF"/>
          </w:rPr>
          <w:t>ARTICLE IV CAPITAL ACCOUNTS; ALLOCATIONS</w:t>
        </w:r>
      </w:hyperlink>
      <w:r>
        <w:rPr>
          <w:rFonts w:ascii="Arial" w:cs="Arial" w:eastAsia="Arial" w:hAnsi="Arial"/>
          <w:sz w:val="21"/>
          <w:szCs w:val="21"/>
          <w:color w:val="000000"/>
        </w:rPr>
        <w:t>29</w:t>
      </w:r>
      <w:r>
        <w:rPr>
          <w:rFonts w:ascii="Arial" w:cs="Arial" w:eastAsia="Arial" w:hAnsi="Arial"/>
          <w:sz w:val="21"/>
          <w:szCs w:val="21"/>
          <w:color w:val="0000FF"/>
        </w:rPr>
        <w:t xml:space="preserve"> </w:t>
      </w:r>
      <w:hyperlink w:anchor="page247">
        <w:r>
          <w:rPr>
            <w:rFonts w:ascii="Arial" w:cs="Arial" w:eastAsia="Arial" w:hAnsi="Arial"/>
            <w:sz w:val="21"/>
            <w:szCs w:val="21"/>
            <w:u w:val="single" w:color="auto"/>
            <w:color w:val="0000FF"/>
          </w:rPr>
          <w:t xml:space="preserve">Section 4.1 </w:t>
        </w:r>
      </w:hyperlink>
      <w:r>
        <w:rPr>
          <w:rFonts w:ascii="Arial" w:cs="Arial" w:eastAsia="Arial" w:hAnsi="Arial"/>
          <w:sz w:val="21"/>
          <w:szCs w:val="21"/>
          <w:color w:val="0000FF"/>
        </w:rPr>
        <w:t xml:space="preserve">Capital </w:t>
      </w:r>
      <w:r>
        <w:rPr>
          <w:rFonts w:ascii="Arial" w:cs="Arial" w:eastAsia="Arial" w:hAnsi="Arial"/>
          <w:sz w:val="21"/>
          <w:szCs w:val="21"/>
          <w:u w:val="single" w:color="auto"/>
          <w:color w:val="0000FF"/>
        </w:rPr>
        <w:t>Accounts.</w:t>
      </w:r>
      <w:r>
        <w:rPr>
          <w:rFonts w:ascii="Arial" w:cs="Arial" w:eastAsia="Arial" w:hAnsi="Arial"/>
          <w:sz w:val="21"/>
          <w:szCs w:val="21"/>
          <w:color w:val="0000FF"/>
        </w:rPr>
        <w:t xml:space="preserve"> </w:t>
      </w:r>
      <w:r>
        <w:rPr>
          <w:rFonts w:ascii="Arial" w:cs="Arial" w:eastAsia="Arial" w:hAnsi="Arial"/>
          <w:sz w:val="21"/>
          <w:szCs w:val="21"/>
          <w:color w:val="000000"/>
        </w:rPr>
        <w:t>29</w:t>
      </w:r>
    </w:p>
    <w:p>
      <w:pPr>
        <w:spacing w:after="0" w:line="1" w:lineRule="exact"/>
        <w:rPr>
          <w:sz w:val="20"/>
          <w:szCs w:val="20"/>
          <w:color w:val="auto"/>
        </w:rPr>
      </w:pPr>
    </w:p>
    <w:p>
      <w:pPr>
        <w:ind w:left="340"/>
        <w:spacing w:after="0"/>
        <w:tabs>
          <w:tab w:leader="none" w:pos="1520" w:val="left"/>
          <w:tab w:leader="none" w:pos="2800" w:val="left"/>
        </w:tabs>
        <w:rPr>
          <w:rFonts w:ascii="Arial" w:cs="Arial" w:eastAsia="Arial" w:hAnsi="Arial"/>
          <w:sz w:val="22"/>
          <w:szCs w:val="22"/>
          <w:color w:val="0000FF"/>
        </w:rPr>
      </w:pPr>
      <w:hyperlink w:anchor="page248">
        <w:r>
          <w:rPr>
            <w:rFonts w:ascii="Arial" w:cs="Arial" w:eastAsia="Arial" w:hAnsi="Arial"/>
            <w:sz w:val="22"/>
            <w:szCs w:val="22"/>
            <w:u w:val="single" w:color="auto"/>
            <w:color w:val="0000FF"/>
          </w:rPr>
          <w:t>Section 4.2</w:t>
        </w:r>
      </w:hyperlink>
      <w:r>
        <w:rPr>
          <w:rFonts w:ascii="Arial" w:cs="Arial" w:eastAsia="Arial" w:hAnsi="Arial"/>
          <w:sz w:val="22"/>
          <w:szCs w:val="22"/>
          <w:color w:val="0000FF"/>
        </w:rPr>
        <w:tab/>
      </w:r>
      <w:r>
        <w:rPr>
          <w:rFonts w:ascii="Arial" w:cs="Arial" w:eastAsia="Arial" w:hAnsi="Arial"/>
          <w:sz w:val="22"/>
          <w:szCs w:val="22"/>
          <w:u w:val="single" w:color="auto"/>
          <w:color w:val="0000FF"/>
        </w:rPr>
        <w:t>Allocations.</w:t>
      </w:r>
      <w:r>
        <w:rPr>
          <w:rFonts w:ascii="Arial" w:cs="Arial" w:eastAsia="Arial" w:hAnsi="Arial"/>
          <w:sz w:val="22"/>
          <w:szCs w:val="22"/>
          <w:color w:val="0000FF"/>
        </w:rPr>
        <w:tab/>
      </w:r>
      <w:r>
        <w:rPr>
          <w:rFonts w:ascii="Arial" w:cs="Arial" w:eastAsia="Arial" w:hAnsi="Arial"/>
          <w:sz w:val="19"/>
          <w:szCs w:val="19"/>
          <w:color w:val="0000FF"/>
        </w:rPr>
        <w:t>30</w:t>
      </w:r>
    </w:p>
    <w:p>
      <w:pPr>
        <w:spacing w:after="0" w:line="112" w:lineRule="exact"/>
        <w:rPr>
          <w:sz w:val="20"/>
          <w:szCs w:val="20"/>
          <w:color w:val="auto"/>
        </w:rPr>
      </w:pPr>
    </w:p>
    <w:p>
      <w:pPr>
        <w:ind w:left="340"/>
        <w:spacing w:after="0"/>
        <w:tabs>
          <w:tab w:leader="none" w:pos="1520" w:val="left"/>
          <w:tab w:leader="none" w:pos="2900" w:val="left"/>
        </w:tabs>
        <w:rPr>
          <w:rFonts w:ascii="Arial" w:cs="Arial" w:eastAsia="Arial" w:hAnsi="Arial"/>
          <w:sz w:val="22"/>
          <w:szCs w:val="22"/>
          <w:color w:val="0000FF"/>
        </w:rPr>
      </w:pPr>
      <w:hyperlink w:anchor="page248">
        <w:r>
          <w:rPr>
            <w:rFonts w:ascii="Arial" w:cs="Arial" w:eastAsia="Arial" w:hAnsi="Arial"/>
            <w:sz w:val="22"/>
            <w:szCs w:val="22"/>
            <w:u w:val="single" w:color="auto"/>
            <w:color w:val="0000FF"/>
          </w:rPr>
          <w:t>Section 4.3</w:t>
        </w:r>
      </w:hyperlink>
      <w:r>
        <w:rPr>
          <w:rFonts w:ascii="Arial" w:cs="Arial" w:eastAsia="Arial" w:hAnsi="Arial"/>
          <w:sz w:val="22"/>
          <w:szCs w:val="22"/>
          <w:color w:val="0000FF"/>
        </w:rPr>
        <w:tab/>
      </w:r>
      <w:r>
        <w:rPr>
          <w:rFonts w:ascii="Arial" w:cs="Arial" w:eastAsia="Arial" w:hAnsi="Arial"/>
          <w:sz w:val="22"/>
          <w:szCs w:val="22"/>
          <w:u w:val="single" w:color="auto"/>
          <w:color w:val="0000FF"/>
        </w:rPr>
        <w:t>Adjustments.</w:t>
      </w:r>
      <w:r>
        <w:rPr>
          <w:rFonts w:ascii="Arial" w:cs="Arial" w:eastAsia="Arial" w:hAnsi="Arial"/>
          <w:sz w:val="22"/>
          <w:szCs w:val="22"/>
          <w:color w:val="0000FF"/>
        </w:rPr>
        <w:tab/>
      </w:r>
      <w:r>
        <w:rPr>
          <w:rFonts w:ascii="Arial" w:cs="Arial" w:eastAsia="Arial" w:hAnsi="Arial"/>
          <w:sz w:val="17"/>
          <w:szCs w:val="17"/>
          <w:color w:val="0000FF"/>
        </w:rPr>
        <w:t>30</w:t>
      </w:r>
    </w:p>
    <w:p>
      <w:pPr>
        <w:spacing w:after="0" w:line="112" w:lineRule="exact"/>
        <w:rPr>
          <w:sz w:val="20"/>
          <w:szCs w:val="20"/>
          <w:color w:val="auto"/>
        </w:rPr>
      </w:pPr>
    </w:p>
    <w:p>
      <w:pPr>
        <w:ind w:left="340"/>
        <w:spacing w:after="0"/>
        <w:tabs>
          <w:tab w:leader="none" w:pos="1520" w:val="left"/>
          <w:tab w:leader="none" w:pos="3160" w:val="left"/>
        </w:tabs>
        <w:rPr>
          <w:rFonts w:ascii="Arial" w:cs="Arial" w:eastAsia="Arial" w:hAnsi="Arial"/>
          <w:sz w:val="22"/>
          <w:szCs w:val="22"/>
          <w:color w:val="0000FF"/>
        </w:rPr>
      </w:pPr>
      <w:hyperlink w:anchor="page249">
        <w:r>
          <w:rPr>
            <w:rFonts w:ascii="Arial" w:cs="Arial" w:eastAsia="Arial" w:hAnsi="Arial"/>
            <w:sz w:val="22"/>
            <w:szCs w:val="22"/>
            <w:u w:val="single" w:color="auto"/>
            <w:color w:val="0000FF"/>
          </w:rPr>
          <w:t>Section 4.4</w:t>
        </w:r>
      </w:hyperlink>
      <w:r>
        <w:rPr>
          <w:rFonts w:ascii="Arial" w:cs="Arial" w:eastAsia="Arial" w:hAnsi="Arial"/>
          <w:sz w:val="22"/>
          <w:szCs w:val="22"/>
          <w:color w:val="0000FF"/>
        </w:rPr>
        <w:tab/>
      </w:r>
      <w:r>
        <w:rPr>
          <w:rFonts w:ascii="Arial" w:cs="Arial" w:eastAsia="Arial" w:hAnsi="Arial"/>
          <w:sz w:val="22"/>
          <w:szCs w:val="22"/>
          <w:u w:val="single" w:color="auto"/>
          <w:color w:val="0000FF"/>
        </w:rPr>
        <w:t>Tax Allocations.</w:t>
      </w:r>
      <w:r>
        <w:rPr>
          <w:rFonts w:ascii="Arial" w:cs="Arial" w:eastAsia="Arial" w:hAnsi="Arial"/>
          <w:sz w:val="22"/>
          <w:szCs w:val="22"/>
          <w:color w:val="0000FF"/>
        </w:rPr>
        <w:tab/>
      </w:r>
      <w:r>
        <w:rPr>
          <w:rFonts w:ascii="Arial" w:cs="Arial" w:eastAsia="Arial" w:hAnsi="Arial"/>
          <w:sz w:val="19"/>
          <w:szCs w:val="19"/>
          <w:color w:val="0000FF"/>
        </w:rPr>
        <w:t>32</w:t>
      </w:r>
    </w:p>
    <w:p>
      <w:pPr>
        <w:spacing w:after="0" w:line="112" w:lineRule="exact"/>
        <w:rPr>
          <w:sz w:val="20"/>
          <w:szCs w:val="20"/>
          <w:color w:val="auto"/>
        </w:rPr>
      </w:pPr>
    </w:p>
    <w:p>
      <w:pPr>
        <w:ind w:left="340"/>
        <w:spacing w:after="0"/>
        <w:tabs>
          <w:tab w:leader="none" w:pos="1520" w:val="left"/>
          <w:tab w:leader="none" w:pos="3800" w:val="left"/>
        </w:tabs>
        <w:rPr>
          <w:rFonts w:ascii="Arial" w:cs="Arial" w:eastAsia="Arial" w:hAnsi="Arial"/>
          <w:sz w:val="22"/>
          <w:szCs w:val="22"/>
          <w:color w:val="0000FF"/>
        </w:rPr>
      </w:pPr>
      <w:hyperlink w:anchor="page250">
        <w:r>
          <w:rPr>
            <w:rFonts w:ascii="Arial" w:cs="Arial" w:eastAsia="Arial" w:hAnsi="Arial"/>
            <w:sz w:val="22"/>
            <w:szCs w:val="22"/>
            <w:u w:val="single" w:color="auto"/>
            <w:color w:val="0000FF"/>
          </w:rPr>
          <w:t>Section 4.5</w:t>
        </w:r>
      </w:hyperlink>
      <w:r>
        <w:rPr>
          <w:rFonts w:ascii="Arial" w:cs="Arial" w:eastAsia="Arial" w:hAnsi="Arial"/>
          <w:sz w:val="22"/>
          <w:szCs w:val="22"/>
          <w:color w:val="0000FF"/>
        </w:rPr>
        <w:tab/>
      </w:r>
      <w:r>
        <w:rPr>
          <w:rFonts w:ascii="Arial" w:cs="Arial" w:eastAsia="Arial" w:hAnsi="Arial"/>
          <w:sz w:val="22"/>
          <w:szCs w:val="22"/>
          <w:u w:val="single" w:color="auto"/>
          <w:color w:val="0000FF"/>
        </w:rPr>
        <w:t>Other Allocation Rules.</w:t>
      </w:r>
      <w:r>
        <w:rPr>
          <w:rFonts w:ascii="Arial" w:cs="Arial" w:eastAsia="Arial" w:hAnsi="Arial"/>
          <w:sz w:val="22"/>
          <w:szCs w:val="22"/>
          <w:color w:val="0000FF"/>
        </w:rPr>
        <w:tab/>
      </w:r>
      <w:r>
        <w:rPr>
          <w:rFonts w:ascii="Arial" w:cs="Arial" w:eastAsia="Arial" w:hAnsi="Arial"/>
          <w:sz w:val="19"/>
          <w:szCs w:val="19"/>
          <w:color w:val="0000FF"/>
        </w:rPr>
        <w:t>33</w:t>
      </w:r>
    </w:p>
    <w:p>
      <w:pPr>
        <w:spacing w:after="0" w:line="112" w:lineRule="exact"/>
        <w:rPr>
          <w:sz w:val="20"/>
          <w:szCs w:val="20"/>
          <w:color w:val="auto"/>
        </w:rPr>
      </w:pPr>
    </w:p>
    <w:p>
      <w:pPr>
        <w:spacing w:after="0"/>
        <w:rPr>
          <w:rFonts w:ascii="Arial" w:cs="Arial" w:eastAsia="Arial" w:hAnsi="Arial"/>
          <w:sz w:val="22"/>
          <w:szCs w:val="22"/>
          <w:color w:val="0000FF"/>
        </w:rPr>
      </w:pPr>
      <w:hyperlink w:anchor="page250">
        <w:r>
          <w:rPr>
            <w:rFonts w:ascii="Arial" w:cs="Arial" w:eastAsia="Arial" w:hAnsi="Arial"/>
            <w:sz w:val="22"/>
            <w:szCs w:val="22"/>
            <w:u w:val="single" w:color="auto"/>
            <w:color w:val="0000FF"/>
          </w:rPr>
          <w:t>ARTICLE V DISTRIBUTIONS</w:t>
        </w:r>
      </w:hyperlink>
      <w:r>
        <w:rPr>
          <w:rFonts w:ascii="Arial" w:cs="Arial" w:eastAsia="Arial" w:hAnsi="Arial"/>
          <w:sz w:val="22"/>
          <w:szCs w:val="22"/>
          <w:color w:val="000000"/>
        </w:rPr>
        <w:t>33</w:t>
      </w:r>
    </w:p>
    <w:p>
      <w:pPr>
        <w:spacing w:after="0" w:line="112" w:lineRule="exact"/>
        <w:rPr>
          <w:sz w:val="20"/>
          <w:szCs w:val="20"/>
          <w:color w:val="auto"/>
        </w:rPr>
      </w:pPr>
    </w:p>
    <w:p>
      <w:pPr>
        <w:ind w:left="340"/>
        <w:spacing w:after="0"/>
        <w:tabs>
          <w:tab w:leader="none" w:pos="1520" w:val="left"/>
          <w:tab w:leader="none" w:pos="5000" w:val="left"/>
        </w:tabs>
        <w:rPr>
          <w:rFonts w:ascii="Arial" w:cs="Arial" w:eastAsia="Arial" w:hAnsi="Arial"/>
          <w:sz w:val="22"/>
          <w:szCs w:val="22"/>
          <w:color w:val="0000FF"/>
        </w:rPr>
      </w:pPr>
      <w:hyperlink w:anchor="page250">
        <w:r>
          <w:rPr>
            <w:rFonts w:ascii="Arial" w:cs="Arial" w:eastAsia="Arial" w:hAnsi="Arial"/>
            <w:sz w:val="22"/>
            <w:szCs w:val="22"/>
            <w:u w:val="single" w:color="auto"/>
            <w:color w:val="0000FF"/>
          </w:rPr>
          <w:t>Section 5.1</w:t>
        </w:r>
      </w:hyperlink>
      <w:r>
        <w:rPr>
          <w:rFonts w:ascii="Arial" w:cs="Arial" w:eastAsia="Arial" w:hAnsi="Arial"/>
          <w:sz w:val="22"/>
          <w:szCs w:val="22"/>
          <w:color w:val="0000FF"/>
        </w:rPr>
        <w:tab/>
      </w:r>
      <w:r>
        <w:rPr>
          <w:rFonts w:ascii="Arial" w:cs="Arial" w:eastAsia="Arial" w:hAnsi="Arial"/>
          <w:sz w:val="22"/>
          <w:szCs w:val="22"/>
          <w:u w:val="single" w:color="auto"/>
          <w:color w:val="0000FF"/>
        </w:rPr>
        <w:t>Distributions of Available Cash Flow.</w:t>
      </w:r>
      <w:r>
        <w:rPr>
          <w:rFonts w:ascii="Arial" w:cs="Arial" w:eastAsia="Arial" w:hAnsi="Arial"/>
          <w:sz w:val="22"/>
          <w:szCs w:val="22"/>
          <w:color w:val="0000FF"/>
        </w:rPr>
        <w:tab/>
      </w:r>
      <w:r>
        <w:rPr>
          <w:rFonts w:ascii="Arial" w:cs="Arial" w:eastAsia="Arial" w:hAnsi="Arial"/>
          <w:sz w:val="19"/>
          <w:szCs w:val="19"/>
          <w:color w:val="0000FF"/>
        </w:rPr>
        <w:t>33</w:t>
      </w:r>
    </w:p>
    <w:p>
      <w:pPr>
        <w:spacing w:after="0" w:line="112" w:lineRule="exact"/>
        <w:rPr>
          <w:sz w:val="20"/>
          <w:szCs w:val="20"/>
          <w:color w:val="auto"/>
        </w:rPr>
      </w:pPr>
    </w:p>
    <w:p>
      <w:pPr>
        <w:ind w:left="340"/>
        <w:spacing w:after="0"/>
        <w:tabs>
          <w:tab w:leader="none" w:pos="1520" w:val="left"/>
          <w:tab w:leader="none" w:pos="2720" w:val="left"/>
        </w:tabs>
        <w:rPr>
          <w:rFonts w:ascii="Arial" w:cs="Arial" w:eastAsia="Arial" w:hAnsi="Arial"/>
          <w:sz w:val="22"/>
          <w:szCs w:val="22"/>
          <w:color w:val="0000FF"/>
        </w:rPr>
      </w:pPr>
      <w:hyperlink w:anchor="page250">
        <w:r>
          <w:rPr>
            <w:rFonts w:ascii="Arial" w:cs="Arial" w:eastAsia="Arial" w:hAnsi="Arial"/>
            <w:sz w:val="22"/>
            <w:szCs w:val="22"/>
            <w:u w:val="single" w:color="auto"/>
            <w:color w:val="0000FF"/>
          </w:rPr>
          <w:t>Section 5.2</w:t>
        </w:r>
      </w:hyperlink>
      <w:r>
        <w:rPr>
          <w:rFonts w:ascii="Arial" w:cs="Arial" w:eastAsia="Arial" w:hAnsi="Arial"/>
          <w:sz w:val="22"/>
          <w:szCs w:val="22"/>
          <w:color w:val="0000FF"/>
        </w:rPr>
        <w:tab/>
      </w:r>
      <w:r>
        <w:rPr>
          <w:rFonts w:ascii="Arial" w:cs="Arial" w:eastAsia="Arial" w:hAnsi="Arial"/>
          <w:sz w:val="22"/>
          <w:szCs w:val="22"/>
          <w:u w:val="single" w:color="auto"/>
          <w:color w:val="0000FF"/>
        </w:rPr>
        <w:t>Limitation.</w:t>
      </w:r>
      <w:r>
        <w:rPr>
          <w:rFonts w:ascii="Arial" w:cs="Arial" w:eastAsia="Arial" w:hAnsi="Arial"/>
          <w:sz w:val="22"/>
          <w:szCs w:val="22"/>
          <w:color w:val="0000FF"/>
        </w:rPr>
        <w:tab/>
      </w:r>
      <w:r>
        <w:rPr>
          <w:rFonts w:ascii="Arial" w:cs="Arial" w:eastAsia="Arial" w:hAnsi="Arial"/>
          <w:sz w:val="17"/>
          <w:szCs w:val="17"/>
          <w:color w:val="0000FF"/>
        </w:rPr>
        <w:t>34</w:t>
      </w:r>
    </w:p>
    <w:p>
      <w:pPr>
        <w:spacing w:after="0" w:line="112" w:lineRule="exact"/>
        <w:rPr>
          <w:sz w:val="20"/>
          <w:szCs w:val="20"/>
          <w:color w:val="auto"/>
        </w:rPr>
      </w:pPr>
    </w:p>
    <w:p>
      <w:pPr>
        <w:ind w:left="340"/>
        <w:spacing w:after="0"/>
        <w:tabs>
          <w:tab w:leader="none" w:pos="1520" w:val="left"/>
          <w:tab w:leader="none" w:pos="2880" w:val="left"/>
        </w:tabs>
        <w:rPr>
          <w:rFonts w:ascii="Arial" w:cs="Arial" w:eastAsia="Arial" w:hAnsi="Arial"/>
          <w:sz w:val="22"/>
          <w:szCs w:val="22"/>
          <w:color w:val="0000FF"/>
        </w:rPr>
      </w:pPr>
      <w:hyperlink w:anchor="page250">
        <w:r>
          <w:rPr>
            <w:rFonts w:ascii="Arial" w:cs="Arial" w:eastAsia="Arial" w:hAnsi="Arial"/>
            <w:sz w:val="22"/>
            <w:szCs w:val="22"/>
            <w:u w:val="single" w:color="auto"/>
            <w:color w:val="0000FF"/>
          </w:rPr>
          <w:t>Section 5.3</w:t>
        </w:r>
      </w:hyperlink>
      <w:r>
        <w:rPr>
          <w:rFonts w:ascii="Arial" w:cs="Arial" w:eastAsia="Arial" w:hAnsi="Arial"/>
          <w:sz w:val="22"/>
          <w:szCs w:val="22"/>
          <w:color w:val="0000FF"/>
        </w:rPr>
        <w:tab/>
      </w:r>
      <w:r>
        <w:rPr>
          <w:rFonts w:ascii="Arial" w:cs="Arial" w:eastAsia="Arial" w:hAnsi="Arial"/>
          <w:sz w:val="22"/>
          <w:szCs w:val="22"/>
          <w:u w:val="single" w:color="auto"/>
          <w:color w:val="0000FF"/>
        </w:rPr>
        <w:t>Withholding.</w:t>
      </w:r>
      <w:r>
        <w:rPr>
          <w:rFonts w:ascii="Arial" w:cs="Arial" w:eastAsia="Arial" w:hAnsi="Arial"/>
          <w:sz w:val="22"/>
          <w:szCs w:val="22"/>
          <w:color w:val="0000FF"/>
        </w:rPr>
        <w:tab/>
      </w:r>
      <w:r>
        <w:rPr>
          <w:rFonts w:ascii="Arial" w:cs="Arial" w:eastAsia="Arial" w:hAnsi="Arial"/>
          <w:sz w:val="19"/>
          <w:szCs w:val="19"/>
          <w:color w:val="0000FF"/>
        </w:rPr>
        <w:t>34</w:t>
      </w:r>
    </w:p>
    <w:p>
      <w:pPr>
        <w:spacing w:after="0" w:line="112" w:lineRule="exact"/>
        <w:rPr>
          <w:sz w:val="20"/>
          <w:szCs w:val="20"/>
          <w:color w:val="auto"/>
        </w:rPr>
      </w:pPr>
    </w:p>
    <w:p>
      <w:pPr>
        <w:spacing w:after="0"/>
        <w:rPr>
          <w:rFonts w:ascii="Arial" w:cs="Arial" w:eastAsia="Arial" w:hAnsi="Arial"/>
          <w:sz w:val="22"/>
          <w:szCs w:val="22"/>
          <w:color w:val="0000FF"/>
        </w:rPr>
      </w:pPr>
      <w:hyperlink w:anchor="page251">
        <w:r>
          <w:rPr>
            <w:rFonts w:ascii="Arial" w:cs="Arial" w:eastAsia="Arial" w:hAnsi="Arial"/>
            <w:sz w:val="22"/>
            <w:szCs w:val="22"/>
            <w:u w:val="single" w:color="auto"/>
            <w:color w:val="0000FF"/>
          </w:rPr>
          <w:t>ARTICLE VI MANAGEMENT</w:t>
        </w:r>
      </w:hyperlink>
      <w:r>
        <w:rPr>
          <w:rFonts w:ascii="Arial" w:cs="Arial" w:eastAsia="Arial" w:hAnsi="Arial"/>
          <w:sz w:val="22"/>
          <w:szCs w:val="22"/>
          <w:color w:val="000000"/>
        </w:rPr>
        <w:t>34</w:t>
      </w:r>
    </w:p>
    <w:p>
      <w:pPr>
        <w:spacing w:after="0" w:line="112" w:lineRule="exact"/>
        <w:rPr>
          <w:sz w:val="20"/>
          <w:szCs w:val="20"/>
          <w:color w:val="auto"/>
        </w:rPr>
      </w:pPr>
    </w:p>
    <w:p>
      <w:pPr>
        <w:ind w:left="340"/>
        <w:spacing w:after="0"/>
        <w:tabs>
          <w:tab w:leader="none" w:pos="1520" w:val="left"/>
          <w:tab w:leader="none" w:pos="2560" w:val="left"/>
        </w:tabs>
        <w:rPr>
          <w:rFonts w:ascii="Arial" w:cs="Arial" w:eastAsia="Arial" w:hAnsi="Arial"/>
          <w:sz w:val="22"/>
          <w:szCs w:val="22"/>
          <w:color w:val="0000FF"/>
        </w:rPr>
      </w:pPr>
      <w:hyperlink w:anchor="page251">
        <w:r>
          <w:rPr>
            <w:rFonts w:ascii="Arial" w:cs="Arial" w:eastAsia="Arial" w:hAnsi="Arial"/>
            <w:sz w:val="22"/>
            <w:szCs w:val="22"/>
            <w:u w:val="single" w:color="auto"/>
            <w:color w:val="0000FF"/>
          </w:rPr>
          <w:t>Section 6.1</w:t>
        </w:r>
      </w:hyperlink>
      <w:r>
        <w:rPr>
          <w:rFonts w:ascii="Arial" w:cs="Arial" w:eastAsia="Arial" w:hAnsi="Arial"/>
          <w:sz w:val="22"/>
          <w:szCs w:val="22"/>
          <w:color w:val="0000FF"/>
        </w:rPr>
        <w:tab/>
      </w:r>
      <w:r>
        <w:rPr>
          <w:rFonts w:ascii="Arial" w:cs="Arial" w:eastAsia="Arial" w:hAnsi="Arial"/>
          <w:sz w:val="22"/>
          <w:szCs w:val="22"/>
          <w:u w:val="single" w:color="auto"/>
          <w:color w:val="0000FF"/>
        </w:rPr>
        <w:t>Manager.</w:t>
      </w:r>
      <w:r>
        <w:rPr>
          <w:rFonts w:ascii="Arial" w:cs="Arial" w:eastAsia="Arial" w:hAnsi="Arial"/>
          <w:sz w:val="22"/>
          <w:szCs w:val="22"/>
          <w:color w:val="0000FF"/>
        </w:rPr>
        <w:tab/>
      </w:r>
      <w:r>
        <w:rPr>
          <w:rFonts w:ascii="Arial" w:cs="Arial" w:eastAsia="Arial" w:hAnsi="Arial"/>
          <w:sz w:val="17"/>
          <w:szCs w:val="17"/>
          <w:color w:val="0000FF"/>
        </w:rPr>
        <w:t>34</w:t>
      </w:r>
    </w:p>
    <w:p>
      <w:pPr>
        <w:spacing w:after="0" w:line="112" w:lineRule="exact"/>
        <w:rPr>
          <w:sz w:val="20"/>
          <w:szCs w:val="20"/>
          <w:color w:val="auto"/>
        </w:rPr>
      </w:pPr>
    </w:p>
    <w:p>
      <w:pPr>
        <w:ind w:left="340"/>
        <w:spacing w:after="0"/>
        <w:tabs>
          <w:tab w:leader="none" w:pos="1520" w:val="left"/>
          <w:tab w:leader="none" w:pos="5020" w:val="left"/>
        </w:tabs>
        <w:rPr>
          <w:rFonts w:ascii="Arial" w:cs="Arial" w:eastAsia="Arial" w:hAnsi="Arial"/>
          <w:sz w:val="22"/>
          <w:szCs w:val="22"/>
          <w:color w:val="0000FF"/>
        </w:rPr>
      </w:pPr>
      <w:hyperlink w:anchor="page253">
        <w:r>
          <w:rPr>
            <w:rFonts w:ascii="Arial" w:cs="Arial" w:eastAsia="Arial" w:hAnsi="Arial"/>
            <w:sz w:val="22"/>
            <w:szCs w:val="22"/>
            <w:u w:val="single" w:color="auto"/>
            <w:color w:val="0000FF"/>
          </w:rPr>
          <w:t>Section 6.2</w:t>
        </w:r>
      </w:hyperlink>
      <w:r>
        <w:rPr>
          <w:rFonts w:ascii="Arial" w:cs="Arial" w:eastAsia="Arial" w:hAnsi="Arial"/>
          <w:sz w:val="22"/>
          <w:szCs w:val="22"/>
          <w:color w:val="0000FF"/>
        </w:rPr>
        <w:tab/>
      </w:r>
      <w:r>
        <w:rPr>
          <w:rFonts w:ascii="Arial" w:cs="Arial" w:eastAsia="Arial" w:hAnsi="Arial"/>
          <w:sz w:val="21"/>
          <w:szCs w:val="21"/>
          <w:u w:val="single" w:color="auto"/>
          <w:color w:val="0000FF"/>
        </w:rPr>
        <w:t>Standard of Care; Required Consents.</w:t>
      </w:r>
      <w:r>
        <w:rPr>
          <w:rFonts w:ascii="Arial" w:cs="Arial" w:eastAsia="Arial" w:hAnsi="Arial"/>
          <w:sz w:val="22"/>
          <w:szCs w:val="22"/>
          <w:color w:val="0000FF"/>
        </w:rPr>
        <w:tab/>
      </w:r>
      <w:r>
        <w:rPr>
          <w:rFonts w:ascii="Arial" w:cs="Arial" w:eastAsia="Arial" w:hAnsi="Arial"/>
          <w:sz w:val="19"/>
          <w:szCs w:val="19"/>
          <w:color w:val="0000FF"/>
        </w:rPr>
        <w:t>39</w:t>
      </w:r>
    </w:p>
    <w:p>
      <w:pPr>
        <w:spacing w:after="0" w:line="112" w:lineRule="exact"/>
        <w:rPr>
          <w:sz w:val="20"/>
          <w:szCs w:val="20"/>
          <w:color w:val="auto"/>
        </w:rPr>
      </w:pPr>
    </w:p>
    <w:p>
      <w:pPr>
        <w:ind w:left="340" w:right="3199"/>
        <w:spacing w:after="0" w:line="345" w:lineRule="auto"/>
        <w:rPr>
          <w:rFonts w:ascii="Arial" w:cs="Arial" w:eastAsia="Arial" w:hAnsi="Arial"/>
          <w:sz w:val="22"/>
          <w:szCs w:val="22"/>
          <w:color w:val="0000FF"/>
        </w:rPr>
      </w:pPr>
      <w:hyperlink w:anchor="page256">
        <w:r>
          <w:rPr>
            <w:rFonts w:ascii="Arial" w:cs="Arial" w:eastAsia="Arial" w:hAnsi="Arial"/>
            <w:sz w:val="22"/>
            <w:szCs w:val="22"/>
            <w:u w:val="single" w:color="auto"/>
            <w:color w:val="0000FF"/>
          </w:rPr>
          <w:t xml:space="preserve">Section 6.3 </w:t>
        </w:r>
      </w:hyperlink>
      <w:r>
        <w:rPr>
          <w:rFonts w:ascii="Arial" w:cs="Arial" w:eastAsia="Arial" w:hAnsi="Arial"/>
          <w:sz w:val="22"/>
          <w:szCs w:val="22"/>
          <w:color w:val="0000FF"/>
        </w:rPr>
        <w:t xml:space="preserve">Fund </w:t>
      </w:r>
      <w:r>
        <w:rPr>
          <w:rFonts w:ascii="Arial" w:cs="Arial" w:eastAsia="Arial" w:hAnsi="Arial"/>
          <w:sz w:val="22"/>
          <w:szCs w:val="22"/>
          <w:u w:val="single" w:color="auto"/>
          <w:color w:val="0000FF"/>
        </w:rPr>
        <w:t>Company Acquisitions; Fund Company Call Events.</w:t>
      </w:r>
      <w:r>
        <w:rPr>
          <w:rFonts w:ascii="Arial" w:cs="Arial" w:eastAsia="Arial" w:hAnsi="Arial"/>
          <w:sz w:val="22"/>
          <w:szCs w:val="22"/>
          <w:color w:val="0000FF"/>
        </w:rPr>
        <w:t xml:space="preserve"> </w:t>
      </w:r>
      <w:r>
        <w:rPr>
          <w:rFonts w:ascii="Arial" w:cs="Arial" w:eastAsia="Arial" w:hAnsi="Arial"/>
          <w:sz w:val="22"/>
          <w:szCs w:val="22"/>
          <w:color w:val="000000"/>
        </w:rPr>
        <w:t>44</w:t>
      </w:r>
      <w:r>
        <w:rPr>
          <w:rFonts w:ascii="Arial" w:cs="Arial" w:eastAsia="Arial" w:hAnsi="Arial"/>
          <w:sz w:val="22"/>
          <w:szCs w:val="22"/>
          <w:color w:val="0000FF"/>
        </w:rPr>
        <w:t xml:space="preserve"> </w:t>
      </w:r>
      <w:hyperlink w:anchor="page257">
        <w:r>
          <w:rPr>
            <w:rFonts w:ascii="Arial" w:cs="Arial" w:eastAsia="Arial" w:hAnsi="Arial"/>
            <w:sz w:val="22"/>
            <w:szCs w:val="22"/>
            <w:u w:val="single" w:color="auto"/>
            <w:color w:val="0000FF"/>
          </w:rPr>
          <w:t xml:space="preserve">Section 6.4 </w:t>
        </w:r>
      </w:hyperlink>
      <w:r>
        <w:rPr>
          <w:rFonts w:ascii="Arial" w:cs="Arial" w:eastAsia="Arial" w:hAnsi="Arial"/>
          <w:sz w:val="22"/>
          <w:szCs w:val="22"/>
          <w:color w:val="0000FF"/>
        </w:rPr>
        <w:t xml:space="preserve">Removal </w:t>
      </w:r>
      <w:r>
        <w:rPr>
          <w:rFonts w:ascii="Arial" w:cs="Arial" w:eastAsia="Arial" w:hAnsi="Arial"/>
          <w:sz w:val="22"/>
          <w:szCs w:val="22"/>
          <w:u w:val="single" w:color="auto"/>
          <w:color w:val="0000FF"/>
        </w:rPr>
        <w:t>and Election of Manager.</w:t>
      </w:r>
      <w:r>
        <w:rPr>
          <w:rFonts w:ascii="Arial" w:cs="Arial" w:eastAsia="Arial" w:hAnsi="Arial"/>
          <w:sz w:val="22"/>
          <w:szCs w:val="22"/>
          <w:color w:val="0000FF"/>
        </w:rPr>
        <w:t xml:space="preserve"> </w:t>
      </w:r>
      <w:r>
        <w:rPr>
          <w:rFonts w:ascii="Arial" w:cs="Arial" w:eastAsia="Arial" w:hAnsi="Arial"/>
          <w:sz w:val="22"/>
          <w:szCs w:val="22"/>
          <w:color w:val="000000"/>
        </w:rPr>
        <w:t>45</w:t>
      </w:r>
      <w:r>
        <w:rPr>
          <w:rFonts w:ascii="Arial" w:cs="Arial" w:eastAsia="Arial" w:hAnsi="Arial"/>
          <w:sz w:val="22"/>
          <w:szCs w:val="22"/>
          <w:color w:val="0000FF"/>
        </w:rPr>
        <w:t xml:space="preserve"> </w:t>
      </w:r>
      <w:hyperlink w:anchor="page257">
        <w:r>
          <w:rPr>
            <w:rFonts w:ascii="Arial" w:cs="Arial" w:eastAsia="Arial" w:hAnsi="Arial"/>
            <w:sz w:val="22"/>
            <w:szCs w:val="22"/>
            <w:u w:val="single" w:color="auto"/>
            <w:color w:val="0000FF"/>
          </w:rPr>
          <w:t xml:space="preserve">Section 6.5 </w:t>
        </w:r>
      </w:hyperlink>
      <w:r>
        <w:rPr>
          <w:rFonts w:ascii="Arial" w:cs="Arial" w:eastAsia="Arial" w:hAnsi="Arial"/>
          <w:sz w:val="22"/>
          <w:szCs w:val="22"/>
          <w:color w:val="0000FF"/>
        </w:rPr>
        <w:t xml:space="preserve">Indemnification </w:t>
      </w:r>
      <w:r>
        <w:rPr>
          <w:rFonts w:ascii="Arial" w:cs="Arial" w:eastAsia="Arial" w:hAnsi="Arial"/>
          <w:sz w:val="22"/>
          <w:szCs w:val="22"/>
          <w:u w:val="single" w:color="auto"/>
          <w:color w:val="0000FF"/>
        </w:rPr>
        <w:t>and Exculpation.</w:t>
      </w:r>
      <w:r>
        <w:rPr>
          <w:rFonts w:ascii="Arial" w:cs="Arial" w:eastAsia="Arial" w:hAnsi="Arial"/>
          <w:sz w:val="22"/>
          <w:szCs w:val="22"/>
          <w:color w:val="0000FF"/>
        </w:rPr>
        <w:t xml:space="preserve"> </w:t>
      </w:r>
      <w:r>
        <w:rPr>
          <w:rFonts w:ascii="Arial" w:cs="Arial" w:eastAsia="Arial" w:hAnsi="Arial"/>
          <w:sz w:val="22"/>
          <w:szCs w:val="22"/>
          <w:color w:val="000000"/>
        </w:rPr>
        <w:t>46</w:t>
      </w:r>
    </w:p>
    <w:p>
      <w:pPr>
        <w:spacing w:after="0" w:line="3" w:lineRule="exact"/>
        <w:rPr>
          <w:rFonts w:ascii="Arial" w:cs="Arial" w:eastAsia="Arial" w:hAnsi="Arial"/>
          <w:sz w:val="22"/>
          <w:szCs w:val="22"/>
          <w:color w:val="0000FF"/>
        </w:rPr>
      </w:pPr>
    </w:p>
    <w:p>
      <w:pPr>
        <w:ind w:left="1540" w:right="3539" w:hanging="5321"/>
        <w:spacing w:after="0" w:line="571" w:lineRule="auto"/>
        <w:tabs>
          <w:tab w:leader="none" w:pos="1520" w:val="left"/>
        </w:tabs>
        <w:rPr>
          <w:rFonts w:ascii="Arial" w:cs="Arial" w:eastAsia="Arial" w:hAnsi="Arial"/>
          <w:sz w:val="22"/>
          <w:szCs w:val="22"/>
          <w:color w:val="0000FF"/>
        </w:rPr>
      </w:pPr>
      <w:hyperlink w:anchor="page257">
        <w:r>
          <w:rPr>
            <w:rFonts w:ascii="Arial" w:cs="Arial" w:eastAsia="Arial" w:hAnsi="Arial"/>
            <w:sz w:val="22"/>
            <w:szCs w:val="22"/>
            <w:u w:val="single" w:color="auto"/>
            <w:color w:val="0000FF"/>
          </w:rPr>
          <w:t>Section 6.6</w:t>
        </w:r>
      </w:hyperlink>
      <w:r>
        <w:rPr>
          <w:rFonts w:ascii="Arial" w:cs="Arial" w:eastAsia="Arial" w:hAnsi="Arial"/>
          <w:sz w:val="22"/>
          <w:szCs w:val="22"/>
          <w:color w:val="0000FF"/>
        </w:rPr>
        <w:tab/>
      </w:r>
      <w:r>
        <w:rPr>
          <w:rFonts w:ascii="Arial" w:cs="Arial" w:eastAsia="Arial" w:hAnsi="Arial"/>
          <w:sz w:val="22"/>
          <w:szCs w:val="22"/>
          <w:u w:val="single" w:color="auto"/>
          <w:color w:val="0000FF"/>
        </w:rPr>
        <w:t xml:space="preserve">Company Reimbursement; Fund Formation Expenses. </w:t>
      </w:r>
      <w:r>
        <w:rPr>
          <w:rFonts w:ascii="Arial" w:cs="Arial" w:eastAsia="Arial" w:hAnsi="Arial"/>
          <w:sz w:val="22"/>
          <w:szCs w:val="22"/>
          <w:color w:val="000000"/>
        </w:rPr>
        <w:t>46</w:t>
      </w:r>
      <w:r>
        <w:rPr>
          <w:rFonts w:ascii="Arial" w:cs="Arial" w:eastAsia="Arial" w:hAnsi="Arial"/>
          <w:sz w:val="22"/>
          <w:szCs w:val="22"/>
          <w:u w:val="single" w:color="auto"/>
          <w:color w:val="0000FF"/>
        </w:rPr>
        <w:t xml:space="preserve"> </w:t>
      </w:r>
      <w:r>
        <w:rPr>
          <w:rFonts w:ascii="Arial" w:cs="Arial" w:eastAsia="Arial" w:hAnsi="Arial"/>
          <w:sz w:val="22"/>
          <w:szCs w:val="22"/>
          <w:color w:val="000000"/>
        </w:rPr>
        <w:t>ii</w:t>
      </w:r>
    </w:p>
    <w:p>
      <w:pPr>
        <w:sectPr>
          <w:pgSz w:w="11900" w:h="16838" w:orient="portrait"/>
          <w:cols w:equalWidth="0" w:num="1">
            <w:col w:w="10219"/>
          </w:cols>
          <w:pgMar w:left="240" w:top="604"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960" w:type="dxa"/>
            <w:vAlign w:val="bottom"/>
            <w:tcBorders>
              <w:bottom w:val="single" w:sz="8" w:color="0000FF"/>
            </w:tcBorders>
          </w:tcPr>
          <w:p>
            <w:pPr>
              <w:spacing w:after="0"/>
              <w:rPr>
                <w:rFonts w:ascii="Arial" w:cs="Arial" w:eastAsia="Arial" w:hAnsi="Arial"/>
                <w:sz w:val="22"/>
                <w:szCs w:val="22"/>
                <w:color w:val="0000FF"/>
                <w:w w:val="83"/>
              </w:rPr>
            </w:pPr>
            <w:hyperlink w:anchor="page257">
              <w:r>
                <w:rPr>
                  <w:rFonts w:ascii="Arial" w:cs="Arial" w:eastAsia="Arial" w:hAnsi="Arial"/>
                  <w:sz w:val="22"/>
                  <w:szCs w:val="22"/>
                  <w:color w:val="0000FF"/>
                  <w:w w:val="83"/>
                </w:rPr>
                <w:t>Section 6.7</w:t>
              </w:r>
            </w:hyperlink>
          </w:p>
        </w:tc>
        <w:tc>
          <w:tcPr>
            <w:tcW w:w="2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90"/>
              </w:rPr>
              <w:t>Officers.</w:t>
            </w:r>
          </w:p>
        </w:tc>
        <w:tc>
          <w:tcPr>
            <w:tcW w:w="600" w:type="dxa"/>
            <w:vAlign w:val="bottom"/>
            <w:gridSpan w:val="2"/>
          </w:tcPr>
          <w:p>
            <w:pPr>
              <w:jc w:val="right"/>
              <w:ind w:right="160"/>
              <w:spacing w:after="0"/>
              <w:rPr>
                <w:sz w:val="20"/>
                <w:szCs w:val="20"/>
                <w:color w:val="auto"/>
              </w:rPr>
            </w:pPr>
            <w:r>
              <w:rPr>
                <w:rFonts w:ascii="Arial" w:cs="Arial" w:eastAsia="Arial" w:hAnsi="Arial"/>
                <w:sz w:val="22"/>
                <w:szCs w:val="22"/>
                <w:color w:val="auto"/>
              </w:rPr>
              <w:t>47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58">
              <w:r>
                <w:rPr>
                  <w:rFonts w:ascii="Arial" w:cs="Arial" w:eastAsia="Arial" w:hAnsi="Arial"/>
                  <w:sz w:val="22"/>
                  <w:szCs w:val="22"/>
                  <w:color w:val="0000FF"/>
                </w:rPr>
                <w:t xml:space="preserve">Section 6.8  </w:t>
              </w:r>
            </w:hyperlink>
            <w:r>
              <w:rPr>
                <w:rFonts w:ascii="Arial" w:cs="Arial" w:eastAsia="Arial" w:hAnsi="Arial"/>
                <w:sz w:val="22"/>
                <w:szCs w:val="22"/>
                <w:color w:val="0000FF"/>
              </w:rPr>
              <w:t xml:space="preserve">Approved Budgets.  </w:t>
            </w:r>
            <w:r>
              <w:rPr>
                <w:rFonts w:ascii="Arial" w:cs="Arial" w:eastAsia="Arial" w:hAnsi="Arial"/>
                <w:sz w:val="22"/>
                <w:szCs w:val="22"/>
                <w:color w:val="000000"/>
              </w:rPr>
              <w:t>48</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5"/>
        </w:trPr>
        <w:tc>
          <w:tcPr>
            <w:tcW w:w="6240" w:type="dxa"/>
            <w:vAlign w:val="bottom"/>
            <w:gridSpan w:val="14"/>
          </w:tcPr>
          <w:p>
            <w:pPr>
              <w:spacing w:after="0"/>
              <w:rPr>
                <w:rFonts w:ascii="Arial" w:cs="Arial" w:eastAsia="Arial" w:hAnsi="Arial"/>
                <w:sz w:val="22"/>
                <w:szCs w:val="22"/>
                <w:color w:val="0000FF"/>
                <w:w w:val="95"/>
              </w:rPr>
            </w:pPr>
            <w:hyperlink w:anchor="page258">
              <w:r>
                <w:rPr>
                  <w:rFonts w:ascii="Arial" w:cs="Arial" w:eastAsia="Arial" w:hAnsi="Arial"/>
                  <w:sz w:val="22"/>
                  <w:szCs w:val="22"/>
                  <w:color w:val="0000FF"/>
                  <w:w w:val="95"/>
                </w:rPr>
                <w:t>ARTICLE VII RIGHTS AND RESPONSIBILITIES OF MEMBERS</w:t>
              </w:r>
            </w:hyperlink>
            <w:r>
              <w:rPr>
                <w:rFonts w:ascii="Arial" w:cs="Arial" w:eastAsia="Arial" w:hAnsi="Arial"/>
                <w:sz w:val="22"/>
                <w:szCs w:val="22"/>
                <w:color w:val="000000"/>
                <w:w w:val="95"/>
              </w:rPr>
              <w:t>48</w:t>
            </w:r>
          </w:p>
        </w:tc>
      </w:tr>
      <w:tr>
        <w:trPr>
          <w:trHeight w:val="345"/>
        </w:trPr>
        <w:tc>
          <w:tcPr>
            <w:tcW w:w="3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3"/>
              </w:rPr>
            </w:pPr>
            <w:hyperlink w:anchor="page259">
              <w:r>
                <w:rPr>
                  <w:rFonts w:ascii="Arial" w:cs="Arial" w:eastAsia="Arial" w:hAnsi="Arial"/>
                  <w:sz w:val="22"/>
                  <w:szCs w:val="22"/>
                  <w:color w:val="0000FF"/>
                  <w:w w:val="83"/>
                </w:rPr>
                <w:t>Section 7.1</w:t>
              </w:r>
            </w:hyperlink>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w w:val="87"/>
              </w:rPr>
              <w:t>General.</w:t>
            </w:r>
          </w:p>
        </w:tc>
        <w:tc>
          <w:tcPr>
            <w:tcW w:w="600" w:type="dxa"/>
            <w:vAlign w:val="bottom"/>
            <w:tcBorders>
              <w:top w:val="single" w:sz="8" w:color="0000FF"/>
            </w:tcBorders>
            <w:gridSpan w:val="2"/>
          </w:tcPr>
          <w:p>
            <w:pPr>
              <w:jc w:val="right"/>
              <w:ind w:right="180"/>
              <w:spacing w:after="0"/>
              <w:rPr>
                <w:sz w:val="20"/>
                <w:szCs w:val="20"/>
                <w:color w:val="auto"/>
              </w:rPr>
            </w:pPr>
            <w:r>
              <w:rPr>
                <w:rFonts w:ascii="Arial" w:cs="Arial" w:eastAsia="Arial" w:hAnsi="Arial"/>
                <w:sz w:val="22"/>
                <w:szCs w:val="22"/>
                <w:color w:val="auto"/>
              </w:rPr>
              <w:t>48</w:t>
            </w: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59">
              <w:r>
                <w:rPr>
                  <w:rFonts w:ascii="Arial" w:cs="Arial" w:eastAsia="Arial" w:hAnsi="Arial"/>
                  <w:sz w:val="22"/>
                  <w:szCs w:val="22"/>
                  <w:color w:val="0000FF"/>
                </w:rPr>
                <w:t xml:space="preserve">Section 7.2  </w:t>
              </w:r>
            </w:hyperlink>
            <w:r>
              <w:rPr>
                <w:rFonts w:ascii="Arial" w:cs="Arial" w:eastAsia="Arial" w:hAnsi="Arial"/>
                <w:sz w:val="22"/>
                <w:szCs w:val="22"/>
                <w:color w:val="0000FF"/>
              </w:rPr>
              <w:t xml:space="preserve">Member Consent.  </w:t>
            </w:r>
            <w:r>
              <w:rPr>
                <w:rFonts w:ascii="Arial" w:cs="Arial" w:eastAsia="Arial" w:hAnsi="Arial"/>
                <w:sz w:val="22"/>
                <w:szCs w:val="22"/>
                <w:color w:val="000000"/>
              </w:rPr>
              <w:t>49</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59">
              <w:r>
                <w:rPr>
                  <w:rFonts w:ascii="Arial" w:cs="Arial" w:eastAsia="Arial" w:hAnsi="Arial"/>
                  <w:sz w:val="22"/>
                  <w:szCs w:val="22"/>
                  <w:color w:val="0000FF"/>
                </w:rPr>
                <w:t xml:space="preserve">Section 7.3  </w:t>
              </w:r>
            </w:hyperlink>
            <w:r>
              <w:rPr>
                <w:rFonts w:ascii="Arial" w:cs="Arial" w:eastAsia="Arial" w:hAnsi="Arial"/>
                <w:sz w:val="22"/>
                <w:szCs w:val="22"/>
                <w:color w:val="0000FF"/>
              </w:rPr>
              <w:t xml:space="preserve">Member Liability.  </w:t>
            </w:r>
            <w:r>
              <w:rPr>
                <w:rFonts w:ascii="Arial" w:cs="Arial" w:eastAsia="Arial" w:hAnsi="Arial"/>
                <w:sz w:val="22"/>
                <w:szCs w:val="22"/>
                <w:color w:val="000000"/>
              </w:rPr>
              <w:t>49</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3"/>
              </w:rPr>
            </w:pPr>
            <w:hyperlink w:anchor="page259">
              <w:r>
                <w:rPr>
                  <w:rFonts w:ascii="Arial" w:cs="Arial" w:eastAsia="Arial" w:hAnsi="Arial"/>
                  <w:sz w:val="22"/>
                  <w:szCs w:val="22"/>
                  <w:color w:val="0000FF"/>
                  <w:w w:val="83"/>
                </w:rPr>
                <w:t>Section 7.4</w:t>
              </w:r>
            </w:hyperlink>
          </w:p>
        </w:tc>
        <w:tc>
          <w:tcPr>
            <w:tcW w:w="240" w:type="dxa"/>
            <w:vAlign w:val="bottom"/>
          </w:tcPr>
          <w:p>
            <w:pPr>
              <w:spacing w:after="0"/>
              <w:rPr>
                <w:sz w:val="24"/>
                <w:szCs w:val="24"/>
                <w:color w:val="auto"/>
              </w:rPr>
            </w:pPr>
          </w:p>
        </w:tc>
        <w:tc>
          <w:tcPr>
            <w:tcW w:w="1580" w:type="dxa"/>
            <w:vAlign w:val="bottom"/>
            <w:tcBorders>
              <w:top w:val="single" w:sz="8" w:color="0000FF"/>
            </w:tcBorders>
            <w:gridSpan w:val="6"/>
          </w:tcPr>
          <w:p>
            <w:pPr>
              <w:spacing w:after="0"/>
              <w:rPr>
                <w:sz w:val="20"/>
                <w:szCs w:val="20"/>
                <w:color w:val="auto"/>
              </w:rPr>
            </w:pPr>
            <w:r>
              <w:rPr>
                <w:rFonts w:ascii="Arial" w:cs="Arial" w:eastAsia="Arial" w:hAnsi="Arial"/>
                <w:sz w:val="22"/>
                <w:szCs w:val="22"/>
                <w:color w:val="0000FF"/>
              </w:rPr>
              <w:t xml:space="preserve">Withdrawal.  </w:t>
            </w:r>
            <w:r>
              <w:rPr>
                <w:rFonts w:ascii="Arial" w:cs="Arial" w:eastAsia="Arial" w:hAnsi="Arial"/>
                <w:sz w:val="22"/>
                <w:szCs w:val="22"/>
                <w:color w:val="000000"/>
              </w:rPr>
              <w:t>50</w:t>
            </w:r>
          </w:p>
        </w:tc>
        <w:tc>
          <w:tcPr>
            <w:tcW w:w="3120" w:type="dxa"/>
            <w:vAlign w:val="bottom"/>
            <w:gridSpan w:val="5"/>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59">
              <w:r>
                <w:rPr>
                  <w:rFonts w:ascii="Arial" w:cs="Arial" w:eastAsia="Arial" w:hAnsi="Arial"/>
                  <w:sz w:val="22"/>
                  <w:szCs w:val="22"/>
                  <w:color w:val="0000FF"/>
                </w:rPr>
                <w:t xml:space="preserve">Section 7.5  </w:t>
              </w:r>
            </w:hyperlink>
            <w:r>
              <w:rPr>
                <w:rFonts w:ascii="Arial" w:cs="Arial" w:eastAsia="Arial" w:hAnsi="Arial"/>
                <w:sz w:val="22"/>
                <w:szCs w:val="22"/>
                <w:color w:val="0000FF"/>
              </w:rPr>
              <w:t xml:space="preserve">Member Compensation.  </w:t>
            </w:r>
            <w:r>
              <w:rPr>
                <w:rFonts w:ascii="Arial" w:cs="Arial" w:eastAsia="Arial" w:hAnsi="Arial"/>
                <w:sz w:val="22"/>
                <w:szCs w:val="22"/>
                <w:color w:val="000000"/>
              </w:rPr>
              <w:t>50</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59">
              <w:r>
                <w:rPr>
                  <w:rFonts w:ascii="Arial" w:cs="Arial" w:eastAsia="Arial" w:hAnsi="Arial"/>
                  <w:sz w:val="22"/>
                  <w:szCs w:val="22"/>
                  <w:color w:val="0000FF"/>
                </w:rPr>
                <w:t xml:space="preserve">Section 7.6  </w:t>
              </w:r>
            </w:hyperlink>
            <w:r>
              <w:rPr>
                <w:rFonts w:ascii="Arial" w:cs="Arial" w:eastAsia="Arial" w:hAnsi="Arial"/>
                <w:sz w:val="22"/>
                <w:szCs w:val="22"/>
                <w:color w:val="0000FF"/>
              </w:rPr>
              <w:t xml:space="preserve">Other Ventures.  </w:t>
            </w:r>
            <w:r>
              <w:rPr>
                <w:rFonts w:ascii="Arial" w:cs="Arial" w:eastAsia="Arial" w:hAnsi="Arial"/>
                <w:sz w:val="22"/>
                <w:szCs w:val="22"/>
                <w:color w:val="000000"/>
              </w:rPr>
              <w:t>50</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22"/>
                <w:szCs w:val="22"/>
                <w:color w:val="0000FF"/>
              </w:rPr>
            </w:pPr>
            <w:hyperlink w:anchor="page260">
              <w:r>
                <w:rPr>
                  <w:rFonts w:ascii="Arial" w:cs="Arial" w:eastAsia="Arial" w:hAnsi="Arial"/>
                  <w:sz w:val="22"/>
                  <w:szCs w:val="22"/>
                  <w:color w:val="0000FF"/>
                </w:rPr>
                <w:t xml:space="preserve">Section 7.7  </w:t>
              </w:r>
            </w:hyperlink>
            <w:r>
              <w:rPr>
                <w:rFonts w:ascii="Arial" w:cs="Arial" w:eastAsia="Arial" w:hAnsi="Arial"/>
                <w:sz w:val="22"/>
                <w:szCs w:val="22"/>
                <w:color w:val="0000FF"/>
              </w:rPr>
              <w:t xml:space="preserve">Confidential Information.  </w:t>
            </w:r>
            <w:r>
              <w:rPr>
                <w:rFonts w:ascii="Arial" w:cs="Arial" w:eastAsia="Arial" w:hAnsi="Arial"/>
                <w:sz w:val="22"/>
                <w:szCs w:val="22"/>
                <w:color w:val="000000"/>
              </w:rPr>
              <w:t>50</w:t>
            </w:r>
          </w:p>
        </w:tc>
      </w:tr>
      <w:tr>
        <w:trPr>
          <w:trHeight w:val="345"/>
        </w:trPr>
        <w:tc>
          <w:tcPr>
            <w:tcW w:w="340" w:type="dxa"/>
            <w:vAlign w:val="bottom"/>
          </w:tcPr>
          <w:p>
            <w:pPr>
              <w:spacing w:after="0"/>
              <w:rPr>
                <w:sz w:val="24"/>
                <w:szCs w:val="24"/>
                <w:color w:val="auto"/>
              </w:rPr>
            </w:pPr>
          </w:p>
        </w:tc>
        <w:tc>
          <w:tcPr>
            <w:tcW w:w="960" w:type="dxa"/>
            <w:vAlign w:val="bottom"/>
            <w:tcBorders>
              <w:top w:val="single" w:sz="8" w:color="0000FF"/>
            </w:tcBorders>
          </w:tcPr>
          <w:p>
            <w:pPr>
              <w:spacing w:after="0"/>
              <w:rPr>
                <w:rFonts w:ascii="Arial" w:cs="Arial" w:eastAsia="Arial" w:hAnsi="Arial"/>
                <w:sz w:val="22"/>
                <w:szCs w:val="22"/>
                <w:color w:val="0000FF"/>
                <w:w w:val="83"/>
              </w:rPr>
            </w:pPr>
            <w:hyperlink w:anchor="page261">
              <w:r>
                <w:rPr>
                  <w:rFonts w:ascii="Arial" w:cs="Arial" w:eastAsia="Arial" w:hAnsi="Arial"/>
                  <w:sz w:val="22"/>
                  <w:szCs w:val="22"/>
                  <w:color w:val="0000FF"/>
                  <w:w w:val="83"/>
                </w:rPr>
                <w:t>Section 7.8</w:t>
              </w:r>
            </w:hyperlink>
          </w:p>
        </w:tc>
        <w:tc>
          <w:tcPr>
            <w:tcW w:w="240" w:type="dxa"/>
            <w:vAlign w:val="bottom"/>
          </w:tcPr>
          <w:p>
            <w:pPr>
              <w:spacing w:after="0"/>
              <w:rPr>
                <w:sz w:val="24"/>
                <w:szCs w:val="24"/>
                <w:color w:val="auto"/>
              </w:rPr>
            </w:pPr>
          </w:p>
        </w:tc>
        <w:tc>
          <w:tcPr>
            <w:tcW w:w="2220" w:type="dxa"/>
            <w:vAlign w:val="bottom"/>
            <w:tcBorders>
              <w:top w:val="single" w:sz="8" w:color="0000FF"/>
            </w:tcBorders>
            <w:gridSpan w:val="9"/>
          </w:tcPr>
          <w:p>
            <w:pPr>
              <w:spacing w:after="0"/>
              <w:rPr>
                <w:sz w:val="20"/>
                <w:szCs w:val="20"/>
                <w:color w:val="auto"/>
              </w:rPr>
            </w:pPr>
            <w:r>
              <w:rPr>
                <w:rFonts w:ascii="Arial" w:cs="Arial" w:eastAsia="Arial" w:hAnsi="Arial"/>
                <w:sz w:val="22"/>
                <w:szCs w:val="22"/>
                <w:color w:val="0000FF"/>
                <w:w w:val="97"/>
              </w:rPr>
              <w:t xml:space="preserve">Company Property.  </w:t>
            </w:r>
            <w:r>
              <w:rPr>
                <w:rFonts w:ascii="Arial" w:cs="Arial" w:eastAsia="Arial" w:hAnsi="Arial"/>
                <w:sz w:val="22"/>
                <w:szCs w:val="22"/>
                <w:color w:val="000000"/>
                <w:w w:val="97"/>
              </w:rPr>
              <w:t>53</w:t>
            </w:r>
          </w:p>
        </w:tc>
        <w:tc>
          <w:tcPr>
            <w:tcW w:w="2480" w:type="dxa"/>
            <w:vAlign w:val="bottom"/>
            <w:gridSpan w:val="2"/>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7" w:lineRule="exact"/>
        <w:rPr>
          <w:sz w:val="20"/>
          <w:szCs w:val="20"/>
          <w:color w:val="auto"/>
        </w:rPr>
      </w:pPr>
    </w:p>
    <w:p>
      <w:pPr>
        <w:ind w:left="340" w:right="4739" w:hanging="323"/>
        <w:spacing w:after="0" w:line="362" w:lineRule="auto"/>
        <w:rPr>
          <w:rFonts w:ascii="Arial" w:cs="Arial" w:eastAsia="Arial" w:hAnsi="Arial"/>
          <w:sz w:val="21"/>
          <w:szCs w:val="21"/>
          <w:color w:val="0000FF"/>
        </w:rPr>
      </w:pPr>
      <w:hyperlink w:anchor="page261">
        <w:r>
          <w:rPr>
            <w:rFonts w:ascii="Arial" w:cs="Arial" w:eastAsia="Arial" w:hAnsi="Arial"/>
            <w:sz w:val="21"/>
            <w:szCs w:val="21"/>
            <w:u w:val="single" w:color="auto"/>
            <w:color w:val="0000FF"/>
          </w:rPr>
          <w:t>ARTICLE VIII ADMINISTRATIVE AND TAX MATTERS</w:t>
        </w:r>
      </w:hyperlink>
      <w:r>
        <w:rPr>
          <w:rFonts w:ascii="Arial" w:cs="Arial" w:eastAsia="Arial" w:hAnsi="Arial"/>
          <w:sz w:val="21"/>
          <w:szCs w:val="21"/>
          <w:color w:val="000000"/>
        </w:rPr>
        <w:t>53</w:t>
      </w:r>
      <w:r>
        <w:rPr>
          <w:rFonts w:ascii="Arial" w:cs="Arial" w:eastAsia="Arial" w:hAnsi="Arial"/>
          <w:sz w:val="21"/>
          <w:szCs w:val="21"/>
          <w:color w:val="0000FF"/>
        </w:rPr>
        <w:t xml:space="preserve"> </w:t>
      </w:r>
      <w:hyperlink w:anchor="page261">
        <w:r>
          <w:rPr>
            <w:rFonts w:ascii="Arial" w:cs="Arial" w:eastAsia="Arial" w:hAnsi="Arial"/>
            <w:sz w:val="21"/>
            <w:szCs w:val="21"/>
            <w:u w:val="single" w:color="auto"/>
            <w:color w:val="0000FF"/>
          </w:rPr>
          <w:t xml:space="preserve">Section 8.1 </w:t>
        </w:r>
      </w:hyperlink>
      <w:r>
        <w:rPr>
          <w:rFonts w:ascii="Arial" w:cs="Arial" w:eastAsia="Arial" w:hAnsi="Arial"/>
          <w:sz w:val="21"/>
          <w:szCs w:val="21"/>
          <w:color w:val="0000FF"/>
        </w:rPr>
        <w:t xml:space="preserve">Intent </w:t>
      </w:r>
      <w:r>
        <w:rPr>
          <w:rFonts w:ascii="Arial" w:cs="Arial" w:eastAsia="Arial" w:hAnsi="Arial"/>
          <w:sz w:val="21"/>
          <w:szCs w:val="21"/>
          <w:u w:val="single" w:color="auto"/>
          <w:color w:val="0000FF"/>
        </w:rPr>
        <w:t>for Income Tax Purposes.</w:t>
      </w:r>
      <w:r>
        <w:rPr>
          <w:rFonts w:ascii="Arial" w:cs="Arial" w:eastAsia="Arial" w:hAnsi="Arial"/>
          <w:sz w:val="21"/>
          <w:szCs w:val="21"/>
          <w:color w:val="0000FF"/>
        </w:rPr>
        <w:t xml:space="preserve"> </w:t>
      </w:r>
      <w:r>
        <w:rPr>
          <w:rFonts w:ascii="Arial" w:cs="Arial" w:eastAsia="Arial" w:hAnsi="Arial"/>
          <w:sz w:val="21"/>
          <w:szCs w:val="21"/>
          <w:color w:val="000000"/>
        </w:rPr>
        <w:t>53</w:t>
      </w:r>
    </w:p>
    <w:p>
      <w:pPr>
        <w:spacing w:after="0" w:line="1" w:lineRule="exact"/>
        <w:rPr>
          <w:sz w:val="20"/>
          <w:szCs w:val="20"/>
          <w:color w:val="auto"/>
        </w:rPr>
      </w:pPr>
    </w:p>
    <w:p>
      <w:pPr>
        <w:ind w:left="340"/>
        <w:spacing w:after="0"/>
        <w:tabs>
          <w:tab w:leader="none" w:pos="1520" w:val="left"/>
          <w:tab w:leader="none" w:pos="6880" w:val="left"/>
        </w:tabs>
        <w:rPr>
          <w:rFonts w:ascii="Arial" w:cs="Arial" w:eastAsia="Arial" w:hAnsi="Arial"/>
          <w:sz w:val="22"/>
          <w:szCs w:val="22"/>
          <w:color w:val="0000FF"/>
        </w:rPr>
      </w:pPr>
      <w:hyperlink w:anchor="page261">
        <w:r>
          <w:rPr>
            <w:rFonts w:ascii="Arial" w:cs="Arial" w:eastAsia="Arial" w:hAnsi="Arial"/>
            <w:sz w:val="22"/>
            <w:szCs w:val="22"/>
            <w:u w:val="single" w:color="auto"/>
            <w:color w:val="0000FF"/>
          </w:rPr>
          <w:t>Section 8.2</w:t>
        </w:r>
      </w:hyperlink>
      <w:r>
        <w:rPr>
          <w:rFonts w:ascii="Arial" w:cs="Arial" w:eastAsia="Arial" w:hAnsi="Arial"/>
          <w:sz w:val="22"/>
          <w:szCs w:val="22"/>
          <w:color w:val="0000FF"/>
        </w:rPr>
        <w:tab/>
      </w:r>
      <w:r>
        <w:rPr>
          <w:rFonts w:ascii="Arial" w:cs="Arial" w:eastAsia="Arial" w:hAnsi="Arial"/>
          <w:sz w:val="21"/>
          <w:szCs w:val="21"/>
          <w:u w:val="single" w:color="auto"/>
          <w:color w:val="0000FF"/>
        </w:rPr>
        <w:t>Books and Records; Bank Accounts; Company Procedures.</w:t>
      </w:r>
      <w:r>
        <w:rPr>
          <w:rFonts w:ascii="Arial" w:cs="Arial" w:eastAsia="Arial" w:hAnsi="Arial"/>
          <w:sz w:val="22"/>
          <w:szCs w:val="22"/>
          <w:color w:val="0000FF"/>
        </w:rPr>
        <w:tab/>
      </w:r>
      <w:r>
        <w:rPr>
          <w:rFonts w:ascii="Arial" w:cs="Arial" w:eastAsia="Arial" w:hAnsi="Arial"/>
          <w:sz w:val="19"/>
          <w:szCs w:val="19"/>
          <w:color w:val="0000FF"/>
        </w:rPr>
        <w:t>53</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960" w:type="dxa"/>
            <w:vAlign w:val="bottom"/>
          </w:tcPr>
          <w:p>
            <w:pPr>
              <w:spacing w:after="0"/>
              <w:rPr>
                <w:rFonts w:ascii="Arial" w:cs="Arial" w:eastAsia="Arial" w:hAnsi="Arial"/>
                <w:sz w:val="22"/>
                <w:szCs w:val="22"/>
                <w:color w:val="0000FF"/>
                <w:w w:val="85"/>
              </w:rPr>
            </w:pPr>
            <w:hyperlink w:anchor="page262">
              <w:r>
                <w:rPr>
                  <w:rFonts w:ascii="Arial" w:cs="Arial" w:eastAsia="Arial" w:hAnsi="Arial"/>
                  <w:sz w:val="22"/>
                  <w:szCs w:val="22"/>
                  <w:color w:val="0000FF"/>
                  <w:w w:val="85"/>
                </w:rPr>
                <w:t>Section 8.3</w:t>
              </w:r>
            </w:hyperlink>
          </w:p>
        </w:tc>
        <w:tc>
          <w:tcPr>
            <w:tcW w:w="240" w:type="dxa"/>
            <w:vAlign w:val="bottom"/>
          </w:tcPr>
          <w:p>
            <w:pPr>
              <w:spacing w:after="0"/>
              <w:rPr>
                <w:sz w:val="21"/>
                <w:szCs w:val="21"/>
                <w:color w:val="auto"/>
              </w:rPr>
            </w:pPr>
          </w:p>
        </w:tc>
        <w:tc>
          <w:tcPr>
            <w:tcW w:w="4260" w:type="dxa"/>
            <w:vAlign w:val="bottom"/>
            <w:gridSpan w:val="5"/>
          </w:tcPr>
          <w:p>
            <w:pPr>
              <w:spacing w:after="0"/>
              <w:rPr>
                <w:sz w:val="20"/>
                <w:szCs w:val="20"/>
                <w:color w:val="auto"/>
              </w:rPr>
            </w:pPr>
            <w:r>
              <w:rPr>
                <w:rFonts w:ascii="Arial" w:cs="Arial" w:eastAsia="Arial" w:hAnsi="Arial"/>
                <w:sz w:val="22"/>
                <w:szCs w:val="22"/>
                <w:color w:val="0000FF"/>
              </w:rPr>
              <w:t xml:space="preserve">Information and Access Rights.  </w:t>
            </w:r>
            <w:r>
              <w:rPr>
                <w:rFonts w:ascii="Arial" w:cs="Arial" w:eastAsia="Arial" w:hAnsi="Arial"/>
                <w:sz w:val="22"/>
                <w:szCs w:val="22"/>
                <w:color w:val="000000"/>
              </w:rPr>
              <w:t>55</w:t>
            </w:r>
          </w:p>
        </w:tc>
      </w:tr>
      <w:tr>
        <w:trPr>
          <w:trHeight w:val="345"/>
        </w:trPr>
        <w:tc>
          <w:tcPr>
            <w:tcW w:w="960" w:type="dxa"/>
            <w:vAlign w:val="bottom"/>
            <w:tcBorders>
              <w:top w:val="single" w:sz="8" w:color="0000FF"/>
            </w:tcBorders>
          </w:tcPr>
          <w:p>
            <w:pPr>
              <w:spacing w:after="0"/>
              <w:rPr>
                <w:rFonts w:ascii="Arial" w:cs="Arial" w:eastAsia="Arial" w:hAnsi="Arial"/>
                <w:sz w:val="22"/>
                <w:szCs w:val="22"/>
                <w:color w:val="0000FF"/>
                <w:w w:val="85"/>
              </w:rPr>
            </w:pPr>
            <w:hyperlink w:anchor="page262">
              <w:r>
                <w:rPr>
                  <w:rFonts w:ascii="Arial" w:cs="Arial" w:eastAsia="Arial" w:hAnsi="Arial"/>
                  <w:sz w:val="22"/>
                  <w:szCs w:val="22"/>
                  <w:color w:val="0000FF"/>
                  <w:w w:val="85"/>
                </w:rPr>
                <w:t>Section 8.4</w:t>
              </w:r>
            </w:hyperlink>
          </w:p>
        </w:tc>
        <w:tc>
          <w:tcPr>
            <w:tcW w:w="240" w:type="dxa"/>
            <w:vAlign w:val="bottom"/>
          </w:tcPr>
          <w:p>
            <w:pPr>
              <w:spacing w:after="0"/>
              <w:rPr>
                <w:sz w:val="24"/>
                <w:szCs w:val="24"/>
                <w:color w:val="auto"/>
              </w:rPr>
            </w:pPr>
          </w:p>
        </w:tc>
        <w:tc>
          <w:tcPr>
            <w:tcW w:w="2740" w:type="dxa"/>
            <w:vAlign w:val="bottom"/>
            <w:tcBorders>
              <w:top w:val="single" w:sz="8" w:color="0000FF"/>
            </w:tcBorders>
            <w:gridSpan w:val="4"/>
          </w:tcPr>
          <w:p>
            <w:pPr>
              <w:spacing w:after="0"/>
              <w:rPr>
                <w:sz w:val="20"/>
                <w:szCs w:val="20"/>
                <w:color w:val="auto"/>
              </w:rPr>
            </w:pPr>
            <w:r>
              <w:rPr>
                <w:rFonts w:ascii="Arial" w:cs="Arial" w:eastAsia="Arial" w:hAnsi="Arial"/>
                <w:sz w:val="22"/>
                <w:szCs w:val="22"/>
                <w:color w:val="0000FF"/>
              </w:rPr>
              <w:t xml:space="preserve">Reports.  </w:t>
            </w:r>
            <w:r>
              <w:rPr>
                <w:rFonts w:ascii="Arial" w:cs="Arial" w:eastAsia="Arial" w:hAnsi="Arial"/>
                <w:sz w:val="22"/>
                <w:szCs w:val="22"/>
                <w:color w:val="000000"/>
              </w:rPr>
              <w:t>55</w:t>
            </w:r>
          </w:p>
        </w:tc>
        <w:tc>
          <w:tcPr>
            <w:tcW w:w="1520" w:type="dxa"/>
            <w:vAlign w:val="bottom"/>
          </w:tcPr>
          <w:p>
            <w:pPr>
              <w:spacing w:after="0"/>
              <w:rPr>
                <w:sz w:val="24"/>
                <w:szCs w:val="24"/>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r>
      <w:tr>
        <w:trPr>
          <w:trHeight w:val="345"/>
        </w:trPr>
        <w:tc>
          <w:tcPr>
            <w:tcW w:w="960" w:type="dxa"/>
            <w:vAlign w:val="bottom"/>
          </w:tcPr>
          <w:p>
            <w:pPr>
              <w:spacing w:after="0"/>
              <w:rPr>
                <w:rFonts w:ascii="Arial" w:cs="Arial" w:eastAsia="Arial" w:hAnsi="Arial"/>
                <w:sz w:val="22"/>
                <w:szCs w:val="22"/>
                <w:color w:val="0000FF"/>
                <w:w w:val="85"/>
              </w:rPr>
            </w:pPr>
            <w:hyperlink w:anchor="page263">
              <w:r>
                <w:rPr>
                  <w:rFonts w:ascii="Arial" w:cs="Arial" w:eastAsia="Arial" w:hAnsi="Arial"/>
                  <w:sz w:val="22"/>
                  <w:szCs w:val="22"/>
                  <w:color w:val="0000FF"/>
                  <w:w w:val="85"/>
                </w:rPr>
                <w:t>Section 8.5</w:t>
              </w:r>
            </w:hyperlink>
          </w:p>
        </w:tc>
        <w:tc>
          <w:tcPr>
            <w:tcW w:w="24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22"/>
                <w:szCs w:val="22"/>
                <w:color w:val="0000FF"/>
              </w:rPr>
              <w:t xml:space="preserve">Permitted Investments.  </w:t>
            </w:r>
            <w:r>
              <w:rPr>
                <w:rFonts w:ascii="Arial" w:cs="Arial" w:eastAsia="Arial" w:hAnsi="Arial"/>
                <w:sz w:val="22"/>
                <w:szCs w:val="22"/>
                <w:color w:val="000000"/>
              </w:rPr>
              <w:t>56</w:t>
            </w:r>
          </w:p>
        </w:tc>
      </w:tr>
      <w:tr>
        <w:trPr>
          <w:trHeight w:val="345"/>
        </w:trPr>
        <w:tc>
          <w:tcPr>
            <w:tcW w:w="960" w:type="dxa"/>
            <w:vAlign w:val="bottom"/>
            <w:tcBorders>
              <w:top w:val="single" w:sz="8" w:color="0000FF"/>
            </w:tcBorders>
          </w:tcPr>
          <w:p>
            <w:pPr>
              <w:spacing w:after="0"/>
              <w:rPr>
                <w:rFonts w:ascii="Arial" w:cs="Arial" w:eastAsia="Arial" w:hAnsi="Arial"/>
                <w:sz w:val="22"/>
                <w:szCs w:val="22"/>
                <w:color w:val="0000FF"/>
                <w:w w:val="85"/>
              </w:rPr>
            </w:pPr>
            <w:hyperlink w:anchor="page264">
              <w:r>
                <w:rPr>
                  <w:rFonts w:ascii="Arial" w:cs="Arial" w:eastAsia="Arial" w:hAnsi="Arial"/>
                  <w:sz w:val="22"/>
                  <w:szCs w:val="22"/>
                  <w:color w:val="0000FF"/>
                  <w:w w:val="85"/>
                </w:rPr>
                <w:t>Section 8.6</w:t>
              </w:r>
            </w:hyperlink>
          </w:p>
        </w:tc>
        <w:tc>
          <w:tcPr>
            <w:tcW w:w="240" w:type="dxa"/>
            <w:vAlign w:val="bottom"/>
          </w:tcPr>
          <w:p>
            <w:pPr>
              <w:spacing w:after="0"/>
              <w:rPr>
                <w:sz w:val="24"/>
                <w:szCs w:val="24"/>
                <w:color w:val="auto"/>
              </w:rPr>
            </w:pPr>
          </w:p>
        </w:tc>
        <w:tc>
          <w:tcPr>
            <w:tcW w:w="2000" w:type="dxa"/>
            <w:vAlign w:val="bottom"/>
            <w:tcBorders>
              <w:top w:val="single" w:sz="8" w:color="0000FF"/>
            </w:tcBorders>
            <w:gridSpan w:val="3"/>
          </w:tcPr>
          <w:p>
            <w:pPr>
              <w:spacing w:after="0"/>
              <w:rPr>
                <w:sz w:val="20"/>
                <w:szCs w:val="20"/>
                <w:color w:val="auto"/>
              </w:rPr>
            </w:pPr>
            <w:r>
              <w:rPr>
                <w:rFonts w:ascii="Arial" w:cs="Arial" w:eastAsia="Arial" w:hAnsi="Arial"/>
                <w:sz w:val="22"/>
                <w:szCs w:val="22"/>
                <w:color w:val="0000FF"/>
              </w:rPr>
              <w:t xml:space="preserve">Tax Elections.  </w:t>
            </w:r>
            <w:r>
              <w:rPr>
                <w:rFonts w:ascii="Arial" w:cs="Arial" w:eastAsia="Arial" w:hAnsi="Arial"/>
                <w:sz w:val="22"/>
                <w:szCs w:val="22"/>
                <w:color w:val="000000"/>
              </w:rPr>
              <w:t>57</w:t>
            </w:r>
          </w:p>
        </w:tc>
        <w:tc>
          <w:tcPr>
            <w:tcW w:w="2260" w:type="dxa"/>
            <w:vAlign w:val="bottom"/>
            <w:gridSpan w:val="2"/>
          </w:tcPr>
          <w:p>
            <w:pPr>
              <w:spacing w:after="0"/>
              <w:rPr>
                <w:sz w:val="24"/>
                <w:szCs w:val="24"/>
                <w:color w:val="auto"/>
              </w:rPr>
            </w:pPr>
          </w:p>
        </w:tc>
      </w:tr>
      <w:tr>
        <w:trPr>
          <w:trHeight w:val="611"/>
        </w:trPr>
        <w:tc>
          <w:tcPr>
            <w:tcW w:w="9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ind w:left="1340"/>
              <w:spacing w:after="0"/>
              <w:rPr>
                <w:sz w:val="20"/>
                <w:szCs w:val="20"/>
                <w:color w:val="auto"/>
              </w:rPr>
            </w:pPr>
            <w:r>
              <w:rPr>
                <w:rFonts w:ascii="Arial" w:cs="Arial" w:eastAsia="Arial" w:hAnsi="Arial"/>
                <w:sz w:val="22"/>
                <w:szCs w:val="22"/>
                <w:color w:val="auto"/>
              </w:rPr>
              <w:t>iii</w:t>
            </w:r>
          </w:p>
        </w:tc>
      </w:tr>
    </w:tbl>
    <w:p>
      <w:pPr>
        <w:sectPr>
          <w:pgSz w:w="11900" w:h="16838" w:orient="portrait"/>
          <w:cols w:equalWidth="0" w:num="1">
            <w:col w:w="10219"/>
          </w:cols>
          <w:pgMar w:left="240" w:top="575" w:right="1440" w:bottom="1440" w:gutter="0" w:footer="0" w:header="0"/>
        </w:sectPr>
      </w:pPr>
    </w:p>
    <w:bookmarkStart w:id="216" w:name="page217"/>
    <w:bookmarkEnd w:id="2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1080" w:type="dxa"/>
            <w:vAlign w:val="bottom"/>
            <w:gridSpan w:val="3"/>
          </w:tcPr>
          <w:p>
            <w:pPr>
              <w:spacing w:after="0"/>
              <w:rPr>
                <w:rFonts w:ascii="Arial" w:cs="Arial" w:eastAsia="Arial" w:hAnsi="Arial"/>
                <w:sz w:val="22"/>
                <w:szCs w:val="22"/>
                <w:color w:val="0000FF"/>
                <w:w w:val="96"/>
              </w:rPr>
            </w:pPr>
            <w:hyperlink w:anchor="page264">
              <w:r>
                <w:rPr>
                  <w:rFonts w:ascii="Arial" w:cs="Arial" w:eastAsia="Arial" w:hAnsi="Arial"/>
                  <w:sz w:val="22"/>
                  <w:szCs w:val="22"/>
                  <w:color w:val="0000FF"/>
                  <w:w w:val="96"/>
                </w:rPr>
                <w:t>Section 8.7</w:t>
              </w:r>
            </w:hyperlink>
          </w:p>
        </w:tc>
        <w:tc>
          <w:tcPr>
            <w:tcW w:w="5780" w:type="dxa"/>
            <w:vAlign w:val="bottom"/>
            <w:gridSpan w:val="20"/>
          </w:tcPr>
          <w:p>
            <w:pPr>
              <w:ind w:left="120"/>
              <w:spacing w:after="0"/>
              <w:rPr>
                <w:sz w:val="20"/>
                <w:szCs w:val="20"/>
                <w:color w:val="auto"/>
              </w:rPr>
            </w:pPr>
            <w:r>
              <w:rPr>
                <w:rFonts w:ascii="Arial" w:cs="Arial" w:eastAsia="Arial" w:hAnsi="Arial"/>
                <w:sz w:val="22"/>
                <w:szCs w:val="22"/>
                <w:color w:val="0000FF"/>
              </w:rPr>
              <w:t xml:space="preserve">Tax Matters Person and Company Tax Filings.  </w:t>
            </w:r>
            <w:r>
              <w:rPr>
                <w:rFonts w:ascii="Arial" w:cs="Arial" w:eastAsia="Arial" w:hAnsi="Arial"/>
                <w:sz w:val="22"/>
                <w:szCs w:val="22"/>
                <w:color w:val="000000"/>
              </w:rPr>
              <w:t>58</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6">
              <w:r>
                <w:rPr>
                  <w:rFonts w:ascii="Arial" w:cs="Arial" w:eastAsia="Arial" w:hAnsi="Arial"/>
                  <w:sz w:val="22"/>
                  <w:szCs w:val="22"/>
                  <w:color w:val="0000FF"/>
                  <w:w w:val="96"/>
                </w:rPr>
                <w:t>Section 8.8</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2"/>
              </w:rPr>
              <w:t>Financial Accounting.</w:t>
            </w:r>
          </w:p>
        </w:tc>
        <w:tc>
          <w:tcPr>
            <w:tcW w:w="440" w:type="dxa"/>
            <w:vAlign w:val="bottom"/>
            <w:gridSpan w:val="2"/>
          </w:tcPr>
          <w:p>
            <w:pPr>
              <w:jc w:val="right"/>
              <w:ind w:right="40"/>
              <w:spacing w:after="0"/>
              <w:rPr>
                <w:sz w:val="20"/>
                <w:szCs w:val="20"/>
                <w:color w:val="auto"/>
              </w:rPr>
            </w:pPr>
            <w:r>
              <w:rPr>
                <w:rFonts w:ascii="Arial" w:cs="Arial" w:eastAsia="Arial" w:hAnsi="Arial"/>
                <w:sz w:val="22"/>
                <w:szCs w:val="22"/>
                <w:color w:val="auto"/>
              </w:rPr>
              <w:t>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6">
              <w:r>
                <w:rPr>
                  <w:rFonts w:ascii="Arial" w:cs="Arial" w:eastAsia="Arial" w:hAnsi="Arial"/>
                  <w:sz w:val="22"/>
                  <w:szCs w:val="22"/>
                  <w:color w:val="0000FF"/>
                  <w:w w:val="96"/>
                </w:rPr>
                <w:t>Section 8.9</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w w:val="90"/>
              </w:rPr>
              <w:t>Membership Interest Legend.</w:t>
            </w:r>
          </w:p>
        </w:tc>
        <w:tc>
          <w:tcPr>
            <w:tcW w:w="760" w:type="dxa"/>
            <w:vAlign w:val="bottom"/>
            <w:gridSpan w:val="2"/>
          </w:tcPr>
          <w:p>
            <w:pPr>
              <w:jc w:val="right"/>
              <w:ind w:right="360"/>
              <w:spacing w:after="0"/>
              <w:rPr>
                <w:sz w:val="20"/>
                <w:szCs w:val="20"/>
                <w:color w:val="auto"/>
              </w:rPr>
            </w:pPr>
            <w:r>
              <w:rPr>
                <w:rFonts w:ascii="Arial" w:cs="Arial" w:eastAsia="Arial" w:hAnsi="Arial"/>
                <w:sz w:val="22"/>
                <w:szCs w:val="22"/>
                <w:color w:val="auto"/>
              </w:rPr>
              <w:t>61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86"/>
              </w:rPr>
            </w:pPr>
            <w:hyperlink w:anchor="page266">
              <w:r>
                <w:rPr>
                  <w:rFonts w:ascii="Arial" w:cs="Arial" w:eastAsia="Arial" w:hAnsi="Arial"/>
                  <w:sz w:val="22"/>
                  <w:szCs w:val="22"/>
                  <w:color w:val="0000FF"/>
                  <w:w w:val="86"/>
                </w:rPr>
                <w:t>Section 8.10</w:t>
              </w:r>
            </w:hyperlink>
          </w:p>
        </w:tc>
        <w:tc>
          <w:tcPr>
            <w:tcW w:w="120" w:type="dxa"/>
            <w:vAlign w:val="bottom"/>
          </w:tcPr>
          <w:p>
            <w:pPr>
              <w:spacing w:after="0"/>
              <w:rPr>
                <w:sz w:val="24"/>
                <w:szCs w:val="24"/>
                <w:color w:val="auto"/>
              </w:rPr>
            </w:pPr>
          </w:p>
        </w:tc>
        <w:tc>
          <w:tcPr>
            <w:tcW w:w="5660" w:type="dxa"/>
            <w:vAlign w:val="bottom"/>
            <w:gridSpan w:val="19"/>
          </w:tcPr>
          <w:p>
            <w:pPr>
              <w:spacing w:after="0"/>
              <w:rPr>
                <w:sz w:val="20"/>
                <w:szCs w:val="20"/>
                <w:color w:val="auto"/>
              </w:rPr>
            </w:pPr>
            <w:r>
              <w:rPr>
                <w:rFonts w:ascii="Arial" w:cs="Arial" w:eastAsia="Arial" w:hAnsi="Arial"/>
                <w:sz w:val="22"/>
                <w:szCs w:val="22"/>
                <w:color w:val="0000FF"/>
                <w:w w:val="88"/>
              </w:rPr>
              <w:t xml:space="preserve">Representations, Warranties and Covenants of the Members.  </w:t>
            </w:r>
            <w:r>
              <w:rPr>
                <w:rFonts w:ascii="Arial" w:cs="Arial" w:eastAsia="Arial" w:hAnsi="Arial"/>
                <w:sz w:val="22"/>
                <w:szCs w:val="22"/>
                <w:color w:val="000000"/>
                <w:w w:val="88"/>
              </w:rPr>
              <w:t>62</w:t>
            </w:r>
          </w:p>
        </w:tc>
      </w:tr>
      <w:tr>
        <w:trPr>
          <w:trHeight w:val="345"/>
        </w:trPr>
        <w:tc>
          <w:tcPr>
            <w:tcW w:w="34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86"/>
              </w:rPr>
            </w:pPr>
            <w:hyperlink w:anchor="page267">
              <w:r>
                <w:rPr>
                  <w:rFonts w:ascii="Arial" w:cs="Arial" w:eastAsia="Arial" w:hAnsi="Arial"/>
                  <w:sz w:val="22"/>
                  <w:szCs w:val="22"/>
                  <w:color w:val="0000FF"/>
                  <w:w w:val="86"/>
                </w:rPr>
                <w:t>Section 8.11</w:t>
              </w:r>
            </w:hyperlink>
          </w:p>
        </w:tc>
        <w:tc>
          <w:tcPr>
            <w:tcW w:w="12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rPr>
              <w:t>Survival.</w:t>
            </w:r>
          </w:p>
        </w:tc>
        <w:tc>
          <w:tcPr>
            <w:tcW w:w="740" w:type="dxa"/>
            <w:vAlign w:val="bottom"/>
            <w:tcBorders>
              <w:top w:val="single" w:sz="8" w:color="0000FF"/>
            </w:tcBorders>
          </w:tcPr>
          <w:p>
            <w:pPr>
              <w:jc w:val="right"/>
              <w:ind w:right="292"/>
              <w:spacing w:after="0"/>
              <w:rPr>
                <w:sz w:val="20"/>
                <w:szCs w:val="20"/>
                <w:color w:val="auto"/>
              </w:rPr>
            </w:pPr>
            <w:r>
              <w:rPr>
                <w:rFonts w:ascii="Arial" w:cs="Arial" w:eastAsia="Arial" w:hAnsi="Arial"/>
                <w:sz w:val="22"/>
                <w:szCs w:val="22"/>
                <w:color w:val="auto"/>
              </w:rPr>
              <w:t>63</w:t>
            </w: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5040" w:type="dxa"/>
            <w:vAlign w:val="bottom"/>
            <w:gridSpan w:val="20"/>
          </w:tcPr>
          <w:p>
            <w:pPr>
              <w:spacing w:after="0"/>
              <w:rPr>
                <w:rFonts w:ascii="Arial" w:cs="Arial" w:eastAsia="Arial" w:hAnsi="Arial"/>
                <w:sz w:val="22"/>
                <w:szCs w:val="22"/>
                <w:color w:val="0000FF"/>
              </w:rPr>
            </w:pPr>
            <w:hyperlink w:anchor="page267">
              <w:r>
                <w:rPr>
                  <w:rFonts w:ascii="Arial" w:cs="Arial" w:eastAsia="Arial" w:hAnsi="Arial"/>
                  <w:sz w:val="22"/>
                  <w:szCs w:val="22"/>
                  <w:color w:val="0000FF"/>
                </w:rPr>
                <w:t>ARTICLE IX TRANSFERS OF INTERESTS</w:t>
              </w:r>
            </w:hyperlink>
            <w:r>
              <w:rPr>
                <w:rFonts w:ascii="Arial" w:cs="Arial" w:eastAsia="Arial" w:hAnsi="Arial"/>
                <w:sz w:val="22"/>
                <w:szCs w:val="22"/>
                <w:color w:val="000000"/>
              </w:rPr>
              <w:t>64</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96"/>
              </w:rPr>
            </w:pPr>
            <w:hyperlink w:anchor="page267">
              <w:r>
                <w:rPr>
                  <w:rFonts w:ascii="Arial" w:cs="Arial" w:eastAsia="Arial" w:hAnsi="Arial"/>
                  <w:sz w:val="22"/>
                  <w:szCs w:val="22"/>
                  <w:color w:val="0000FF"/>
                  <w:w w:val="96"/>
                </w:rPr>
                <w:t>Section 9.1</w:t>
              </w:r>
            </w:hyperlink>
          </w:p>
        </w:tc>
        <w:tc>
          <w:tcPr>
            <w:tcW w:w="2080" w:type="dxa"/>
            <w:vAlign w:val="bottom"/>
            <w:tcBorders>
              <w:top w:val="single" w:sz="8" w:color="0000FF"/>
            </w:tcBorders>
            <w:gridSpan w:val="8"/>
          </w:tcPr>
          <w:p>
            <w:pPr>
              <w:ind w:left="120"/>
              <w:spacing w:after="0"/>
              <w:rPr>
                <w:sz w:val="20"/>
                <w:szCs w:val="20"/>
                <w:color w:val="auto"/>
              </w:rPr>
            </w:pPr>
            <w:r>
              <w:rPr>
                <w:rFonts w:ascii="Arial" w:cs="Arial" w:eastAsia="Arial" w:hAnsi="Arial"/>
                <w:sz w:val="22"/>
                <w:szCs w:val="22"/>
                <w:color w:val="0000FF"/>
                <w:w w:val="92"/>
              </w:rPr>
              <w:t>Transfer Restrictions.</w:t>
            </w:r>
          </w:p>
        </w:tc>
        <w:tc>
          <w:tcPr>
            <w:tcW w:w="440" w:type="dxa"/>
            <w:vAlign w:val="bottom"/>
            <w:tcBorders>
              <w:top w:val="single" w:sz="8" w:color="0000FF"/>
            </w:tcBorders>
            <w:gridSpan w:val="2"/>
          </w:tcPr>
          <w:p>
            <w:pPr>
              <w:jc w:val="right"/>
              <w:ind w:right="100"/>
              <w:spacing w:after="0"/>
              <w:rPr>
                <w:sz w:val="20"/>
                <w:szCs w:val="20"/>
                <w:color w:val="auto"/>
              </w:rPr>
            </w:pPr>
            <w:r>
              <w:rPr>
                <w:rFonts w:ascii="Arial" w:cs="Arial" w:eastAsia="Arial" w:hAnsi="Arial"/>
                <w:sz w:val="22"/>
                <w:szCs w:val="22"/>
                <w:color w:val="auto"/>
              </w:rPr>
              <w:t>64</w:t>
            </w: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7">
              <w:r>
                <w:rPr>
                  <w:rFonts w:ascii="Arial" w:cs="Arial" w:eastAsia="Arial" w:hAnsi="Arial"/>
                  <w:sz w:val="22"/>
                  <w:szCs w:val="22"/>
                  <w:color w:val="0000FF"/>
                  <w:w w:val="96"/>
                </w:rPr>
                <w:t>Section 9.2</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7"/>
              </w:rPr>
              <w:t>Permitted Transfers.</w:t>
            </w:r>
          </w:p>
        </w:tc>
        <w:tc>
          <w:tcPr>
            <w:tcW w:w="440" w:type="dxa"/>
            <w:vAlign w:val="bottom"/>
            <w:gridSpan w:val="2"/>
          </w:tcPr>
          <w:p>
            <w:pPr>
              <w:jc w:val="right"/>
              <w:ind w:right="200"/>
              <w:spacing w:after="0"/>
              <w:rPr>
                <w:sz w:val="20"/>
                <w:szCs w:val="20"/>
                <w:color w:val="auto"/>
              </w:rPr>
            </w:pPr>
            <w:r>
              <w:rPr>
                <w:rFonts w:ascii="Arial" w:cs="Arial" w:eastAsia="Arial" w:hAnsi="Arial"/>
                <w:sz w:val="22"/>
                <w:szCs w:val="22"/>
                <w:color w:val="auto"/>
                <w:w w:val="89"/>
              </w:rPr>
              <w:t>64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8">
              <w:r>
                <w:rPr>
                  <w:rFonts w:ascii="Arial" w:cs="Arial" w:eastAsia="Arial" w:hAnsi="Arial"/>
                  <w:sz w:val="22"/>
                  <w:szCs w:val="22"/>
                  <w:color w:val="0000FF"/>
                  <w:w w:val="96"/>
                </w:rPr>
                <w:t>Section 9.3</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w w:val="95"/>
              </w:rPr>
              <w:t xml:space="preserve">Conditions to Transfers.  </w:t>
            </w:r>
            <w:r>
              <w:rPr>
                <w:rFonts w:ascii="Arial" w:cs="Arial" w:eastAsia="Arial" w:hAnsi="Arial"/>
                <w:sz w:val="22"/>
                <w:szCs w:val="22"/>
                <w:color w:val="000000"/>
                <w:w w:val="95"/>
              </w:rPr>
              <w:t>64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9">
              <w:r>
                <w:rPr>
                  <w:rFonts w:ascii="Arial" w:cs="Arial" w:eastAsia="Arial" w:hAnsi="Arial"/>
                  <w:sz w:val="22"/>
                  <w:szCs w:val="22"/>
                  <w:color w:val="0000FF"/>
                  <w:w w:val="96"/>
                </w:rPr>
                <w:t>Section 9.4</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0"/>
              </w:rPr>
              <w:t>Encumbrances of Membership Interest.</w:t>
            </w:r>
          </w:p>
        </w:tc>
        <w:tc>
          <w:tcPr>
            <w:tcW w:w="520" w:type="dxa"/>
            <w:vAlign w:val="bottom"/>
          </w:tcPr>
          <w:p>
            <w:pPr>
              <w:jc w:val="right"/>
              <w:ind w:right="72"/>
              <w:spacing w:after="0"/>
              <w:rPr>
                <w:sz w:val="20"/>
                <w:szCs w:val="20"/>
                <w:color w:val="auto"/>
              </w:rPr>
            </w:pPr>
            <w:r>
              <w:rPr>
                <w:rFonts w:ascii="Arial" w:cs="Arial" w:eastAsia="Arial" w:hAnsi="Arial"/>
                <w:sz w:val="22"/>
                <w:szCs w:val="22"/>
                <w:color w:val="auto"/>
              </w:rPr>
              <w:t>66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9">
              <w:r>
                <w:rPr>
                  <w:rFonts w:ascii="Arial" w:cs="Arial" w:eastAsia="Arial" w:hAnsi="Arial"/>
                  <w:sz w:val="22"/>
                  <w:szCs w:val="22"/>
                  <w:color w:val="0000FF"/>
                  <w:w w:val="96"/>
                </w:rPr>
                <w:t>Section 9.5</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1"/>
              </w:rPr>
              <w:t>Admission of Transferee as a Member.</w:t>
            </w:r>
          </w:p>
        </w:tc>
        <w:tc>
          <w:tcPr>
            <w:tcW w:w="520" w:type="dxa"/>
            <w:vAlign w:val="bottom"/>
          </w:tcPr>
          <w:p>
            <w:pPr>
              <w:jc w:val="right"/>
              <w:ind w:right="112"/>
              <w:spacing w:after="0"/>
              <w:rPr>
                <w:sz w:val="20"/>
                <w:szCs w:val="20"/>
                <w:color w:val="auto"/>
              </w:rPr>
            </w:pPr>
            <w:r>
              <w:rPr>
                <w:rFonts w:ascii="Arial" w:cs="Arial" w:eastAsia="Arial" w:hAnsi="Arial"/>
                <w:sz w:val="22"/>
                <w:szCs w:val="22"/>
                <w:color w:val="auto"/>
              </w:rPr>
              <w:t>66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69">
              <w:r>
                <w:rPr>
                  <w:rFonts w:ascii="Arial" w:cs="Arial" w:eastAsia="Arial" w:hAnsi="Arial"/>
                  <w:sz w:val="22"/>
                  <w:szCs w:val="22"/>
                  <w:color w:val="0000FF"/>
                  <w:w w:val="96"/>
                </w:rPr>
                <w:t>Section 9.6</w:t>
              </w:r>
            </w:hyperlink>
          </w:p>
        </w:tc>
        <w:tc>
          <w:tcPr>
            <w:tcW w:w="2720" w:type="dxa"/>
            <w:vAlign w:val="bottom"/>
            <w:gridSpan w:val="13"/>
          </w:tcPr>
          <w:p>
            <w:pPr>
              <w:ind w:left="120"/>
              <w:spacing w:after="0"/>
              <w:rPr>
                <w:sz w:val="20"/>
                <w:szCs w:val="20"/>
                <w:color w:val="auto"/>
              </w:rPr>
            </w:pPr>
            <w:r>
              <w:rPr>
                <w:rFonts w:ascii="Arial" w:cs="Arial" w:eastAsia="Arial" w:hAnsi="Arial"/>
                <w:sz w:val="22"/>
                <w:szCs w:val="22"/>
                <w:color w:val="0000FF"/>
              </w:rPr>
              <w:t xml:space="preserve">Change in Control.  </w:t>
            </w:r>
            <w:r>
              <w:rPr>
                <w:rFonts w:ascii="Arial" w:cs="Arial" w:eastAsia="Arial" w:hAnsi="Arial"/>
                <w:sz w:val="22"/>
                <w:szCs w:val="22"/>
                <w:color w:val="000000"/>
              </w:rPr>
              <w:t>67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96"/>
              </w:rPr>
            </w:pPr>
            <w:hyperlink w:anchor="page270">
              <w:r>
                <w:rPr>
                  <w:rFonts w:ascii="Arial" w:cs="Arial" w:eastAsia="Arial" w:hAnsi="Arial"/>
                  <w:sz w:val="22"/>
                  <w:szCs w:val="22"/>
                  <w:color w:val="0000FF"/>
                  <w:w w:val="96"/>
                </w:rPr>
                <w:t>Section 9.7</w:t>
              </w:r>
            </w:hyperlink>
          </w:p>
        </w:tc>
        <w:tc>
          <w:tcPr>
            <w:tcW w:w="2080" w:type="dxa"/>
            <w:vAlign w:val="bottom"/>
            <w:gridSpan w:val="8"/>
          </w:tcPr>
          <w:p>
            <w:pPr>
              <w:ind w:left="120"/>
              <w:spacing w:after="0"/>
              <w:rPr>
                <w:sz w:val="20"/>
                <w:szCs w:val="20"/>
                <w:color w:val="auto"/>
              </w:rPr>
            </w:pPr>
            <w:r>
              <w:rPr>
                <w:rFonts w:ascii="Arial" w:cs="Arial" w:eastAsia="Arial" w:hAnsi="Arial"/>
                <w:sz w:val="22"/>
                <w:szCs w:val="22"/>
                <w:color w:val="0000FF"/>
                <w:w w:val="94"/>
              </w:rPr>
              <w:t>Terminated Member.</w:t>
            </w:r>
          </w:p>
        </w:tc>
        <w:tc>
          <w:tcPr>
            <w:tcW w:w="440" w:type="dxa"/>
            <w:vAlign w:val="bottom"/>
            <w:gridSpan w:val="2"/>
          </w:tcPr>
          <w:p>
            <w:pPr>
              <w:jc w:val="right"/>
              <w:ind w:right="160"/>
              <w:spacing w:after="0"/>
              <w:rPr>
                <w:sz w:val="20"/>
                <w:szCs w:val="20"/>
                <w:color w:val="auto"/>
              </w:rPr>
            </w:pPr>
            <w:r>
              <w:rPr>
                <w:rFonts w:ascii="Arial" w:cs="Arial" w:eastAsia="Arial" w:hAnsi="Arial"/>
                <w:sz w:val="22"/>
                <w:szCs w:val="22"/>
                <w:color w:val="auto"/>
              </w:rPr>
              <w:t>68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345"/>
        </w:trPr>
        <w:tc>
          <w:tcPr>
            <w:tcW w:w="7200" w:type="dxa"/>
            <w:vAlign w:val="bottom"/>
            <w:gridSpan w:val="24"/>
          </w:tcPr>
          <w:p>
            <w:pPr>
              <w:spacing w:after="0"/>
              <w:rPr>
                <w:rFonts w:ascii="Arial" w:cs="Arial" w:eastAsia="Arial" w:hAnsi="Arial"/>
                <w:sz w:val="22"/>
                <w:szCs w:val="22"/>
                <w:color w:val="0000FF"/>
              </w:rPr>
            </w:pPr>
            <w:hyperlink w:anchor="page270">
              <w:r>
                <w:rPr>
                  <w:rFonts w:ascii="Arial" w:cs="Arial" w:eastAsia="Arial" w:hAnsi="Arial"/>
                  <w:sz w:val="22"/>
                  <w:szCs w:val="22"/>
                  <w:color w:val="0000FF"/>
                </w:rPr>
                <w:t>ARTICLE X AGGREGATE TRACKING MODEL AND DISPUTE</w:t>
              </w:r>
            </w:hyperlink>
            <w:r>
              <w:rPr>
                <w:rFonts w:ascii="Arial" w:cs="Arial" w:eastAsia="Arial" w:hAnsi="Arial"/>
                <w:sz w:val="22"/>
                <w:szCs w:val="22"/>
                <w:color w:val="000000"/>
              </w:rPr>
              <w:t>69</w:t>
            </w:r>
          </w:p>
        </w:tc>
      </w:tr>
      <w:tr>
        <w:trPr>
          <w:trHeight w:val="345"/>
        </w:trPr>
        <w:tc>
          <w:tcPr>
            <w:tcW w:w="3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gridSpan w:val="3"/>
          </w:tcPr>
          <w:p>
            <w:pPr>
              <w:spacing w:after="0"/>
              <w:rPr>
                <w:rFonts w:ascii="Arial" w:cs="Arial" w:eastAsia="Arial" w:hAnsi="Arial"/>
                <w:sz w:val="22"/>
                <w:szCs w:val="22"/>
                <w:color w:val="0000FF"/>
                <w:w w:val="86"/>
              </w:rPr>
            </w:pPr>
            <w:hyperlink w:anchor="page270">
              <w:r>
                <w:rPr>
                  <w:rFonts w:ascii="Arial" w:cs="Arial" w:eastAsia="Arial" w:hAnsi="Arial"/>
                  <w:sz w:val="22"/>
                  <w:szCs w:val="22"/>
                  <w:color w:val="0000FF"/>
                  <w:w w:val="86"/>
                </w:rPr>
                <w:t>Section 10.1</w:t>
              </w:r>
            </w:hyperlink>
          </w:p>
        </w:tc>
        <w:tc>
          <w:tcPr>
            <w:tcW w:w="12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12"/>
          </w:tcPr>
          <w:p>
            <w:pPr>
              <w:spacing w:after="0"/>
              <w:rPr>
                <w:sz w:val="20"/>
                <w:szCs w:val="20"/>
                <w:color w:val="auto"/>
              </w:rPr>
            </w:pPr>
            <w:r>
              <w:rPr>
                <w:rFonts w:ascii="Arial" w:cs="Arial" w:eastAsia="Arial" w:hAnsi="Arial"/>
                <w:sz w:val="22"/>
                <w:szCs w:val="22"/>
                <w:color w:val="0000FF"/>
                <w:w w:val="97"/>
              </w:rPr>
              <w:t>Aggregate Tracking Model.</w:t>
            </w:r>
          </w:p>
        </w:tc>
        <w:tc>
          <w:tcPr>
            <w:tcW w:w="30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w w:val="89"/>
              </w:rPr>
              <w:t>69</w:t>
            </w: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80" w:type="dxa"/>
            <w:vAlign w:val="bottom"/>
            <w:tcBorders>
              <w:top w:val="single" w:sz="8" w:color="0000FF"/>
              <w:bottom w:val="single" w:sz="8" w:color="0000FF"/>
            </w:tcBorders>
            <w:gridSpan w:val="3"/>
          </w:tcPr>
          <w:p>
            <w:pPr>
              <w:spacing w:after="0"/>
              <w:rPr>
                <w:rFonts w:ascii="Arial" w:cs="Arial" w:eastAsia="Arial" w:hAnsi="Arial"/>
                <w:sz w:val="22"/>
                <w:szCs w:val="22"/>
                <w:color w:val="0000FF"/>
                <w:w w:val="86"/>
              </w:rPr>
            </w:pPr>
            <w:hyperlink w:anchor="page271">
              <w:r>
                <w:rPr>
                  <w:rFonts w:ascii="Arial" w:cs="Arial" w:eastAsia="Arial" w:hAnsi="Arial"/>
                  <w:sz w:val="22"/>
                  <w:szCs w:val="22"/>
                  <w:color w:val="0000FF"/>
                  <w:w w:val="86"/>
                </w:rPr>
                <w:t>Section 10.2</w:t>
              </w:r>
            </w:hyperlink>
          </w:p>
        </w:tc>
        <w:tc>
          <w:tcPr>
            <w:tcW w:w="120" w:type="dxa"/>
            <w:vAlign w:val="bottom"/>
          </w:tcPr>
          <w:p>
            <w:pPr>
              <w:spacing w:after="0"/>
              <w:rPr>
                <w:sz w:val="24"/>
                <w:szCs w:val="24"/>
                <w:color w:val="auto"/>
              </w:rPr>
            </w:pPr>
          </w:p>
        </w:tc>
        <w:tc>
          <w:tcPr>
            <w:tcW w:w="8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94"/>
              </w:rPr>
              <w:t>Dispute.</w:t>
            </w:r>
          </w:p>
        </w:tc>
        <w:tc>
          <w:tcPr>
            <w:tcW w:w="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jc w:val="right"/>
              <w:ind w:right="352"/>
              <w:spacing w:after="0"/>
              <w:rPr>
                <w:sz w:val="20"/>
                <w:szCs w:val="20"/>
                <w:color w:val="auto"/>
              </w:rPr>
            </w:pPr>
            <w:r>
              <w:rPr>
                <w:rFonts w:ascii="Arial" w:cs="Arial" w:eastAsia="Arial" w:hAnsi="Arial"/>
                <w:sz w:val="22"/>
                <w:szCs w:val="22"/>
                <w:color w:val="auto"/>
              </w:rPr>
              <w:t>69</w:t>
            </w: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500" w:type="dxa"/>
            <w:vAlign w:val="bottom"/>
            <w:gridSpan w:val="12"/>
          </w:tcPr>
          <w:p>
            <w:pPr>
              <w:spacing w:after="0"/>
              <w:rPr>
                <w:rFonts w:ascii="Arial" w:cs="Arial" w:eastAsia="Arial" w:hAnsi="Arial"/>
                <w:sz w:val="22"/>
                <w:szCs w:val="22"/>
                <w:color w:val="0000FF"/>
              </w:rPr>
            </w:pPr>
            <w:hyperlink w:anchor="page271">
              <w:r>
                <w:rPr>
                  <w:rFonts w:ascii="Arial" w:cs="Arial" w:eastAsia="Arial" w:hAnsi="Arial"/>
                  <w:sz w:val="22"/>
                  <w:szCs w:val="22"/>
                  <w:color w:val="0000FF"/>
                </w:rPr>
                <w:t>ARTICLE XI INDEMNIFICATION</w:t>
              </w:r>
            </w:hyperlink>
            <w:r>
              <w:rPr>
                <w:rFonts w:ascii="Arial" w:cs="Arial" w:eastAsia="Arial" w:hAnsi="Arial"/>
                <w:sz w:val="22"/>
                <w:szCs w:val="22"/>
                <w:color w:val="000000"/>
              </w:rPr>
              <w:t>70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80" w:type="dxa"/>
            <w:vAlign w:val="bottom"/>
            <w:gridSpan w:val="3"/>
          </w:tcPr>
          <w:p>
            <w:pPr>
              <w:spacing w:after="0"/>
              <w:rPr>
                <w:rFonts w:ascii="Arial" w:cs="Arial" w:eastAsia="Arial" w:hAnsi="Arial"/>
                <w:sz w:val="22"/>
                <w:szCs w:val="22"/>
                <w:color w:val="0000FF"/>
                <w:w w:val="86"/>
              </w:rPr>
            </w:pPr>
            <w:hyperlink w:anchor="page271">
              <w:r>
                <w:rPr>
                  <w:rFonts w:ascii="Arial" w:cs="Arial" w:eastAsia="Arial" w:hAnsi="Arial"/>
                  <w:sz w:val="22"/>
                  <w:szCs w:val="22"/>
                  <w:color w:val="0000FF"/>
                  <w:w w:val="86"/>
                </w:rPr>
                <w:t>Section 11.1</w:t>
              </w:r>
            </w:hyperlink>
          </w:p>
        </w:tc>
        <w:tc>
          <w:tcPr>
            <w:tcW w:w="3620" w:type="dxa"/>
            <w:vAlign w:val="bottom"/>
            <w:gridSpan w:val="16"/>
          </w:tcPr>
          <w:p>
            <w:pPr>
              <w:ind w:left="120"/>
              <w:spacing w:after="0"/>
              <w:rPr>
                <w:sz w:val="20"/>
                <w:szCs w:val="20"/>
                <w:color w:val="auto"/>
              </w:rPr>
            </w:pPr>
            <w:r>
              <w:rPr>
                <w:rFonts w:ascii="Arial" w:cs="Arial" w:eastAsia="Arial" w:hAnsi="Arial"/>
                <w:sz w:val="22"/>
                <w:szCs w:val="22"/>
                <w:color w:val="0000FF"/>
                <w:w w:val="98"/>
              </w:rPr>
              <w:t xml:space="preserve">Indemnification by the Members.  </w:t>
            </w:r>
            <w:r>
              <w:rPr>
                <w:rFonts w:ascii="Arial" w:cs="Arial" w:eastAsia="Arial" w:hAnsi="Arial"/>
                <w:sz w:val="22"/>
                <w:szCs w:val="22"/>
                <w:color w:val="000000"/>
                <w:w w:val="98"/>
              </w:rPr>
              <w:t>70</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4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575"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900" w:type="dxa"/>
            <w:vAlign w:val="bottom"/>
            <w:gridSpan w:val="18"/>
          </w:tcPr>
          <w:p>
            <w:pPr>
              <w:spacing w:after="0"/>
              <w:rPr>
                <w:rFonts w:ascii="Arial" w:cs="Arial" w:eastAsia="Arial" w:hAnsi="Arial"/>
                <w:sz w:val="22"/>
                <w:szCs w:val="22"/>
                <w:color w:val="0000FF"/>
              </w:rPr>
            </w:pPr>
            <w:hyperlink w:anchor="page272">
              <w:r>
                <w:rPr>
                  <w:rFonts w:ascii="Arial" w:cs="Arial" w:eastAsia="Arial" w:hAnsi="Arial"/>
                  <w:sz w:val="22"/>
                  <w:szCs w:val="22"/>
                  <w:color w:val="0000FF"/>
                </w:rPr>
                <w:t xml:space="preserve">Section 11.2  </w:t>
              </w:r>
            </w:hyperlink>
            <w:r>
              <w:rPr>
                <w:rFonts w:ascii="Arial" w:cs="Arial" w:eastAsia="Arial" w:hAnsi="Arial"/>
                <w:sz w:val="22"/>
                <w:szCs w:val="22"/>
                <w:color w:val="0000FF"/>
              </w:rPr>
              <w:t xml:space="preserve">Limitation on Liability.  </w:t>
            </w:r>
            <w:r>
              <w:rPr>
                <w:rFonts w:ascii="Arial" w:cs="Arial" w:eastAsia="Arial" w:hAnsi="Arial"/>
                <w:sz w:val="22"/>
                <w:szCs w:val="22"/>
                <w:color w:val="000000"/>
              </w:rPr>
              <w:t>72</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3">
              <w:r>
                <w:rPr>
                  <w:rFonts w:ascii="Arial" w:cs="Arial" w:eastAsia="Arial" w:hAnsi="Arial"/>
                  <w:sz w:val="22"/>
                  <w:szCs w:val="22"/>
                  <w:color w:val="0000FF"/>
                  <w:w w:val="83"/>
                </w:rPr>
                <w:t>Section 11.3</w:t>
              </w:r>
            </w:hyperlink>
          </w:p>
        </w:tc>
        <w:tc>
          <w:tcPr>
            <w:tcW w:w="14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22"/>
                <w:szCs w:val="22"/>
                <w:color w:val="0000FF"/>
              </w:rPr>
              <w:t xml:space="preserve">Procedure for Indemnification.  </w:t>
            </w:r>
            <w:r>
              <w:rPr>
                <w:rFonts w:ascii="Arial" w:cs="Arial" w:eastAsia="Arial" w:hAnsi="Arial"/>
                <w:sz w:val="22"/>
                <w:szCs w:val="22"/>
                <w:color w:val="000000"/>
              </w:rPr>
              <w:t>73</w:t>
            </w: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73">
              <w:r>
                <w:rPr>
                  <w:rFonts w:ascii="Arial" w:cs="Arial" w:eastAsia="Arial" w:hAnsi="Arial"/>
                  <w:sz w:val="22"/>
                  <w:szCs w:val="22"/>
                  <w:color w:val="0000FF"/>
                  <w:w w:val="83"/>
                </w:rPr>
                <w:t>Section 11.4</w:t>
              </w:r>
            </w:hyperlink>
          </w:p>
        </w:tc>
        <w:tc>
          <w:tcPr>
            <w:tcW w:w="140" w:type="dxa"/>
            <w:vAlign w:val="bottom"/>
          </w:tcPr>
          <w:p>
            <w:pPr>
              <w:spacing w:after="0"/>
              <w:rPr>
                <w:sz w:val="24"/>
                <w:szCs w:val="24"/>
                <w:color w:val="auto"/>
              </w:rPr>
            </w:pPr>
          </w:p>
        </w:tc>
        <w:tc>
          <w:tcPr>
            <w:tcW w:w="10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2"/>
                <w:szCs w:val="22"/>
                <w:color w:val="0000FF"/>
                <w:w w:val="93"/>
              </w:rPr>
              <w:t>Exclusivity.</w:t>
            </w:r>
          </w:p>
        </w:tc>
        <w:tc>
          <w:tcPr>
            <w:tcW w:w="180" w:type="dxa"/>
            <w:vAlign w:val="bottom"/>
            <w:tcBorders>
              <w:top w:val="single" w:sz="8" w:color="0000FF"/>
            </w:tcBorders>
            <w:gridSpan w:val="4"/>
          </w:tcPr>
          <w:p>
            <w:pPr>
              <w:spacing w:after="0"/>
              <w:rPr>
                <w:sz w:val="24"/>
                <w:szCs w:val="24"/>
                <w:color w:val="auto"/>
              </w:rPr>
            </w:pPr>
          </w:p>
        </w:tc>
        <w:tc>
          <w:tcPr>
            <w:tcW w:w="380" w:type="dxa"/>
            <w:vAlign w:val="bottom"/>
            <w:tcBorders>
              <w:top w:val="single" w:sz="8" w:color="0000FF"/>
            </w:tcBorders>
          </w:tcPr>
          <w:p>
            <w:pPr>
              <w:jc w:val="right"/>
              <w:ind w:right="32"/>
              <w:spacing w:after="0"/>
              <w:rPr>
                <w:sz w:val="20"/>
                <w:szCs w:val="20"/>
                <w:color w:val="auto"/>
              </w:rPr>
            </w:pPr>
            <w:r>
              <w:rPr>
                <w:rFonts w:ascii="Arial" w:cs="Arial" w:eastAsia="Arial" w:hAnsi="Arial"/>
                <w:sz w:val="22"/>
                <w:szCs w:val="22"/>
                <w:color w:val="auto"/>
                <w:w w:val="89"/>
              </w:rPr>
              <w:t>74</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3">
              <w:r>
                <w:rPr>
                  <w:rFonts w:ascii="Arial" w:cs="Arial" w:eastAsia="Arial" w:hAnsi="Arial"/>
                  <w:sz w:val="22"/>
                  <w:szCs w:val="22"/>
                  <w:color w:val="0000FF"/>
                  <w:w w:val="83"/>
                </w:rPr>
                <w:t>Section 11.5</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6"/>
              </w:rPr>
              <w:t xml:space="preserve">No Right of Contribution.  </w:t>
            </w:r>
            <w:r>
              <w:rPr>
                <w:rFonts w:ascii="Arial" w:cs="Arial" w:eastAsia="Arial" w:hAnsi="Arial"/>
                <w:sz w:val="22"/>
                <w:szCs w:val="22"/>
                <w:color w:val="000000"/>
                <w:w w:val="96"/>
              </w:rPr>
              <w:t>74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tcBorders>
          </w:tcPr>
          <w:p>
            <w:pPr>
              <w:spacing w:after="0"/>
              <w:rPr>
                <w:rFonts w:ascii="Arial" w:cs="Arial" w:eastAsia="Arial" w:hAnsi="Arial"/>
                <w:sz w:val="22"/>
                <w:szCs w:val="22"/>
                <w:color w:val="0000FF"/>
                <w:w w:val="83"/>
              </w:rPr>
            </w:pPr>
            <w:hyperlink w:anchor="page273">
              <w:r>
                <w:rPr>
                  <w:rFonts w:ascii="Arial" w:cs="Arial" w:eastAsia="Arial" w:hAnsi="Arial"/>
                  <w:sz w:val="22"/>
                  <w:szCs w:val="22"/>
                  <w:color w:val="0000FF"/>
                  <w:w w:val="83"/>
                </w:rPr>
                <w:t>Section 11.6</w:t>
              </w:r>
            </w:hyperlink>
          </w:p>
        </w:tc>
        <w:tc>
          <w:tcPr>
            <w:tcW w:w="140" w:type="dxa"/>
            <w:vAlign w:val="bottom"/>
          </w:tcPr>
          <w:p>
            <w:pPr>
              <w:spacing w:after="0"/>
              <w:rPr>
                <w:sz w:val="24"/>
                <w:szCs w:val="24"/>
                <w:color w:val="auto"/>
              </w:rPr>
            </w:pPr>
          </w:p>
        </w:tc>
        <w:tc>
          <w:tcPr>
            <w:tcW w:w="2260" w:type="dxa"/>
            <w:vAlign w:val="bottom"/>
            <w:tcBorders>
              <w:top w:val="single" w:sz="8" w:color="0000FF"/>
            </w:tcBorders>
            <w:gridSpan w:val="13"/>
          </w:tcPr>
          <w:p>
            <w:pPr>
              <w:spacing w:after="0"/>
              <w:rPr>
                <w:sz w:val="20"/>
                <w:szCs w:val="20"/>
                <w:color w:val="auto"/>
              </w:rPr>
            </w:pPr>
            <w:r>
              <w:rPr>
                <w:rFonts w:ascii="Arial" w:cs="Arial" w:eastAsia="Arial" w:hAnsi="Arial"/>
                <w:sz w:val="22"/>
                <w:szCs w:val="22"/>
                <w:color w:val="0000FF"/>
              </w:rPr>
              <w:t xml:space="preserve">Entire Agreement.  </w:t>
            </w:r>
            <w:r>
              <w:rPr>
                <w:rFonts w:ascii="Arial" w:cs="Arial" w:eastAsia="Arial" w:hAnsi="Arial"/>
                <w:sz w:val="22"/>
                <w:szCs w:val="22"/>
                <w:color w:val="000000"/>
              </w:rPr>
              <w:t>74</w:t>
            </w:r>
          </w:p>
        </w:tc>
        <w:tc>
          <w:tcPr>
            <w:tcW w:w="4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6520" w:type="dxa"/>
            <w:vAlign w:val="bottom"/>
            <w:gridSpan w:val="22"/>
          </w:tcPr>
          <w:p>
            <w:pPr>
              <w:spacing w:after="0"/>
              <w:rPr>
                <w:rFonts w:ascii="Arial" w:cs="Arial" w:eastAsia="Arial" w:hAnsi="Arial"/>
                <w:sz w:val="22"/>
                <w:szCs w:val="22"/>
                <w:color w:val="0000FF"/>
                <w:w w:val="97"/>
              </w:rPr>
            </w:pPr>
            <w:hyperlink w:anchor="page273">
              <w:r>
                <w:rPr>
                  <w:rFonts w:ascii="Arial" w:cs="Arial" w:eastAsia="Arial" w:hAnsi="Arial"/>
                  <w:sz w:val="22"/>
                  <w:szCs w:val="22"/>
                  <w:color w:val="0000FF"/>
                  <w:w w:val="97"/>
                </w:rPr>
                <w:t>ARTICLE XII DISSOLUTION, LIQUIDATION AND TERMINATION</w:t>
              </w:r>
            </w:hyperlink>
            <w:r>
              <w:rPr>
                <w:rFonts w:ascii="Arial" w:cs="Arial" w:eastAsia="Arial" w:hAnsi="Arial"/>
                <w:sz w:val="22"/>
                <w:szCs w:val="22"/>
                <w:color w:val="000000"/>
                <w:w w:val="97"/>
              </w:rPr>
              <w:t>74</w:t>
            </w:r>
          </w:p>
        </w:tc>
      </w:tr>
      <w:tr>
        <w:trPr>
          <w:trHeight w:val="345"/>
        </w:trPr>
        <w:tc>
          <w:tcPr>
            <w:tcW w:w="3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73">
              <w:r>
                <w:rPr>
                  <w:rFonts w:ascii="Arial" w:cs="Arial" w:eastAsia="Arial" w:hAnsi="Arial"/>
                  <w:sz w:val="22"/>
                  <w:szCs w:val="22"/>
                  <w:color w:val="0000FF"/>
                  <w:w w:val="83"/>
                </w:rPr>
                <w:t>Section 12.1</w:t>
              </w:r>
            </w:hyperlink>
          </w:p>
        </w:tc>
        <w:tc>
          <w:tcPr>
            <w:tcW w:w="1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2"/>
                <w:szCs w:val="22"/>
                <w:color w:val="0000FF"/>
                <w:w w:val="91"/>
              </w:rPr>
              <w:t>Dissolution.</w:t>
            </w:r>
          </w:p>
        </w:tc>
        <w:tc>
          <w:tcPr>
            <w:tcW w:w="160" w:type="dxa"/>
            <w:vAlign w:val="bottom"/>
            <w:tcBorders>
              <w:top w:val="single" w:sz="8" w:color="0000FF"/>
            </w:tcBorders>
            <w:gridSpan w:val="3"/>
          </w:tcPr>
          <w:p>
            <w:pPr>
              <w:spacing w:after="0"/>
              <w:rPr>
                <w:sz w:val="24"/>
                <w:szCs w:val="24"/>
                <w:color w:val="auto"/>
              </w:rPr>
            </w:pPr>
          </w:p>
        </w:tc>
        <w:tc>
          <w:tcPr>
            <w:tcW w:w="3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rPr>
              <w:t>74</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4">
              <w:r>
                <w:rPr>
                  <w:rFonts w:ascii="Arial" w:cs="Arial" w:eastAsia="Arial" w:hAnsi="Arial"/>
                  <w:sz w:val="22"/>
                  <w:szCs w:val="22"/>
                  <w:color w:val="0000FF"/>
                  <w:w w:val="83"/>
                </w:rPr>
                <w:t>Section 12.2</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6"/>
              </w:rPr>
              <w:t>Liquidation and Termination.</w:t>
            </w:r>
          </w:p>
        </w:tc>
        <w:tc>
          <w:tcPr>
            <w:tcW w:w="2060" w:type="dxa"/>
            <w:vAlign w:val="bottom"/>
            <w:gridSpan w:val="2"/>
          </w:tcPr>
          <w:p>
            <w:pPr>
              <w:jc w:val="right"/>
              <w:ind w:right="1780"/>
              <w:spacing w:after="0"/>
              <w:rPr>
                <w:sz w:val="20"/>
                <w:szCs w:val="20"/>
                <w:color w:val="auto"/>
              </w:rPr>
            </w:pPr>
            <w:r>
              <w:rPr>
                <w:rFonts w:ascii="Arial" w:cs="Arial" w:eastAsia="Arial" w:hAnsi="Arial"/>
                <w:sz w:val="22"/>
                <w:szCs w:val="22"/>
                <w:color w:val="auto"/>
              </w:rPr>
              <w:t>75</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12.3</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 xml:space="preserve">Deficit Capital Accounts.  </w:t>
            </w:r>
            <w:r>
              <w:rPr>
                <w:rFonts w:ascii="Arial" w:cs="Arial" w:eastAsia="Arial" w:hAnsi="Arial"/>
                <w:sz w:val="22"/>
                <w:szCs w:val="22"/>
                <w:color w:val="000000"/>
                <w:w w:val="97"/>
              </w:rPr>
              <w:t>76</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12.4</w:t>
              </w:r>
            </w:hyperlink>
          </w:p>
        </w:tc>
        <w:tc>
          <w:tcPr>
            <w:tcW w:w="140" w:type="dxa"/>
            <w:vAlign w:val="bottom"/>
          </w:tcPr>
          <w:p>
            <w:pPr>
              <w:spacing w:after="0"/>
              <w:rPr>
                <w:sz w:val="24"/>
                <w:szCs w:val="24"/>
                <w:color w:val="auto"/>
              </w:rPr>
            </w:pPr>
          </w:p>
        </w:tc>
        <w:tc>
          <w:tcPr>
            <w:tcW w:w="11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2"/>
                <w:szCs w:val="22"/>
                <w:color w:val="0000FF"/>
                <w:w w:val="89"/>
              </w:rPr>
              <w:t>Termination.</w:t>
            </w:r>
          </w:p>
        </w:tc>
        <w:tc>
          <w:tcPr>
            <w:tcW w:w="100" w:type="dxa"/>
            <w:vAlign w:val="bottom"/>
            <w:tcBorders>
              <w:top w:val="single" w:sz="8" w:color="0000FF"/>
            </w:tcBorders>
            <w:gridSpan w:val="2"/>
          </w:tcPr>
          <w:p>
            <w:pPr>
              <w:spacing w:after="0"/>
              <w:rPr>
                <w:sz w:val="24"/>
                <w:szCs w:val="24"/>
                <w:color w:val="auto"/>
              </w:rPr>
            </w:pPr>
          </w:p>
        </w:tc>
        <w:tc>
          <w:tcPr>
            <w:tcW w:w="3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rPr>
              <w:t>76</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4240" w:type="dxa"/>
            <w:vAlign w:val="bottom"/>
            <w:gridSpan w:val="19"/>
          </w:tcPr>
          <w:p>
            <w:pPr>
              <w:spacing w:after="0"/>
              <w:rPr>
                <w:rFonts w:ascii="Arial" w:cs="Arial" w:eastAsia="Arial" w:hAnsi="Arial"/>
                <w:sz w:val="22"/>
                <w:szCs w:val="22"/>
                <w:color w:val="0000FF"/>
              </w:rPr>
            </w:pPr>
            <w:hyperlink w:anchor="page275">
              <w:r>
                <w:rPr>
                  <w:rFonts w:ascii="Arial" w:cs="Arial" w:eastAsia="Arial" w:hAnsi="Arial"/>
                  <w:sz w:val="22"/>
                  <w:szCs w:val="22"/>
                  <w:color w:val="0000FF"/>
                </w:rPr>
                <w:t>ARTICLE XIII GENERAL PROVISIONS</w:t>
              </w:r>
            </w:hyperlink>
            <w:r>
              <w:rPr>
                <w:rFonts w:ascii="Arial" w:cs="Arial" w:eastAsia="Arial" w:hAnsi="Arial"/>
                <w:sz w:val="22"/>
                <w:szCs w:val="22"/>
                <w:color w:val="000000"/>
              </w:rPr>
              <w:t>77</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Borders>
              <w:top w:val="single" w:sz="8" w:color="0000FF"/>
            </w:tcBorders>
          </w:tcPr>
          <w:p>
            <w:pPr>
              <w:spacing w:after="0"/>
              <w:rPr>
                <w:sz w:val="24"/>
                <w:szCs w:val="24"/>
                <w:color w:val="auto"/>
              </w:rPr>
            </w:pPr>
          </w:p>
        </w:tc>
        <w:tc>
          <w:tcPr>
            <w:tcW w:w="1060" w:type="dxa"/>
            <w:vAlign w:val="bottom"/>
            <w:tcBorders>
              <w:top w:val="single" w:sz="8" w:color="0000FF"/>
              <w:bottom w:val="single" w:sz="8" w:color="0000FF"/>
            </w:tcBorders>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13.1</w:t>
              </w:r>
            </w:hyperlink>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89"/>
              </w:rPr>
              <w:t>Offset.</w:t>
            </w:r>
          </w:p>
        </w:tc>
        <w:tc>
          <w:tcPr>
            <w:tcW w:w="160" w:type="dxa"/>
            <w:vAlign w:val="bottom"/>
            <w:tcBorders>
              <w:top w:val="single" w:sz="8" w:color="0000FF"/>
            </w:tcBorders>
            <w:gridSpan w:val="2"/>
          </w:tcPr>
          <w:p>
            <w:pPr>
              <w:spacing w:after="0"/>
              <w:rPr>
                <w:sz w:val="24"/>
                <w:szCs w:val="24"/>
                <w:color w:val="auto"/>
              </w:rPr>
            </w:pPr>
          </w:p>
        </w:tc>
        <w:tc>
          <w:tcPr>
            <w:tcW w:w="28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auto"/>
                <w:w w:val="97"/>
              </w:rPr>
              <w:t>77</w:t>
            </w: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13.2</w:t>
              </w:r>
            </w:hyperlink>
          </w:p>
        </w:tc>
        <w:tc>
          <w:tcPr>
            <w:tcW w:w="1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22"/>
                <w:szCs w:val="22"/>
                <w:color w:val="0000FF"/>
                <w:w w:val="93"/>
              </w:rPr>
              <w:t>Notices.</w:t>
            </w:r>
          </w:p>
        </w:tc>
        <w:tc>
          <w:tcPr>
            <w:tcW w:w="420" w:type="dxa"/>
            <w:vAlign w:val="bottom"/>
            <w:gridSpan w:val="4"/>
          </w:tcPr>
          <w:p>
            <w:pPr>
              <w:jc w:val="right"/>
              <w:ind w:right="20"/>
              <w:spacing w:after="0"/>
              <w:rPr>
                <w:sz w:val="20"/>
                <w:szCs w:val="20"/>
                <w:color w:val="auto"/>
              </w:rPr>
            </w:pPr>
            <w:r>
              <w:rPr>
                <w:rFonts w:ascii="Arial" w:cs="Arial" w:eastAsia="Arial" w:hAnsi="Arial"/>
                <w:sz w:val="22"/>
                <w:szCs w:val="22"/>
                <w:color w:val="auto"/>
              </w:rPr>
              <w:t>77</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Borders>
              <w:bottom w:val="single" w:sz="8" w:color="0000FF"/>
            </w:tcBorders>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13.3</w:t>
              </w:r>
            </w:hyperlink>
          </w:p>
        </w:tc>
        <w:tc>
          <w:tcPr>
            <w:tcW w:w="14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7"/>
              </w:rPr>
              <w:t>Counterparts.</w:t>
            </w:r>
          </w:p>
        </w:tc>
        <w:tc>
          <w:tcPr>
            <w:tcW w:w="4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22"/>
                <w:szCs w:val="22"/>
                <w:color w:val="auto"/>
              </w:rPr>
              <w:t>77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13.4</w:t>
              </w:r>
            </w:hyperlink>
          </w:p>
        </w:tc>
        <w:tc>
          <w:tcPr>
            <w:tcW w:w="14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22"/>
                <w:szCs w:val="22"/>
                <w:color w:val="0000FF"/>
              </w:rPr>
              <w:t xml:space="preserve">Governing Law and Severability.  </w:t>
            </w:r>
            <w:r>
              <w:rPr>
                <w:rFonts w:ascii="Arial" w:cs="Arial" w:eastAsia="Arial" w:hAnsi="Arial"/>
                <w:sz w:val="22"/>
                <w:szCs w:val="22"/>
                <w:color w:val="000000"/>
              </w:rPr>
              <w:t>77</w:t>
            </w:r>
          </w:p>
        </w:tc>
      </w:tr>
      <w:tr>
        <w:trPr>
          <w:trHeight w:val="345"/>
        </w:trPr>
        <w:tc>
          <w:tcPr>
            <w:tcW w:w="340" w:type="dxa"/>
            <w:vAlign w:val="bottom"/>
          </w:tcPr>
          <w:p>
            <w:pPr>
              <w:spacing w:after="0"/>
              <w:rPr>
                <w:sz w:val="24"/>
                <w:szCs w:val="24"/>
                <w:color w:val="auto"/>
              </w:rPr>
            </w:pPr>
          </w:p>
        </w:tc>
        <w:tc>
          <w:tcPr>
            <w:tcW w:w="1060" w:type="dxa"/>
            <w:vAlign w:val="bottom"/>
            <w:tcBorders>
              <w:top w:val="single" w:sz="8" w:color="0000FF"/>
            </w:tcBorders>
          </w:tcPr>
          <w:p>
            <w:pPr>
              <w:spacing w:after="0"/>
              <w:rPr>
                <w:rFonts w:ascii="Arial" w:cs="Arial" w:eastAsia="Arial" w:hAnsi="Arial"/>
                <w:sz w:val="22"/>
                <w:szCs w:val="22"/>
                <w:color w:val="0000FF"/>
                <w:w w:val="83"/>
              </w:rPr>
            </w:pPr>
            <w:hyperlink w:anchor="page275">
              <w:r>
                <w:rPr>
                  <w:rFonts w:ascii="Arial" w:cs="Arial" w:eastAsia="Arial" w:hAnsi="Arial"/>
                  <w:sz w:val="22"/>
                  <w:szCs w:val="22"/>
                  <w:color w:val="0000FF"/>
                  <w:w w:val="83"/>
                </w:rPr>
                <w:t>Section 13.5</w:t>
              </w:r>
            </w:hyperlink>
          </w:p>
        </w:tc>
        <w:tc>
          <w:tcPr>
            <w:tcW w:w="140" w:type="dxa"/>
            <w:vAlign w:val="bottom"/>
          </w:tcPr>
          <w:p>
            <w:pPr>
              <w:spacing w:after="0"/>
              <w:rPr>
                <w:sz w:val="24"/>
                <w:szCs w:val="24"/>
                <w:color w:val="auto"/>
              </w:rPr>
            </w:pPr>
          </w:p>
        </w:tc>
        <w:tc>
          <w:tcPr>
            <w:tcW w:w="2700" w:type="dxa"/>
            <w:vAlign w:val="bottom"/>
            <w:tcBorders>
              <w:top w:val="single" w:sz="8" w:color="0000FF"/>
            </w:tcBorders>
            <w:gridSpan w:val="16"/>
          </w:tcPr>
          <w:p>
            <w:pPr>
              <w:spacing w:after="0"/>
              <w:rPr>
                <w:sz w:val="20"/>
                <w:szCs w:val="20"/>
                <w:color w:val="auto"/>
              </w:rPr>
            </w:pPr>
            <w:r>
              <w:rPr>
                <w:rFonts w:ascii="Arial" w:cs="Arial" w:eastAsia="Arial" w:hAnsi="Arial"/>
                <w:sz w:val="22"/>
                <w:szCs w:val="22"/>
                <w:color w:val="0000FF"/>
              </w:rPr>
              <w:t xml:space="preserve">Entire Agreement.  </w:t>
            </w:r>
            <w:r>
              <w:rPr>
                <w:rFonts w:ascii="Arial" w:cs="Arial" w:eastAsia="Arial" w:hAnsi="Arial"/>
                <w:sz w:val="22"/>
                <w:szCs w:val="22"/>
                <w:color w:val="000000"/>
              </w:rPr>
              <w:t>78</w:t>
            </w:r>
          </w:p>
        </w:tc>
        <w:tc>
          <w:tcPr>
            <w:tcW w:w="18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0" w:type="dxa"/>
            <w:vAlign w:val="bottom"/>
            <w:gridSpan w:val="9"/>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6">
              <w:r>
                <w:rPr>
                  <w:rFonts w:ascii="Arial" w:cs="Arial" w:eastAsia="Arial" w:hAnsi="Arial"/>
                  <w:sz w:val="22"/>
                  <w:szCs w:val="22"/>
                  <w:color w:val="0000FF"/>
                  <w:w w:val="83"/>
                </w:rPr>
                <w:t>Section 13.6</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Effect of Waiver or Consent.</w:t>
            </w:r>
          </w:p>
        </w:tc>
        <w:tc>
          <w:tcPr>
            <w:tcW w:w="2060" w:type="dxa"/>
            <w:vAlign w:val="bottom"/>
            <w:gridSpan w:val="2"/>
          </w:tcPr>
          <w:p>
            <w:pPr>
              <w:jc w:val="right"/>
              <w:ind w:right="1840"/>
              <w:spacing w:after="0"/>
              <w:rPr>
                <w:sz w:val="20"/>
                <w:szCs w:val="20"/>
                <w:color w:val="auto"/>
              </w:rPr>
            </w:pPr>
            <w:r>
              <w:rPr>
                <w:rFonts w:ascii="Arial" w:cs="Arial" w:eastAsia="Arial" w:hAnsi="Arial"/>
                <w:sz w:val="22"/>
                <w:szCs w:val="22"/>
                <w:color w:val="auto"/>
                <w:w w:val="81"/>
              </w:rPr>
              <w:t>78</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480" w:type="dxa"/>
            <w:vAlign w:val="bottom"/>
            <w:gridSpan w:val="1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1060" w:type="dxa"/>
            <w:vAlign w:val="bottom"/>
          </w:tcPr>
          <w:p>
            <w:pPr>
              <w:spacing w:after="0"/>
              <w:rPr>
                <w:rFonts w:ascii="Arial" w:cs="Arial" w:eastAsia="Arial" w:hAnsi="Arial"/>
                <w:sz w:val="22"/>
                <w:szCs w:val="22"/>
                <w:color w:val="0000FF"/>
                <w:w w:val="83"/>
              </w:rPr>
            </w:pPr>
            <w:hyperlink w:anchor="page276">
              <w:r>
                <w:rPr>
                  <w:rFonts w:ascii="Arial" w:cs="Arial" w:eastAsia="Arial" w:hAnsi="Arial"/>
                  <w:sz w:val="22"/>
                  <w:szCs w:val="22"/>
                  <w:color w:val="0000FF"/>
                  <w:w w:val="83"/>
                </w:rPr>
                <w:t>Section 13.7</w:t>
              </w:r>
            </w:hyperlink>
          </w:p>
        </w:tc>
        <w:tc>
          <w:tcPr>
            <w:tcW w:w="140" w:type="dxa"/>
            <w:vAlign w:val="bottom"/>
          </w:tcPr>
          <w:p>
            <w:pPr>
              <w:spacing w:after="0"/>
              <w:rPr>
                <w:sz w:val="24"/>
                <w:szCs w:val="24"/>
                <w:color w:val="auto"/>
              </w:rPr>
            </w:pPr>
          </w:p>
        </w:tc>
        <w:tc>
          <w:tcPr>
            <w:tcW w:w="2700" w:type="dxa"/>
            <w:vAlign w:val="bottom"/>
            <w:gridSpan w:val="16"/>
          </w:tcPr>
          <w:p>
            <w:pPr>
              <w:spacing w:after="0"/>
              <w:rPr>
                <w:sz w:val="20"/>
                <w:szCs w:val="20"/>
                <w:color w:val="auto"/>
              </w:rPr>
            </w:pPr>
            <w:r>
              <w:rPr>
                <w:rFonts w:ascii="Arial" w:cs="Arial" w:eastAsia="Arial" w:hAnsi="Arial"/>
                <w:sz w:val="22"/>
                <w:szCs w:val="22"/>
                <w:color w:val="0000FF"/>
                <w:w w:val="97"/>
              </w:rPr>
              <w:t>Amendment or Modification.</w:t>
            </w:r>
          </w:p>
        </w:tc>
        <w:tc>
          <w:tcPr>
            <w:tcW w:w="2060" w:type="dxa"/>
            <w:vAlign w:val="bottom"/>
            <w:gridSpan w:val="2"/>
          </w:tcPr>
          <w:p>
            <w:pPr>
              <w:jc w:val="right"/>
              <w:ind w:right="1780"/>
              <w:spacing w:after="0"/>
              <w:rPr>
                <w:sz w:val="20"/>
                <w:szCs w:val="20"/>
                <w:color w:val="auto"/>
              </w:rPr>
            </w:pPr>
            <w:r>
              <w:rPr>
                <w:rFonts w:ascii="Arial" w:cs="Arial" w:eastAsia="Arial" w:hAnsi="Arial"/>
                <w:sz w:val="22"/>
                <w:szCs w:val="22"/>
                <w:color w:val="auto"/>
              </w:rPr>
              <w:t>78</w:t>
            </w:r>
          </w:p>
        </w:tc>
        <w:tc>
          <w:tcPr>
            <w:tcW w:w="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4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576" w:right="1440" w:bottom="1440" w:gutter="0" w:footer="0" w:header="0"/>
        </w:sectPr>
      </w:pPr>
    </w:p>
    <w:bookmarkStart w:id="218" w:name="page219"/>
    <w:bookmarkEnd w:id="218"/>
    <w:p>
      <w:pPr>
        <w:spacing w:after="0"/>
        <w:tabs>
          <w:tab w:leader="none" w:pos="2740" w:val="left"/>
        </w:tabs>
        <w:rPr>
          <w:rFonts w:ascii="Arial" w:cs="Arial" w:eastAsia="Arial" w:hAnsi="Arial"/>
          <w:sz w:val="22"/>
          <w:szCs w:val="22"/>
          <w:color w:val="0000FF"/>
        </w:rPr>
      </w:pPr>
      <w:hyperlink w:anchor="page276">
        <w:r>
          <w:rPr>
            <w:rFonts w:ascii="Arial" w:cs="Arial" w:eastAsia="Arial" w:hAnsi="Arial"/>
            <w:sz w:val="22"/>
            <w:szCs w:val="22"/>
            <w:u w:val="single" w:color="auto"/>
            <w:color w:val="0000FF"/>
          </w:rPr>
          <w:t xml:space="preserve">Section 13.8 </w:t>
        </w:r>
      </w:hyperlink>
      <w:r>
        <w:rPr>
          <w:rFonts w:ascii="Arial" w:cs="Arial" w:eastAsia="Arial" w:hAnsi="Arial"/>
          <w:sz w:val="22"/>
          <w:szCs w:val="22"/>
          <w:color w:val="0000FF"/>
        </w:rPr>
        <w:t xml:space="preserve">Binding </w:t>
      </w:r>
      <w:r>
        <w:rPr>
          <w:rFonts w:ascii="Arial" w:cs="Arial" w:eastAsia="Arial" w:hAnsi="Arial"/>
          <w:sz w:val="22"/>
          <w:szCs w:val="22"/>
          <w:u w:val="single" w:color="auto"/>
          <w:color w:val="0000FF"/>
        </w:rPr>
        <w:t>Effect.</w:t>
      </w:r>
      <w:r>
        <w:rPr>
          <w:rFonts w:ascii="Arial" w:cs="Arial" w:eastAsia="Arial" w:hAnsi="Arial"/>
          <w:sz w:val="22"/>
          <w:szCs w:val="22"/>
          <w:color w:val="0000FF"/>
        </w:rPr>
        <w:tab/>
      </w:r>
      <w:r>
        <w:rPr>
          <w:rFonts w:ascii="Arial" w:cs="Arial" w:eastAsia="Arial" w:hAnsi="Arial"/>
          <w:sz w:val="17"/>
          <w:szCs w:val="17"/>
          <w:color w:val="0000FF"/>
        </w:rPr>
        <w:t>78</w:t>
      </w:r>
    </w:p>
    <w:p>
      <w:pPr>
        <w:spacing w:after="0" w:line="112" w:lineRule="exact"/>
        <w:rPr>
          <w:sz w:val="20"/>
          <w:szCs w:val="20"/>
          <w:color w:val="auto"/>
        </w:rPr>
      </w:pPr>
    </w:p>
    <w:p>
      <w:pPr>
        <w:spacing w:after="0"/>
        <w:tabs>
          <w:tab w:leader="none" w:pos="3140" w:val="left"/>
        </w:tabs>
        <w:rPr>
          <w:rFonts w:ascii="Arial" w:cs="Arial" w:eastAsia="Arial" w:hAnsi="Arial"/>
          <w:sz w:val="22"/>
          <w:szCs w:val="22"/>
          <w:color w:val="0000FF"/>
        </w:rPr>
      </w:pPr>
      <w:hyperlink w:anchor="page276">
        <w:r>
          <w:rPr>
            <w:rFonts w:ascii="Arial" w:cs="Arial" w:eastAsia="Arial" w:hAnsi="Arial"/>
            <w:sz w:val="22"/>
            <w:szCs w:val="22"/>
            <w:u w:val="single" w:color="auto"/>
            <w:color w:val="0000FF"/>
          </w:rPr>
          <w:t xml:space="preserve">Section 13.9 </w:t>
        </w:r>
      </w:hyperlink>
      <w:r>
        <w:rPr>
          <w:rFonts w:ascii="Arial" w:cs="Arial" w:eastAsia="Arial" w:hAnsi="Arial"/>
          <w:sz w:val="22"/>
          <w:szCs w:val="22"/>
          <w:color w:val="0000FF"/>
        </w:rPr>
        <w:t xml:space="preserve">Further </w:t>
      </w:r>
      <w:r>
        <w:rPr>
          <w:rFonts w:ascii="Arial" w:cs="Arial" w:eastAsia="Arial" w:hAnsi="Arial"/>
          <w:sz w:val="22"/>
          <w:szCs w:val="22"/>
          <w:u w:val="single" w:color="auto"/>
          <w:color w:val="0000FF"/>
        </w:rPr>
        <w:t>Assurances.</w:t>
      </w:r>
      <w:r>
        <w:rPr>
          <w:rFonts w:ascii="Arial" w:cs="Arial" w:eastAsia="Arial" w:hAnsi="Arial"/>
          <w:sz w:val="22"/>
          <w:szCs w:val="22"/>
          <w:color w:val="0000FF"/>
        </w:rPr>
        <w:tab/>
      </w:r>
      <w:r>
        <w:rPr>
          <w:rFonts w:ascii="Arial" w:cs="Arial" w:eastAsia="Arial" w:hAnsi="Arial"/>
          <w:sz w:val="17"/>
          <w:szCs w:val="17"/>
          <w:color w:val="0000FF"/>
        </w:rPr>
        <w:t>78</w:t>
      </w:r>
    </w:p>
    <w:p>
      <w:pPr>
        <w:spacing w:after="0" w:line="112" w:lineRule="exact"/>
        <w:rPr>
          <w:sz w:val="20"/>
          <w:szCs w:val="20"/>
          <w:color w:val="auto"/>
        </w:rPr>
      </w:pPr>
    </w:p>
    <w:p>
      <w:pPr>
        <w:spacing w:after="0"/>
        <w:tabs>
          <w:tab w:leader="none" w:pos="2460" w:val="left"/>
        </w:tabs>
        <w:rPr>
          <w:rFonts w:ascii="Arial" w:cs="Arial" w:eastAsia="Arial" w:hAnsi="Arial"/>
          <w:sz w:val="22"/>
          <w:szCs w:val="22"/>
          <w:color w:val="0000FF"/>
        </w:rPr>
      </w:pPr>
      <w:hyperlink w:anchor="page276">
        <w:r>
          <w:rPr>
            <w:rFonts w:ascii="Arial" w:cs="Arial" w:eastAsia="Arial" w:hAnsi="Arial"/>
            <w:sz w:val="22"/>
            <w:szCs w:val="22"/>
            <w:u w:val="single" w:color="auto"/>
            <w:color w:val="0000FF"/>
          </w:rPr>
          <w:t xml:space="preserve">Section 13.10 </w:t>
        </w:r>
      </w:hyperlink>
      <w:r>
        <w:rPr>
          <w:rFonts w:ascii="Arial" w:cs="Arial" w:eastAsia="Arial" w:hAnsi="Arial"/>
          <w:sz w:val="22"/>
          <w:szCs w:val="22"/>
          <w:color w:val="0000FF"/>
        </w:rPr>
        <w:t>Jurisdiction.</w:t>
        <w:tab/>
      </w:r>
      <w:r>
        <w:rPr>
          <w:rFonts w:ascii="Arial" w:cs="Arial" w:eastAsia="Arial" w:hAnsi="Arial"/>
          <w:sz w:val="19"/>
          <w:szCs w:val="19"/>
          <w:color w:val="0000FF"/>
        </w:rPr>
        <w:t>79</w:t>
      </w:r>
    </w:p>
    <w:p>
      <w:pPr>
        <w:spacing w:after="0" w:line="112" w:lineRule="exact"/>
        <w:rPr>
          <w:sz w:val="20"/>
          <w:szCs w:val="20"/>
          <w:color w:val="auto"/>
        </w:rPr>
      </w:pPr>
    </w:p>
    <w:p>
      <w:pPr>
        <w:spacing w:after="0"/>
        <w:tabs>
          <w:tab w:leader="none" w:pos="3420" w:val="left"/>
        </w:tabs>
        <w:rPr>
          <w:rFonts w:ascii="Arial" w:cs="Arial" w:eastAsia="Arial" w:hAnsi="Arial"/>
          <w:sz w:val="22"/>
          <w:szCs w:val="22"/>
          <w:color w:val="0000FF"/>
        </w:rPr>
      </w:pPr>
      <w:hyperlink w:anchor="page276">
        <w:r>
          <w:rPr>
            <w:rFonts w:ascii="Arial" w:cs="Arial" w:eastAsia="Arial" w:hAnsi="Arial"/>
            <w:sz w:val="22"/>
            <w:szCs w:val="22"/>
            <w:u w:val="single" w:color="auto"/>
            <w:color w:val="0000FF"/>
          </w:rPr>
          <w:t xml:space="preserve">Section 13.11 </w:t>
        </w:r>
      </w:hyperlink>
      <w:r>
        <w:rPr>
          <w:rFonts w:ascii="Arial" w:cs="Arial" w:eastAsia="Arial" w:hAnsi="Arial"/>
          <w:sz w:val="22"/>
          <w:szCs w:val="22"/>
          <w:color w:val="0000FF"/>
        </w:rPr>
        <w:t xml:space="preserve">Limitation </w:t>
      </w:r>
      <w:r>
        <w:rPr>
          <w:rFonts w:ascii="Arial" w:cs="Arial" w:eastAsia="Arial" w:hAnsi="Arial"/>
          <w:sz w:val="22"/>
          <w:szCs w:val="22"/>
          <w:u w:val="single" w:color="auto"/>
          <w:color w:val="0000FF"/>
        </w:rPr>
        <w:t>on Liability.</w:t>
      </w:r>
      <w:r>
        <w:rPr>
          <w:rFonts w:ascii="Arial" w:cs="Arial" w:eastAsia="Arial" w:hAnsi="Arial"/>
          <w:sz w:val="22"/>
          <w:szCs w:val="22"/>
          <w:color w:val="0000FF"/>
        </w:rPr>
        <w:tab/>
      </w:r>
      <w:r>
        <w:rPr>
          <w:rFonts w:ascii="Arial" w:cs="Arial" w:eastAsia="Arial" w:hAnsi="Arial"/>
          <w:sz w:val="19"/>
          <w:szCs w:val="19"/>
          <w:color w:val="0000FF"/>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879"/>
          </w:cols>
          <w:pgMar w:left="580" w:top="604" w:right="1440"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u w:val="single" w:color="auto"/>
          <w:color w:val="auto"/>
        </w:rPr>
        <w:t>ANNEXES, SCHEDULES AND EXHIBITS</w:t>
      </w:r>
      <w:r>
        <w:rPr>
          <w:rFonts w:ascii="Arial" w:cs="Arial" w:eastAsia="Arial" w:hAnsi="Arial"/>
          <w:sz w:val="22"/>
          <w:szCs w:val="22"/>
          <w:color w:val="auto"/>
        </w:rPr>
        <w:t>:</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Annex I</w:t>
      </w:r>
      <w:r>
        <w:rPr>
          <w:sz w:val="20"/>
          <w:szCs w:val="20"/>
          <w:color w:val="auto"/>
        </w:rPr>
        <w:tab/>
      </w:r>
      <w:r>
        <w:rPr>
          <w:rFonts w:ascii="Arial" w:cs="Arial" w:eastAsia="Arial" w:hAnsi="Arial"/>
          <w:sz w:val="19"/>
          <w:szCs w:val="19"/>
          <w:color w:val="auto"/>
        </w:rPr>
        <w:t>Members</w:t>
      </w:r>
    </w:p>
    <w:p>
      <w:pPr>
        <w:spacing w:after="0" w:line="2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Annex II</w:t>
      </w:r>
      <w:r>
        <w:rPr>
          <w:sz w:val="20"/>
          <w:szCs w:val="20"/>
          <w:color w:val="auto"/>
        </w:rPr>
        <w:tab/>
      </w:r>
      <w:r>
        <w:rPr>
          <w:rFonts w:ascii="Arial" w:cs="Arial" w:eastAsia="Arial" w:hAnsi="Arial"/>
          <w:sz w:val="19"/>
          <w:szCs w:val="19"/>
          <w:color w:val="auto"/>
        </w:rPr>
        <w:t>Underwriting Assumptions</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Fund Addendum</w:t>
      </w:r>
    </w:p>
    <w:p>
      <w:pPr>
        <w:spacing w:after="0" w:line="2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Membership Interest Certificate</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Assignment Agreement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Initial Operating Budget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Cumulative Base Case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219"/>
          </w:cols>
          <w:pgMar w:left="240" w:top="604"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NRG DGPV HOLDCO 3 LLC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2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THIS AMENDED AND RESTATED LIMITED LIABILITY COMPANY AGREEMENT</w:t>
      </w:r>
      <w:r>
        <w:rPr>
          <w:rFonts w:ascii="Arial" w:cs="Arial" w:eastAsia="Arial" w:hAnsi="Arial"/>
          <w:sz w:val="21"/>
          <w:szCs w:val="21"/>
          <w:color w:val="auto"/>
        </w:rPr>
        <w:t>, dated as of</w:t>
      </w:r>
      <w:r>
        <w:rPr>
          <w:rFonts w:ascii="Arial" w:cs="Arial" w:eastAsia="Arial" w:hAnsi="Arial"/>
          <w:sz w:val="21"/>
          <w:szCs w:val="21"/>
          <w:b w:val="1"/>
          <w:bCs w:val="1"/>
          <w:color w:val="auto"/>
        </w:rPr>
        <w:t xml:space="preserve"> </w:t>
      </w:r>
      <w:r>
        <w:rPr>
          <w:rFonts w:ascii="Arial" w:cs="Arial" w:eastAsia="Arial" w:hAnsi="Arial"/>
          <w:sz w:val="21"/>
          <w:szCs w:val="21"/>
          <w:color w:val="auto"/>
        </w:rPr>
        <w:t>September 26</w:t>
      </w:r>
      <w:r>
        <w:rPr>
          <w:rFonts w:ascii="Arial" w:cs="Arial" w:eastAsia="Arial" w:hAnsi="Arial"/>
          <w:sz w:val="18"/>
          <w:szCs w:val="18"/>
          <w:color w:val="auto"/>
        </w:rPr>
        <w:t>, 2017</w:t>
      </w:r>
      <w:r>
        <w:rPr>
          <w:rFonts w:ascii="Arial" w:cs="Arial" w:eastAsia="Arial" w:hAnsi="Arial"/>
          <w:sz w:val="21"/>
          <w:szCs w:val="21"/>
          <w:color w:val="auto"/>
        </w:rPr>
        <w:t xml:space="preserve">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is made and entered into by and among </w:t>
      </w:r>
      <w:r>
        <w:rPr>
          <w:rFonts w:ascii="Arial" w:cs="Arial" w:eastAsia="Arial" w:hAnsi="Arial"/>
          <w:sz w:val="21"/>
          <w:szCs w:val="21"/>
          <w:b w:val="1"/>
          <w:bCs w:val="1"/>
          <w:color w:val="auto"/>
        </w:rPr>
        <w:t>NRG YIELD DGPV HOLDING LLC</w:t>
      </w:r>
      <w:r>
        <w:rPr>
          <w:rFonts w:ascii="Arial" w:cs="Arial" w:eastAsia="Arial" w:hAnsi="Arial"/>
          <w:sz w:val="21"/>
          <w:szCs w:val="21"/>
          <w:color w:val="auto"/>
        </w:rPr>
        <w:t>, a Delaware limited liability company (the “</w:t>
      </w:r>
      <w:r>
        <w:rPr>
          <w:rFonts w:ascii="Arial" w:cs="Arial" w:eastAsia="Arial" w:hAnsi="Arial"/>
          <w:sz w:val="21"/>
          <w:szCs w:val="21"/>
          <w:b w:val="1"/>
          <w:bCs w:val="1"/>
          <w:color w:val="auto"/>
        </w:rPr>
        <w:t>Initial Class A Member</w:t>
      </w:r>
      <w:r>
        <w:rPr>
          <w:rFonts w:ascii="Arial" w:cs="Arial" w:eastAsia="Arial" w:hAnsi="Arial"/>
          <w:sz w:val="21"/>
          <w:szCs w:val="21"/>
          <w:color w:val="auto"/>
        </w:rPr>
        <w:t xml:space="preserve">”), as a Class A Member, </w:t>
      </w:r>
      <w:r>
        <w:rPr>
          <w:rFonts w:ascii="Arial" w:cs="Arial" w:eastAsia="Arial" w:hAnsi="Arial"/>
          <w:sz w:val="21"/>
          <w:szCs w:val="21"/>
          <w:b w:val="1"/>
          <w:bCs w:val="1"/>
          <w:color w:val="auto"/>
        </w:rPr>
        <w:t>NRG RENEW DG HOLDINGS</w:t>
      </w:r>
      <w:r>
        <w:rPr>
          <w:rFonts w:ascii="Arial" w:cs="Arial" w:eastAsia="Arial" w:hAnsi="Arial"/>
          <w:sz w:val="21"/>
          <w:szCs w:val="21"/>
          <w:color w:val="auto"/>
        </w:rPr>
        <w:t xml:space="preserve"> </w:t>
      </w:r>
      <w:r>
        <w:rPr>
          <w:rFonts w:ascii="Arial" w:cs="Arial" w:eastAsia="Arial" w:hAnsi="Arial"/>
          <w:sz w:val="21"/>
          <w:szCs w:val="21"/>
          <w:b w:val="1"/>
          <w:bCs w:val="1"/>
          <w:color w:val="auto"/>
        </w:rPr>
        <w:t>LLC</w:t>
      </w:r>
      <w:r>
        <w:rPr>
          <w:rFonts w:ascii="Arial" w:cs="Arial" w:eastAsia="Arial" w:hAnsi="Arial"/>
          <w:sz w:val="21"/>
          <w:szCs w:val="21"/>
          <w:color w:val="auto"/>
        </w:rPr>
        <w:t>, a Delaware limited liability company (the “</w:t>
      </w:r>
      <w:r>
        <w:rPr>
          <w:rFonts w:ascii="Arial" w:cs="Arial" w:eastAsia="Arial" w:hAnsi="Arial"/>
          <w:sz w:val="21"/>
          <w:szCs w:val="21"/>
          <w:b w:val="1"/>
          <w:bCs w:val="1"/>
          <w:color w:val="auto"/>
        </w:rPr>
        <w:t>Initial Class B Member</w:t>
      </w:r>
      <w:r>
        <w:rPr>
          <w:rFonts w:ascii="Arial" w:cs="Arial" w:eastAsia="Arial" w:hAnsi="Arial"/>
          <w:sz w:val="21"/>
          <w:szCs w:val="21"/>
          <w:color w:val="auto"/>
        </w:rPr>
        <w:t>”), as a Class B Member, and NRG Renew LLC,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limited liability company (the “</w:t>
      </w:r>
      <w:r>
        <w:rPr>
          <w:rFonts w:ascii="Arial" w:cs="Arial" w:eastAsia="Arial" w:hAnsi="Arial"/>
          <w:sz w:val="21"/>
          <w:szCs w:val="21"/>
          <w:b w:val="1"/>
          <w:bCs w:val="1"/>
          <w:color w:val="auto"/>
        </w:rPr>
        <w:t>Sponsor</w:t>
      </w:r>
      <w:r>
        <w:rPr>
          <w:rFonts w:ascii="Arial" w:cs="Arial" w:eastAsia="Arial" w:hAnsi="Arial"/>
          <w:sz w:val="21"/>
          <w:szCs w:val="21"/>
          <w:color w:val="auto"/>
        </w:rPr>
        <w:t xml:space="preserve">”), solely for the purpose of acknowledging the indemnity obligations contained in </w:t>
      </w:r>
      <w:r>
        <w:rPr>
          <w:rFonts w:ascii="Arial" w:cs="Arial" w:eastAsia="Arial" w:hAnsi="Arial"/>
          <w:sz w:val="21"/>
          <w:szCs w:val="21"/>
          <w:u w:val="single" w:color="auto"/>
          <w:color w:val="auto"/>
        </w:rPr>
        <w:t>Article XI</w:t>
      </w:r>
      <w:r>
        <w:rPr>
          <w:rFonts w:ascii="Arial" w:cs="Arial" w:eastAsia="Arial" w:hAnsi="Arial"/>
          <w:sz w:val="21"/>
          <w:szCs w:val="21"/>
          <w:color w:val="auto"/>
        </w:rPr>
        <w:t>. This Agreement supersedes all prior and contemporaneous agreements, statements, understandings and representations regarding the terms and operations of the Company, including without limitation that certain Limited Liability Company Agreement of the Company dated April 26, 2017 (the “</w:t>
      </w:r>
      <w:r>
        <w:rPr>
          <w:rFonts w:ascii="Arial" w:cs="Arial" w:eastAsia="Arial" w:hAnsi="Arial"/>
          <w:sz w:val="21"/>
          <w:szCs w:val="21"/>
          <w:b w:val="1"/>
          <w:bCs w:val="1"/>
          <w:color w:val="auto"/>
        </w:rPr>
        <w:t>Original Agreement</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1305"/>
        <w:spacing w:after="0" w:line="249" w:lineRule="auto"/>
        <w:tabs>
          <w:tab w:leader="none" w:pos="179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NRG DGPV HOLDCO 3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was formed by the Initial Class B Member pursuant to the Act on April 26, 2017, by virtue of its Certificate of Formation (the “</w:t>
      </w:r>
      <w:r>
        <w:rPr>
          <w:rFonts w:ascii="Arial" w:cs="Arial" w:eastAsia="Arial" w:hAnsi="Arial"/>
          <w:sz w:val="22"/>
          <w:szCs w:val="22"/>
          <w:b w:val="1"/>
          <w:bCs w:val="1"/>
          <w:color w:val="auto"/>
        </w:rPr>
        <w:t>Delaware</w:t>
      </w:r>
      <w:r>
        <w:rPr>
          <w:rFonts w:ascii="Arial" w:cs="Arial" w:eastAsia="Arial" w:hAnsi="Arial"/>
          <w:sz w:val="22"/>
          <w:szCs w:val="22"/>
          <w:color w:val="auto"/>
        </w:rPr>
        <w:t xml:space="preserve"> </w:t>
      </w:r>
      <w:r>
        <w:rPr>
          <w:rFonts w:ascii="Arial" w:cs="Arial" w:eastAsia="Arial" w:hAnsi="Arial"/>
          <w:sz w:val="22"/>
          <w:szCs w:val="22"/>
          <w:b w:val="1"/>
          <w:bCs w:val="1"/>
          <w:color w:val="auto"/>
        </w:rPr>
        <w:t>Certificate</w:t>
      </w:r>
      <w:r>
        <w:rPr>
          <w:rFonts w:ascii="Arial" w:cs="Arial" w:eastAsia="Arial" w:hAnsi="Arial"/>
          <w:sz w:val="22"/>
          <w:szCs w:val="22"/>
          <w:color w:val="auto"/>
        </w:rPr>
        <w:t>”) filed with the Secretary of State of the State of Delaware. Prior to the Execution Date, the Initial Class B Member</w:t>
      </w:r>
      <w:r>
        <w:rPr>
          <w:rFonts w:ascii="Arial" w:cs="Arial" w:eastAsia="Arial" w:hAnsi="Arial"/>
          <w:sz w:val="22"/>
          <w:szCs w:val="22"/>
          <w:b w:val="1"/>
          <w:bCs w:val="1"/>
          <w:color w:val="auto"/>
        </w:rPr>
        <w:t xml:space="preserve"> </w:t>
      </w:r>
      <w:r>
        <w:rPr>
          <w:rFonts w:ascii="Arial" w:cs="Arial" w:eastAsia="Arial" w:hAnsi="Arial"/>
          <w:sz w:val="22"/>
          <w:szCs w:val="22"/>
          <w:color w:val="auto"/>
        </w:rPr>
        <w:t>owned 100% of the membership interests in the Company. The Company now desires to admit the Initial Class A Member as a member of the Company.</w:t>
      </w:r>
    </w:p>
    <w:p>
      <w:pPr>
        <w:spacing w:after="0" w:line="186" w:lineRule="exact"/>
        <w:rPr>
          <w:rFonts w:ascii="Arial" w:cs="Arial" w:eastAsia="Arial" w:hAnsi="Arial"/>
          <w:sz w:val="22"/>
          <w:szCs w:val="22"/>
          <w:color w:val="auto"/>
        </w:rPr>
      </w:pPr>
    </w:p>
    <w:p>
      <w:pPr>
        <w:jc w:val="both"/>
        <w:ind w:firstLine="1305"/>
        <w:spacing w:after="0" w:line="256" w:lineRule="auto"/>
        <w:tabs>
          <w:tab w:leader="none" w:pos="173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Company intends to own interests in subsidiary companies (each a “</w:t>
      </w:r>
      <w:r>
        <w:rPr>
          <w:rFonts w:ascii="Arial" w:cs="Arial" w:eastAsia="Arial" w:hAnsi="Arial"/>
          <w:sz w:val="22"/>
          <w:szCs w:val="22"/>
          <w:b w:val="1"/>
          <w:bCs w:val="1"/>
          <w:color w:val="auto"/>
        </w:rPr>
        <w:t>Fund Company</w:t>
      </w:r>
      <w:r>
        <w:rPr>
          <w:rFonts w:ascii="Arial" w:cs="Arial" w:eastAsia="Arial" w:hAnsi="Arial"/>
          <w:sz w:val="22"/>
          <w:szCs w:val="22"/>
          <w:color w:val="auto"/>
        </w:rPr>
        <w:t>” and collectively the “</w:t>
      </w:r>
      <w:r>
        <w:rPr>
          <w:rFonts w:ascii="Arial" w:cs="Arial" w:eastAsia="Arial" w:hAnsi="Arial"/>
          <w:sz w:val="22"/>
          <w:szCs w:val="22"/>
          <w:b w:val="1"/>
          <w:bCs w:val="1"/>
          <w:color w:val="auto"/>
        </w:rPr>
        <w:t>Fund Companies</w:t>
      </w:r>
      <w:r>
        <w:rPr>
          <w:rFonts w:ascii="Arial" w:cs="Arial" w:eastAsia="Arial" w:hAnsi="Arial"/>
          <w:sz w:val="22"/>
          <w:szCs w:val="22"/>
          <w:color w:val="auto"/>
        </w:rPr>
        <w:t>”) that either own or will purchase solar power generation projects and other ancillary related assets (each a “</w:t>
      </w:r>
      <w:r>
        <w:rPr>
          <w:rFonts w:ascii="Arial" w:cs="Arial" w:eastAsia="Arial" w:hAnsi="Arial"/>
          <w:sz w:val="22"/>
          <w:szCs w:val="22"/>
          <w:b w:val="1"/>
          <w:bCs w:val="1"/>
          <w:color w:val="auto"/>
        </w:rPr>
        <w:t>Project</w:t>
      </w:r>
      <w:r>
        <w:rPr>
          <w:rFonts w:ascii="Arial" w:cs="Arial" w:eastAsia="Arial" w:hAnsi="Arial"/>
          <w:sz w:val="22"/>
          <w:szCs w:val="22"/>
          <w:color w:val="auto"/>
        </w:rPr>
        <w:t>” and collectively, the “</w:t>
      </w:r>
      <w:r>
        <w:rPr>
          <w:rFonts w:ascii="Arial" w:cs="Arial" w:eastAsia="Arial" w:hAnsi="Arial"/>
          <w:sz w:val="22"/>
          <w:szCs w:val="22"/>
          <w:b w:val="1"/>
          <w:bCs w:val="1"/>
          <w:color w:val="auto"/>
        </w:rPr>
        <w:t>Projects</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jc w:val="both"/>
        <w:ind w:firstLine="1305"/>
        <w:spacing w:after="0" w:line="302" w:lineRule="auto"/>
        <w:tabs>
          <w:tab w:leader="none" w:pos="178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will hold its interest in the Fund Companies through one or more intermediate wholly-owned companies (each an “</w:t>
      </w:r>
      <w:r>
        <w:rPr>
          <w:rFonts w:ascii="Arial" w:cs="Arial" w:eastAsia="Arial" w:hAnsi="Arial"/>
          <w:sz w:val="19"/>
          <w:szCs w:val="19"/>
          <w:b w:val="1"/>
          <w:bCs w:val="1"/>
          <w:color w:val="auto"/>
        </w:rPr>
        <w:t>Intermediate Company</w:t>
      </w:r>
      <w:r>
        <w:rPr>
          <w:rFonts w:ascii="Arial" w:cs="Arial" w:eastAsia="Arial" w:hAnsi="Arial"/>
          <w:sz w:val="19"/>
          <w:szCs w:val="19"/>
          <w:color w:val="auto"/>
        </w:rPr>
        <w:t>” and collectively the “</w:t>
      </w:r>
      <w:r>
        <w:rPr>
          <w:rFonts w:ascii="Arial" w:cs="Arial" w:eastAsia="Arial" w:hAnsi="Arial"/>
          <w:sz w:val="19"/>
          <w:szCs w:val="19"/>
          <w:b w:val="1"/>
          <w:bCs w:val="1"/>
          <w:color w:val="auto"/>
        </w:rPr>
        <w:t>Intermediate Companies</w:t>
      </w:r>
      <w:r>
        <w:rPr>
          <w:rFonts w:ascii="Arial" w:cs="Arial" w:eastAsia="Arial" w:hAnsi="Arial"/>
          <w:sz w:val="19"/>
          <w:szCs w:val="19"/>
          <w:color w:val="auto"/>
        </w:rPr>
        <w:t>”). An Intermediate Company may be the sole owner of a Fund Company or it may be the managing member of such Fund Company if such Fund Company is jointly owned with one or more investors (each, a “</w:t>
      </w:r>
      <w:r>
        <w:rPr>
          <w:rFonts w:ascii="Arial" w:cs="Arial" w:eastAsia="Arial" w:hAnsi="Arial"/>
          <w:sz w:val="19"/>
          <w:szCs w:val="19"/>
          <w:b w:val="1"/>
          <w:bCs w:val="1"/>
          <w:color w:val="auto"/>
        </w:rPr>
        <w:t>Fund Investor</w:t>
      </w:r>
      <w:r>
        <w:rPr>
          <w:rFonts w:ascii="Arial" w:cs="Arial" w:eastAsia="Arial" w:hAnsi="Arial"/>
          <w:sz w:val="19"/>
          <w:szCs w:val="19"/>
          <w:color w:val="auto"/>
        </w:rPr>
        <w:t>” and collectively, the “</w:t>
      </w:r>
      <w:r>
        <w:rPr>
          <w:rFonts w:ascii="Arial" w:cs="Arial" w:eastAsia="Arial" w:hAnsi="Arial"/>
          <w:sz w:val="19"/>
          <w:szCs w:val="19"/>
          <w:b w:val="1"/>
          <w:bCs w:val="1"/>
          <w:color w:val="auto"/>
        </w:rPr>
        <w:t>Fund Investors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305"/>
        <w:spacing w:after="0" w:line="250" w:lineRule="auto"/>
        <w:tabs>
          <w:tab w:leader="none" w:pos="187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the approval of the Members for acquisition by the Company of a Fund Company, the Members will each make capital contributions to the Company to fund the Company’s purchase of such Fund Company, if such Fund Company is a going concern, and to fund the ongoing obligations of each Intermediate Company with respect to its Fund Company subsidiaries in accordance with the Company’s Approved Budget.</w:t>
      </w:r>
    </w:p>
    <w:p>
      <w:pPr>
        <w:spacing w:after="0" w:line="188" w:lineRule="exact"/>
        <w:rPr>
          <w:rFonts w:ascii="Arial" w:cs="Arial" w:eastAsia="Arial" w:hAnsi="Arial"/>
          <w:sz w:val="22"/>
          <w:szCs w:val="22"/>
          <w:color w:val="auto"/>
        </w:rPr>
      </w:pPr>
    </w:p>
    <w:p>
      <w:pPr>
        <w:ind w:left="1800" w:hanging="495"/>
        <w:spacing w:after="0"/>
        <w:tabs>
          <w:tab w:leader="none" w:pos="18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adopted the Original Agreement on April 26, 2017 and now wishes to replace such Original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ectPr>
          <w:pgSz w:w="11900" w:h="16838" w:orient="portrait"/>
          <w:cols w:equalWidth="0" w:num="1">
            <w:col w:w="11420"/>
          </w:cols>
          <w:pgMar w:left="240" w:top="855" w:right="239" w:bottom="1440" w:gutter="0" w:footer="0" w:header="0"/>
        </w:sectPr>
      </w:pPr>
    </w:p>
    <w:bookmarkStart w:id="221" w:name="page222"/>
    <w:bookmarkEnd w:id="221"/>
    <w:p>
      <w:pPr>
        <w:ind w:left="1720" w:hanging="415"/>
        <w:spacing w:after="0"/>
        <w:tabs>
          <w:tab w:leader="none" w:pos="172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Members desire to enter into this Agreement to describe their respective right and obligations as members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NOW, THEREFORE, in consideration of the premises and the mutual undertakings contained herein, the parties hereto hereby agree, as follows: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222" w:name="page223"/>
    <w:bookmarkEnd w:id="222"/>
    <w:p>
      <w:pPr>
        <w:ind w:left="52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Certain Definitions.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following initially capitalized terms, as and when used in this Agreement, shall have meanings set forth below:</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“Accepted Acquisition”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“Act” </w:t>
      </w:r>
      <w:r>
        <w:rPr>
          <w:rFonts w:ascii="Arial" w:cs="Arial" w:eastAsia="Arial" w:hAnsi="Arial"/>
          <w:sz w:val="22"/>
          <w:szCs w:val="22"/>
          <w:color w:val="auto"/>
        </w:rPr>
        <w:t>means the Delaware Limited Liability Company Act, 6 Del. Code §§ 18-101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 any successor to such statutes.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“Additional Project Document” </w:t>
      </w:r>
      <w:r>
        <w:rPr>
          <w:rFonts w:ascii="Arial" w:cs="Arial" w:eastAsia="Arial" w:hAnsi="Arial"/>
          <w:sz w:val="22"/>
          <w:szCs w:val="22"/>
          <w:color w:val="auto"/>
        </w:rPr>
        <w:t>means, collectively, any Contract (or series of related Contracts) entered into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any Subject Company subsequent to the Effective Date.</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“Adjusted Capital Account Deficit” </w:t>
      </w:r>
      <w:r>
        <w:rPr>
          <w:rFonts w:ascii="Arial" w:cs="Arial" w:eastAsia="Arial" w:hAnsi="Arial"/>
          <w:sz w:val="22"/>
          <w:szCs w:val="22"/>
          <w:color w:val="auto"/>
        </w:rPr>
        <w:t>means, with respect to any Member, the deficit balance, if any, in the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established and maintained for such Member, as the same is specially computed as of the end of the Taxable Year after giving effect to the following adjustments:</w:t>
      </w:r>
    </w:p>
    <w:p>
      <w:pPr>
        <w:spacing w:after="0" w:line="182" w:lineRule="exact"/>
        <w:rPr>
          <w:sz w:val="20"/>
          <w:szCs w:val="20"/>
          <w:color w:val="auto"/>
        </w:rPr>
      </w:pPr>
    </w:p>
    <w:p>
      <w:pPr>
        <w:jc w:val="both"/>
        <w:ind w:left="660" w:firstLine="1293"/>
        <w:spacing w:after="0" w:line="261" w:lineRule="exact"/>
        <w:tabs>
          <w:tab w:leader="none" w:pos="260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Credit to such Member’s Capital Account any amounts (including unpaid Capital Contributions expected to be paid by the end of the relevant tax year) which such Member is obligated to contribute to the Company or to restore pursuant to </w:t>
      </w:r>
      <w:r>
        <w:rPr>
          <w:rFonts w:ascii="Arial" w:cs="Arial" w:eastAsia="Arial" w:hAnsi="Arial"/>
          <w:sz w:val="21"/>
          <w:szCs w:val="21"/>
          <w:u w:val="single" w:color="auto"/>
          <w:color w:val="auto"/>
        </w:rPr>
        <w:t>Section 12.3</w:t>
      </w:r>
      <w:r>
        <w:rPr>
          <w:rFonts w:ascii="Arial" w:cs="Arial" w:eastAsia="Arial" w:hAnsi="Arial"/>
          <w:sz w:val="21"/>
          <w:szCs w:val="21"/>
          <w:color w:val="auto"/>
        </w:rPr>
        <w:t xml:space="preserve"> of this Agreement or is deemed obligated to restore pursuant to the penultimate sentences in Treasury Regulations Sections 1.704</w:t>
      </w:r>
      <w:r>
        <w:rPr>
          <w:rFonts w:ascii="MS PGothic" w:cs="MS PGothic" w:eastAsia="MS PGothic" w:hAnsi="MS PGothic"/>
          <w:sz w:val="21"/>
          <w:szCs w:val="21"/>
          <w:color w:val="auto"/>
        </w:rPr>
        <w:t>‑</w:t>
      </w:r>
      <w:r>
        <w:rPr>
          <w:rFonts w:ascii="Arial" w:cs="Arial" w:eastAsia="Arial" w:hAnsi="Arial"/>
          <w:sz w:val="21"/>
          <w:szCs w:val="21"/>
          <w:color w:val="auto"/>
        </w:rPr>
        <w:t>2(g)(1) and 1.704</w:t>
      </w:r>
      <w:r>
        <w:rPr>
          <w:rFonts w:ascii="MS PGothic" w:cs="MS PGothic" w:eastAsia="MS PGothic" w:hAnsi="MS PGothic"/>
          <w:sz w:val="21"/>
          <w:szCs w:val="21"/>
          <w:color w:val="auto"/>
        </w:rPr>
        <w:t>‑</w:t>
      </w:r>
      <w:r>
        <w:rPr>
          <w:rFonts w:ascii="Arial" w:cs="Arial" w:eastAsia="Arial" w:hAnsi="Arial"/>
          <w:sz w:val="21"/>
          <w:szCs w:val="21"/>
          <w:color w:val="auto"/>
        </w:rPr>
        <w:t>2(i)(5), and</w:t>
      </w:r>
    </w:p>
    <w:p>
      <w:pPr>
        <w:spacing w:after="0" w:line="200" w:lineRule="exact"/>
        <w:rPr>
          <w:rFonts w:ascii="Arial" w:cs="Arial" w:eastAsia="Arial" w:hAnsi="Arial"/>
          <w:sz w:val="21"/>
          <w:szCs w:val="21"/>
          <w:color w:val="auto"/>
        </w:rPr>
      </w:pPr>
    </w:p>
    <w:p>
      <w:pPr>
        <w:ind w:left="660" w:right="20" w:firstLine="1293"/>
        <w:spacing w:after="0" w:line="265" w:lineRule="exact"/>
        <w:tabs>
          <w:tab w:leader="none" w:pos="283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Debit to such Member’s Capital Account any items described in 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1(b)(2)(ii)(d)(4), (5) and (6).</w:t>
      </w:r>
    </w:p>
    <w:p>
      <w:pPr>
        <w:spacing w:after="0" w:line="200" w:lineRule="exact"/>
        <w:rPr>
          <w:sz w:val="20"/>
          <w:szCs w:val="20"/>
          <w:color w:val="auto"/>
        </w:rPr>
      </w:pPr>
    </w:p>
    <w:p>
      <w:pPr>
        <w:jc w:val="both"/>
        <w:ind w:right="20"/>
        <w:spacing w:after="0" w:line="265" w:lineRule="exact"/>
        <w:rPr>
          <w:sz w:val="20"/>
          <w:szCs w:val="20"/>
          <w:color w:val="auto"/>
        </w:rPr>
      </w:pPr>
      <w:r>
        <w:rPr>
          <w:rFonts w:ascii="Arial" w:cs="Arial" w:eastAsia="Arial" w:hAnsi="Arial"/>
          <w:sz w:val="22"/>
          <w:szCs w:val="22"/>
          <w:color w:val="auto"/>
        </w:rPr>
        <w:t>The foregoing definition of Adjusted Capital Account Deficit is intended to comply with the provisions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1(b)(2)(ii)(d) and shall be interpreted consistently with the Treasury Regulations.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“Adjusted Deficit Capital Account Balance”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“Advisors”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with respect to any designated Person, any other Person that directly, or indirectly through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intermediaries, 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8" w:right="239" w:bottom="1440" w:gutter="0" w:footer="0" w:header="0"/>
        </w:sectPr>
      </w:pPr>
    </w:p>
    <w:bookmarkStart w:id="223" w:name="page224"/>
    <w:bookmarkEnd w:id="223"/>
    <w:p>
      <w:pPr>
        <w:jc w:val="both"/>
        <w:spacing w:after="0" w:line="263" w:lineRule="auto"/>
        <w:rPr>
          <w:sz w:val="20"/>
          <w:szCs w:val="20"/>
          <w:color w:val="auto"/>
        </w:rPr>
      </w:pPr>
      <w:r>
        <w:rPr>
          <w:rFonts w:ascii="Arial" w:cs="Arial" w:eastAsia="Arial" w:hAnsi="Arial"/>
          <w:sz w:val="22"/>
          <w:szCs w:val="22"/>
          <w:color w:val="auto"/>
        </w:rPr>
        <w:t>herein, the Initial Class A Member and the Initial Class B Member shall not be considered Affiliates for purposes of this Agreement.</w:t>
      </w:r>
    </w:p>
    <w:p>
      <w:pPr>
        <w:spacing w:after="0" w:line="169"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21"/>
          <w:szCs w:val="21"/>
          <w:b w:val="1"/>
          <w:bCs w:val="1"/>
          <w:color w:val="auto"/>
        </w:rPr>
        <w:t>“After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Tax Basis” </w:t>
      </w:r>
      <w:r>
        <w:rPr>
          <w:rFonts w:ascii="Arial" w:cs="Arial" w:eastAsia="Arial" w:hAnsi="Arial"/>
          <w:sz w:val="21"/>
          <w:szCs w:val="21"/>
          <w:color w:val="auto"/>
        </w:rPr>
        <w:t>means, with respect to any payment to be actually or constructively received by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such payment (the “base payment”) supplemented by a further payment (the “additional payment”) to that Person so that the sum of the base payment plus the additional payment shall, after deduction of the amount of all federal income taxes required to be paid by such Person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at a discount rate equal to the applicable Target IRR by the recipient as a result of the payment or the event giving rise to the payment, using an assumed rate equal to the Highest Marginal Rate, equals the amount required to be received.</w:t>
      </w:r>
    </w:p>
    <w:p>
      <w:pPr>
        <w:spacing w:after="0" w:line="200"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1"/>
          <w:szCs w:val="21"/>
          <w:b w:val="1"/>
          <w:bCs w:val="1"/>
          <w:color w:val="auto"/>
        </w:rPr>
        <w:t>“After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Tax IRR” </w:t>
      </w:r>
      <w:r>
        <w:rPr>
          <w:rFonts w:ascii="Arial" w:cs="Arial" w:eastAsia="Arial" w:hAnsi="Arial"/>
          <w:sz w:val="21"/>
          <w:szCs w:val="21"/>
          <w:color w:val="auto"/>
        </w:rPr>
        <w:t>means, with respect to the Holder of a Class A Unit and at the time of any determination,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effective discount rate (calculated and compounded on a daily basis using the Microsoft Excel XIRR function on all after</w:t>
      </w:r>
      <w:r>
        <w:rPr>
          <w:rFonts w:ascii="MS PGothic" w:cs="MS PGothic" w:eastAsia="MS PGothic" w:hAnsi="MS PGothic"/>
          <w:sz w:val="21"/>
          <w:szCs w:val="21"/>
          <w:color w:val="auto"/>
        </w:rPr>
        <w:t>‑</w:t>
      </w:r>
      <w:r>
        <w:rPr>
          <w:rFonts w:ascii="Arial" w:cs="Arial" w:eastAsia="Arial" w:hAnsi="Arial"/>
          <w:sz w:val="21"/>
          <w:szCs w:val="21"/>
          <w:color w:val="auto"/>
        </w:rPr>
        <w:t xml:space="preserve">tax cash flows) which sets A equal to B, where A is the sum of (a) the present value of all Cash Distributions in respect of such Class A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present value of all Tax Benefits in respect of such Class A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present value of all indemnity payments (net of any tax gross-up payments) received in respect of such Class A Unit, that compensate for loss of any item listed in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i w:val="1"/>
          <w:iCs w:val="1"/>
          <w:color w:val="auto"/>
        </w:rPr>
        <w:t>minus</w:t>
      </w:r>
      <w:r>
        <w:rPr>
          <w:rFonts w:ascii="Arial" w:cs="Arial" w:eastAsia="Arial" w:hAnsi="Arial"/>
          <w:sz w:val="21"/>
          <w:szCs w:val="21"/>
          <w:color w:val="auto"/>
        </w:rPr>
        <w:t xml:space="preserve"> (d) the present value of all Tax Costs in respect of such Class A Unit; and B is the present value of all Capital Contributions made in respect of Class A Units.</w:t>
      </w:r>
    </w:p>
    <w:p>
      <w:pPr>
        <w:spacing w:after="0" w:line="19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“Aggregate Tracking Model” </w:t>
      </w:r>
      <w:r>
        <w:rPr>
          <w:rFonts w:ascii="Arial" w:cs="Arial" w:eastAsia="Arial" w:hAnsi="Arial"/>
          <w:sz w:val="22"/>
          <w:szCs w:val="22"/>
          <w:color w:val="auto"/>
        </w:rPr>
        <w:t>means the base case model for the Company, to be prepared and approved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execution of the second Fund Addendum and updated (a) to reflect each Accepted Acquisition and Fund Addendum, (b) monthly during the Investment Period and (c) as otherwise required by this Agreement from time to time, in each case, to reflect actual results of the Company. The updated Aggregate Tracking Model shall be delivered by the Manager to the Members, each time it is updated as set forth above.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Amended and Restated Limited Liability Company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“Alternative Investment Grade 1”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“Alternative Investment Grade 2”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“AMA</w:t>
      </w:r>
      <w:r>
        <w:rPr>
          <w:rFonts w:ascii="Arial" w:cs="Arial" w:eastAsia="Arial" w:hAnsi="Arial"/>
          <w:sz w:val="22"/>
          <w:szCs w:val="22"/>
          <w:color w:val="auto"/>
        </w:rPr>
        <w:t>” means that certain Asset Management Agreement, dated July 31, 2017 between NRG Chestnut Fund, LLC</w:t>
      </w:r>
      <w:r>
        <w:rPr>
          <w:rFonts w:ascii="Arial" w:cs="Arial" w:eastAsia="Arial" w:hAnsi="Arial"/>
          <w:sz w:val="22"/>
          <w:szCs w:val="22"/>
          <w:b w:val="1"/>
          <w:bCs w:val="1"/>
          <w:color w:val="auto"/>
        </w:rPr>
        <w:t xml:space="preserve"> </w:t>
      </w:r>
      <w:r>
        <w:rPr>
          <w:rFonts w:ascii="Arial" w:cs="Arial" w:eastAsia="Arial" w:hAnsi="Arial"/>
          <w:sz w:val="22"/>
          <w:szCs w:val="22"/>
          <w:color w:val="auto"/>
        </w:rPr>
        <w:t>and NRG Solar Asset Management LLC as amended, modified, supplemented from time to time.</w:t>
      </w:r>
    </w:p>
    <w:p>
      <w:pPr>
        <w:spacing w:after="0" w:line="162"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Corruption Laws” </w:t>
      </w:r>
      <w:r>
        <w:rPr>
          <w:rFonts w:ascii="Arial" w:cs="Arial" w:eastAsia="Arial" w:hAnsi="Arial"/>
          <w:sz w:val="22"/>
          <w:szCs w:val="22"/>
          <w:color w:val="auto"/>
        </w:rPr>
        <w:t>means (a) anti-bribery or anti-corruption Laws, including the U.S. Foreign Corrupt</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Act of 1977, as amended, and the U.K. Bribery Act 2010,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5" w:right="239" w:bottom="1440" w:gutter="0" w:footer="0" w:header="0"/>
        </w:sectPr>
      </w:pPr>
    </w:p>
    <w:bookmarkStart w:id="224" w:name="page225"/>
    <w:bookmarkEnd w:id="224"/>
    <w:p>
      <w:pPr>
        <w:ind w:firstLine="8"/>
        <w:spacing w:after="0" w:line="263" w:lineRule="auto"/>
        <w:tabs>
          <w:tab w:leader="none" w:pos="3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Laws relating to financial record keeping and reporting, currency transfer and money laundering, including, as applicable, the US PATRIOT Act of 2001 and all “know your customer” rules and other applicable regulations.</w:t>
      </w:r>
    </w:p>
    <w:p>
      <w:pPr>
        <w:spacing w:after="0" w:line="16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“Approved Budget” </w:t>
      </w:r>
      <w:r>
        <w:rPr>
          <w:rFonts w:ascii="Arial" w:cs="Arial" w:eastAsia="Arial" w:hAnsi="Arial"/>
          <w:sz w:val="22"/>
          <w:szCs w:val="22"/>
          <w:color w:val="auto"/>
        </w:rPr>
        <w:t>means the annual operating budget prepared and approved (or deemed approved)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Members in accordance with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and updated upon each Accepted Acquisition.</w:t>
      </w:r>
    </w:p>
    <w:p>
      <w:pPr>
        <w:spacing w:after="0" w:line="16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“Assets” </w:t>
      </w:r>
      <w:r>
        <w:rPr>
          <w:rFonts w:ascii="Arial" w:cs="Arial" w:eastAsia="Arial" w:hAnsi="Arial"/>
          <w:sz w:val="22"/>
          <w:szCs w:val="22"/>
          <w:color w:val="auto"/>
        </w:rPr>
        <w:t>means all right, title and interest of a Person in land, properties, buildings, improvements, fixtures,</w:t>
      </w:r>
      <w:r>
        <w:rPr>
          <w:rFonts w:ascii="Arial" w:cs="Arial" w:eastAsia="Arial" w:hAnsi="Arial"/>
          <w:sz w:val="22"/>
          <w:szCs w:val="22"/>
          <w:b w:val="1"/>
          <w:bCs w:val="1"/>
          <w:color w:val="auto"/>
        </w:rPr>
        <w:t xml:space="preserve"> </w:t>
      </w:r>
      <w:r>
        <w:rPr>
          <w:rFonts w:ascii="Arial" w:cs="Arial" w:eastAsia="Arial" w:hAnsi="Arial"/>
          <w:sz w:val="22"/>
          <w:szCs w:val="22"/>
          <w:color w:val="auto"/>
        </w:rPr>
        <w:t>foundations, assets and rights of any 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8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“Available Cash Flow” </w:t>
      </w:r>
      <w:r>
        <w:rPr>
          <w:rFonts w:ascii="Arial" w:cs="Arial" w:eastAsia="Arial" w:hAnsi="Arial"/>
          <w:sz w:val="22"/>
          <w:szCs w:val="22"/>
          <w:color w:val="auto"/>
        </w:rPr>
        <w:t>means, with respect to any Distribution Date, Company Revenues less the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Expenses for such period. For the avoidance of doubt, Available Cash Flow will not include the Capital Contributions by the Members, which shall be applied by the Manager to fund Company obligations and expenses in accordance with this Agreement.</w:t>
      </w:r>
    </w:p>
    <w:p>
      <w:pPr>
        <w:spacing w:after="0" w:line="18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“Backleveraged Fund Company</w:t>
      </w:r>
      <w:r>
        <w:rPr>
          <w:rFonts w:ascii="Arial" w:cs="Arial" w:eastAsia="Arial" w:hAnsi="Arial"/>
          <w:sz w:val="21"/>
          <w:szCs w:val="21"/>
          <w:color w:val="auto"/>
        </w:rPr>
        <w:t>” means a Fund Company that has material Indebtedness, until such time as such</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is paid off in full and such Fund Company shall thereafter be an “Unleveraged Fund Company”. The Fund Addendum shall indicate whether such Fund Company will initially be a Backleveraged Fund Company.</w:t>
      </w:r>
    </w:p>
    <w:p>
      <w:pPr>
        <w:spacing w:after="0" w:line="15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b w:val="1"/>
          <w:bCs w:val="1"/>
          <w:color w:val="auto"/>
        </w:rPr>
        <w:t xml:space="preserve">“Bankrupt” </w:t>
      </w:r>
      <w:r>
        <w:rPr>
          <w:rFonts w:ascii="Arial" w:cs="Arial" w:eastAsia="Arial" w:hAnsi="Arial"/>
          <w:sz w:val="19"/>
          <w:szCs w:val="19"/>
          <w:color w:val="auto"/>
        </w:rPr>
        <w:t>means, with respect to any Person: (a) that such Person (i) files in any court pursuant to any statute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United States or of any 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04" w:right="239" w:bottom="1440" w:gutter="0" w:footer="0" w:header="0"/>
        </w:sectPr>
      </w:pPr>
    </w:p>
    <w:bookmarkStart w:id="225" w:name="page226"/>
    <w:bookmarkEnd w:id="225"/>
    <w:p>
      <w:pPr>
        <w:ind w:left="1300"/>
        <w:spacing w:after="0"/>
        <w:rPr>
          <w:sz w:val="20"/>
          <w:szCs w:val="20"/>
          <w:color w:val="auto"/>
        </w:rPr>
      </w:pPr>
      <w:r>
        <w:rPr>
          <w:rFonts w:ascii="Arial" w:cs="Arial" w:eastAsia="Arial" w:hAnsi="Arial"/>
          <w:sz w:val="22"/>
          <w:szCs w:val="22"/>
          <w:b w:val="1"/>
          <w:bCs w:val="1"/>
          <w:color w:val="auto"/>
        </w:rPr>
        <w:t xml:space="preserve">“Budget Act” </w:t>
      </w:r>
      <w:r>
        <w:rPr>
          <w:rFonts w:ascii="Arial" w:cs="Arial" w:eastAsia="Arial" w:hAnsi="Arial"/>
          <w:sz w:val="22"/>
          <w:szCs w:val="22"/>
          <w:color w:val="auto"/>
        </w:rPr>
        <w:t>means the Bipartisan Budget Act of 2015, P.L. 114-74.</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any day except Saturday, Sunday and any day that is a legal holiday in New York City or a</w:t>
      </w:r>
      <w:r>
        <w:rPr>
          <w:rFonts w:ascii="Arial" w:cs="Arial" w:eastAsia="Arial" w:hAnsi="Arial"/>
          <w:sz w:val="19"/>
          <w:szCs w:val="19"/>
          <w:b w:val="1"/>
          <w:bCs w:val="1"/>
          <w:color w:val="auto"/>
        </w:rPr>
        <w:t xml:space="preserve"> </w:t>
      </w:r>
      <w:r>
        <w:rPr>
          <w:rFonts w:ascii="Arial" w:cs="Arial" w:eastAsia="Arial" w:hAnsi="Arial"/>
          <w:sz w:val="19"/>
          <w:szCs w:val="19"/>
          <w:color w:val="auto"/>
        </w:rPr>
        <w:t>day on which banking institutions are authorized or required by Law or other government action to close in New York City.</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“CAFD Yield</w:t>
      </w:r>
      <w:r>
        <w:rPr>
          <w:rFonts w:ascii="Arial" w:cs="Arial" w:eastAsia="Arial" w:hAnsi="Arial"/>
          <w:sz w:val="22"/>
          <w:szCs w:val="22"/>
          <w:color w:val="auto"/>
        </w:rPr>
        <w:t>” 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“Capital Account” </w:t>
      </w:r>
      <w:r>
        <w:rPr>
          <w:rFonts w:ascii="Arial" w:cs="Arial" w:eastAsia="Arial" w:hAnsi="Arial"/>
          <w:sz w:val="19"/>
          <w:szCs w:val="19"/>
          <w:color w:val="auto"/>
        </w:rPr>
        <w:t>means the capital account established and maintained for a Member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“Capital Call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b w:val="1"/>
          <w:bCs w:val="1"/>
          <w:color w:val="auto"/>
        </w:rPr>
        <w:t xml:space="preserve">“Capital Contribution” </w:t>
      </w:r>
      <w:r>
        <w:rPr>
          <w:rFonts w:ascii="Arial" w:cs="Arial" w:eastAsia="Arial" w:hAnsi="Arial"/>
          <w:sz w:val="21"/>
          <w:szCs w:val="21"/>
          <w:color w:val="auto"/>
        </w:rPr>
        <w:t>means any cash or the initial Value of any other property (net of liabilities secured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property that the Company is considered to assume or take subject to under Code Section 752) that a Member directly or indirectly contributes to the Company with respect to the Units held or purchased by such Member, including any capital contributions made by such Member pursuant to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hereof, and any reference to the Capital Contributions of a Member shall include the Capital Contributions of any predecessor Holder of the Member’s Units.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“Capital Contribution Request”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“Cash Distribution” </w:t>
      </w:r>
      <w:r>
        <w:rPr>
          <w:rFonts w:ascii="Arial" w:cs="Arial" w:eastAsia="Arial" w:hAnsi="Arial"/>
          <w:sz w:val="22"/>
          <w:szCs w:val="22"/>
          <w:color w:val="auto"/>
        </w:rPr>
        <w:t>means cash distributions to Holders made on any Distribution Date or date of distribution of</w:t>
      </w:r>
      <w:r>
        <w:rPr>
          <w:rFonts w:ascii="Arial" w:cs="Arial" w:eastAsia="Arial" w:hAnsi="Arial"/>
          <w:sz w:val="22"/>
          <w:szCs w:val="22"/>
          <w:b w:val="1"/>
          <w:bCs w:val="1"/>
          <w:color w:val="auto"/>
        </w:rPr>
        <w:t xml:space="preserve"> </w:t>
      </w:r>
      <w:r>
        <w:rPr>
          <w:rFonts w:ascii="Arial" w:cs="Arial" w:eastAsia="Arial" w:hAnsi="Arial"/>
          <w:sz w:val="22"/>
          <w:szCs w:val="22"/>
          <w:color w:val="auto"/>
        </w:rPr>
        <w:t>liquidation proceeds.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means projected Revenue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minus</w:t>
      </w:r>
      <w:r>
        <w:rPr>
          <w:rFonts w:ascii="Arial" w:cs="Arial" w:eastAsia="Arial" w:hAnsi="Arial"/>
          <w:sz w:val="22"/>
          <w:szCs w:val="22"/>
          <w:b w:val="1"/>
          <w:bCs w:val="1"/>
          <w:color w:val="auto"/>
        </w:rPr>
        <w:t xml:space="preserve"> </w:t>
      </w:r>
      <w:r>
        <w:rPr>
          <w:rFonts w:ascii="Arial" w:cs="Arial" w:eastAsia="Arial" w:hAnsi="Arial"/>
          <w:sz w:val="22"/>
          <w:szCs w:val="22"/>
          <w:color w:val="auto"/>
        </w:rPr>
        <w:t>projected Expenses.</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“Certified Public Accountant” </w:t>
      </w:r>
      <w:r>
        <w:rPr>
          <w:rFonts w:ascii="Arial" w:cs="Arial" w:eastAsia="Arial" w:hAnsi="Arial"/>
          <w:sz w:val="22"/>
          <w:szCs w:val="22"/>
          <w:color w:val="auto"/>
        </w:rPr>
        <w:t>means a firm of independent public accountants (a) that is one of Ernst &amp; Young,</w:t>
      </w:r>
      <w:r>
        <w:rPr>
          <w:rFonts w:ascii="Arial" w:cs="Arial" w:eastAsia="Arial" w:hAnsi="Arial"/>
          <w:sz w:val="22"/>
          <w:szCs w:val="22"/>
          <w:b w:val="1"/>
          <w:bCs w:val="1"/>
          <w:color w:val="auto"/>
        </w:rPr>
        <w:t xml:space="preserve"> </w:t>
      </w:r>
      <w:r>
        <w:rPr>
          <w:rFonts w:ascii="Arial" w:cs="Arial" w:eastAsia="Arial" w:hAnsi="Arial"/>
          <w:sz w:val="22"/>
          <w:szCs w:val="22"/>
          <w:color w:val="auto"/>
        </w:rPr>
        <w:t>Deloitte &amp; Touche, PricewaterhouseCoopers or KPMG LLC, as selected from time to time by the Manager or (b) with respect to any other firm, as selected from time to time with the Consent of the Members.</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after the date of this Agreement, of any event or series of events that results in a change in the Person who ultimately Controls the Class B Member.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in Control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Claims”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Capital Contribution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“Class A Interest” </w:t>
      </w:r>
      <w:r>
        <w:rPr>
          <w:rFonts w:ascii="Arial" w:cs="Arial" w:eastAsia="Arial" w:hAnsi="Arial"/>
          <w:sz w:val="19"/>
          <w:szCs w:val="19"/>
          <w:color w:val="auto"/>
        </w:rPr>
        <w:t>means, with respect to any Class A Member: (a) that Class A Member’s status as a Class A</w:t>
      </w:r>
      <w:r>
        <w:rPr>
          <w:rFonts w:ascii="Arial" w:cs="Arial" w:eastAsia="Arial" w:hAnsi="Arial"/>
          <w:sz w:val="19"/>
          <w:szCs w:val="19"/>
          <w:b w:val="1"/>
          <w:bCs w:val="1"/>
          <w:color w:val="auto"/>
        </w:rPr>
        <w:t xml:space="preserve"> </w:t>
      </w:r>
      <w:r>
        <w:rPr>
          <w:rFonts w:ascii="Arial" w:cs="Arial" w:eastAsia="Arial" w:hAnsi="Arial"/>
          <w:sz w:val="19"/>
          <w:szCs w:val="19"/>
          <w:color w:val="auto"/>
        </w:rPr>
        <w:t>Member; (b) that Class A 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8" w:right="239" w:bottom="1440" w:gutter="0" w:footer="0" w:header="0"/>
        </w:sectPr>
      </w:pPr>
    </w:p>
    <w:bookmarkStart w:id="226" w:name="page227"/>
    <w:bookmarkEnd w:id="226"/>
    <w:p>
      <w:pPr>
        <w:jc w:val="both"/>
        <w:spacing w:after="0" w:line="253" w:lineRule="auto"/>
        <w:rPr>
          <w:sz w:val="20"/>
          <w:szCs w:val="20"/>
          <w:color w:val="auto"/>
        </w:rPr>
      </w:pPr>
      <w:r>
        <w:rPr>
          <w:rFonts w:ascii="Arial" w:cs="Arial" w:eastAsia="Arial" w:hAnsi="Arial"/>
          <w:sz w:val="22"/>
          <w:szCs w:val="22"/>
          <w:color w:val="auto"/>
        </w:rPr>
        <w:t>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Member” </w:t>
      </w:r>
      <w:r>
        <w:rPr>
          <w:rFonts w:ascii="Arial" w:cs="Arial" w:eastAsia="Arial" w:hAnsi="Arial"/>
          <w:sz w:val="22"/>
          <w:szCs w:val="22"/>
          <w:color w:val="auto"/>
        </w:rPr>
        <w:t>means each Member holding a Class A Interest.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Member Capital Contribution Commitment” </w:t>
      </w:r>
      <w:r>
        <w:rPr>
          <w:rFonts w:ascii="Arial" w:cs="Arial" w:eastAsia="Arial" w:hAnsi="Arial"/>
          <w:sz w:val="22"/>
          <w:szCs w:val="22"/>
          <w:color w:val="auto"/>
        </w:rPr>
        <w:t>means $50,000,000.</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“Class A Member Capital Contribution Commitment Accordion Amount” </w:t>
      </w:r>
      <w:r>
        <w:rPr>
          <w:rFonts w:ascii="Arial" w:cs="Arial" w:eastAsia="Arial" w:hAnsi="Arial"/>
          <w:sz w:val="22"/>
          <w:szCs w:val="22"/>
          <w:color w:val="auto"/>
        </w:rPr>
        <w:t>means an additional Class A</w:t>
      </w:r>
      <w:r>
        <w:rPr>
          <w:rFonts w:ascii="Arial" w:cs="Arial" w:eastAsia="Arial" w:hAnsi="Arial"/>
          <w:sz w:val="22"/>
          <w:szCs w:val="22"/>
          <w:b w:val="1"/>
          <w:bCs w:val="1"/>
          <w:color w:val="auto"/>
        </w:rPr>
        <w:t xml:space="preserve"> </w:t>
      </w:r>
      <w:r>
        <w:rPr>
          <w:rFonts w:ascii="Arial" w:cs="Arial" w:eastAsia="Arial" w:hAnsi="Arial"/>
          <w:sz w:val="22"/>
          <w:szCs w:val="22"/>
          <w:color w:val="auto"/>
        </w:rPr>
        <w:t>Member Capital Contribution commitment, in an amount up to $50,000,000, which the Class B Member may elect in its sole discretion, if the Class A Member has made aggregate Capital Contributions of at least $25,000,000 by March 31, 2018; provided, that the Class B Member’s election shall be made, by providing written notice thereof to the Class A Member, within thirty (30) days of the date on which the Class A Member has made aggregate Capital Contributions of at least $25,000,000 (but in no event later than April 30, 2018).</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A Parties”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“Class A Unit” </w:t>
      </w:r>
      <w:r>
        <w:rPr>
          <w:rFonts w:ascii="Arial" w:cs="Arial" w:eastAsia="Arial" w:hAnsi="Arial"/>
          <w:sz w:val="22"/>
          <w:szCs w:val="22"/>
          <w:color w:val="auto"/>
        </w:rPr>
        <w:t>means a unit representing a Class A Interest having the rights, preferences and designations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such class in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Capital Contribution Amount”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Claim”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 xml:space="preserve">“Class B Interest” </w:t>
      </w:r>
      <w:r>
        <w:rPr>
          <w:rFonts w:ascii="Arial" w:cs="Arial" w:eastAsia="Arial" w:hAnsi="Arial"/>
          <w:sz w:val="21"/>
          <w:szCs w:val="21"/>
          <w:color w:val="auto"/>
        </w:rPr>
        <w:t>means, with respect to any Class B Member: (a) that Class B Member’s status as a Class B</w:t>
      </w:r>
      <w:r>
        <w:rPr>
          <w:rFonts w:ascii="Arial" w:cs="Arial" w:eastAsia="Arial" w:hAnsi="Arial"/>
          <w:sz w:val="21"/>
          <w:szCs w:val="21"/>
          <w:b w:val="1"/>
          <w:bCs w:val="1"/>
          <w:color w:val="auto"/>
        </w:rPr>
        <w:t xml:space="preserve"> </w:t>
      </w:r>
      <w:r>
        <w:rPr>
          <w:rFonts w:ascii="Arial" w:cs="Arial" w:eastAsia="Arial" w:hAnsi="Arial"/>
          <w:sz w:val="21"/>
          <w:szCs w:val="21"/>
          <w:color w:val="auto"/>
        </w:rPr>
        <w:t>Member; (b) that Class B 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Member” </w:t>
      </w:r>
      <w:r>
        <w:rPr>
          <w:rFonts w:ascii="Arial" w:cs="Arial" w:eastAsia="Arial" w:hAnsi="Arial"/>
          <w:sz w:val="22"/>
          <w:szCs w:val="22"/>
          <w:color w:val="auto"/>
        </w:rPr>
        <w:t>means each Member holding a Class B Interest.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“Class B Parties”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“Class B Unit” </w:t>
      </w:r>
      <w:r>
        <w:rPr>
          <w:rFonts w:ascii="Arial" w:cs="Arial" w:eastAsia="Arial" w:hAnsi="Arial"/>
          <w:sz w:val="22"/>
          <w:szCs w:val="22"/>
          <w:color w:val="auto"/>
        </w:rPr>
        <w:t>means a unit representing a Class B Interest having the rights, preferences and designations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such class in this Agreement.</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 and any corresponding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of any successor tax statute.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4" w:right="239" w:bottom="1440" w:gutter="0" w:footer="0" w:header="0"/>
        </w:sectPr>
      </w:pPr>
    </w:p>
    <w:bookmarkStart w:id="227" w:name="page228"/>
    <w:bookmarkEnd w:id="227"/>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w:t>
      </w:r>
      <w:r>
        <w:rPr>
          <w:rFonts w:ascii="Arial" w:cs="Arial" w:eastAsia="Arial" w:hAnsi="Arial"/>
          <w:sz w:val="22"/>
          <w:szCs w:val="22"/>
          <w:color w:val="auto"/>
        </w:rPr>
        <w:t>” means a fee, payable by the Class B Member to the Class A Member in an amount equal to nine and seventy-five hundredths percent (9.75%) multiplied by the unused amount of the Class A Member Capital Contribution Commitment and, if applicable, any Class A Member Capital Contribution Commitment Accordion Amount, as of the end of the Investment Period.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“Company Expenses” </w:t>
      </w:r>
      <w:r>
        <w:rPr>
          <w:rFonts w:ascii="Arial" w:cs="Arial" w:eastAsia="Arial" w:hAnsi="Arial"/>
          <w:sz w:val="22"/>
          <w:szCs w:val="22"/>
          <w:color w:val="auto"/>
        </w:rPr>
        <w:t>means all expenses of the Company and of the Subject Companies,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Company Reimbursable Expenses, any amounts required to service any Indebtedness of the Company or a Subject Company, and any amounts required to establish reserves (as determined in the reasonable judgment of the Manager in accordance with the Approved Budget).</w:t>
      </w:r>
    </w:p>
    <w:p>
      <w:pPr>
        <w:spacing w:after="0" w:line="180" w:lineRule="exact"/>
        <w:rPr>
          <w:sz w:val="20"/>
          <w:szCs w:val="20"/>
          <w:color w:val="auto"/>
        </w:rPr>
      </w:pPr>
    </w:p>
    <w:p>
      <w:pPr>
        <w:jc w:val="both"/>
        <w:ind w:firstLine="1297"/>
        <w:spacing w:after="0" w:line="265" w:lineRule="exact"/>
        <w:rPr>
          <w:sz w:val="20"/>
          <w:szCs w:val="20"/>
          <w:color w:val="auto"/>
        </w:rPr>
      </w:pPr>
      <w:r>
        <w:rPr>
          <w:rFonts w:ascii="Arial" w:cs="Arial" w:eastAsia="Arial" w:hAnsi="Arial"/>
          <w:sz w:val="22"/>
          <w:szCs w:val="22"/>
          <w:b w:val="1"/>
          <w:bCs w:val="1"/>
          <w:color w:val="auto"/>
        </w:rPr>
        <w:t xml:space="preserve">“Company Items” </w:t>
      </w:r>
      <w:r>
        <w:rPr>
          <w:rFonts w:ascii="Arial" w:cs="Arial" w:eastAsia="Arial" w:hAnsi="Arial"/>
          <w:sz w:val="22"/>
          <w:szCs w:val="22"/>
          <w:color w:val="auto"/>
        </w:rPr>
        <w:t>means the separate items of income, gain, loss, deduction and credit of the Company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subchapter K of the Code, as determined for Capital Account maintenance purposes consistent with the principles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1(b)(2)(iv).</w:t>
      </w:r>
    </w:p>
    <w:p>
      <w:pPr>
        <w:spacing w:after="0" w:line="192" w:lineRule="exact"/>
        <w:rPr>
          <w:sz w:val="20"/>
          <w:szCs w:val="20"/>
          <w:color w:val="auto"/>
        </w:rPr>
      </w:pPr>
    </w:p>
    <w:p>
      <w:pPr>
        <w:jc w:val="both"/>
        <w:ind w:firstLine="1297"/>
        <w:spacing w:after="0" w:line="269" w:lineRule="exact"/>
        <w:rPr>
          <w:sz w:val="20"/>
          <w:szCs w:val="20"/>
          <w:color w:val="auto"/>
        </w:rPr>
      </w:pPr>
      <w:r>
        <w:rPr>
          <w:rFonts w:ascii="Arial" w:cs="Arial" w:eastAsia="Arial" w:hAnsi="Arial"/>
          <w:sz w:val="19"/>
          <w:szCs w:val="19"/>
          <w:b w:val="1"/>
          <w:bCs w:val="1"/>
          <w:color w:val="auto"/>
        </w:rPr>
        <w:t xml:space="preserve">“Company Minimum Gain” </w:t>
      </w:r>
      <w:r>
        <w:rPr>
          <w:rFonts w:ascii="Arial" w:cs="Arial" w:eastAsia="Arial" w:hAnsi="Arial"/>
          <w:sz w:val="19"/>
          <w:szCs w:val="19"/>
          <w:color w:val="auto"/>
        </w:rPr>
        <w:t>has the meaning given the term “partnership minimum gain” set forth in Treasury</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Section 1.704</w:t>
      </w:r>
      <w:r>
        <w:rPr>
          <w:rFonts w:ascii="MS PGothic" w:cs="MS PGothic" w:eastAsia="MS PGothic" w:hAnsi="MS PGothic"/>
          <w:sz w:val="19"/>
          <w:szCs w:val="19"/>
          <w:color w:val="auto"/>
        </w:rPr>
        <w:t>‑</w:t>
      </w:r>
      <w:r>
        <w:rPr>
          <w:rFonts w:ascii="Arial" w:cs="Arial" w:eastAsia="Arial" w:hAnsi="Arial"/>
          <w:sz w:val="19"/>
          <w:szCs w:val="19"/>
          <w:color w:val="auto"/>
        </w:rPr>
        <w:t>2(b)(2) and will be determined as provided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2(d).</w:t>
      </w:r>
    </w:p>
    <w:p>
      <w:pPr>
        <w:spacing w:after="0" w:line="19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“Company Reimbursable Expenses” </w:t>
      </w:r>
      <w:r>
        <w:rPr>
          <w:rFonts w:ascii="Arial" w:cs="Arial" w:eastAsia="Arial" w:hAnsi="Arial"/>
          <w:sz w:val="19"/>
          <w:szCs w:val="19"/>
          <w:color w:val="auto"/>
        </w:rPr>
        <w:t>means all reasonable and documented Third Party costs and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in the ordinary course of 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and as provided for in the Approved Budget, but excluding such costs and expenses attributable to the gross negligence, willful misconduct or fraud of the Manager or a breach by the Manager (or a Member if such Member is, or is an Affiliate of, the Manager).</w:t>
      </w:r>
    </w:p>
    <w:p>
      <w:pPr>
        <w:spacing w:after="0" w:line="144"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“Company Revenue” </w:t>
      </w:r>
      <w:r>
        <w:rPr>
          <w:rFonts w:ascii="Arial" w:cs="Arial" w:eastAsia="Arial" w:hAnsi="Arial"/>
          <w:sz w:val="19"/>
          <w:szCs w:val="19"/>
          <w:color w:val="auto"/>
        </w:rPr>
        <w:t>means the gross cash receipts from Company operations (including sales and dispositions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Assets (including Contracted RECs), insurance payments, warranty payments, cash previously reserved).</w:t>
      </w:r>
    </w:p>
    <w:p>
      <w:pPr>
        <w:spacing w:after="0" w:line="9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 xml:space="preserve">“Competitor” </w:t>
      </w:r>
      <w:r>
        <w:rPr>
          <w:rFonts w:ascii="Arial" w:cs="Arial" w:eastAsia="Arial" w:hAnsi="Arial"/>
          <w:sz w:val="21"/>
          <w:szCs w:val="21"/>
          <w:color w:val="auto"/>
        </w:rPr>
        <w:t>means any Person directly or indirectly engaged in owning, managing, operating, maintaining or</w:t>
      </w:r>
      <w:r>
        <w:rPr>
          <w:rFonts w:ascii="Arial" w:cs="Arial" w:eastAsia="Arial" w:hAnsi="Arial"/>
          <w:sz w:val="21"/>
          <w:szCs w:val="21"/>
          <w:b w:val="1"/>
          <w:bCs w:val="1"/>
          <w:color w:val="auto"/>
        </w:rPr>
        <w:t xml:space="preserve"> </w:t>
      </w:r>
      <w:r>
        <w:rPr>
          <w:rFonts w:ascii="Arial" w:cs="Arial" w:eastAsia="Arial" w:hAnsi="Arial"/>
          <w:sz w:val="21"/>
          <w:szCs w:val="21"/>
          <w:color w:val="auto"/>
        </w:rPr>
        <w:t>developing facilities utilizing solar power for the production of electricity for sale to others; provided that a Person who is involved in owning, managing, developing, maintaining or 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8" w:right="239" w:bottom="1440" w:gutter="0" w:footer="0" w:header="0"/>
        </w:sectPr>
      </w:pPr>
    </w:p>
    <w:bookmarkStart w:id="228" w:name="page229"/>
    <w:bookmarkEnd w:id="228"/>
    <w:p>
      <w:pPr>
        <w:ind w:left="130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“Consent of the Class A Members” </w:t>
      </w:r>
      <w:r>
        <w:rPr>
          <w:rFonts w:ascii="Arial" w:cs="Arial" w:eastAsia="Arial" w:hAnsi="Arial"/>
          <w:sz w:val="19"/>
          <w:szCs w:val="19"/>
          <w:color w:val="auto"/>
        </w:rPr>
        <w:t>means the written consent or approval of the Class A Members who own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more than fifty percent (50%) of the Class A Units, which consent may be included as part of a Fund Addendum.</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“Consent of the Class B Members” </w:t>
      </w:r>
      <w:r>
        <w:rPr>
          <w:rFonts w:ascii="Arial" w:cs="Arial" w:eastAsia="Arial" w:hAnsi="Arial"/>
          <w:sz w:val="22"/>
          <w:szCs w:val="22"/>
          <w:color w:val="auto"/>
        </w:rPr>
        <w:t>means the written consent or approval of the Class B Members who own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more than fifty percent (50%) of the Class B Units.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“Consent of the Members” </w:t>
      </w:r>
      <w:r>
        <w:rPr>
          <w:rFonts w:ascii="Arial" w:cs="Arial" w:eastAsia="Arial" w:hAnsi="Arial"/>
          <w:sz w:val="22"/>
          <w:szCs w:val="22"/>
          <w:color w:val="auto"/>
        </w:rPr>
        <w:t>means both the Consent of the Class A Members and the Consent of the Class B</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which consent may be included as part of a Fund Addendum.</w:t>
      </w:r>
    </w:p>
    <w:p>
      <w:pPr>
        <w:spacing w:after="0" w:line="16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b w:val="1"/>
          <w:bCs w:val="1"/>
          <w:color w:val="auto"/>
        </w:rPr>
        <w:t xml:space="preserve">“Contracted RECs” </w:t>
      </w:r>
      <w:r>
        <w:rPr>
          <w:rFonts w:ascii="Arial" w:cs="Arial" w:eastAsia="Arial" w:hAnsi="Arial"/>
          <w:sz w:val="21"/>
          <w:szCs w:val="21"/>
          <w:color w:val="auto"/>
        </w:rPr>
        <w:t>means any REC projected to be generated by a Project in the future, that, as of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Class A Member is making a Capital Contribution with respect to the associated Project, is subject to a contract with NRG Power Marketing LLC (with a guaranty from NRG Energy Inc.) or another third party to be agreed upon with the Consent of the Members, providing for such REC to be sold at a fixed or determinable price.</w:t>
      </w:r>
    </w:p>
    <w:p>
      <w:pPr>
        <w:spacing w:after="0" w:line="168"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Contracted Revenue</w:t>
      </w:r>
      <w:r>
        <w:rPr>
          <w:rFonts w:ascii="Arial" w:cs="Arial" w:eastAsia="Arial" w:hAnsi="Arial"/>
          <w:sz w:val="22"/>
          <w:szCs w:val="22"/>
          <w:color w:val="auto"/>
        </w:rPr>
        <w:t>” means a percentage of projected revenue designated as “Contracted Revenue” as more specifically described in the Fund Credit Profile attached to the relevant Fund Addendum.</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“Contracts” </w:t>
      </w:r>
      <w:r>
        <w:rPr>
          <w:rFonts w:ascii="Arial" w:cs="Arial" w:eastAsia="Arial" w:hAnsi="Arial"/>
          <w:sz w:val="22"/>
          <w:szCs w:val="22"/>
          <w:color w:val="auto"/>
        </w:rPr>
        <w:t>means contracts, agreements, leases, licenses, notes, indentures, obligations, reinsurance treaties,</w:t>
      </w:r>
      <w:r>
        <w:rPr>
          <w:rFonts w:ascii="Arial" w:cs="Arial" w:eastAsia="Arial" w:hAnsi="Arial"/>
          <w:sz w:val="22"/>
          <w:szCs w:val="22"/>
          <w:b w:val="1"/>
          <w:bCs w:val="1"/>
          <w:color w:val="auto"/>
        </w:rPr>
        <w:t xml:space="preserve"> </w:t>
      </w:r>
      <w:r>
        <w:rPr>
          <w:rFonts w:ascii="Arial" w:cs="Arial" w:eastAsia="Arial" w:hAnsi="Arial"/>
          <w:sz w:val="22"/>
          <w:szCs w:val="22"/>
          <w:color w:val="auto"/>
        </w:rPr>
        <w:t>bonds, mortgages, instruments, and other binding commitments, arrangements, undertakings and understandings (whether written or oral).</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“Contribution Event”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3.3(e)</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and the terms</w:t>
      </w:r>
      <w:r>
        <w:rPr>
          <w:rFonts w:ascii="Arial" w:cs="Arial" w:eastAsia="Arial" w:hAnsi="Arial"/>
          <w:sz w:val="22"/>
          <w:szCs w:val="22"/>
          <w:b w:val="1"/>
          <w:bCs w:val="1"/>
          <w:color w:val="auto"/>
        </w:rPr>
        <w:t xml:space="preserve"> “Controlled by” </w:t>
      </w:r>
      <w:r>
        <w:rPr>
          <w:rFonts w:ascii="Arial" w:cs="Arial" w:eastAsia="Arial" w:hAnsi="Arial"/>
          <w:sz w:val="22"/>
          <w:szCs w:val="22"/>
          <w:color w:val="auto"/>
        </w:rPr>
        <w:t>and</w:t>
      </w:r>
      <w:r>
        <w:rPr>
          <w:rFonts w:ascii="Arial" w:cs="Arial" w:eastAsia="Arial" w:hAnsi="Arial"/>
          <w:sz w:val="22"/>
          <w:szCs w:val="22"/>
          <w:b w:val="1"/>
          <w:bCs w:val="1"/>
          <w:color w:val="auto"/>
        </w:rPr>
        <w:t xml:space="preserve"> “under common Control” </w:t>
      </w:r>
      <w:r>
        <w:rPr>
          <w:rFonts w:ascii="Arial" w:cs="Arial" w:eastAsia="Arial" w:hAnsi="Arial"/>
          <w:sz w:val="22"/>
          <w:szCs w:val="22"/>
          <w:color w:val="auto"/>
        </w:rPr>
        <w:t>mean the possession,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of the power to direct or cause the direction of the management and policies of a Person, whether through ownership, by contract, or otherwise.</w:t>
      </w:r>
    </w:p>
    <w:p>
      <w:pPr>
        <w:spacing w:after="0" w:line="17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b w:val="1"/>
          <w:bCs w:val="1"/>
          <w:color w:val="auto"/>
        </w:rPr>
        <w:t xml:space="preserve">“Cumulative Base Case Model” </w:t>
      </w:r>
      <w:r>
        <w:rPr>
          <w:rFonts w:ascii="Arial" w:cs="Arial" w:eastAsia="Arial" w:hAnsi="Arial"/>
          <w:sz w:val="19"/>
          <w:szCs w:val="19"/>
          <w:color w:val="auto"/>
        </w:rPr>
        <w:t>means the base case financial model, using the assumptions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Annex II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in connection with each Equity Capital Contribution Date, which will be attached to the applicable Capital Contribution Request and shall specifically set forth the Capital Contributions required to be made by each Member to the Company in order to fund the Company’s capital contribution to the Fund Company or Intermediate Company, as applicable, relating to such Equity Capital Contribution Date. For clarity, (i) the Cumulative Base Case Model shall incorporate the Fund Base Case Model which relates to the relevant Equity Capital Contribution Date and all Fund Base Case Models relating to prior Equity Capital Contribution Dates (but shall not reflect the actual results of the Company or any Subject Company) (ii) the Cumulative Base Case Model will not be updated for actual historical performance and (iii) following the Investment Period, the Cumulative Base Case Model will not be used by the Members for purposes of this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9" w:right="239" w:bottom="1440" w:gutter="0" w:footer="0" w:header="0"/>
        </w:sectPr>
      </w:pPr>
    </w:p>
    <w:bookmarkStart w:id="229" w:name="page230"/>
    <w:bookmarkEnd w:id="229"/>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Customer Contract</w:t>
      </w:r>
      <w:r>
        <w:rPr>
          <w:rFonts w:ascii="Arial" w:cs="Arial" w:eastAsia="Arial" w:hAnsi="Arial"/>
          <w:sz w:val="22"/>
          <w:szCs w:val="22"/>
          <w:color w:val="auto"/>
        </w:rPr>
        <w:t>” means a fixed price or indexed price power purchase agreement or lease with residential customers or corporate customers.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“Damages”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“Delaware Certificate”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“Depreciation” </w:t>
      </w:r>
      <w:r>
        <w:rPr>
          <w:rFonts w:ascii="Arial" w:cs="Arial" w:eastAsia="Arial" w:hAnsi="Arial"/>
          <w:sz w:val="22"/>
          <w:szCs w:val="22"/>
          <w:color w:val="auto"/>
        </w:rPr>
        <w:t>means, for each Taxable Year, an amount equal to the depreciation, amortization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Code Sections 197 and 709) 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Asset has a zero beginning adjusted basis for such Taxable Year, Depreciation shall be determined with reference to such beginning Value using any method selected by the Manager with the Consent of the Members.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“Disqualified Entity” </w:t>
      </w:r>
      <w:r>
        <w:rPr>
          <w:rFonts w:ascii="Arial" w:cs="Arial" w:eastAsia="Arial" w:hAnsi="Arial"/>
          <w:sz w:val="19"/>
          <w:szCs w:val="19"/>
          <w:color w:val="auto"/>
        </w:rPr>
        <w:t>means at any time during the Recapture Period, an entity that is referred to in Section 50(b)</w:t>
      </w:r>
    </w:p>
    <w:p>
      <w:pPr>
        <w:spacing w:after="0" w:line="62" w:lineRule="exact"/>
        <w:rPr>
          <w:sz w:val="20"/>
          <w:szCs w:val="20"/>
          <w:color w:val="auto"/>
        </w:rPr>
      </w:pPr>
    </w:p>
    <w:p>
      <w:pPr>
        <w:jc w:val="both"/>
        <w:ind w:firstLine="8"/>
        <w:spacing w:after="0" w:line="245" w:lineRule="auto"/>
        <w:tabs>
          <w:tab w:leader="none" w:pos="33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or 50(b)(4) of the Code,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r>
        <w:rPr>
          <w:rFonts w:ascii="Arial" w:cs="Arial" w:eastAsia="Arial" w:hAnsi="Arial"/>
          <w:sz w:val="22"/>
          <w:szCs w:val="22"/>
          <w:color w:val="auto"/>
        </w:rPr>
        <w:t xml:space="preserve"> if any indirect owner owns its 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b w:val="1"/>
          <w:bCs w:val="1"/>
          <w:color w:val="auto"/>
        </w:rPr>
        <w:t xml:space="preserve">“Disqualified Transferee” </w:t>
      </w:r>
      <w:r>
        <w:rPr>
          <w:rFonts w:ascii="Arial" w:cs="Arial" w:eastAsia="Arial" w:hAnsi="Arial"/>
          <w:sz w:val="19"/>
          <w:szCs w:val="19"/>
          <w:color w:val="auto"/>
        </w:rPr>
        <w:t>means (a) any Person that is, or whose Affiliate is, then a party adverse in any pending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threatened (in writing or 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foreclosure upon any Membership Interests pursuant to an Encumbrance permitted hereunder shall not be an action, suit or proceeding for the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5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0"/>
          <w:szCs w:val="20"/>
          <w:b w:val="1"/>
          <w:bCs w:val="1"/>
          <w:color w:val="auto"/>
        </w:rPr>
        <w:t xml:space="preserve">“Distribution Date” </w:t>
      </w:r>
      <w:r>
        <w:rPr>
          <w:rFonts w:ascii="Arial" w:cs="Arial" w:eastAsia="Arial" w:hAnsi="Arial"/>
          <w:sz w:val="20"/>
          <w:szCs w:val="20"/>
          <w:color w:val="auto"/>
        </w:rPr>
        <w:t>means (i) each day that is five (5) Business Days following a distribution of cash from a Fund</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the Intermediate Company or (ii)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in February, May, August, and November;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Members may mutually agree in writing to adjust the regular quarterly Distribution Dates for administrative ease.</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“DRO Amount” </w:t>
      </w:r>
      <w:r>
        <w:rPr>
          <w:rFonts w:ascii="Arial" w:cs="Arial" w:eastAsia="Arial" w:hAnsi="Arial"/>
          <w:sz w:val="22"/>
          <w:szCs w:val="22"/>
          <w:color w:val="auto"/>
        </w:rPr>
        <w:t>means $0 on the Effective Date, and from and after the Effective Date means $0, unless such</w:t>
      </w:r>
      <w:r>
        <w:rPr>
          <w:rFonts w:ascii="Arial" w:cs="Arial" w:eastAsia="Arial" w:hAnsi="Arial"/>
          <w:sz w:val="22"/>
          <w:szCs w:val="22"/>
          <w:b w:val="1"/>
          <w:bCs w:val="1"/>
          <w:color w:val="auto"/>
        </w:rPr>
        <w:t xml:space="preserve"> </w:t>
      </w:r>
      <w:r>
        <w:rPr>
          <w:rFonts w:ascii="Arial" w:cs="Arial" w:eastAsia="Arial" w:hAnsi="Arial"/>
          <w:sz w:val="22"/>
          <w:szCs w:val="22"/>
          <w:color w:val="auto"/>
        </w:rPr>
        <w:t>amount is increased pursuant to a Fund Addendum.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8" w:right="239" w:bottom="1440" w:gutter="0" w:footer="0" w:header="0"/>
        </w:sectPr>
      </w:pPr>
    </w:p>
    <w:bookmarkStart w:id="230" w:name="page231"/>
    <w:bookmarkEnd w:id="230"/>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ECCA</w:t>
      </w:r>
      <w:r>
        <w:rPr>
          <w:rFonts w:ascii="Arial" w:cs="Arial" w:eastAsia="Arial" w:hAnsi="Arial"/>
          <w:sz w:val="22"/>
          <w:szCs w:val="22"/>
          <w:color w:val="auto"/>
        </w:rPr>
        <w:t>” means that certain equity capital contribution agreement, dated July 31, 2017, by and among NRG Chestnut Class B LLC, Firstar Development, LLC, and NRG Chestnut Fund LLC.</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the date of this Agreement.</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“Encumbrances” </w:t>
      </w:r>
      <w:r>
        <w:rPr>
          <w:rFonts w:ascii="Arial" w:cs="Arial" w:eastAsia="Arial" w:hAnsi="Arial"/>
          <w:sz w:val="22"/>
          <w:szCs w:val="22"/>
          <w:color w:val="auto"/>
        </w:rPr>
        <w:t>means encumbrances, liens, pledges, charges, collateral assignments, options, mortgages,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warrants, deeds of trust, security 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 title to real or personal property (including membership interests), and </w:t>
      </w:r>
      <w:r>
        <w:rPr>
          <w:rFonts w:ascii="Arial" w:cs="Arial" w:eastAsia="Arial" w:hAnsi="Arial"/>
          <w:sz w:val="22"/>
          <w:szCs w:val="22"/>
          <w:b w:val="1"/>
          <w:bCs w:val="1"/>
          <w:color w:val="auto"/>
        </w:rPr>
        <w:t>“Encumber”</w:t>
      </w:r>
      <w:r>
        <w:rPr>
          <w:rFonts w:ascii="Arial" w:cs="Arial" w:eastAsia="Arial" w:hAnsi="Arial"/>
          <w:sz w:val="22"/>
          <w:szCs w:val="22"/>
          <w:color w:val="auto"/>
        </w:rPr>
        <w:t xml:space="preserve"> means any action or inaction creating an Encumbrance.</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“Energy Regulatory Approvals” </w:t>
      </w:r>
      <w:r>
        <w:rPr>
          <w:rFonts w:ascii="Arial" w:cs="Arial" w:eastAsia="Arial" w:hAnsi="Arial"/>
          <w:sz w:val="22"/>
          <w:szCs w:val="22"/>
          <w:color w:val="auto"/>
        </w:rPr>
        <w:t>means any License and Permit issued by or filed with an Energy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that is required to be maintained by any Project or any Subject Company.</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“Energy Regulatory Authority” </w:t>
      </w:r>
      <w:r>
        <w:rPr>
          <w:rFonts w:ascii="Arial" w:cs="Arial" w:eastAsia="Arial" w:hAnsi="Arial"/>
          <w:sz w:val="22"/>
          <w:szCs w:val="22"/>
          <w:color w:val="auto"/>
        </w:rPr>
        <w:t>a Governmental Authority with jurisdiction over public utilities, energy, natural</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or any similar subject matter.</w:t>
      </w:r>
    </w:p>
    <w:p>
      <w:pPr>
        <w:spacing w:after="0" w:line="16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b w:val="1"/>
          <w:bCs w:val="1"/>
          <w:color w:val="auto"/>
        </w:rPr>
        <w:t xml:space="preserve">“Environmental Law” </w:t>
      </w:r>
      <w:r>
        <w:rPr>
          <w:rFonts w:ascii="Arial" w:cs="Arial" w:eastAsia="Arial" w:hAnsi="Arial"/>
          <w:sz w:val="19"/>
          <w:szCs w:val="19"/>
          <w:color w:val="auto"/>
        </w:rPr>
        <w:t>means any Law imposing liability, standards or obligations of conduct concerning pollution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protection of human health and safety (including the health and safety of workers under the U.S. Occupational Safety and Health Act of 1970 (29 U.S.C. §§ 651 </w:t>
      </w:r>
      <w:r>
        <w:rPr>
          <w:rFonts w:ascii="Arial" w:cs="Arial" w:eastAsia="Arial" w:hAnsi="Arial"/>
          <w:sz w:val="19"/>
          <w:szCs w:val="19"/>
          <w:i w:val="1"/>
          <w:iCs w:val="1"/>
          <w:color w:val="auto"/>
        </w:rPr>
        <w:t>et seq.</w:t>
      </w:r>
      <w:r>
        <w:rPr>
          <w:rFonts w:ascii="Arial" w:cs="Arial" w:eastAsia="Arial" w:hAnsi="Arial"/>
          <w:sz w:val="19"/>
          <w:szCs w:val="19"/>
          <w:color w:val="auto"/>
        </w:rPr>
        <w:t>)),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w:t>
      </w:r>
    </w:p>
    <w:p>
      <w:pPr>
        <w:spacing w:after="0" w:line="4" w:lineRule="exact"/>
        <w:rPr>
          <w:sz w:val="20"/>
          <w:szCs w:val="20"/>
          <w:color w:val="auto"/>
        </w:rPr>
      </w:pPr>
    </w:p>
    <w:p>
      <w:pPr>
        <w:jc w:val="both"/>
        <w:ind w:firstLine="8"/>
        <w:spacing w:after="0" w:line="244" w:lineRule="auto"/>
        <w:tabs>
          <w:tab w:leader="none" w:pos="37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Comprehensive Environmental Response, Compensation, and Liability Act of 1980 (42 U.S.C. §§ 9601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(“CERCLA”), the Federal Water Pollution Control Act (33 U.S.C. §§ 1251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and the Endangered Species Act of 1973 (16 U.S.C. 1531 </w:t>
      </w:r>
      <w:r>
        <w:rPr>
          <w:rFonts w:ascii="Arial" w:cs="Arial" w:eastAsia="Arial" w:hAnsi="Arial"/>
          <w:sz w:val="22"/>
          <w:szCs w:val="22"/>
          <w:i w:val="1"/>
          <w:iCs w:val="1"/>
          <w:color w:val="auto"/>
        </w:rPr>
        <w:t>et seq.</w:t>
      </w:r>
      <w:r>
        <w:rPr>
          <w:rFonts w:ascii="Arial" w:cs="Arial" w:eastAsia="Arial" w:hAnsi="Arial"/>
          <w:sz w:val="22"/>
          <w:szCs w:val="22"/>
          <w:color w:val="auto"/>
        </w:rPr>
        <w:t>) with any amendments or reauthorization thereto or thereof, and any and all regulations promulgated thereunder, and all analogous state and local counterparts or equivalents.</w:t>
      </w:r>
    </w:p>
    <w:p>
      <w:pPr>
        <w:spacing w:after="0" w:line="19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b w:val="1"/>
          <w:bCs w:val="1"/>
          <w:color w:val="auto"/>
        </w:rPr>
        <w:t xml:space="preserve">“Equity Capital Contribution Date” </w:t>
      </w:r>
      <w:r>
        <w:rPr>
          <w:rFonts w:ascii="Arial" w:cs="Arial" w:eastAsia="Arial" w:hAnsi="Arial"/>
          <w:sz w:val="19"/>
          <w:szCs w:val="19"/>
          <w:color w:val="auto"/>
        </w:rPr>
        <w:t>means (a) each day that a capital contribution is required to be made to a</w:t>
      </w:r>
      <w:r>
        <w:rPr>
          <w:rFonts w:ascii="Arial" w:cs="Arial" w:eastAsia="Arial" w:hAnsi="Arial"/>
          <w:sz w:val="19"/>
          <w:szCs w:val="19"/>
          <w:b w:val="1"/>
          <w:bCs w:val="1"/>
          <w:color w:val="auto"/>
        </w:rPr>
        <w:t xml:space="preserve"> </w:t>
      </w:r>
      <w:r>
        <w:rPr>
          <w:rFonts w:ascii="Arial" w:cs="Arial" w:eastAsia="Arial" w:hAnsi="Arial"/>
          <w:sz w:val="19"/>
          <w:szCs w:val="19"/>
          <w:color w:val="auto"/>
        </w:rPr>
        <w:t>Fund Company by the Intermediate Company, or (b) as required to be made by the Members to fund the Company or the Intermediate Company, in each case, as set forth in a Capital Contribution Request delivered by the Manager to the Members.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8.10(h)</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8" w:right="239" w:bottom="1440" w:gutter="0" w:footer="0" w:header="0"/>
        </w:sectPr>
      </w:pPr>
    </w:p>
    <w:bookmarkStart w:id="231" w:name="page232"/>
    <w:bookmarkEnd w:id="231"/>
    <w:p>
      <w:pPr>
        <w:jc w:val="both"/>
        <w:ind w:firstLine="1297"/>
        <w:spacing w:after="0" w:line="248" w:lineRule="auto"/>
        <w:rPr>
          <w:sz w:val="20"/>
          <w:szCs w:val="20"/>
          <w:color w:val="auto"/>
        </w:rPr>
      </w:pPr>
      <w:r>
        <w:rPr>
          <w:rFonts w:ascii="Arial" w:cs="Arial" w:eastAsia="Arial" w:hAnsi="Arial"/>
          <w:sz w:val="21"/>
          <w:szCs w:val="21"/>
          <w:b w:val="1"/>
          <w:bCs w:val="1"/>
          <w:color w:val="auto"/>
        </w:rPr>
        <w:t xml:space="preserve">“Expenses” </w:t>
      </w:r>
      <w:r>
        <w:rPr>
          <w:rFonts w:ascii="Arial" w:cs="Arial" w:eastAsia="Arial" w:hAnsi="Arial"/>
          <w:sz w:val="21"/>
          <w:szCs w:val="21"/>
          <w:color w:val="auto"/>
        </w:rPr>
        <w:t>means, for the relevant period, the sum of (a) Company Expenses for that period, (b) distributions to 3</w:t>
      </w:r>
      <w:r>
        <w:rPr>
          <w:rFonts w:ascii="Arial" w:cs="Arial" w:eastAsia="Arial" w:hAnsi="Arial"/>
          <w:sz w:val="27"/>
          <w:szCs w:val="27"/>
          <w:color w:val="auto"/>
          <w:vertAlign w:val="superscript"/>
        </w:rPr>
        <w:t>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investors in Subject Companies made during that period, and (c) distributions made under Section 5.1(b) during that period; provided, that, for purposes of sizing a Class A Capital Contribution Amount, projected Expenses will be allocated pro-rata between Contracted Revenue from an Unleveraged Fund Company, Contracted Revenue from a Backleveraged Fund Company, and Uncontracted Revenue from either an Unleveraged or Backleveraged Fund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Investment Period Date</w:t>
      </w:r>
      <w:r>
        <w:rPr>
          <w:rFonts w:ascii="Arial" w:cs="Arial" w:eastAsia="Arial" w:hAnsi="Arial"/>
          <w:sz w:val="22"/>
          <w:szCs w:val="22"/>
          <w:color w:val="auto"/>
        </w:rPr>
        <w:t>” means June 30, 2019.</w:t>
      </w:r>
    </w:p>
    <w:p>
      <w:pPr>
        <w:spacing w:after="0" w:line="22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 xml:space="preserve">“Fair Market Value” </w:t>
      </w:r>
      <w:r>
        <w:rPr>
          <w:rFonts w:ascii="Arial" w:cs="Arial" w:eastAsia="Arial" w:hAnsi="Arial"/>
          <w:sz w:val="21"/>
          <w:szCs w:val="21"/>
          <w:color w:val="auto"/>
        </w:rPr>
        <w:t>means, with respect to any Asset, the price at which the Asset would change hands between a</w:t>
      </w:r>
      <w:r>
        <w:rPr>
          <w:rFonts w:ascii="Arial" w:cs="Arial" w:eastAsia="Arial" w:hAnsi="Arial"/>
          <w:sz w:val="21"/>
          <w:szCs w:val="21"/>
          <w:b w:val="1"/>
          <w:bCs w:val="1"/>
          <w:color w:val="auto"/>
        </w:rPr>
        <w:t xml:space="preserve"> </w:t>
      </w:r>
      <w:r>
        <w:rPr>
          <w:rFonts w:ascii="Arial" w:cs="Arial" w:eastAsia="Arial" w:hAnsi="Arial"/>
          <w:sz w:val="21"/>
          <w:szCs w:val="21"/>
          <w:color w:val="auto"/>
        </w:rPr>
        <w:t>willing buyer and a willing seller, neither being under any compulsion to buy or to sell, and both having reasonable knowledge of the relevant facts, and specifically with respect to any Project or any Membership Interest.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“FERC” </w:t>
      </w:r>
      <w:r>
        <w:rPr>
          <w:rFonts w:ascii="Arial" w:cs="Arial" w:eastAsia="Arial" w:hAnsi="Arial"/>
          <w:sz w:val="22"/>
          <w:szCs w:val="22"/>
          <w:color w:val="auto"/>
        </w:rPr>
        <w:t>means the Federal Energy Regulatory Commission and any successor agency.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“FICO® Score” </w:t>
      </w:r>
      <w:r>
        <w:rPr>
          <w:rFonts w:ascii="Arial" w:cs="Arial" w:eastAsia="Arial" w:hAnsi="Arial"/>
          <w:sz w:val="19"/>
          <w:szCs w:val="19"/>
          <w:color w:val="auto"/>
        </w:rPr>
        <w:t>means a score based on the credit risk rating system established and maintained by the Fair Isaac</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19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“Fiscal Quarter” </w:t>
      </w:r>
      <w:r>
        <w:rPr>
          <w:rFonts w:ascii="Arial" w:cs="Arial" w:eastAsia="Arial" w:hAnsi="Arial"/>
          <w:sz w:val="22"/>
          <w:szCs w:val="22"/>
          <w:color w:val="auto"/>
        </w:rPr>
        <w:t>means the calendar quarters each ended March 31st, June 30th, September 30th and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31st during each Fiscal Year.</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“Fiscal Year” </w:t>
      </w:r>
      <w:r>
        <w:rPr>
          <w:rFonts w:ascii="Arial" w:cs="Arial" w:eastAsia="Arial" w:hAnsi="Arial"/>
          <w:sz w:val="22"/>
          <w:szCs w:val="22"/>
          <w:color w:val="auto"/>
        </w:rPr>
        <w:t>means (a) the period commencing on the Effective Date and ending on the immediately succeeding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December 31, (b) any subsequent calendar year, and (c) the final Fiscal Year of the Company shall end on the date on which the Company is terminated under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“FPA” </w:t>
      </w:r>
      <w:r>
        <w:rPr>
          <w:rFonts w:ascii="Arial" w:cs="Arial" w:eastAsia="Arial" w:hAnsi="Arial"/>
          <w:sz w:val="22"/>
          <w:szCs w:val="22"/>
          <w:color w:val="auto"/>
        </w:rPr>
        <w:t>means the Federal Power Act, as amended, and the regulations of the FERC thereunder.</w:t>
      </w:r>
    </w:p>
    <w:p>
      <w:pPr>
        <w:spacing w:after="0" w:line="22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b w:val="1"/>
          <w:bCs w:val="1"/>
          <w:color w:val="auto"/>
        </w:rPr>
        <w:t xml:space="preserve">“Fund Addendum” </w:t>
      </w:r>
      <w:r>
        <w:rPr>
          <w:rFonts w:ascii="Arial" w:cs="Arial" w:eastAsia="Arial" w:hAnsi="Arial"/>
          <w:sz w:val="21"/>
          <w:szCs w:val="21"/>
          <w:color w:val="auto"/>
        </w:rPr>
        <w:t>means an addendum in the form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that includes Fund Company specific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Members that, upon execution, will be deemed to supplement this Agreement with respect to the Members’ and the Company’s investment in such Fund Company. Each executed Fund Addendum will include the agreed upon updated Approved Budget, the Fund Base Case Model, the Fund Credit Profile, the Tax Assumptions and the form of Officer’s Certificate applicable to the respective Fund Company, in each case reflecting the acquisition of the applicable Fund Company and the Capital Contributions made, or to be made, by the Members thereto.</w:t>
      </w:r>
    </w:p>
    <w:p>
      <w:pPr>
        <w:spacing w:after="0" w:line="174"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“Fund Base Case Model” </w:t>
      </w:r>
      <w:r>
        <w:rPr>
          <w:rFonts w:ascii="Arial" w:cs="Arial" w:eastAsia="Arial" w:hAnsi="Arial"/>
          <w:sz w:val="22"/>
          <w:szCs w:val="22"/>
          <w:color w:val="auto"/>
        </w:rPr>
        <w:t>means the base case financial model in connection with each Fund Company, which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attached to the applicable Fund Addendum, which shall specifically set forth the Capital Contributions required to be made by each Member to the Company in order to fund the Company’s capital contribution to such Fund Company or Intermediate Company, as applicable. For clarity, following the Investment Period, the Fund Base Case Model will not be used by the Members for purposes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3" w:right="239" w:bottom="1440" w:gutter="0" w:footer="0" w:header="0"/>
        </w:sectPr>
      </w:pPr>
    </w:p>
    <w:bookmarkStart w:id="232" w:name="page233"/>
    <w:bookmarkEnd w:id="232"/>
    <w:p>
      <w:pPr>
        <w:ind w:left="1300"/>
        <w:spacing w:after="0"/>
        <w:rPr>
          <w:sz w:val="20"/>
          <w:szCs w:val="20"/>
          <w:color w:val="auto"/>
        </w:rPr>
      </w:pPr>
      <w:r>
        <w:rPr>
          <w:rFonts w:ascii="Arial" w:cs="Arial" w:eastAsia="Arial" w:hAnsi="Arial"/>
          <w:sz w:val="22"/>
          <w:szCs w:val="22"/>
          <w:b w:val="1"/>
          <w:bCs w:val="1"/>
          <w:color w:val="auto"/>
        </w:rPr>
        <w:t xml:space="preserve">“Fund Company” </w:t>
      </w:r>
      <w:r>
        <w:rPr>
          <w:rFonts w:ascii="Arial" w:cs="Arial" w:eastAsia="Arial" w:hAnsi="Arial"/>
          <w:sz w:val="22"/>
          <w:szCs w:val="22"/>
          <w:color w:val="auto"/>
        </w:rPr>
        <w:t>and</w:t>
      </w:r>
      <w:r>
        <w:rPr>
          <w:rFonts w:ascii="Arial" w:cs="Arial" w:eastAsia="Arial" w:hAnsi="Arial"/>
          <w:sz w:val="22"/>
          <w:szCs w:val="22"/>
          <w:b w:val="1"/>
          <w:bCs w:val="1"/>
          <w:color w:val="auto"/>
        </w:rPr>
        <w:t xml:space="preserve"> “Fund Companies” </w:t>
      </w:r>
      <w:r>
        <w:rPr>
          <w:rFonts w:ascii="Arial" w:cs="Arial" w:eastAsia="Arial" w:hAnsi="Arial"/>
          <w:sz w:val="22"/>
          <w:szCs w:val="22"/>
          <w:color w:val="auto"/>
        </w:rPr>
        <w:t>are defined in the recitals to this Agreement.</w:t>
      </w:r>
    </w:p>
    <w:p>
      <w:pPr>
        <w:spacing w:after="0" w:line="220" w:lineRule="exact"/>
        <w:rPr>
          <w:sz w:val="20"/>
          <w:szCs w:val="20"/>
          <w:color w:val="auto"/>
        </w:rPr>
      </w:pPr>
    </w:p>
    <w:p>
      <w:pPr>
        <w:jc w:val="both"/>
        <w:ind w:right="20" w:firstLine="1297"/>
        <w:spacing w:after="0" w:line="256" w:lineRule="auto"/>
        <w:rPr>
          <w:sz w:val="20"/>
          <w:szCs w:val="20"/>
          <w:color w:val="auto"/>
        </w:rPr>
      </w:pPr>
      <w:r>
        <w:rPr>
          <w:rFonts w:ascii="Arial" w:cs="Arial" w:eastAsia="Arial" w:hAnsi="Arial"/>
          <w:sz w:val="22"/>
          <w:szCs w:val="22"/>
          <w:b w:val="1"/>
          <w:bCs w:val="1"/>
          <w:color w:val="auto"/>
        </w:rPr>
        <w:t xml:space="preserve">“Fund Company Call Event” </w:t>
      </w:r>
      <w:r>
        <w:rPr>
          <w:rFonts w:ascii="Arial" w:cs="Arial" w:eastAsia="Arial" w:hAnsi="Arial"/>
          <w:sz w:val="22"/>
          <w:szCs w:val="22"/>
          <w:color w:val="auto"/>
        </w:rPr>
        <w:t>means an option to purchase a Fund Investor’s membership interest in a Fund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then available pursuant to the applicable Fund Documents in favor of an Intermediate Company (whether through a purchase option or buyout event or otherwise).</w:t>
      </w:r>
    </w:p>
    <w:p>
      <w:pPr>
        <w:spacing w:after="0" w:line="17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“Fund Company Presentation Package” </w:t>
      </w:r>
      <w:r>
        <w:rPr>
          <w:rFonts w:ascii="Arial" w:cs="Arial" w:eastAsia="Arial" w:hAnsi="Arial"/>
          <w:sz w:val="22"/>
          <w:szCs w:val="22"/>
          <w:color w:val="auto"/>
        </w:rPr>
        <w:t>means the following information and documentation regarding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proposed investment in a Fund Company: (a) a proposed Fund Addendum with the Fund Base Case Model and proposed amended Approved Budget attached as exhibits, (b) a summary of the proposed transaction and (c) all relevant Fund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not all Fund Documents are in final form, all current drafts thereof shall be provided with the initial Fund Company Presentation Package and final drafts shall be provided to the Members prior to the Intermediate Company’s execution of such documents.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Company Presentation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“Fund Company Put Event” </w:t>
      </w:r>
      <w:r>
        <w:rPr>
          <w:rFonts w:ascii="Arial" w:cs="Arial" w:eastAsia="Arial" w:hAnsi="Arial"/>
          <w:sz w:val="22"/>
          <w:szCs w:val="22"/>
          <w:color w:val="auto"/>
        </w:rPr>
        <w:t>means that an Intermediate Company is required to purchase a Fund Investor’s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membership interest in a Fund Company pursuant to the applicable Fund Documents.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“Fund Credit Profile” </w:t>
      </w:r>
      <w:r>
        <w:rPr>
          <w:rFonts w:ascii="Arial" w:cs="Arial" w:eastAsia="Arial" w:hAnsi="Arial"/>
          <w:sz w:val="22"/>
          <w:szCs w:val="22"/>
          <w:color w:val="auto"/>
        </w:rPr>
        <w:t>means, with respect to each Fund Company, the Fund Credit Profile attached to the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Fund Addendum.</w:t>
      </w:r>
    </w:p>
    <w:p>
      <w:pPr>
        <w:spacing w:after="0" w:line="16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“Fund Documents” </w:t>
      </w:r>
      <w:r>
        <w:rPr>
          <w:rFonts w:ascii="Arial" w:cs="Arial" w:eastAsia="Arial" w:hAnsi="Arial"/>
          <w:sz w:val="19"/>
          <w:szCs w:val="19"/>
          <w:color w:val="auto"/>
        </w:rPr>
        <w:t>means, with respect to each Fund Company, the material documents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ownership and operation of such Fund Company, including, if applicable, the purchase agreement whereby the applicable Intermediate Company acquired its interest in such Fund Company, the Fund Company’s operating agreement, the purchase and sale agreement or other similar document pursuant to which the Fund Company purchased or will purchase Projects, any operations and maintenance agreements, administrative service agreements or similar documents providing for the administration of such Fund Company and the operation and maintenance of the Projects, and any other material documents contemplated by any of the foregoing. For the avoidance of doubt, customer leases and offtake agreements are not Fund Documents.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Investor” </w:t>
      </w:r>
      <w:r>
        <w:rPr>
          <w:rFonts w:ascii="Arial" w:cs="Arial" w:eastAsia="Arial" w:hAnsi="Arial"/>
          <w:sz w:val="22"/>
          <w:szCs w:val="22"/>
          <w:color w:val="auto"/>
        </w:rPr>
        <w:t>and</w:t>
      </w:r>
      <w:r>
        <w:rPr>
          <w:rFonts w:ascii="Arial" w:cs="Arial" w:eastAsia="Arial" w:hAnsi="Arial"/>
          <w:sz w:val="22"/>
          <w:szCs w:val="22"/>
          <w:b w:val="1"/>
          <w:bCs w:val="1"/>
          <w:color w:val="auto"/>
        </w:rPr>
        <w:t xml:space="preserve"> “Fund Investors” </w:t>
      </w:r>
      <w:r>
        <w:rPr>
          <w:rFonts w:ascii="Arial" w:cs="Arial" w:eastAsia="Arial" w:hAnsi="Arial"/>
          <w:sz w:val="22"/>
          <w:szCs w:val="22"/>
          <w:color w:val="auto"/>
        </w:rPr>
        <w:t>are defined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 Investor Interests”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6.3(e)</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“Funding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“GAAP” </w:t>
      </w:r>
      <w:r>
        <w:rPr>
          <w:rFonts w:ascii="Arial" w:cs="Arial" w:eastAsia="Arial" w:hAnsi="Arial"/>
          <w:sz w:val="21"/>
          <w:szCs w:val="21"/>
          <w:color w:val="auto"/>
        </w:rPr>
        <w:t>means United States generally accepted accounting principles, as amended, consistently applied.</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“Good Management Standard” </w:t>
      </w:r>
      <w:r>
        <w:rPr>
          <w:rFonts w:ascii="Arial" w:cs="Arial" w:eastAsia="Arial" w:hAnsi="Arial"/>
          <w:sz w:val="22"/>
          <w:szCs w:val="22"/>
          <w:color w:val="auto"/>
        </w:rPr>
        <w:t>means that a Person will perform its management functions in good faith and in a</w:t>
      </w:r>
      <w:r>
        <w:rPr>
          <w:rFonts w:ascii="Arial" w:cs="Arial" w:eastAsia="Arial" w:hAnsi="Arial"/>
          <w:sz w:val="22"/>
          <w:szCs w:val="22"/>
          <w:b w:val="1"/>
          <w:bCs w:val="1"/>
          <w:color w:val="auto"/>
        </w:rPr>
        <w:t xml:space="preserve"> </w:t>
      </w:r>
      <w:r>
        <w:rPr>
          <w:rFonts w:ascii="Arial" w:cs="Arial" w:eastAsia="Arial" w:hAnsi="Arial"/>
          <w:sz w:val="22"/>
          <w:szCs w:val="22"/>
          <w:color w:val="auto"/>
        </w:rPr>
        <w:t>manner it reasonably believes to be in the best interests of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8"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Company. Good Management Standard is not intended to be limited to a single set of practices, methods and acts.</w:t>
      </w:r>
    </w:p>
    <w:p>
      <w:pPr>
        <w:spacing w:after="0" w:line="214"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“Governmental Authority” </w:t>
      </w:r>
      <w:r>
        <w:rPr>
          <w:rFonts w:ascii="Arial" w:cs="Arial" w:eastAsia="Arial" w:hAnsi="Arial"/>
          <w:sz w:val="19"/>
          <w:szCs w:val="19"/>
          <w:color w:val="auto"/>
        </w:rPr>
        <w:t>means any foreign, domestic, federal, territorial, state or local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“Highest Marginal Rate” </w:t>
      </w:r>
      <w:r>
        <w:rPr>
          <w:rFonts w:ascii="Arial" w:cs="Arial" w:eastAsia="Arial" w:hAnsi="Arial"/>
          <w:sz w:val="22"/>
          <w:szCs w:val="22"/>
          <w:color w:val="auto"/>
        </w:rPr>
        <w:t>means, with respect to any Member, the then highest marginal federal income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such Member. The Highest Marginal Rate applicable to the Class A Member shall be 37.6%, as such rate may be adjusted with respect to any Fund Company if specified otherwise in a Fund Addendum.</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“HoldCo 1”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3.3(h)</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as to a Class A Unit, the Class A Member holding such Class A Unit, and, as to a Class B Unit, the</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Member holding such Class B Unit.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“HSR Act” </w:t>
      </w:r>
      <w:r>
        <w:rPr>
          <w:rFonts w:ascii="Arial" w:cs="Arial" w:eastAsia="Arial" w:hAnsi="Arial"/>
          <w:sz w:val="22"/>
          <w:szCs w:val="22"/>
          <w:color w:val="auto"/>
        </w:rPr>
        <w:t>means the Hart-Scott-Rodino Antitrust Improvements Act of 1976,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“IE Approval”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“IE Rejection”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means indebtedness for borrowed money and any lease of any property as lessee the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required to be classified or accounted for as a capital lease on the balance sheet of the applicable Person, off-balance sheet leases, but expressly does not include short-term (</w:t>
      </w:r>
      <w:r>
        <w:rPr>
          <w:rFonts w:ascii="Arial" w:cs="Arial" w:eastAsia="Arial" w:hAnsi="Arial"/>
          <w:sz w:val="22"/>
          <w:szCs w:val="22"/>
          <w:i w:val="1"/>
          <w:iCs w:val="1"/>
          <w:color w:val="auto"/>
        </w:rPr>
        <w:t>i.e</w:t>
      </w:r>
      <w:r>
        <w:rPr>
          <w:rFonts w:ascii="Arial" w:cs="Arial" w:eastAsia="Arial" w:hAnsi="Arial"/>
          <w:sz w:val="22"/>
          <w:szCs w:val="22"/>
          <w:color w:val="auto"/>
        </w:rPr>
        <w:t>., less than one (1) year in maturity) trade payables incurred in the ordinary course of business.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“Indemnified Party”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“Indemnifying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69" w:lineRule="auto"/>
        <w:rPr>
          <w:sz w:val="20"/>
          <w:szCs w:val="20"/>
          <w:color w:val="auto"/>
        </w:rPr>
      </w:pPr>
      <w:r>
        <w:rPr>
          <w:rFonts w:ascii="Arial" w:cs="Arial" w:eastAsia="Arial" w:hAnsi="Arial"/>
          <w:sz w:val="22"/>
          <w:szCs w:val="22"/>
          <w:b w:val="1"/>
          <w:bCs w:val="1"/>
          <w:color w:val="auto"/>
        </w:rPr>
        <w:t xml:space="preserve">“Independent Engineer” </w:t>
      </w:r>
      <w:r>
        <w:rPr>
          <w:rFonts w:ascii="Arial" w:cs="Arial" w:eastAsia="Arial" w:hAnsi="Arial"/>
          <w:sz w:val="22"/>
          <w:szCs w:val="22"/>
          <w:color w:val="auto"/>
        </w:rPr>
        <w:t>means a nationally-recognized independent engineering consulting firm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acceptable to the Members.</w:t>
      </w:r>
    </w:p>
    <w:p>
      <w:pPr>
        <w:spacing w:after="0" w:line="162" w:lineRule="exact"/>
        <w:rPr>
          <w:sz w:val="20"/>
          <w:szCs w:val="20"/>
          <w:color w:val="auto"/>
        </w:rPr>
      </w:pPr>
    </w:p>
    <w:p>
      <w:pPr>
        <w:ind w:right="20" w:firstLine="1297"/>
        <w:spacing w:after="0" w:line="269" w:lineRule="auto"/>
        <w:rPr>
          <w:sz w:val="20"/>
          <w:szCs w:val="20"/>
          <w:color w:val="auto"/>
        </w:rPr>
      </w:pPr>
      <w:r>
        <w:rPr>
          <w:rFonts w:ascii="Arial" w:cs="Arial" w:eastAsia="Arial" w:hAnsi="Arial"/>
          <w:sz w:val="22"/>
          <w:szCs w:val="22"/>
          <w:b w:val="1"/>
          <w:bCs w:val="1"/>
          <w:color w:val="auto"/>
        </w:rPr>
        <w:t xml:space="preserve">“Initial Capital Contribution” </w:t>
      </w:r>
      <w:r>
        <w:rPr>
          <w:rFonts w:ascii="Arial" w:cs="Arial" w:eastAsia="Arial" w:hAnsi="Arial"/>
          <w:sz w:val="22"/>
          <w:szCs w:val="22"/>
          <w:color w:val="auto"/>
        </w:rPr>
        <w:t>means a Capital Contribution made directly or indirectly on behalf of such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on or prior to the Effective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“Initial Class A Member” </w:t>
      </w:r>
      <w:r>
        <w:rPr>
          <w:rFonts w:ascii="Arial" w:cs="Arial" w:eastAsia="Arial" w:hAnsi="Arial"/>
          <w:sz w:val="22"/>
          <w:szCs w:val="22"/>
          <w:color w:val="auto"/>
        </w:rPr>
        <w:t>means NRG Yield DGPV Holding LLC, a Delaware limited liability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04" w:right="239" w:bottom="1440" w:gutter="0" w:footer="0" w:header="0"/>
        </w:sectPr>
      </w:pPr>
    </w:p>
    <w:bookmarkStart w:id="234" w:name="page235"/>
    <w:bookmarkEnd w:id="234"/>
    <w:p>
      <w:pPr>
        <w:ind w:left="1300"/>
        <w:spacing w:after="0"/>
        <w:rPr>
          <w:sz w:val="20"/>
          <w:szCs w:val="20"/>
          <w:color w:val="auto"/>
        </w:rPr>
      </w:pPr>
      <w:r>
        <w:rPr>
          <w:rFonts w:ascii="Arial" w:cs="Arial" w:eastAsia="Arial" w:hAnsi="Arial"/>
          <w:sz w:val="22"/>
          <w:szCs w:val="22"/>
          <w:b w:val="1"/>
          <w:bCs w:val="1"/>
          <w:color w:val="auto"/>
        </w:rPr>
        <w:t xml:space="preserve">“Initial Class B Member” </w:t>
      </w:r>
      <w:r>
        <w:rPr>
          <w:rFonts w:ascii="Arial" w:cs="Arial" w:eastAsia="Arial" w:hAnsi="Arial"/>
          <w:sz w:val="22"/>
          <w:szCs w:val="22"/>
          <w:color w:val="auto"/>
        </w:rPr>
        <w:t>means NRG Renew DG Holdings LLC, a Delaware limited liability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“Intermediate Company” </w:t>
      </w:r>
      <w:r>
        <w:rPr>
          <w:rFonts w:ascii="Arial" w:cs="Arial" w:eastAsia="Arial" w:hAnsi="Arial"/>
          <w:sz w:val="21"/>
          <w:szCs w:val="21"/>
          <w:color w:val="auto"/>
        </w:rPr>
        <w:t>and</w:t>
      </w:r>
      <w:r>
        <w:rPr>
          <w:rFonts w:ascii="Arial" w:cs="Arial" w:eastAsia="Arial" w:hAnsi="Arial"/>
          <w:sz w:val="21"/>
          <w:szCs w:val="21"/>
          <w:b w:val="1"/>
          <w:bCs w:val="1"/>
          <w:color w:val="auto"/>
        </w:rPr>
        <w:t xml:space="preserve"> “Intermediate Companies” </w:t>
      </w:r>
      <w:r>
        <w:rPr>
          <w:rFonts w:ascii="Arial" w:cs="Arial" w:eastAsia="Arial" w:hAnsi="Arial"/>
          <w:sz w:val="21"/>
          <w:szCs w:val="21"/>
          <w:color w:val="auto"/>
        </w:rPr>
        <w:t>are defined in the recitals to this Agreement.</w:t>
      </w:r>
    </w:p>
    <w:p>
      <w:pPr>
        <w:spacing w:after="0" w:line="23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“Investment Costs” </w:t>
      </w:r>
      <w:r>
        <w:rPr>
          <w:rFonts w:ascii="Arial" w:cs="Arial" w:eastAsia="Arial" w:hAnsi="Arial"/>
          <w:sz w:val="22"/>
          <w:szCs w:val="22"/>
          <w:color w:val="auto"/>
        </w:rPr>
        <w:t>means, with respect to the O&amp;M Agreement or AMA, as applicable, the actual out-of-pocket</w:t>
      </w:r>
      <w:r>
        <w:rPr>
          <w:rFonts w:ascii="Arial" w:cs="Arial" w:eastAsia="Arial" w:hAnsi="Arial"/>
          <w:sz w:val="22"/>
          <w:szCs w:val="22"/>
          <w:b w:val="1"/>
          <w:bCs w:val="1"/>
          <w:color w:val="auto"/>
        </w:rPr>
        <w:t xml:space="preserve"> </w:t>
      </w:r>
      <w:r>
        <w:rPr>
          <w:rFonts w:ascii="Arial" w:cs="Arial" w:eastAsia="Arial" w:hAnsi="Arial"/>
          <w:sz w:val="22"/>
          <w:szCs w:val="22"/>
          <w:color w:val="auto"/>
        </w:rPr>
        <w:t>cost of (a) procurement of information technology systems for customer care service delivery (to the extent such systems are used with respect to the provision of services under the O&amp;M Agreement or AMA, as applicable); (b) equipment to self-perform operation and maintenance (to the extent such equipment is used with respect to the provision of services under the O&amp;M Agreement or AMA, as applicable) and that cannot reasonably be used elsewhere; and (c) project-specific customization and setup into existing systems.</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“Investment Documents” </w:t>
      </w:r>
      <w:r>
        <w:rPr>
          <w:rFonts w:ascii="Arial" w:cs="Arial" w:eastAsia="Arial" w:hAnsi="Arial"/>
          <w:sz w:val="22"/>
          <w:szCs w:val="22"/>
          <w:color w:val="auto"/>
        </w:rPr>
        <w:t>means this Agreement and any other documents entered into by the Company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Members acquiring and maintaining their Membership Interests in the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“Investment Grade Customers” </w:t>
      </w:r>
      <w:r>
        <w:rPr>
          <w:rFonts w:ascii="Arial" w:cs="Arial" w:eastAsia="Arial" w:hAnsi="Arial"/>
          <w:sz w:val="21"/>
          <w:szCs w:val="21"/>
          <w:color w:val="auto"/>
        </w:rPr>
        <w:t>shall have the meaning given to it in each applicable Fund Credit Profile.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“Investment Response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“Investment Period” </w:t>
      </w:r>
      <w:r>
        <w:rPr>
          <w:rFonts w:ascii="Arial" w:cs="Arial" w:eastAsia="Arial" w:hAnsi="Arial"/>
          <w:sz w:val="19"/>
          <w:szCs w:val="19"/>
          <w:color w:val="auto"/>
        </w:rPr>
        <w:t>means the period from the Effective Date until December 31, 2018;</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 Member has not invested the entire Class A Member Capital Contribution Commitment and, if applicable, any Class A Member Capital Contribution Commitment Accordion Amount, by the end of the Investment Period, then the Class B Member shall pay the Commitment Fee to the Class A Member within thirty (30) days after the end of the Investment Period and the Investment Period shall be deemed to have been extended until the Extended Investment Period Date. The Class A Member Capital Contribution Commitment and, if applicable, any Class A Member Capital Contribution Commitment Accordion Amount, will expire at the end of the Extended Investment Period Date unless extended by mutual agreement of the Parties.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“IRS” </w:t>
      </w:r>
      <w:r>
        <w:rPr>
          <w:rFonts w:ascii="Arial" w:cs="Arial" w:eastAsia="Arial" w:hAnsi="Arial"/>
          <w:sz w:val="22"/>
          <w:szCs w:val="22"/>
          <w:color w:val="auto"/>
        </w:rPr>
        <w:t>means the Internal Revenue Service and any successor Governmental Authority.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“Issued Interest”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“ITC” </w:t>
      </w:r>
      <w:r>
        <w:rPr>
          <w:rFonts w:ascii="Arial" w:cs="Arial" w:eastAsia="Arial" w:hAnsi="Arial"/>
          <w:sz w:val="22"/>
          <w:szCs w:val="22"/>
          <w:color w:val="auto"/>
        </w:rPr>
        <w:t>means the energy tax credit provided for under Section 48 of the Code.</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“Law” </w:t>
      </w:r>
      <w:r>
        <w:rPr>
          <w:rFonts w:ascii="Arial" w:cs="Arial" w:eastAsia="Arial" w:hAnsi="Arial"/>
          <w:sz w:val="22"/>
          <w:szCs w:val="22"/>
          <w:color w:val="auto"/>
        </w:rPr>
        <w:t>means any applicable constitution, statute, law, ordinance, regulation, rate, ruling, order, judgment, legally</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guideline, restriction, requirement, writ, injunction or decree that has been enacted, issued or promulgated by any Governmental Authority.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8" w:right="239" w:bottom="1440" w:gutter="0" w:footer="0" w:header="0"/>
        </w:sectPr>
      </w:pPr>
    </w:p>
    <w:bookmarkStart w:id="235" w:name="page236"/>
    <w:bookmarkEnd w:id="235"/>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“Licenses and Permits” </w:t>
      </w:r>
      <w:r>
        <w:rPr>
          <w:rFonts w:ascii="Arial" w:cs="Arial" w:eastAsia="Arial" w:hAnsi="Arial"/>
          <w:sz w:val="22"/>
          <w:szCs w:val="22"/>
          <w:color w:val="auto"/>
        </w:rPr>
        <w:t>means filings and registrations with, and licenses, permits, notices, approvals, grants,</w:t>
      </w:r>
      <w:r>
        <w:rPr>
          <w:rFonts w:ascii="Arial" w:cs="Arial" w:eastAsia="Arial" w:hAnsi="Arial"/>
          <w:sz w:val="22"/>
          <w:szCs w:val="22"/>
          <w:b w:val="1"/>
          <w:bCs w:val="1"/>
          <w:color w:val="auto"/>
        </w:rPr>
        <w:t xml:space="preserve"> </w:t>
      </w:r>
      <w:r>
        <w:rPr>
          <w:rFonts w:ascii="Arial" w:cs="Arial" w:eastAsia="Arial" w:hAnsi="Arial"/>
          <w:sz w:val="22"/>
          <w:szCs w:val="22"/>
          <w:color w:val="auto"/>
        </w:rPr>
        <w:t>easements, exemptions, variances and authorizations from, any Governmental Authority.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“Liquidating Events”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b w:val="1"/>
          <w:bCs w:val="1"/>
          <w:color w:val="auto"/>
        </w:rPr>
        <w:t xml:space="preserve">“Manager” </w:t>
      </w:r>
      <w:r>
        <w:rPr>
          <w:rFonts w:ascii="Arial" w:cs="Arial" w:eastAsia="Arial" w:hAnsi="Arial"/>
          <w:sz w:val="19"/>
          <w:szCs w:val="19"/>
          <w:color w:val="auto"/>
        </w:rPr>
        <w:t>means the Person appointed by the Members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w:t>
      </w:r>
      <w:r>
        <w:rPr>
          <w:rFonts w:ascii="Arial" w:cs="Arial" w:eastAsia="Arial" w:hAnsi="Arial"/>
          <w:sz w:val="19"/>
          <w:szCs w:val="19"/>
          <w:b w:val="1"/>
          <w:bCs w:val="1"/>
          <w:color w:val="auto"/>
        </w:rPr>
        <w:t xml:space="preserve"> </w:t>
      </w:r>
      <w:r>
        <w:rPr>
          <w:rFonts w:ascii="Arial" w:cs="Arial" w:eastAsia="Arial" w:hAnsi="Arial"/>
          <w:sz w:val="19"/>
          <w:szCs w:val="19"/>
          <w:color w:val="auto"/>
        </w:rPr>
        <w:t>to manage the affairs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and any other Person hereafter appointed as a successor Manager of the Company as provided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Pursuant to its appointment by the Members in </w:t>
      </w:r>
      <w:r>
        <w:rPr>
          <w:rFonts w:ascii="Arial" w:cs="Arial" w:eastAsia="Arial" w:hAnsi="Arial"/>
          <w:sz w:val="19"/>
          <w:szCs w:val="19"/>
          <w:u w:val="single" w:color="auto"/>
          <w:color w:val="auto"/>
        </w:rPr>
        <w:t>Section 6.1</w:t>
      </w:r>
      <w:r>
        <w:rPr>
          <w:rFonts w:ascii="Arial" w:cs="Arial" w:eastAsia="Arial" w:hAnsi="Arial"/>
          <w:sz w:val="19"/>
          <w:szCs w:val="19"/>
          <w:color w:val="auto"/>
        </w:rPr>
        <w:t>, the Initial Class B Member shall be the initial Manager of the Company.</w:t>
      </w:r>
    </w:p>
    <w:p>
      <w:pPr>
        <w:spacing w:after="0" w:line="12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“Master Services Provider” </w:t>
      </w:r>
      <w:r>
        <w:rPr>
          <w:rFonts w:ascii="Arial" w:cs="Arial" w:eastAsia="Arial" w:hAnsi="Arial"/>
          <w:sz w:val="22"/>
          <w:szCs w:val="22"/>
          <w:color w:val="auto"/>
        </w:rPr>
        <w:t>means NRG Solar Asset Management LLC, a Delaware limited liability company.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this Agreement the Master Services Provider shall be considered an Affiliate of the Initial Class B Member but not an Affiliate of the Initial Class A Member.</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“Member” </w:t>
      </w:r>
      <w:r>
        <w:rPr>
          <w:rFonts w:ascii="Arial" w:cs="Arial" w:eastAsia="Arial" w:hAnsi="Arial"/>
          <w:sz w:val="22"/>
          <w:szCs w:val="22"/>
          <w:color w:val="auto"/>
        </w:rPr>
        <w:t>means any Person who executes the signature page of this Agreement as of the Effective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agrees to be bound hereby and is admitted to the Company as a Member pursuant to this Agreement, excluding any Person that has ceased to be a Member.</w:t>
      </w:r>
    </w:p>
    <w:p>
      <w:pPr>
        <w:spacing w:after="0" w:line="176"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“Member Contribution Event” </w:t>
      </w:r>
      <w:r>
        <w:rPr>
          <w:rFonts w:ascii="Arial" w:cs="Arial" w:eastAsia="Arial" w:hAnsi="Arial"/>
          <w:sz w:val="19"/>
          <w:szCs w:val="19"/>
          <w:color w:val="auto"/>
        </w:rPr>
        <w:t>means an event requiring a Member to make a Capital Contribution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in connection with a liability of a Subject Company under a Fund Document or otherwise that is the obligation of that Member (a) as a result of such Member’s indemnity obligations to the other Members under </w:t>
      </w:r>
      <w:r>
        <w:rPr>
          <w:rFonts w:ascii="Arial" w:cs="Arial" w:eastAsia="Arial" w:hAnsi="Arial"/>
          <w:sz w:val="19"/>
          <w:szCs w:val="19"/>
          <w:u w:val="single" w:color="auto"/>
          <w:color w:val="auto"/>
        </w:rPr>
        <w:t>Article XI</w:t>
      </w:r>
      <w:r>
        <w:rPr>
          <w:rFonts w:ascii="Arial" w:cs="Arial" w:eastAsia="Arial" w:hAnsi="Arial"/>
          <w:sz w:val="19"/>
          <w:szCs w:val="19"/>
          <w:color w:val="auto"/>
        </w:rPr>
        <w:t>, or (b) with respect to the Class B Member, non-utilization fees, non-deployment fees or commitment fees that are payable to a Fund Investor arising under the Fund Documents or any legal or other fees and costs in connection with the negotiation and entry by the Intermediate Company or any other Person into any Fund Documents, which obligation shall be borne solely by the Class B Member.</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“Member Loan”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8" w:lineRule="exact"/>
        <w:rPr>
          <w:sz w:val="20"/>
          <w:szCs w:val="20"/>
          <w:color w:val="auto"/>
        </w:rPr>
      </w:pPr>
      <w:r>
        <w:rPr>
          <w:rFonts w:ascii="Arial" w:cs="Arial" w:eastAsia="Arial" w:hAnsi="Arial"/>
          <w:sz w:val="22"/>
          <w:szCs w:val="22"/>
          <w:b w:val="1"/>
          <w:bCs w:val="1"/>
          <w:color w:val="auto"/>
        </w:rPr>
        <w:t xml:space="preserve">“Member Nonrecourse Debt” </w:t>
      </w:r>
      <w:r>
        <w:rPr>
          <w:rFonts w:ascii="Arial" w:cs="Arial" w:eastAsia="Arial" w:hAnsi="Arial"/>
          <w:sz w:val="22"/>
          <w:szCs w:val="22"/>
          <w:color w:val="auto"/>
        </w:rPr>
        <w:t>has the meaning given the term “partner nonrecourse debt” in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1.704</w:t>
      </w:r>
      <w:r>
        <w:rPr>
          <w:rFonts w:ascii="MS PGothic" w:cs="MS PGothic" w:eastAsia="MS PGothic" w:hAnsi="MS PGothic"/>
          <w:sz w:val="22"/>
          <w:szCs w:val="22"/>
          <w:color w:val="auto"/>
        </w:rPr>
        <w:t>‑</w:t>
      </w:r>
      <w:r>
        <w:rPr>
          <w:rFonts w:ascii="Arial" w:cs="Arial" w:eastAsia="Arial" w:hAnsi="Arial"/>
          <w:sz w:val="22"/>
          <w:szCs w:val="22"/>
          <w:color w:val="auto"/>
        </w:rPr>
        <w:t>2(b)(4).</w:t>
      </w:r>
    </w:p>
    <w:p>
      <w:pPr>
        <w:spacing w:after="0" w:line="194" w:lineRule="exact"/>
        <w:rPr>
          <w:sz w:val="20"/>
          <w:szCs w:val="20"/>
          <w:color w:val="auto"/>
        </w:rPr>
      </w:pPr>
    </w:p>
    <w:p>
      <w:pPr>
        <w:jc w:val="both"/>
        <w:ind w:firstLine="1297"/>
        <w:spacing w:after="0" w:line="265" w:lineRule="exact"/>
        <w:rPr>
          <w:sz w:val="20"/>
          <w:szCs w:val="20"/>
          <w:color w:val="auto"/>
        </w:rPr>
      </w:pPr>
      <w:r>
        <w:rPr>
          <w:rFonts w:ascii="Arial" w:cs="Arial" w:eastAsia="Arial" w:hAnsi="Arial"/>
          <w:sz w:val="22"/>
          <w:szCs w:val="22"/>
          <w:b w:val="1"/>
          <w:bCs w:val="1"/>
          <w:color w:val="auto"/>
        </w:rPr>
        <w:t xml:space="preserve">“Member Nonrecourse Debt Minimum Gain” </w:t>
      </w:r>
      <w:r>
        <w:rPr>
          <w:rFonts w:ascii="Arial" w:cs="Arial" w:eastAsia="Arial" w:hAnsi="Arial"/>
          <w:sz w:val="22"/>
          <w:szCs w:val="22"/>
          <w:color w:val="auto"/>
        </w:rPr>
        <w:t>has the meaning given the term “partner nonrecourse debt</w:t>
      </w:r>
      <w:r>
        <w:rPr>
          <w:rFonts w:ascii="Arial" w:cs="Arial" w:eastAsia="Arial" w:hAnsi="Arial"/>
          <w:sz w:val="22"/>
          <w:szCs w:val="22"/>
          <w:b w:val="1"/>
          <w:bCs w:val="1"/>
          <w:color w:val="auto"/>
        </w:rPr>
        <w:t xml:space="preserve"> </w:t>
      </w:r>
      <w:r>
        <w:rPr>
          <w:rFonts w:ascii="Arial" w:cs="Arial" w:eastAsia="Arial" w:hAnsi="Arial"/>
          <w:sz w:val="22"/>
          <w:szCs w:val="22"/>
          <w:color w:val="auto"/>
        </w:rPr>
        <w:t>minimum gain” set forth in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2(i)(2), and will be computed as provided in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2(i)(3).</w:t>
      </w:r>
    </w:p>
    <w:p>
      <w:pPr>
        <w:spacing w:after="0" w:line="192"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 xml:space="preserve">“Member Nonrecourse Deductions” </w:t>
      </w:r>
      <w:r>
        <w:rPr>
          <w:rFonts w:ascii="Arial" w:cs="Arial" w:eastAsia="Arial" w:hAnsi="Arial"/>
          <w:sz w:val="22"/>
          <w:szCs w:val="22"/>
          <w:color w:val="auto"/>
        </w:rPr>
        <w:t>has the same meaning as the term “partner nonrecourse deductions”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2(i)(1) and 1.704</w:t>
      </w:r>
      <w:r>
        <w:rPr>
          <w:rFonts w:ascii="MS PGothic" w:cs="MS PGothic" w:eastAsia="MS PGothic" w:hAnsi="MS PGothic"/>
          <w:sz w:val="22"/>
          <w:szCs w:val="22"/>
          <w:color w:val="auto"/>
        </w:rPr>
        <w:t>‑</w:t>
      </w:r>
      <w:r>
        <w:rPr>
          <w:rFonts w:ascii="Arial" w:cs="Arial" w:eastAsia="Arial" w:hAnsi="Arial"/>
          <w:sz w:val="22"/>
          <w:szCs w:val="22"/>
          <w:color w:val="auto"/>
        </w:rPr>
        <w:t>2(i)(2).</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“Membership Interest” </w:t>
      </w:r>
      <w:r>
        <w:rPr>
          <w:rFonts w:ascii="Arial" w:cs="Arial" w:eastAsia="Arial" w:hAnsi="Arial"/>
          <w:sz w:val="19"/>
          <w:szCs w:val="19"/>
          <w:color w:val="auto"/>
        </w:rPr>
        <w:t>means either the Class A Interest or the Class B Interest or both, as the context requires.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 Service, or any successor entity.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8" w:right="239" w:bottom="1440" w:gutter="0" w:footer="0" w:header="0"/>
        </w:sectPr>
      </w:pPr>
    </w:p>
    <w:bookmarkStart w:id="236" w:name="page237"/>
    <w:bookmarkEnd w:id="236"/>
    <w:p>
      <w:pPr>
        <w:ind w:left="1300"/>
        <w:spacing w:after="0"/>
        <w:rPr>
          <w:sz w:val="20"/>
          <w:szCs w:val="20"/>
          <w:color w:val="auto"/>
        </w:rPr>
      </w:pPr>
      <w:r>
        <w:rPr>
          <w:rFonts w:ascii="Arial" w:cs="Arial" w:eastAsia="Arial" w:hAnsi="Arial"/>
          <w:sz w:val="22"/>
          <w:szCs w:val="22"/>
          <w:b w:val="1"/>
          <w:bCs w:val="1"/>
          <w:color w:val="auto"/>
        </w:rPr>
        <w:t xml:space="preserve">“New Chapter 63” </w:t>
      </w:r>
      <w:r>
        <w:rPr>
          <w:rFonts w:ascii="Arial" w:cs="Arial" w:eastAsia="Arial" w:hAnsi="Arial"/>
          <w:sz w:val="22"/>
          <w:szCs w:val="22"/>
          <w:color w:val="auto"/>
        </w:rPr>
        <w:t>means Subtitle F, Chapter 63 of the Code, as amended by the Budget Act.</w:t>
      </w:r>
    </w:p>
    <w:p>
      <w:pPr>
        <w:spacing w:after="0" w:line="220" w:lineRule="exact"/>
        <w:rPr>
          <w:sz w:val="20"/>
          <w:szCs w:val="20"/>
          <w:color w:val="auto"/>
        </w:rPr>
      </w:pPr>
    </w:p>
    <w:p>
      <w:pPr>
        <w:ind w:left="1300"/>
        <w:spacing w:after="0" w:line="219" w:lineRule="exact"/>
        <w:rPr>
          <w:sz w:val="20"/>
          <w:szCs w:val="20"/>
          <w:color w:val="auto"/>
        </w:rPr>
      </w:pPr>
      <w:r>
        <w:rPr>
          <w:rFonts w:ascii="Arial" w:cs="Arial" w:eastAsia="Arial" w:hAnsi="Arial"/>
          <w:sz w:val="19"/>
          <w:szCs w:val="19"/>
          <w:b w:val="1"/>
          <w:bCs w:val="1"/>
          <w:color w:val="auto"/>
        </w:rPr>
        <w:t xml:space="preserve">“Nonrecourse Deductions” </w:t>
      </w:r>
      <w:r>
        <w:rPr>
          <w:rFonts w:ascii="Arial" w:cs="Arial" w:eastAsia="Arial" w:hAnsi="Arial"/>
          <w:sz w:val="19"/>
          <w:szCs w:val="19"/>
          <w:color w:val="auto"/>
        </w:rPr>
        <w:t>has the meaning given to such term in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2(b)(1) and</w:t>
      </w:r>
    </w:p>
    <w:p>
      <w:pPr>
        <w:spacing w:after="0" w:line="62"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1.704</w:t>
      </w:r>
      <w:r>
        <w:rPr>
          <w:rFonts w:ascii="MS PGothic" w:cs="MS PGothic" w:eastAsia="MS PGothic" w:hAnsi="MS PGothic"/>
          <w:sz w:val="22"/>
          <w:szCs w:val="22"/>
          <w:color w:val="auto"/>
        </w:rPr>
        <w:t>‑</w:t>
      </w:r>
      <w:r>
        <w:rPr>
          <w:rFonts w:ascii="Arial" w:cs="Arial" w:eastAsia="Arial" w:hAnsi="Arial"/>
          <w:sz w:val="22"/>
          <w:szCs w:val="22"/>
          <w:color w:val="auto"/>
        </w:rPr>
        <w:t>2(c).</w:t>
      </w:r>
    </w:p>
    <w:p>
      <w:pPr>
        <w:spacing w:after="0" w:line="196" w:lineRule="exact"/>
        <w:rPr>
          <w:sz w:val="20"/>
          <w:szCs w:val="20"/>
          <w:color w:val="auto"/>
        </w:rPr>
      </w:pPr>
    </w:p>
    <w:p>
      <w:pPr>
        <w:ind w:left="1300"/>
        <w:spacing w:after="0" w:line="242" w:lineRule="exact"/>
        <w:rPr>
          <w:sz w:val="20"/>
          <w:szCs w:val="20"/>
          <w:color w:val="auto"/>
        </w:rPr>
      </w:pPr>
      <w:r>
        <w:rPr>
          <w:rFonts w:ascii="Arial" w:cs="Arial" w:eastAsia="Arial" w:hAnsi="Arial"/>
          <w:sz w:val="21"/>
          <w:szCs w:val="21"/>
          <w:b w:val="1"/>
          <w:bCs w:val="1"/>
          <w:color w:val="auto"/>
        </w:rPr>
        <w:t xml:space="preserve">“Nonrecourse Liability” </w:t>
      </w:r>
      <w:r>
        <w:rPr>
          <w:rFonts w:ascii="Arial" w:cs="Arial" w:eastAsia="Arial" w:hAnsi="Arial"/>
          <w:sz w:val="21"/>
          <w:szCs w:val="21"/>
          <w:color w:val="auto"/>
        </w:rPr>
        <w:t>has the meaning given such term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2(b)(3).</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“Officers”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50" w:lineRule="auto"/>
        <w:rPr>
          <w:sz w:val="20"/>
          <w:szCs w:val="20"/>
          <w:color w:val="auto"/>
        </w:rPr>
      </w:pPr>
      <w:r>
        <w:rPr>
          <w:rFonts w:ascii="Arial" w:cs="Arial" w:eastAsia="Arial" w:hAnsi="Arial"/>
          <w:sz w:val="19"/>
          <w:szCs w:val="19"/>
          <w:b w:val="1"/>
          <w:bCs w:val="1"/>
          <w:color w:val="auto"/>
        </w:rPr>
        <w:t>“O&amp;M Agreement</w:t>
      </w:r>
      <w:r>
        <w:rPr>
          <w:rFonts w:ascii="Arial" w:cs="Arial" w:eastAsia="Arial" w:hAnsi="Arial"/>
          <w:sz w:val="19"/>
          <w:szCs w:val="19"/>
          <w:color w:val="auto"/>
        </w:rPr>
        <w:t>” means that certain O&amp;M Management Services Agreement, dated July 31, 2017 between NRG</w:t>
      </w:r>
      <w:r>
        <w:rPr>
          <w:rFonts w:ascii="Arial" w:cs="Arial" w:eastAsia="Arial" w:hAnsi="Arial"/>
          <w:sz w:val="19"/>
          <w:szCs w:val="19"/>
          <w:b w:val="1"/>
          <w:bCs w:val="1"/>
          <w:color w:val="auto"/>
        </w:rPr>
        <w:t xml:space="preserve"> </w:t>
      </w:r>
      <w:r>
        <w:rPr>
          <w:rFonts w:ascii="Arial" w:cs="Arial" w:eastAsia="Arial" w:hAnsi="Arial"/>
          <w:sz w:val="19"/>
          <w:szCs w:val="19"/>
          <w:color w:val="auto"/>
        </w:rPr>
        <w:t>Chestnut Fund, LLC, and NRG Renew Operation &amp; Maintenance LLC as amended, modified, supplemented from time to time.</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“Original Agreement” </w:t>
      </w:r>
      <w:r>
        <w:rPr>
          <w:rFonts w:ascii="Arial" w:cs="Arial" w:eastAsia="Arial" w:hAnsi="Arial"/>
          <w:sz w:val="22"/>
          <w:szCs w:val="22"/>
          <w:color w:val="auto"/>
        </w:rPr>
        <w:t>has the meaning given that term in the introductory paragraph.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“Party” </w:t>
      </w:r>
      <w:r>
        <w:rPr>
          <w:rFonts w:ascii="Arial" w:cs="Arial" w:eastAsia="Arial" w:hAnsi="Arial"/>
          <w:sz w:val="22"/>
          <w:szCs w:val="22"/>
          <w:color w:val="auto"/>
        </w:rPr>
        <w:t>means the Class B Member, the Company or the Class A Member, as the context requires.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“Permitted Investments”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a corporation, a limited liability company, a partnership, an association, joint</w:t>
      </w:r>
      <w:r>
        <w:rPr>
          <w:rFonts w:ascii="Arial" w:cs="Arial" w:eastAsia="Arial" w:hAnsi="Arial"/>
          <w:sz w:val="22"/>
          <w:szCs w:val="22"/>
          <w:b w:val="1"/>
          <w:bCs w:val="1"/>
          <w:color w:val="auto"/>
        </w:rPr>
        <w:t xml:space="preserve"> </w:t>
      </w:r>
      <w:r>
        <w:rPr>
          <w:rFonts w:ascii="Arial" w:cs="Arial" w:eastAsia="Arial" w:hAnsi="Arial"/>
          <w:sz w:val="22"/>
          <w:szCs w:val="22"/>
          <w:color w:val="auto"/>
        </w:rPr>
        <w:t>venture, a labor union, a trust or any other entity or organization, including a Governmental Authority.</w:t>
      </w:r>
    </w:p>
    <w:p>
      <w:pPr>
        <w:spacing w:after="0" w:line="162"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1"/>
          <w:szCs w:val="21"/>
          <w:b w:val="1"/>
          <w:bCs w:val="1"/>
          <w:color w:val="auto"/>
        </w:rPr>
        <w:t>“Placed</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in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Service” </w:t>
      </w:r>
      <w:r>
        <w:rPr>
          <w:rFonts w:ascii="Arial" w:cs="Arial" w:eastAsia="Arial" w:hAnsi="Arial"/>
          <w:sz w:val="21"/>
          <w:szCs w:val="21"/>
          <w:color w:val="auto"/>
        </w:rPr>
        <w:t>means, with respect to any Project that is owned by a Fund Company, the applicable definition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“placed in service” provided in such Fund Documents, and, for any other Project, that (a) all necessary permits and licenses for operating such Project (including, for the avoidance of doubt, the permission to operate letter) have been obtained , (b) all critical commissioning and testing activities necessary for proper operation of such Fund Company have been performed, (c) legal title and control to such Project has been transferred to the Company, (d) initial synchronization of such Project to the grid has occurred and (e) daily operation of such Project has begun.</w:t>
      </w:r>
    </w:p>
    <w:p>
      <w:pPr>
        <w:spacing w:after="0" w:line="198"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b w:val="1"/>
          <w:bCs w:val="1"/>
          <w:color w:val="auto"/>
        </w:rPr>
        <w:t>“Placed</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in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Service Date” </w:t>
      </w:r>
      <w:r>
        <w:rPr>
          <w:rFonts w:ascii="Arial" w:cs="Arial" w:eastAsia="Arial" w:hAnsi="Arial"/>
          <w:sz w:val="22"/>
          <w:szCs w:val="22"/>
          <w:color w:val="auto"/>
        </w:rPr>
        <w:t>in respect of a Project means the date such Project is Placed in Service.</w:t>
      </w:r>
    </w:p>
    <w:p>
      <w:pPr>
        <w:spacing w:after="0" w:line="22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 xml:space="preserve">“Portfolio Material Adverse Effect” </w:t>
      </w:r>
      <w:r>
        <w:rPr>
          <w:rFonts w:ascii="Arial" w:cs="Arial" w:eastAsia="Arial" w:hAnsi="Arial"/>
          <w:sz w:val="19"/>
          <w:szCs w:val="19"/>
          <w:color w:val="auto"/>
        </w:rPr>
        <w:t>means any act, event, condition or circumstance that, individually or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has, or could reasonably be expected to have, a material adverse effect on (a) the Projects, taken as a whole, (b) the business, earnings, Assets, liabilities (contingent or otherwise), results of operations, prospects, condition (financial or otherwise) or properties of the Projects, taken as a whole, or any of the following Persons: the Company, the Subject Companies (taken as a whole) or, to the extent expressly specified, any Member, or on the ability of any such Person to timely perform any of its respective obligations under any Investment Document, (c) the rights and remedies of any Class A Member under 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8"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Investment Document or (d) the legality, validity, binding effect or enforceability of any Investment Document.</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“Post Investment Period Contribution Percentage” </w:t>
      </w:r>
      <w:r>
        <w:rPr>
          <w:rFonts w:ascii="Arial" w:cs="Arial" w:eastAsia="Arial" w:hAnsi="Arial"/>
          <w:sz w:val="22"/>
          <w:szCs w:val="22"/>
          <w:color w:val="auto"/>
        </w:rPr>
        <w:t>means, the percentage for each Member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percentage of distributable cash for such Member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“Project” </w:t>
      </w:r>
      <w:r>
        <w:rPr>
          <w:rFonts w:ascii="Arial" w:cs="Arial" w:eastAsia="Arial" w:hAnsi="Arial"/>
          <w:sz w:val="22"/>
          <w:szCs w:val="22"/>
          <w:color w:val="auto"/>
        </w:rPr>
        <w:t>is defined in the recitals to this Agreement.</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“Project Documents” </w:t>
      </w:r>
      <w:r>
        <w:rPr>
          <w:rFonts w:ascii="Arial" w:cs="Arial" w:eastAsia="Arial" w:hAnsi="Arial"/>
          <w:sz w:val="22"/>
          <w:szCs w:val="22"/>
          <w:color w:val="auto"/>
        </w:rPr>
        <w:t>means collectively, with respect to each Fund Company, all Fund Documents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Contracts with respect to such Fund Company to which the Company or any Subject Company is a party or by which it or its Assets are bound.</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“PUHCA” </w:t>
      </w:r>
      <w:r>
        <w:rPr>
          <w:rFonts w:ascii="Arial" w:cs="Arial" w:eastAsia="Arial" w:hAnsi="Arial"/>
          <w:sz w:val="22"/>
          <w:szCs w:val="22"/>
          <w:color w:val="auto"/>
        </w:rPr>
        <w:t>means the Public Utility Holding Company Act of 2005, 42 U.S.C. §§ 16451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b w:val="1"/>
          <w:bCs w:val="1"/>
          <w:color w:val="auto"/>
        </w:rPr>
        <w:t xml:space="preserve"> </w:t>
      </w:r>
      <w:r>
        <w:rPr>
          <w:rFonts w:ascii="Arial" w:cs="Arial" w:eastAsia="Arial" w:hAnsi="Arial"/>
          <w:sz w:val="22"/>
          <w:szCs w:val="22"/>
          <w:color w:val="auto"/>
        </w:rPr>
        <w:t>(2013)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regulations of the FERC thereunder at 18 C.F.R. §§ 366.1,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(2013).</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b w:val="1"/>
          <w:bCs w:val="1"/>
          <w:color w:val="auto"/>
        </w:rPr>
        <w:t xml:space="preserve">“Qualified Transferee” </w:t>
      </w:r>
      <w:r>
        <w:rPr>
          <w:rFonts w:ascii="Arial" w:cs="Arial" w:eastAsia="Arial" w:hAnsi="Arial"/>
          <w:sz w:val="19"/>
          <w:szCs w:val="19"/>
          <w:color w:val="auto"/>
        </w:rPr>
        <w:t>means a nationally recognized Person (or a direct or indirect subsidiary of a Person): (a)</w:t>
      </w:r>
      <w:r>
        <w:rPr>
          <w:rFonts w:ascii="Arial" w:cs="Arial" w:eastAsia="Arial" w:hAnsi="Arial"/>
          <w:sz w:val="19"/>
          <w:szCs w:val="19"/>
          <w:b w:val="1"/>
          <w:bCs w:val="1"/>
          <w:color w:val="auto"/>
        </w:rPr>
        <w:t xml:space="preserve"> </w:t>
      </w:r>
      <w:r>
        <w:rPr>
          <w:rFonts w:ascii="Arial" w:cs="Arial" w:eastAsia="Arial" w:hAnsi="Arial"/>
          <w:sz w:val="19"/>
          <w:szCs w:val="19"/>
          <w:color w:val="auto"/>
        </w:rPr>
        <w:t>that, with respect to an Encumbrance on a Class B Unit, (i) owns and manages or operates (before giving effect to any Transfer hereunder) not less than 100 MWs of solar projects in the United States, and such Person (or such Person’s direct or indirect Parent) must have done so for a period of at least three (3) years prior to the Transfer or (ii) engages a Person (at its own cost and expense) meeting the qualifications of clause (i) above to act as a non-member manager hereunder, and (b) that (i) has a credit rating of “BBB” or higher by S&amp;P and “Baa2” or higher by Moody’s, or (ii) has a direct or indirect parent with a credit rating of “BBB” or higher by S&amp;P and “Baa2” or higher by Moody’s, and such parent provides a guaranty in favor of the Members not party to such Encumbrance, in form and substance reasonably acceptable to such Members.</w:t>
      </w:r>
    </w:p>
    <w:p>
      <w:pPr>
        <w:spacing w:after="0" w:line="15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“Qualifying Facility” </w:t>
      </w:r>
      <w:r>
        <w:rPr>
          <w:rFonts w:ascii="Arial" w:cs="Arial" w:eastAsia="Arial" w:hAnsi="Arial"/>
          <w:sz w:val="22"/>
          <w:szCs w:val="22"/>
          <w:color w:val="auto"/>
        </w:rPr>
        <w:t>means a “qualifying small power production facility” as defined in PURPA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implementing regulations of the FERC thereunder.</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“Recapture Event” </w:t>
      </w:r>
      <w:r>
        <w:rPr>
          <w:rFonts w:ascii="Arial" w:cs="Arial" w:eastAsia="Arial" w:hAnsi="Arial"/>
          <w:sz w:val="22"/>
          <w:szCs w:val="22"/>
          <w:color w:val="auto"/>
        </w:rPr>
        <w:t>means an event within the meaning of Section 50 of the Code and the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that results in a reduction, denial or recapture of the ITC, or a portion thereof, by any Governmental Authority, at either the Company level or from any individual Member.</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“Recapture Period” </w:t>
      </w:r>
      <w:r>
        <w:rPr>
          <w:rFonts w:ascii="Arial" w:cs="Arial" w:eastAsia="Arial" w:hAnsi="Arial"/>
          <w:sz w:val="22"/>
          <w:szCs w:val="22"/>
          <w:color w:val="auto"/>
        </w:rPr>
        <w:t>means the period from the date that the first Project is Placed in Service until the date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five (5) years from the date that the last Project is Placed in Service.</w:t>
      </w:r>
    </w:p>
    <w:p>
      <w:pPr>
        <w:spacing w:after="0" w:line="162"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“RECs” </w:t>
      </w:r>
      <w:r>
        <w:rPr>
          <w:rFonts w:ascii="Arial" w:cs="Arial" w:eastAsia="Arial" w:hAnsi="Arial"/>
          <w:sz w:val="19"/>
          <w:szCs w:val="19"/>
          <w:color w:val="auto"/>
        </w:rPr>
        <w:t>means any credits, credit certificates, green tags or similar environmental or green energy attributes (such</w:t>
      </w:r>
      <w:r>
        <w:rPr>
          <w:rFonts w:ascii="Arial" w:cs="Arial" w:eastAsia="Arial" w:hAnsi="Arial"/>
          <w:sz w:val="19"/>
          <w:szCs w:val="19"/>
          <w:b w:val="1"/>
          <w:bCs w:val="1"/>
          <w:color w:val="auto"/>
        </w:rPr>
        <w:t xml:space="preserve"> </w:t>
      </w:r>
      <w:r>
        <w:rPr>
          <w:rFonts w:ascii="Arial" w:cs="Arial" w:eastAsia="Arial" w:hAnsi="Arial"/>
          <w:sz w:val="19"/>
          <w:szCs w:val="19"/>
          <w:color w:val="auto"/>
        </w:rPr>
        <w:t>as those for greenhouse reduction or the generation of green power or renewable energy) created by a Governmental Authority or independent certification board or group generally recognized in the electric power generation industry, and generated by or associated with a Project or electricity produced therefrom, but excluding ITCs or any other tax benefits.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05" w:right="239" w:bottom="1440" w:gutter="0" w:footer="0" w:header="0"/>
        </w:sectPr>
      </w:pPr>
    </w:p>
    <w:bookmarkStart w:id="238" w:name="page239"/>
    <w:bookmarkEnd w:id="238"/>
    <w:p>
      <w:pPr>
        <w:jc w:val="both"/>
        <w:ind w:right="20" w:firstLine="1297"/>
        <w:spacing w:after="0" w:line="350" w:lineRule="auto"/>
        <w:rPr>
          <w:sz w:val="20"/>
          <w:szCs w:val="20"/>
          <w:color w:val="auto"/>
        </w:rPr>
      </w:pPr>
      <w:r>
        <w:rPr>
          <w:rFonts w:ascii="Arial" w:cs="Arial" w:eastAsia="Arial" w:hAnsi="Arial"/>
          <w:sz w:val="19"/>
          <w:szCs w:val="19"/>
          <w:b w:val="1"/>
          <w:bCs w:val="1"/>
          <w:color w:val="auto"/>
        </w:rPr>
        <w:t xml:space="preserve">“Reference Rate” </w:t>
      </w:r>
      <w:r>
        <w:rPr>
          <w:rFonts w:ascii="Arial" w:cs="Arial" w:eastAsia="Arial" w:hAnsi="Arial"/>
          <w:sz w:val="19"/>
          <w:szCs w:val="19"/>
          <w:color w:val="auto"/>
        </w:rPr>
        <w:t>means the rate of interest published in The Wall Street Journal as the prime lending rate or</w:t>
      </w:r>
      <w:r>
        <w:rPr>
          <w:rFonts w:ascii="Arial" w:cs="Arial" w:eastAsia="Arial" w:hAnsi="Arial"/>
          <w:sz w:val="19"/>
          <w:szCs w:val="19"/>
          <w:b w:val="1"/>
          <w:bCs w:val="1"/>
          <w:color w:val="auto"/>
        </w:rPr>
        <w:t xml:space="preserve"> </w:t>
      </w:r>
      <w:r>
        <w:rPr>
          <w:rFonts w:ascii="Arial" w:cs="Arial" w:eastAsia="Arial" w:hAnsi="Arial"/>
          <w:sz w:val="19"/>
          <w:szCs w:val="19"/>
          <w:color w:val="auto"/>
        </w:rPr>
        <w:t>“prime rate”, with adjustments in that varying rate to be made on the same date as any change in that rate is so published.</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“Register”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“Regulatory Allocations”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4.3(i)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“Rejected Acquisition”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“Related Party(ies)” </w:t>
      </w:r>
      <w:r>
        <w:rPr>
          <w:rFonts w:ascii="Arial" w:cs="Arial" w:eastAsia="Arial" w:hAnsi="Arial"/>
          <w:sz w:val="22"/>
          <w:szCs w:val="22"/>
          <w:color w:val="auto"/>
        </w:rPr>
        <w:t>means at any time during the Recapture Period, any Person who is considered for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income tax purposes to be purchasing electricity generated by the applicable Project and who is related to the Company or the applicable Fund Company within the meaning of Section 267(b) or Section 707(b) of the Code or any successor provision, but excluding any Person that so purchases electricity generated by such Project to the extent such Person resells the electricity to another Person who is not related to the Company or the applicable Fund Company within the meaning of Section 267(b) or Section 707(b) of the Code or any successor provision.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“Replacement Service Contract”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“Replacement Service Provider”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“Representatives”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means Company Revenue, as more fully described and projected in the Fund Credit Profile for each</w:t>
      </w:r>
      <w:r>
        <w:rPr>
          <w:rFonts w:ascii="Arial" w:cs="Arial" w:eastAsia="Arial" w:hAnsi="Arial"/>
          <w:sz w:val="22"/>
          <w:szCs w:val="22"/>
          <w:b w:val="1"/>
          <w:bCs w:val="1"/>
          <w:color w:val="auto"/>
        </w:rPr>
        <w:t xml:space="preserve"> </w:t>
      </w:r>
      <w:r>
        <w:rPr>
          <w:rFonts w:ascii="Arial" w:cs="Arial" w:eastAsia="Arial" w:hAnsi="Arial"/>
          <w:sz w:val="22"/>
          <w:szCs w:val="22"/>
          <w:color w:val="auto"/>
        </w:rPr>
        <w:t>Fund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“Review Period”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“S&amp;P” </w:t>
      </w:r>
      <w:r>
        <w:rPr>
          <w:rFonts w:ascii="Arial" w:cs="Arial" w:eastAsia="Arial" w:hAnsi="Arial"/>
          <w:sz w:val="21"/>
          <w:szCs w:val="21"/>
          <w:color w:val="auto"/>
        </w:rPr>
        <w:t>means Standard &amp; Poor’s Ratings Group, a division of McGraw Hill, Inc., or any successor entity.</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“Sanctioned Country” </w:t>
      </w:r>
      <w:r>
        <w:rPr>
          <w:rFonts w:ascii="Arial" w:cs="Arial" w:eastAsia="Arial" w:hAnsi="Arial"/>
          <w:sz w:val="21"/>
          <w:szCs w:val="21"/>
          <w:color w:val="auto"/>
        </w:rPr>
        <w:t>means, at any time, a country or territory which is itself the subject or target of any</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Sanctions.</w:t>
      </w:r>
    </w:p>
    <w:p>
      <w:pPr>
        <w:spacing w:after="0" w:line="196" w:lineRule="exact"/>
        <w:rPr>
          <w:sz w:val="20"/>
          <w:szCs w:val="20"/>
          <w:color w:val="auto"/>
        </w:rPr>
      </w:pPr>
    </w:p>
    <w:p>
      <w:pPr>
        <w:jc w:val="both"/>
        <w:ind w:firstLine="1297"/>
        <w:spacing w:after="0" w:line="263" w:lineRule="exact"/>
        <w:rPr>
          <w:sz w:val="20"/>
          <w:szCs w:val="20"/>
          <w:color w:val="auto"/>
        </w:rPr>
      </w:pPr>
      <w:r>
        <w:rPr>
          <w:rFonts w:ascii="Arial" w:cs="Arial" w:eastAsia="Arial" w:hAnsi="Arial"/>
          <w:sz w:val="19"/>
          <w:szCs w:val="19"/>
          <w:b w:val="1"/>
          <w:bCs w:val="1"/>
          <w:color w:val="auto"/>
        </w:rPr>
        <w:t xml:space="preserve">“Sanctioned Person” </w:t>
      </w:r>
      <w:r>
        <w:rPr>
          <w:rFonts w:ascii="Arial" w:cs="Arial" w:eastAsia="Arial" w:hAnsi="Arial"/>
          <w:sz w:val="19"/>
          <w:szCs w:val="19"/>
          <w:color w:val="auto"/>
        </w:rPr>
        <w:t>means, at any time, (a) any Person listed in any Sanctions</w:t>
      </w:r>
      <w:r>
        <w:rPr>
          <w:rFonts w:ascii="MS PGothic" w:cs="MS PGothic" w:eastAsia="MS PGothic" w:hAnsi="MS PGothic"/>
          <w:sz w:val="19"/>
          <w:szCs w:val="19"/>
          <w:color w:val="auto"/>
        </w:rPr>
        <w:t>‑</w:t>
      </w:r>
      <w:r>
        <w:rPr>
          <w:rFonts w:ascii="Arial" w:cs="Arial" w:eastAsia="Arial" w:hAnsi="Arial"/>
          <w:sz w:val="19"/>
          <w:szCs w:val="19"/>
          <w:color w:val="auto"/>
        </w:rPr>
        <w:t>related list of designated Persons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Office of 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94"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 xml:space="preserve">“Sanctions” </w:t>
      </w:r>
      <w:r>
        <w:rPr>
          <w:rFonts w:ascii="Arial" w:cs="Arial" w:eastAsia="Arial" w:hAnsi="Arial"/>
          <w:sz w:val="19"/>
          <w:szCs w:val="19"/>
          <w:color w:val="auto"/>
        </w:rPr>
        <w:t>mean (a) all U.S. and applicable international economic and trade sanctions and embargoes,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any sanctions or regulations 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8" w:right="239" w:bottom="1440" w:gutter="0" w:footer="0" w:header="0"/>
        </w:sectPr>
      </w:pPr>
    </w:p>
    <w:bookmarkStart w:id="239" w:name="page240"/>
    <w:bookmarkEnd w:id="239"/>
    <w:p>
      <w:pPr>
        <w:jc w:val="both"/>
        <w:spacing w:after="0" w:line="263" w:lineRule="auto"/>
        <w:rPr>
          <w:sz w:val="20"/>
          <w:szCs w:val="20"/>
          <w:color w:val="auto"/>
        </w:rPr>
      </w:pPr>
      <w:r>
        <w:rPr>
          <w:rFonts w:ascii="Arial" w:cs="Arial" w:eastAsia="Arial" w:hAnsi="Arial"/>
          <w:sz w:val="22"/>
          <w:szCs w:val="22"/>
          <w:color w:val="auto"/>
        </w:rPr>
        <w:t>of Commerce, the U.S. Department of State or the Bureau of Customs and Border Protection of the U.S. Department of Homeland Security, and (c) any anti-boycott Laws, including any executive orders, rules and regulations.</w:t>
      </w:r>
    </w:p>
    <w:p>
      <w:pPr>
        <w:spacing w:after="0" w:line="16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“Securities” </w:t>
      </w:r>
      <w:r>
        <w:rPr>
          <w:rFonts w:ascii="Arial" w:cs="Arial" w:eastAsia="Arial" w:hAnsi="Arial"/>
          <w:sz w:val="19"/>
          <w:szCs w:val="19"/>
          <w:color w:val="auto"/>
        </w:rPr>
        <w:t>means, with respect to any Person, such Person’s capital stock or limited liability company interests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options, warrants or other securities which are directly or indirectly convertible into, or exercisable or exchangeable for, such Person’s capital stock or limited liability company interests, whether or not such derivative securities are issued by such Person, and any reference herein to </w:t>
      </w:r>
      <w:r>
        <w:rPr>
          <w:rFonts w:ascii="Arial" w:cs="Arial" w:eastAsia="Arial" w:hAnsi="Arial"/>
          <w:sz w:val="19"/>
          <w:szCs w:val="19"/>
          <w:b w:val="1"/>
          <w:bCs w:val="1"/>
          <w:color w:val="auto"/>
        </w:rPr>
        <w:t>“Securities”</w:t>
      </w:r>
      <w:r>
        <w:rPr>
          <w:rFonts w:ascii="Arial" w:cs="Arial" w:eastAsia="Arial" w:hAnsi="Arial"/>
          <w:sz w:val="19"/>
          <w:szCs w:val="19"/>
          <w:color w:val="auto"/>
        </w:rPr>
        <w:t xml:space="preserve"> refers also to any such derivative securities and all underlying securities directly or indirectly issuable upon conversion, exchange or exercise of such derivative securities.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Securities Act of 1933 or any successor statute, as amended from time to time.</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“Sub-Investment Grade” </w:t>
      </w:r>
      <w:r>
        <w:rPr>
          <w:rFonts w:ascii="Arial" w:cs="Arial" w:eastAsia="Arial" w:hAnsi="Arial"/>
          <w:sz w:val="22"/>
          <w:szCs w:val="22"/>
          <w:color w:val="auto"/>
        </w:rPr>
        <w:t>means a credit rating that is not Investment Grade, Alternative Investment Grade 1 or</w:t>
      </w:r>
      <w:r>
        <w:rPr>
          <w:rFonts w:ascii="Arial" w:cs="Arial" w:eastAsia="Arial" w:hAnsi="Arial"/>
          <w:sz w:val="22"/>
          <w:szCs w:val="22"/>
          <w:b w:val="1"/>
          <w:bCs w:val="1"/>
          <w:color w:val="auto"/>
        </w:rPr>
        <w:t xml:space="preserve"> </w:t>
      </w:r>
      <w:r>
        <w:rPr>
          <w:rFonts w:ascii="Arial" w:cs="Arial" w:eastAsia="Arial" w:hAnsi="Arial"/>
          <w:sz w:val="22"/>
          <w:szCs w:val="22"/>
          <w:color w:val="auto"/>
        </w:rPr>
        <w:t>Alternative Investment Grade 2.</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“Subject Companies” </w:t>
      </w:r>
      <w:r>
        <w:rPr>
          <w:rFonts w:ascii="Arial" w:cs="Arial" w:eastAsia="Arial" w:hAnsi="Arial"/>
          <w:sz w:val="22"/>
          <w:szCs w:val="22"/>
          <w:color w:val="auto"/>
        </w:rPr>
        <w:t>means, collectively, the Fund Companies and the Intermediate Companies (and each Fund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each Intermediate Company individually, a “</w:t>
      </w:r>
      <w:r>
        <w:rPr>
          <w:rFonts w:ascii="Arial" w:cs="Arial" w:eastAsia="Arial" w:hAnsi="Arial"/>
          <w:sz w:val="22"/>
          <w:szCs w:val="22"/>
          <w:b w:val="1"/>
          <w:bCs w:val="1"/>
          <w:color w:val="auto"/>
        </w:rPr>
        <w:t>Subject Company</w:t>
      </w:r>
      <w:r>
        <w:rPr>
          <w:rFonts w:ascii="Arial" w:cs="Arial" w:eastAsia="Arial" w:hAnsi="Arial"/>
          <w:sz w:val="22"/>
          <w:szCs w:val="22"/>
          <w:color w:val="auto"/>
        </w:rPr>
        <w:t>”).</w:t>
      </w:r>
    </w:p>
    <w:p>
      <w:pPr>
        <w:spacing w:after="0" w:line="16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“Subject Company Material Adverse Effect” </w:t>
      </w:r>
      <w:r>
        <w:rPr>
          <w:rFonts w:ascii="Arial" w:cs="Arial" w:eastAsia="Arial" w:hAnsi="Arial"/>
          <w:sz w:val="19"/>
          <w:szCs w:val="19"/>
          <w:color w:val="auto"/>
        </w:rPr>
        <w:t>means any act, event, condition or circumstance that, individually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aggregate, is, or could reasonably be expected to be, materially adverse to the business, earnings, Assets, liabilities (contingent or otherwise), results of operations, prospects, condition (financial or otherwise) or properties of any Subject Company, or on the ability of any such Subject Company to timely perform any of its respective obligations under any Fund Document to which it is a party or the legality, validity, binding effect or enforceability of any such Fund Document.</w:t>
      </w:r>
    </w:p>
    <w:p>
      <w:pPr>
        <w:spacing w:after="0" w:line="14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“Target IRR” </w:t>
      </w:r>
      <w:r>
        <w:rPr>
          <w:rFonts w:ascii="Arial" w:cs="Arial" w:eastAsia="Arial" w:hAnsi="Arial"/>
          <w:sz w:val="22"/>
          <w:szCs w:val="22"/>
          <w:color w:val="auto"/>
        </w:rPr>
        <w:t>means (a) with respect to Contracted Revenue and an Unleveraged Fund Company an After-Tax IRR</w:t>
      </w:r>
      <w:r>
        <w:rPr>
          <w:rFonts w:ascii="Arial" w:cs="Arial" w:eastAsia="Arial" w:hAnsi="Arial"/>
          <w:sz w:val="22"/>
          <w:szCs w:val="22"/>
          <w:b w:val="1"/>
          <w:bCs w:val="1"/>
          <w:color w:val="auto"/>
        </w:rPr>
        <w:t xml:space="preserve"> </w:t>
      </w:r>
      <w:r>
        <w:rPr>
          <w:rFonts w:ascii="Arial" w:cs="Arial" w:eastAsia="Arial" w:hAnsi="Arial"/>
          <w:sz w:val="22"/>
          <w:szCs w:val="22"/>
          <w:color w:val="auto"/>
        </w:rPr>
        <w:t>of [***]; (b) with respect to Contracted Revenue and a Backleveraged Fund Company an After-Tax IRR of [***]; (c) with respect to Uncontracted Revenue and an Unleveraged Fund Company an After-Tax IRR of [***] and (d) with respect to Uncontracted Revenue and a Backleveraged Fund Company an After-Tax IRR of [***].</w:t>
      </w:r>
    </w:p>
    <w:p>
      <w:pPr>
        <w:spacing w:after="0" w:line="18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or</w:t>
      </w:r>
      <w:r>
        <w:rPr>
          <w:rFonts w:ascii="Arial" w:cs="Arial" w:eastAsia="Arial" w:hAnsi="Arial"/>
          <w:sz w:val="22"/>
          <w:szCs w:val="22"/>
          <w:b w:val="1"/>
          <w:bCs w:val="1"/>
          <w:color w:val="auto"/>
        </w:rPr>
        <w:t xml:space="preserve"> “Taxes” </w:t>
      </w:r>
      <w:r>
        <w:rPr>
          <w:rFonts w:ascii="Arial" w:cs="Arial" w:eastAsia="Arial" w:hAnsi="Arial"/>
          <w:sz w:val="22"/>
          <w:szCs w:val="22"/>
          <w:color w:val="auto"/>
        </w:rPr>
        <w:t>means all taxes, charges, fees, levies, penalties or other assessments imposed by any federal, state</w:t>
      </w:r>
      <w:r>
        <w:rPr>
          <w:rFonts w:ascii="Arial" w:cs="Arial" w:eastAsia="Arial" w:hAnsi="Arial"/>
          <w:sz w:val="22"/>
          <w:szCs w:val="22"/>
          <w:b w:val="1"/>
          <w:bCs w:val="1"/>
          <w:color w:val="auto"/>
        </w:rPr>
        <w:t xml:space="preserve"> </w:t>
      </w:r>
      <w:r>
        <w:rPr>
          <w:rFonts w:ascii="Arial" w:cs="Arial" w:eastAsia="Arial" w:hAnsi="Arial"/>
          <w:sz w:val="22"/>
          <w:szCs w:val="22"/>
          <w:color w:val="auto"/>
        </w:rPr>
        <w:t>or 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“Tax Assumptions” </w:t>
      </w:r>
      <w:r>
        <w:rPr>
          <w:rFonts w:ascii="Arial" w:cs="Arial" w:eastAsia="Arial" w:hAnsi="Arial"/>
          <w:sz w:val="22"/>
          <w:szCs w:val="22"/>
          <w:color w:val="auto"/>
        </w:rPr>
        <w:t>means for each Fund Company or Intermediate Company the applicable tax methods,</w:t>
      </w:r>
      <w:r>
        <w:rPr>
          <w:rFonts w:ascii="Arial" w:cs="Arial" w:eastAsia="Arial" w:hAnsi="Arial"/>
          <w:sz w:val="22"/>
          <w:szCs w:val="22"/>
          <w:b w:val="1"/>
          <w:bCs w:val="1"/>
          <w:color w:val="auto"/>
        </w:rPr>
        <w:t xml:space="preserve"> </w:t>
      </w:r>
      <w:r>
        <w:rPr>
          <w:rFonts w:ascii="Arial" w:cs="Arial" w:eastAsia="Arial" w:hAnsi="Arial"/>
          <w:sz w:val="22"/>
          <w:szCs w:val="22"/>
          <w:color w:val="auto"/>
        </w:rPr>
        <w:t>conventions and assumptions that will be used by the Company to calculate the Tax Costs and Tax Benefits accruing to each Class A Member at any point in time as specified in the Fund Addendum.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04" w:right="239" w:bottom="1440" w:gutter="0" w:footer="0" w:header="0"/>
        </w:sectPr>
      </w:pPr>
    </w:p>
    <w:bookmarkStart w:id="240" w:name="page241"/>
    <w:bookmarkEnd w:id="240"/>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 Benefits” </w:t>
      </w:r>
      <w:r>
        <w:rPr>
          <w:rFonts w:ascii="Arial" w:cs="Arial" w:eastAsia="Arial" w:hAnsi="Arial"/>
          <w:sz w:val="22"/>
          <w:szCs w:val="22"/>
          <w:color w:val="auto"/>
        </w:rPr>
        <w:t>means, with respect to a Class A Unit, the periodic federal income tax savings resulting from (a)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distributive share of ITCs allocated by the Company to the Holder of such Class A Unit, and (b) the distributive share of tax losses and deductions allocated by the Company to the Holder of such Class A Unit, in each case, as such determination may be supplemented or modified by the applicable Fund Addendum.</w:t>
      </w:r>
    </w:p>
    <w:p>
      <w:pPr>
        <w:spacing w:after="0" w:line="18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“Tax Costs” </w:t>
      </w:r>
      <w:r>
        <w:rPr>
          <w:rFonts w:ascii="Arial" w:cs="Arial" w:eastAsia="Arial" w:hAnsi="Arial"/>
          <w:sz w:val="22"/>
          <w:szCs w:val="22"/>
          <w:color w:val="auto"/>
        </w:rPr>
        <w:t>means, with respect to a Class A Unit, the periodic federal income tax liability (after taking into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account any suspended losses of the Class A Members under Section 704(d)) resulting from (a) the distributive share of taxable income and gain allocated by the Company to the Holder of such Class A Unit (including expected chargebacks of Company Minimum Gain pursuant to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expected chargebacks of Member Nonrecourse Debt Minimum Gain pursuant to </w:t>
      </w:r>
      <w:r>
        <w:rPr>
          <w:rFonts w:ascii="Arial" w:cs="Arial" w:eastAsia="Arial" w:hAnsi="Arial"/>
          <w:sz w:val="22"/>
          <w:szCs w:val="22"/>
          <w:u w:val="single" w:color="auto"/>
          <w:color w:val="auto"/>
        </w:rPr>
        <w:t>Section 4.3(b)</w:t>
      </w:r>
      <w:r>
        <w:rPr>
          <w:rFonts w:ascii="Arial" w:cs="Arial" w:eastAsia="Arial" w:hAnsi="Arial"/>
          <w:sz w:val="22"/>
          <w:szCs w:val="22"/>
          <w:color w:val="auto"/>
        </w:rPr>
        <w:t>, and expected allocations of Items of income pursuant to the first sentence of Section 12.2(a)(iv)), and (b) any gain recognized by such Holder under Sections 731(a) of the Code from Cash Distributions, as such determination may be supplemented or modified by the applicable Fund Addendum.</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7.7(b)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Matters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8.7(a)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“Tax Payment Dates” </w:t>
      </w:r>
      <w:r>
        <w:rPr>
          <w:rFonts w:ascii="Arial" w:cs="Arial" w:eastAsia="Arial" w:hAnsi="Arial"/>
          <w:sz w:val="22"/>
          <w:szCs w:val="22"/>
          <w:color w:val="auto"/>
        </w:rPr>
        <w:t>means April 30, June 30, September 30, and December 31.</w:t>
      </w:r>
    </w:p>
    <w:p>
      <w:pPr>
        <w:spacing w:after="0" w:line="220" w:lineRule="exact"/>
        <w:rPr>
          <w:sz w:val="20"/>
          <w:szCs w:val="20"/>
          <w:color w:val="auto"/>
        </w:rPr>
      </w:pPr>
    </w:p>
    <w:p>
      <w:pPr>
        <w:jc w:val="both"/>
        <w:ind w:firstLine="1297"/>
        <w:spacing w:after="0" w:line="268" w:lineRule="exact"/>
        <w:rPr>
          <w:sz w:val="20"/>
          <w:szCs w:val="20"/>
          <w:color w:val="auto"/>
        </w:rPr>
      </w:pPr>
      <w:r>
        <w:rPr>
          <w:rFonts w:ascii="Arial" w:cs="Arial" w:eastAsia="Arial" w:hAnsi="Arial"/>
          <w:sz w:val="22"/>
          <w:szCs w:val="22"/>
          <w:b w:val="1"/>
          <w:bCs w:val="1"/>
          <w:color w:val="auto"/>
        </w:rPr>
        <w:t xml:space="preserve">“Tax Return” </w:t>
      </w:r>
      <w:r>
        <w:rPr>
          <w:rFonts w:ascii="Arial" w:cs="Arial" w:eastAsia="Arial" w:hAnsi="Arial"/>
          <w:sz w:val="22"/>
          <w:szCs w:val="22"/>
          <w:color w:val="auto"/>
        </w:rPr>
        <w:t>means the Company’s federal income tax return for each Taxable Year, including Schedule K</w:t>
      </w:r>
      <w:r>
        <w:rPr>
          <w:rFonts w:ascii="MS PGothic" w:cs="MS PGothic" w:eastAsia="MS PGothic" w:hAnsi="MS PGothic"/>
          <w:sz w:val="22"/>
          <w:szCs w:val="22"/>
          <w:color w:val="auto"/>
        </w:rPr>
        <w:t>‑</w:t>
      </w:r>
      <w:r>
        <w:rPr>
          <w:rFonts w:ascii="Arial" w:cs="Arial" w:eastAsia="Arial" w:hAnsi="Arial"/>
          <w:sz w:val="22"/>
          <w:szCs w:val="22"/>
          <w:color w:val="auto"/>
        </w:rPr>
        <w:t>1s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w:t>
      </w:r>
    </w:p>
    <w:p>
      <w:pPr>
        <w:spacing w:after="0" w:line="19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“Taxable Year” </w:t>
      </w:r>
      <w:r>
        <w:rPr>
          <w:rFonts w:ascii="Arial" w:cs="Arial" w:eastAsia="Arial" w:hAnsi="Arial"/>
          <w:sz w:val="22"/>
          <w:szCs w:val="22"/>
          <w:color w:val="auto"/>
        </w:rPr>
        <w:t>means the taxable year of the Company for federal income tax purposes, which shall be (a)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period commencing on the Effective Date and ending on the immediately succeeding December 31, (b) any subsequent calendar year or (c) any portion of the period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which the Company is required to allocate Company Items pursuant to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“Taxing Authority” </w:t>
      </w:r>
      <w:r>
        <w:rPr>
          <w:rFonts w:ascii="Arial" w:cs="Arial" w:eastAsia="Arial" w:hAnsi="Arial"/>
          <w:sz w:val="22"/>
          <w:szCs w:val="22"/>
          <w:color w:val="auto"/>
        </w:rPr>
        <w:t>means, with respect to a particular Tax, the agency or department of any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responsible for the administration and collection of such Tax.</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“TEFRA” </w:t>
      </w:r>
      <w:r>
        <w:rPr>
          <w:rFonts w:ascii="Arial" w:cs="Arial" w:eastAsia="Arial" w:hAnsi="Arial"/>
          <w:sz w:val="22"/>
          <w:szCs w:val="22"/>
          <w:color w:val="auto"/>
        </w:rPr>
        <w:t>means Tax Equity and Fiscal Responsibility Act of 1982 (Pub. L. 97-248).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“Terminated Member”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9.7</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“Termination Fee Statement”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9.6(e)</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 Person other than a Member or an Affiliate of a Member.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“Transaction” </w:t>
      </w:r>
      <w:r>
        <w:rPr>
          <w:rFonts w:ascii="Arial" w:cs="Arial" w:eastAsia="Arial" w:hAnsi="Arial"/>
          <w:sz w:val="22"/>
          <w:szCs w:val="22"/>
          <w:color w:val="auto"/>
        </w:rPr>
        <w:t>means the transactions contemplated and provided for in the Investment Documents.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98" w:right="239" w:bottom="1440" w:gutter="0" w:footer="0" w:header="0"/>
        </w:sectPr>
      </w:pPr>
    </w:p>
    <w:bookmarkStart w:id="241" w:name="page242"/>
    <w:bookmarkEnd w:id="241"/>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“Transfer” </w:t>
      </w:r>
      <w:r>
        <w:rPr>
          <w:rFonts w:ascii="Arial" w:cs="Arial" w:eastAsia="Arial" w:hAnsi="Arial"/>
          <w:sz w:val="22"/>
          <w:szCs w:val="22"/>
          <w:color w:val="auto"/>
        </w:rPr>
        <w:t>means the sale, transfer, assignment, conveyance, gift, exchange or other disposition of Class A Units or</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Units (and the 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“Transferee” </w:t>
      </w:r>
      <w:r>
        <w:rPr>
          <w:rFonts w:ascii="Arial" w:cs="Arial" w:eastAsia="Arial" w:hAnsi="Arial"/>
          <w:sz w:val="22"/>
          <w:szCs w:val="22"/>
          <w:color w:val="auto"/>
        </w:rPr>
        <w:t>means a Person to which a Transfer is or would be made.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“Transferring Member” </w:t>
      </w:r>
      <w:r>
        <w:rPr>
          <w:rFonts w:ascii="Arial" w:cs="Arial" w:eastAsia="Arial" w:hAnsi="Arial"/>
          <w:sz w:val="22"/>
          <w:szCs w:val="22"/>
          <w:color w:val="auto"/>
        </w:rPr>
        <w:t>means the Member effecting a Transfer.</w:t>
      </w:r>
    </w:p>
    <w:p>
      <w:pPr>
        <w:spacing w:after="0" w:line="22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b w:val="1"/>
          <w:bCs w:val="1"/>
          <w:color w:val="auto"/>
        </w:rPr>
        <w:t xml:space="preserve">“Treasury Regulations” </w:t>
      </w:r>
      <w:r>
        <w:rPr>
          <w:rFonts w:ascii="Arial" w:cs="Arial" w:eastAsia="Arial" w:hAnsi="Arial"/>
          <w:sz w:val="21"/>
          <w:szCs w:val="21"/>
          <w:color w:val="auto"/>
        </w:rPr>
        <w:t>means the regulations promulgated under the Code by the United States Department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Treasury, as such regulations 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6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“UCC” </w:t>
      </w:r>
      <w:r>
        <w:rPr>
          <w:rFonts w:ascii="Arial" w:cs="Arial" w:eastAsia="Arial" w:hAnsi="Arial"/>
          <w:sz w:val="22"/>
          <w:szCs w:val="22"/>
          <w:color w:val="auto"/>
        </w:rPr>
        <w:t>or</w:t>
      </w:r>
      <w:r>
        <w:rPr>
          <w:rFonts w:ascii="Arial" w:cs="Arial" w:eastAsia="Arial" w:hAnsi="Arial"/>
          <w:sz w:val="22"/>
          <w:szCs w:val="22"/>
          <w:b w:val="1"/>
          <w:bCs w:val="1"/>
          <w:color w:val="auto"/>
        </w:rPr>
        <w:t xml:space="preserve"> “Uniform Commercial Code” </w:t>
      </w:r>
      <w:r>
        <w:rPr>
          <w:rFonts w:ascii="Arial" w:cs="Arial" w:eastAsia="Arial" w:hAnsi="Arial"/>
          <w:sz w:val="22"/>
          <w:szCs w:val="22"/>
          <w:color w:val="auto"/>
        </w:rPr>
        <w:t>means the Uniform Commercial Code in effect in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“Unaffiliated Scenario”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9.6(d)</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50" w:lineRule="auto"/>
        <w:rPr>
          <w:sz w:val="20"/>
          <w:szCs w:val="20"/>
          <w:color w:val="auto"/>
        </w:rPr>
      </w:pPr>
      <w:r>
        <w:rPr>
          <w:rFonts w:ascii="Arial" w:cs="Arial" w:eastAsia="Arial" w:hAnsi="Arial"/>
          <w:sz w:val="19"/>
          <w:szCs w:val="19"/>
          <w:b w:val="1"/>
          <w:bCs w:val="1"/>
          <w:color w:val="auto"/>
        </w:rPr>
        <w:t xml:space="preserve">“Uncontracted RECs” </w:t>
      </w:r>
      <w:r>
        <w:rPr>
          <w:rFonts w:ascii="Arial" w:cs="Arial" w:eastAsia="Arial" w:hAnsi="Arial"/>
          <w:sz w:val="19"/>
          <w:szCs w:val="19"/>
          <w:color w:val="auto"/>
        </w:rPr>
        <w:t>means any REC projected to be generated by a Project in the future, that, as of the 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Class A Member is making a Capital Contribution with respect to the associated Project, is not a Contracted REC.</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Uncontracted Revenue</w:t>
      </w:r>
      <w:r>
        <w:rPr>
          <w:rFonts w:ascii="Arial" w:cs="Arial" w:eastAsia="Arial" w:hAnsi="Arial"/>
          <w:sz w:val="22"/>
          <w:szCs w:val="22"/>
          <w:color w:val="auto"/>
        </w:rPr>
        <w:t>” means any revenue that is not Contracted Revenue, as more specifically described in the Fund Credit Profile attached to the relevant Fund Addendum.</w:t>
      </w:r>
    </w:p>
    <w:p>
      <w:pPr>
        <w:spacing w:after="0" w:line="162"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21"/>
          <w:szCs w:val="21"/>
          <w:b w:val="1"/>
          <w:bCs w:val="1"/>
          <w:color w:val="auto"/>
        </w:rPr>
        <w:t>“Unleveraged Fund Company</w:t>
      </w:r>
      <w:r>
        <w:rPr>
          <w:rFonts w:ascii="Arial" w:cs="Arial" w:eastAsia="Arial" w:hAnsi="Arial"/>
          <w:sz w:val="21"/>
          <w:szCs w:val="21"/>
          <w:color w:val="auto"/>
        </w:rPr>
        <w:t>” means any Fund Company, during the period of time when it does not have any</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including a Backleveraged Fund Company after it has paid in full all outstanding Indebtedness.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“Units” </w:t>
      </w:r>
      <w:r>
        <w:rPr>
          <w:rFonts w:ascii="Arial" w:cs="Arial" w:eastAsia="Arial" w:hAnsi="Arial"/>
          <w:sz w:val="22"/>
          <w:szCs w:val="22"/>
          <w:color w:val="auto"/>
        </w:rPr>
        <w:t>means either the Class A Units or the Class B Units or both, as the context requires.</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of Cash Flow</w:t>
      </w:r>
      <w:r>
        <w:rPr>
          <w:rFonts w:ascii="Arial" w:cs="Arial" w:eastAsia="Arial" w:hAnsi="Arial"/>
          <w:sz w:val="22"/>
          <w:szCs w:val="22"/>
          <w:color w:val="auto"/>
        </w:rPr>
        <w:t>” shall mean the present value of the Cash Flow projected to be distributed to the Class A Member utilizing the applicable Target IRR as the discount rate for the applicable portions of such Cash Flow, as more fully set out in the Fund Addendum and the Cumulative Base Case Model.</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“Value” </w:t>
      </w:r>
      <w:r>
        <w:rPr>
          <w:rFonts w:ascii="Arial" w:cs="Arial" w:eastAsia="Arial" w:hAnsi="Arial"/>
          <w:sz w:val="22"/>
          <w:szCs w:val="22"/>
          <w:color w:val="auto"/>
        </w:rPr>
        <w:t>means, with respect to any Asset of the Company, such Asset’s adjusted basis for federal income tax</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except as follows:</w:t>
      </w:r>
    </w:p>
    <w:p>
      <w:pPr>
        <w:spacing w:after="0" w:line="168" w:lineRule="exact"/>
        <w:rPr>
          <w:sz w:val="20"/>
          <w:szCs w:val="20"/>
          <w:color w:val="auto"/>
        </w:rPr>
      </w:pPr>
    </w:p>
    <w:p>
      <w:pPr>
        <w:ind w:left="660" w:firstLine="1293"/>
        <w:spacing w:after="0" w:line="263" w:lineRule="auto"/>
        <w:tabs>
          <w:tab w:leader="none" w:pos="246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initial Value of any Asset contributed by a Member to the Company shall be the gross fair market value of such Asset, as agreed to by the Members;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98" w:right="239" w:bottom="1440" w:gutter="0" w:footer="0" w:header="0"/>
        </w:sectPr>
      </w:pPr>
    </w:p>
    <w:bookmarkStart w:id="242" w:name="page243"/>
    <w:bookmarkEnd w:id="242"/>
    <w:p>
      <w:pPr>
        <w:jc w:val="both"/>
        <w:ind w:left="660" w:firstLine="1293"/>
        <w:spacing w:after="0" w:line="258" w:lineRule="exact"/>
        <w:tabs>
          <w:tab w:leader="none" w:pos="251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Value of all Assets of the Company shall be adjusted to equal their respective gross fair market values (taking Code Section 7701(g) into account), as determined by the Members,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1(b)(2)(iv)(f), as of the following times: (i) the acquisition of an additional Membership Interest in the Company by any new or existing Member in exchange for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Capital Contribution; (ii) the distribution by the Company to a Member of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amount of Company Assets as consideration for the acquisition of a Membership Interest in the Company; (iii) the grant of a Membership Interest in the Company (other than a </w:t>
      </w:r>
      <w:r>
        <w:rPr>
          <w:rFonts w:ascii="Arial" w:cs="Arial" w:eastAsia="Arial" w:hAnsi="Arial"/>
          <w:sz w:val="21"/>
          <w:szCs w:val="21"/>
          <w:i w:val="1"/>
          <w:iCs w:val="1"/>
          <w:color w:val="auto"/>
        </w:rPr>
        <w:t xml:space="preserve">de minimis </w:t>
      </w:r>
      <w:r>
        <w:rPr>
          <w:rFonts w:ascii="Arial" w:cs="Arial" w:eastAsia="Arial" w:hAnsi="Arial"/>
          <w:sz w:val="21"/>
          <w:szCs w:val="21"/>
          <w:color w:val="auto"/>
        </w:rPr>
        <w:t>interest) as consideration for the provision of services to or for the benefit of the Company by an existing</w:t>
      </w:r>
      <w:r>
        <w:rPr>
          <w:rFonts w:ascii="Arial" w:cs="Arial" w:eastAsia="Arial" w:hAnsi="Arial"/>
          <w:sz w:val="21"/>
          <w:szCs w:val="21"/>
          <w:i w:val="1"/>
          <w:iCs w:val="1"/>
          <w:color w:val="auto"/>
        </w:rPr>
        <w:t xml:space="preserve"> </w:t>
      </w:r>
      <w:r>
        <w:rPr>
          <w:rFonts w:ascii="Arial" w:cs="Arial" w:eastAsia="Arial" w:hAnsi="Arial"/>
          <w:sz w:val="21"/>
          <w:szCs w:val="21"/>
          <w:color w:val="auto"/>
        </w:rPr>
        <w:t>Member acting in a Member capacity or a new Member acting in a Member capacity or in anticipation of being a Member; and (iv) the liquidation of the Company within the meaning of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1(b)(2)(ii)(g);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adjustment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this paragraph shall be made only upon the Consent of the Members;</w:t>
      </w:r>
    </w:p>
    <w:p>
      <w:pPr>
        <w:spacing w:after="0" w:line="205" w:lineRule="exact"/>
        <w:rPr>
          <w:rFonts w:ascii="Arial" w:cs="Arial" w:eastAsia="Arial" w:hAnsi="Arial"/>
          <w:sz w:val="21"/>
          <w:szCs w:val="21"/>
          <w:color w:val="auto"/>
        </w:rPr>
      </w:pPr>
    </w:p>
    <w:p>
      <w:pPr>
        <w:jc w:val="both"/>
        <w:ind w:left="660" w:firstLine="1293"/>
        <w:spacing w:after="0" w:line="253" w:lineRule="auto"/>
        <w:tabs>
          <w:tab w:leader="none" w:pos="243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185" w:lineRule="exact"/>
        <w:rPr>
          <w:rFonts w:ascii="Arial" w:cs="Arial" w:eastAsia="Arial" w:hAnsi="Arial"/>
          <w:sz w:val="22"/>
          <w:szCs w:val="22"/>
          <w:color w:val="auto"/>
        </w:rPr>
      </w:pPr>
    </w:p>
    <w:p>
      <w:pPr>
        <w:jc w:val="both"/>
        <w:ind w:left="660" w:firstLine="1293"/>
        <w:spacing w:after="0" w:line="259" w:lineRule="exact"/>
        <w:tabs>
          <w:tab w:leader="none" w:pos="258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 xml:space="preserve">1(b)(2) (iv)(m);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Value shall not be adjusted pursuant to this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to the extent the Members determine that an adjustment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this definition is necessary or appropriate in connection with a transaction that would otherwise result in an adjustment pursuant to this </w:t>
      </w:r>
      <w:r>
        <w:rPr>
          <w:rFonts w:ascii="Arial" w:cs="Arial" w:eastAsia="Arial" w:hAnsi="Arial"/>
          <w:sz w:val="21"/>
          <w:szCs w:val="21"/>
          <w:u w:val="single" w:color="auto"/>
          <w:color w:val="auto"/>
        </w:rPr>
        <w:t>clause (d)</w:t>
      </w:r>
      <w:r>
        <w:rPr>
          <w:rFonts w:ascii="Arial" w:cs="Arial" w:eastAsia="Arial" w:hAnsi="Arial"/>
          <w:sz w:val="21"/>
          <w:szCs w:val="21"/>
          <w:color w:val="auto"/>
        </w:rPr>
        <w: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If the Value of an Asset has been determined or adjusted pursuant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8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b w:val="1"/>
          <w:bCs w:val="1"/>
          <w:color w:val="auto"/>
        </w:rPr>
        <w:t xml:space="preserve">“Wind-down Costs” </w:t>
      </w:r>
      <w:r>
        <w:rPr>
          <w:rFonts w:ascii="Arial" w:cs="Arial" w:eastAsia="Arial" w:hAnsi="Arial"/>
          <w:sz w:val="19"/>
          <w:szCs w:val="19"/>
          <w:color w:val="auto"/>
        </w:rPr>
        <w:t>means (a) amounts required to be paid in severance to employees that will be terminated as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result of the termination of the O&amp;M Agreement or AMA,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such severance shall be included only if the operator or manager under the O&amp;M Agreement or AMA, as applicable, is unable to redeploy such terminated employees despite using commercially reasonable efforts to do so; (b) outsourcing contract early termination fees (but only if the termination of such outsourcing contract is directly attributable to the termination of the O&amp;M Agreement or AMA, as applicable);</w:t>
      </w:r>
    </w:p>
    <w:p>
      <w:pPr>
        <w:spacing w:after="0" w:line="1" w:lineRule="exact"/>
        <w:rPr>
          <w:sz w:val="20"/>
          <w:szCs w:val="20"/>
          <w:color w:val="auto"/>
        </w:rPr>
      </w:pPr>
    </w:p>
    <w:p>
      <w:pPr>
        <w:jc w:val="both"/>
        <w:ind w:firstLine="8"/>
        <w:spacing w:after="0" w:line="245" w:lineRule="auto"/>
        <w:tabs>
          <w:tab w:leader="none" w:pos="35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moving costs for any equipment or infrastructure that will be redeployed elsewhere (to the extent such equipment or infrastructure, prior to such redeployment, was used in connection with the provision of services under the O&amp;M Agreement or AMA, as applicable) and (d) any other costs actually incurred by the Class B Member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05" w:right="239" w:bottom="1440" w:gutter="0" w:footer="0" w:header="0"/>
        </w:sectPr>
      </w:pPr>
    </w:p>
    <w:bookmarkStart w:id="243" w:name="page244"/>
    <w:bookmarkEnd w:id="243"/>
    <w:p>
      <w:pPr>
        <w:spacing w:after="0" w:line="263" w:lineRule="auto"/>
        <w:rPr>
          <w:sz w:val="20"/>
          <w:szCs w:val="20"/>
          <w:color w:val="auto"/>
        </w:rPr>
      </w:pPr>
      <w:r>
        <w:rPr>
          <w:rFonts w:ascii="Arial" w:cs="Arial" w:eastAsia="Arial" w:hAnsi="Arial"/>
          <w:sz w:val="22"/>
          <w:szCs w:val="22"/>
          <w:color w:val="auto"/>
        </w:rPr>
        <w:t>or its Affiliates that are required or reasonably necessary in connection with the termination of the O&amp;M Agreement or AMA, as applicable.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“Working Capital Loan”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“Working Capital Notice” </w:t>
      </w:r>
      <w:r>
        <w:rPr>
          <w:rFonts w:ascii="Arial" w:cs="Arial" w:eastAsia="Arial" w:hAnsi="Arial"/>
          <w:sz w:val="22"/>
          <w:szCs w:val="22"/>
          <w:color w:val="auto"/>
        </w:rPr>
        <w:t>is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Other Definitional Provisions</w:t>
      </w:r>
    </w:p>
    <w:p>
      <w:pPr>
        <w:spacing w:after="0" w:line="239" w:lineRule="exact"/>
        <w:rPr>
          <w:sz w:val="20"/>
          <w:szCs w:val="20"/>
          <w:color w:val="auto"/>
        </w:rPr>
      </w:pPr>
    </w:p>
    <w:p>
      <w:pPr>
        <w:ind w:firstLine="1305"/>
        <w:spacing w:after="0" w:line="358" w:lineRule="auto"/>
        <w:tabs>
          <w:tab w:leader="none" w:pos="183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As used herein, the singular shall include the plural, the masculine gender shall include the feminine and neuter and the neuter gender shall include the masculine and feminine unless the context otherwise indicates.</w:t>
      </w:r>
    </w:p>
    <w:p>
      <w:pPr>
        <w:spacing w:after="0" w:line="90" w:lineRule="exact"/>
        <w:rPr>
          <w:rFonts w:ascii="Arial" w:cs="Arial" w:eastAsia="Arial" w:hAnsi="Arial"/>
          <w:sz w:val="19"/>
          <w:szCs w:val="19"/>
          <w:color w:val="auto"/>
        </w:rPr>
      </w:pPr>
    </w:p>
    <w:p>
      <w:pPr>
        <w:jc w:val="both"/>
        <w:ind w:firstLine="1305"/>
        <w:spacing w:after="0" w:line="259" w:lineRule="auto"/>
        <w:tabs>
          <w:tab w:leader="none" w:pos="1945"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References</w:t>
      </w:r>
      <w:r>
        <w:rPr>
          <w:rFonts w:ascii="Arial" w:cs="Arial" w:eastAsia="Arial" w:hAnsi="Arial"/>
          <w:sz w:val="21"/>
          <w:szCs w:val="21"/>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5" w:lineRule="exact"/>
        <w:rPr>
          <w:rFonts w:ascii="Arial" w:cs="Arial" w:eastAsia="Arial" w:hAnsi="Arial"/>
          <w:sz w:val="21"/>
          <w:szCs w:val="21"/>
          <w:color w:val="auto"/>
        </w:rPr>
      </w:pPr>
    </w:p>
    <w:p>
      <w:pPr>
        <w:jc w:val="both"/>
        <w:ind w:firstLine="1305"/>
        <w:spacing w:after="0" w:line="264" w:lineRule="auto"/>
        <w:tabs>
          <w:tab w:leader="none" w:pos="1811"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Accounting Terms</w:t>
      </w:r>
      <w:r>
        <w:rPr>
          <w:rFonts w:ascii="Arial" w:cs="Arial" w:eastAsia="Arial" w:hAnsi="Arial"/>
          <w:sz w:val="21"/>
          <w:szCs w:val="21"/>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38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THE COMPANY</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u w:val="single" w:color="auto"/>
          <w:color w:val="auto"/>
        </w:rPr>
        <w:t>Continuation of Limited Liability Company.</w:t>
      </w:r>
    </w:p>
    <w:p>
      <w:pPr>
        <w:spacing w:after="0" w:line="23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As of the date hereof, the Original Agreement is hereby superseded in its entirety by this Agreement, which has been executed in renewal, amendment, restatement and modification of, but not in extinguishment of, the obligations under the Original Agreement. The Initial Class A Member is hereby admitted as a Class A Member of the Company and the Initial Class B Member is hereby admitted as a Class B Member. The parties hereto hereby continue the Company, which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7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u w:val="single" w:color="auto"/>
          <w:color w:val="auto"/>
        </w:rPr>
        <w:t>Name.</w:t>
      </w:r>
    </w:p>
    <w:p>
      <w:pPr>
        <w:spacing w:after="0" w:line="239"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The name of the Company is, and the business of the Company shall continue to be conducted under the name of, “NRG DGPV HOLDCO 3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18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u w:val="single" w:color="auto"/>
          <w:color w:val="auto"/>
        </w:rPr>
        <w:t>Principal Office.</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The Company shall maintain a principal office at 5790 Fleet Street, Suite 200, Carlsbad, CA 92008.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ectPr>
          <w:pgSz w:w="11900" w:h="16838" w:orient="portrait"/>
          <w:cols w:equalWidth="0" w:num="1">
            <w:col w:w="11420"/>
          </w:cols>
          <w:pgMar w:left="240" w:top="604" w:right="239" w:bottom="0" w:gutter="0" w:footer="0" w:header="0"/>
        </w:sectPr>
      </w:pPr>
    </w:p>
    <w:bookmarkStart w:id="244" w:name="page245"/>
    <w:bookmarkEnd w:id="244"/>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u w:val="single" w:color="auto"/>
          <w:color w:val="auto"/>
        </w:rPr>
        <w:t>Registered Office; Registered Agent.</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8"/>
          <w:szCs w:val="18"/>
          <w:b w:val="1"/>
          <w:bCs w:val="1"/>
          <w:u w:val="single" w:color="auto"/>
          <w:color w:val="auto"/>
        </w:rPr>
        <w:t>Purposes.</w:t>
      </w:r>
    </w:p>
    <w:p>
      <w:pPr>
        <w:spacing w:after="0" w:line="23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The purpose of the Company is to directly or indirectly (a) own the Intermediate Companies and the Fund Companies (collectively, the “</w:t>
      </w:r>
      <w:r>
        <w:rPr>
          <w:rFonts w:ascii="Arial" w:cs="Arial" w:eastAsia="Arial" w:hAnsi="Arial"/>
          <w:sz w:val="22"/>
          <w:szCs w:val="22"/>
          <w:b w:val="1"/>
          <w:bCs w:val="1"/>
          <w:color w:val="auto"/>
        </w:rPr>
        <w:t>Subject Companies</w:t>
      </w:r>
      <w:r>
        <w:rPr>
          <w:rFonts w:ascii="Arial" w:cs="Arial" w:eastAsia="Arial" w:hAnsi="Arial"/>
          <w:sz w:val="22"/>
          <w:szCs w:val="22"/>
          <w:color w:val="auto"/>
        </w:rPr>
        <w:t xml:space="preserve">”) that may (i) own, finance, lease, occupy, equip, test, operate, maintain and repair the Projects for the purpose of producing electricity and RECs and (ii) sell electricity produced by the Projects and to sell RECs generated from the Projects; (b) enter into, comply with and perform its obligations and enforce its rights under this Agreement and each other Investment Document to which it is a party and to cause each Subject Company to comply with, and perform its obligations and enforce its rights under each Fund Document and each other Project Document to which such Subject Company is a party; and (c)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9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Term.</w:t>
      </w:r>
    </w:p>
    <w:p>
      <w:pPr>
        <w:spacing w:after="0" w:line="239"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The Company was formed on April 26, 2017, and shall continue in existence until dissolved and terminated in accordance with this Agreement or the Act.</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u w:val="single" w:color="auto"/>
          <w:color w:val="auto"/>
        </w:rPr>
        <w:t>Title to Property.</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Title to Company Assets, whether tangible or intangible, shall be held in the name of the Company, and no Member, individually, shall have title to or any interest in such property by reason of being a Member. Membership Interests of each Member shall be personal property for all purposes.</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u w:val="single" w:color="auto"/>
          <w:color w:val="auto"/>
        </w:rPr>
        <w:t>Units; Certificates of Membership Interest; Applicability of Article 8 of UCC.</w:t>
      </w:r>
    </w:p>
    <w:p>
      <w:pPr>
        <w:spacing w:after="0" w:line="239"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 xml:space="preserve">Membership Interests shall be represented by Units,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w:t>
      </w:r>
      <w:r>
        <w:rPr>
          <w:rFonts w:ascii="Arial" w:cs="Arial" w:eastAsia="Arial" w:hAnsi="Arial"/>
          <w:sz w:val="19"/>
          <w:szCs w:val="19"/>
          <w:u w:val="single" w:color="auto"/>
          <w:color w:val="auto"/>
        </w:rPr>
        <w:t>Annex I</w:t>
      </w:r>
      <w:r>
        <w:rPr>
          <w:rFonts w:ascii="Arial" w:cs="Arial" w:eastAsia="Arial" w:hAnsi="Arial"/>
          <w:sz w:val="19"/>
          <w:szCs w:val="19"/>
          <w:color w:val="auto"/>
        </w:rPr>
        <w:t>. The Members hereby specify, acknowledge and agree that all Units (and the Membership Interests represented thereby) are securities governed by Article 8 and all other provisions of the Uniform Commercial Code, and pursuant to the terms of Section 8</w:t>
      </w:r>
      <w:r>
        <w:rPr>
          <w:rFonts w:ascii="MS PGothic" w:cs="MS PGothic" w:eastAsia="MS PGothic" w:hAnsi="MS PGothic"/>
          <w:sz w:val="19"/>
          <w:szCs w:val="19"/>
          <w:color w:val="auto"/>
        </w:rPr>
        <w:t>‑</w:t>
      </w:r>
      <w:r>
        <w:rPr>
          <w:rFonts w:ascii="Arial" w:cs="Arial" w:eastAsia="Arial" w:hAnsi="Arial"/>
          <w:sz w:val="19"/>
          <w:szCs w:val="19"/>
          <w:color w:val="auto"/>
        </w:rPr>
        <w:t xml:space="preserve">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shall be recorded in a register (the “</w:t>
      </w:r>
      <w:r>
        <w:rPr>
          <w:rFonts w:ascii="Arial" w:cs="Arial" w:eastAsia="Arial" w:hAnsi="Arial"/>
          <w:sz w:val="19"/>
          <w:szCs w:val="19"/>
          <w:b w:val="1"/>
          <w:bCs w:val="1"/>
          <w:color w:val="auto"/>
        </w:rPr>
        <w:t>Register</w:t>
      </w:r>
      <w:r>
        <w:rPr>
          <w:rFonts w:ascii="Arial" w:cs="Arial" w:eastAsia="Arial" w:hAnsi="Arial"/>
          <w:sz w:val="19"/>
          <w:szCs w:val="19"/>
          <w:color w:val="auto"/>
        </w:rPr>
        <w:t>”) thereof maintained by the Company, and shall be subject to such rules for the issuance thereof in compliance with this Agreement and applicable Law.</w:t>
      </w:r>
    </w:p>
    <w:p>
      <w:pPr>
        <w:spacing w:after="0" w:line="20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u w:val="single" w:color="auto"/>
          <w:color w:val="auto"/>
        </w:rPr>
        <w:t>No Partnership.</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39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CAPITAL CONTRIBUTIONS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u w:val="single" w:color="auto"/>
          <w:color w:val="auto"/>
        </w:rPr>
        <w:t>Class A Interest.</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 xml:space="preserve">On the Effective Date, the Class A Member has made its Initial Capital Contribution in cash in exchange for its Class A Units in an amount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which Class A Units comprise one hundred percent (100%) of the Class A Interest. Each Class A Member shall be entitled to the allocations, distributions and other rights as are prescribed for a Class A Member in this Agreement. Each Class A Member’s Capital Account balance as of the Effective Date with respect to its Class A Interest is as indicated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The number of Class A Units held by each Class A Member with respect to its Class A Interest as of the Effective Date is the number indicated on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ectPr>
          <w:pgSz w:w="11900" w:h="16838" w:orient="portrait"/>
          <w:cols w:equalWidth="0" w:num="1">
            <w:col w:w="11420"/>
          </w:cols>
          <w:pgMar w:left="240" w:top="126" w:right="239" w:bottom="269" w:gutter="0" w:footer="0" w:header="0"/>
        </w:sectPr>
      </w:pPr>
    </w:p>
    <w:p>
      <w:pPr>
        <w:spacing w:after="0" w:line="200" w:lineRule="exact"/>
        <w:rPr>
          <w:sz w:val="20"/>
          <w:szCs w:val="20"/>
          <w:color w:val="auto"/>
        </w:rPr>
      </w:pPr>
    </w:p>
    <w:p>
      <w:pPr>
        <w:spacing w:after="0" w:line="24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u w:val="single" w:color="auto"/>
          <w:color w:val="auto"/>
        </w:rPr>
        <w:t>Class B Interest.</w:t>
      </w:r>
    </w:p>
    <w:p>
      <w:pPr>
        <w:sectPr>
          <w:pgSz w:w="11900" w:h="16838" w:orient="portrait"/>
          <w:cols w:equalWidth="0" w:num="1">
            <w:col w:w="11420"/>
          </w:cols>
          <w:pgMar w:left="240" w:top="126" w:right="239" w:bottom="269" w:gutter="0" w:footer="0" w:header="0"/>
          <w:type w:val="continuous"/>
        </w:sectPr>
      </w:pPr>
    </w:p>
    <w:bookmarkStart w:id="245" w:name="page246"/>
    <w:bookmarkEnd w:id="245"/>
    <w:p>
      <w:pPr>
        <w:spacing w:after="0" w:line="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As of the Effective Date, the Class B Member has made its Class B Initial Capital Contribution in cash in exchange for its Class B Units in an amount set forth in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which Class B Units comprise one hundred percent (100%) of the Class B Interest. Each Class B Member shall be entitled to the allocations, distributions and other rights as are prescribed for a Class B Member in this Agreement. Each Class B Member’s Capital Account balance as of the Effective Date with respect to its Class B Interest is as indicated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The number of Class B Units held by each Class B Member with respect to its Class B Interest as of the Effective Date is the number indicated on </w:t>
      </w:r>
      <w:r>
        <w:rPr>
          <w:rFonts w:ascii="Arial" w:cs="Arial" w:eastAsia="Arial" w:hAnsi="Arial"/>
          <w:sz w:val="21"/>
          <w:szCs w:val="21"/>
          <w:u w:val="single" w:color="auto"/>
          <w:color w:val="auto"/>
        </w:rPr>
        <w:t>Annex I</w:t>
      </w:r>
      <w:r>
        <w:rPr>
          <w:rFonts w:ascii="Arial" w:cs="Arial" w:eastAsia="Arial" w:hAnsi="Arial"/>
          <w:sz w:val="21"/>
          <w:szCs w:val="21"/>
          <w:color w:val="auto"/>
        </w:rPr>
        <w:t>.</w:t>
      </w:r>
    </w:p>
    <w:p>
      <w:pPr>
        <w:spacing w:after="0" w:line="17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u w:val="single" w:color="auto"/>
          <w:color w:val="auto"/>
        </w:rPr>
        <w:t>Other Required Capital Contributions.</w:t>
      </w:r>
    </w:p>
    <w:p>
      <w:pPr>
        <w:spacing w:after="0" w:line="239" w:lineRule="exact"/>
        <w:rPr>
          <w:sz w:val="20"/>
          <w:szCs w:val="20"/>
          <w:color w:val="auto"/>
        </w:rPr>
      </w:pPr>
    </w:p>
    <w:p>
      <w:pPr>
        <w:ind w:firstLine="1305"/>
        <w:spacing w:after="0" w:line="276" w:lineRule="auto"/>
        <w:tabs>
          <w:tab w:leader="none" w:pos="173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Except as provided in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12.3</w:t>
      </w:r>
      <w:r>
        <w:rPr>
          <w:rFonts w:ascii="Arial" w:cs="Arial" w:eastAsia="Arial" w:hAnsi="Arial"/>
          <w:sz w:val="22"/>
          <w:szCs w:val="22"/>
          <w:color w:val="auto"/>
        </w:rPr>
        <w:t>, no Member shall be obligated to make Capital Contributions.</w:t>
      </w:r>
    </w:p>
    <w:p>
      <w:pPr>
        <w:spacing w:after="0" w:line="160" w:lineRule="exact"/>
        <w:rPr>
          <w:rFonts w:ascii="Arial" w:cs="Arial" w:eastAsia="Arial" w:hAnsi="Arial"/>
          <w:sz w:val="22"/>
          <w:szCs w:val="22"/>
          <w:color w:val="auto"/>
        </w:rPr>
      </w:pPr>
    </w:p>
    <w:p>
      <w:pPr>
        <w:jc w:val="both"/>
        <w:ind w:firstLine="1305"/>
        <w:spacing w:after="0" w:line="288" w:lineRule="auto"/>
        <w:tabs>
          <w:tab w:leader="none" w:pos="172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Immediately upon receipt of (i) the presentation made to a Fund Company of a tranche of Projects for purchase or (ii) a formal capital contribution request from a Fund Company with respect to a tranche of Projects, that in either case sets forth an amount of capital contributions that will be required from the members of such Fund Company and a date by which contributions to a Fund Company must be made or (iii) any notice delivered to the Company in connection with a Contribution Event pursuant to </w:t>
      </w:r>
      <w:r>
        <w:rPr>
          <w:rFonts w:ascii="Arial" w:cs="Arial" w:eastAsia="Arial" w:hAnsi="Arial"/>
          <w:sz w:val="19"/>
          <w:szCs w:val="19"/>
          <w:u w:val="single" w:color="auto"/>
          <w:color w:val="auto"/>
        </w:rPr>
        <w:t>Section 3.3(e)</w:t>
      </w:r>
      <w:r>
        <w:rPr>
          <w:rFonts w:ascii="Arial" w:cs="Arial" w:eastAsia="Arial" w:hAnsi="Arial"/>
          <w:sz w:val="19"/>
          <w:szCs w:val="19"/>
          <w:color w:val="auto"/>
        </w:rPr>
        <w:t>, the Manager shall deliver to the Members a request for Capital Contributions (the “</w:t>
      </w:r>
      <w:r>
        <w:rPr>
          <w:rFonts w:ascii="Arial" w:cs="Arial" w:eastAsia="Arial" w:hAnsi="Arial"/>
          <w:sz w:val="19"/>
          <w:szCs w:val="19"/>
          <w:b w:val="1"/>
          <w:bCs w:val="1"/>
          <w:color w:val="auto"/>
        </w:rPr>
        <w:t>Capital</w:t>
      </w:r>
      <w:r>
        <w:rPr>
          <w:rFonts w:ascii="Arial" w:cs="Arial" w:eastAsia="Arial" w:hAnsi="Arial"/>
          <w:sz w:val="19"/>
          <w:szCs w:val="19"/>
          <w:color w:val="auto"/>
        </w:rPr>
        <w:t xml:space="preserve"> </w:t>
      </w:r>
      <w:r>
        <w:rPr>
          <w:rFonts w:ascii="Arial" w:cs="Arial" w:eastAsia="Arial" w:hAnsi="Arial"/>
          <w:sz w:val="19"/>
          <w:szCs w:val="19"/>
          <w:b w:val="1"/>
          <w:bCs w:val="1"/>
          <w:color w:val="auto"/>
        </w:rPr>
        <w:t>Contribution Request</w:t>
      </w:r>
      <w:r>
        <w:rPr>
          <w:rFonts w:ascii="Arial" w:cs="Arial" w:eastAsia="Arial" w:hAnsi="Arial"/>
          <w:sz w:val="19"/>
          <w:szCs w:val="19"/>
          <w:color w:val="auto"/>
        </w:rPr>
        <w:t>”), consisting of, with respect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clauses 3.3(b)(i) and (ii)</w:t>
      </w:r>
      <w:r>
        <w:rPr>
          <w:rFonts w:ascii="Arial" w:cs="Arial" w:eastAsia="Arial" w:hAnsi="Arial"/>
          <w:sz w:val="19"/>
          <w:szCs w:val="19"/>
          <w:color w:val="auto"/>
        </w:rPr>
        <w:t>, (A) the amount of capital that a Fund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Subject Company requires (the “</w:t>
      </w:r>
      <w:r>
        <w:rPr>
          <w:rFonts w:ascii="Arial" w:cs="Arial" w:eastAsia="Arial" w:hAnsi="Arial"/>
          <w:sz w:val="19"/>
          <w:szCs w:val="19"/>
          <w:b w:val="1"/>
          <w:bCs w:val="1"/>
          <w:color w:val="auto"/>
        </w:rPr>
        <w:t>Capital Call Amount</w:t>
      </w:r>
      <w:r>
        <w:rPr>
          <w:rFonts w:ascii="Arial" w:cs="Arial" w:eastAsia="Arial" w:hAnsi="Arial"/>
          <w:sz w:val="19"/>
          <w:szCs w:val="19"/>
          <w:color w:val="auto"/>
        </w:rPr>
        <w:t xml:space="preserve">”), (B) a reasonably detailed explanation of the intended use of such capital by the Company and each applicable Subject Company, (C) the Fund Base Case Model and the Cumulative Base Case Model used to calculate the Capital Contributions being requested, (D) the Equity Capital Contribution Date when the requested Capital Contributions must be made, which shall be the same date as the capital contributions are made by the Fund Investors of such Fund Company, if applicable, but in all cases, (x) no more than once per month and (y) at least five (5) days following delivery of the Capital Contribution Request, (E) the Class A Capital Contribution Amount, as determined in accordance with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and (F) the Class B Capital Contribution Amount, as determined in accordance with </w:t>
      </w:r>
      <w:r>
        <w:rPr>
          <w:rFonts w:ascii="Arial" w:cs="Arial" w:eastAsia="Arial" w:hAnsi="Arial"/>
          <w:sz w:val="19"/>
          <w:szCs w:val="19"/>
          <w:u w:val="single" w:color="auto"/>
          <w:color w:val="auto"/>
        </w:rPr>
        <w:t>Section 3.3(d)</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305"/>
        <w:spacing w:after="0" w:line="288" w:lineRule="auto"/>
        <w:tabs>
          <w:tab w:leader="none" w:pos="187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On each Equity Capital Contribution Date other than with respect to a Contribution Event, the Class A Members shall each make a Capital Contribution in cash equal to the portion of the Valuation of Cash Flow determined by the Cumulative Base Case Model included in the Capital Contribution Request (which portion shall take into account previous Capital Contributions made by the Class A Members);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Capital Contribution shall be sized so that the Class A Members are projected to achieve a per annum yield based on Available Cash Flow (“</w:t>
      </w:r>
      <w:r>
        <w:rPr>
          <w:rFonts w:ascii="Arial" w:cs="Arial" w:eastAsia="Arial" w:hAnsi="Arial"/>
          <w:sz w:val="19"/>
          <w:szCs w:val="19"/>
          <w:b w:val="1"/>
          <w:bCs w:val="1"/>
          <w:color w:val="auto"/>
        </w:rPr>
        <w:t>CAFD Yield</w:t>
      </w:r>
      <w:r>
        <w:rPr>
          <w:rFonts w:ascii="Arial" w:cs="Arial" w:eastAsia="Arial" w:hAnsi="Arial"/>
          <w:sz w:val="19"/>
          <w:szCs w:val="19"/>
          <w:color w:val="auto"/>
        </w:rPr>
        <w:t>”) which will (i) average no less than</w:t>
      </w:r>
    </w:p>
    <w:p>
      <w:pPr>
        <w:spacing w:after="0" w:line="3" w:lineRule="exact"/>
        <w:rPr>
          <w:rFonts w:ascii="Arial" w:cs="Arial" w:eastAsia="Arial" w:hAnsi="Arial"/>
          <w:sz w:val="19"/>
          <w:szCs w:val="19"/>
          <w:color w:val="auto"/>
        </w:rPr>
      </w:pPr>
    </w:p>
    <w:p>
      <w:pPr>
        <w:jc w:val="both"/>
        <w:ind w:firstLine="8"/>
        <w:spacing w:after="0" w:line="248" w:lineRule="auto"/>
        <w:tabs>
          <w:tab w:leader="none" w:pos="53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over the first ten (10) years following the date on which the Class A Capital Contribution Amount has been made, (ii) never be below [***] percent ([***]%) in any of the first nine (9) years following the date on which the Class A Capital Contribution Amount has been made, (iii) only be below [***] percent ([***]%) for no more than four (4) calendar years commencing with the tenth (10</w:t>
      </w:r>
      <w:r>
        <w:rPr>
          <w:rFonts w:ascii="Arial" w:cs="Arial" w:eastAsia="Arial" w:hAnsi="Arial"/>
          <w:sz w:val="27"/>
          <w:szCs w:val="27"/>
          <w:color w:val="auto"/>
          <w:vertAlign w:val="superscript"/>
        </w:rPr>
        <w:t>th</w:t>
      </w:r>
      <w:r>
        <w:rPr>
          <w:rFonts w:ascii="Arial" w:cs="Arial" w:eastAsia="Arial" w:hAnsi="Arial"/>
          <w:sz w:val="21"/>
          <w:szCs w:val="21"/>
          <w:color w:val="auto"/>
        </w:rPr>
        <w:t>) calendar year following the date on which the Class A Capital Contribution Amount has been made, and (iv) never be below negative [***] percent (-[***]%) in any calendar year (such Capital Contribution, a “</w:t>
      </w:r>
      <w:r>
        <w:rPr>
          <w:rFonts w:ascii="Arial" w:cs="Arial" w:eastAsia="Arial" w:hAnsi="Arial"/>
          <w:sz w:val="21"/>
          <w:szCs w:val="21"/>
          <w:b w:val="1"/>
          <w:bCs w:val="1"/>
          <w:color w:val="auto"/>
        </w:rPr>
        <w:t>Class A Capital Contribution</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all as determined pursuant to the Cumulative Base Case Model included in the Capital Contribution Request;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notwithstanding the foregoing, the Class A Member shall not be required to make Capital Contributions in excess of $15,000,000 in the aggregate until such time as the Company has entered into an agreement regarding customer care services for residential community solar subscribers, which agreement is in form and substance, and with a services provider who is, reasonably acceptable to the Class A Member.</w:t>
      </w:r>
    </w:p>
    <w:p>
      <w:pPr>
        <w:spacing w:after="0" w:line="197" w:lineRule="exact"/>
        <w:rPr>
          <w:rFonts w:ascii="Arial" w:cs="Arial" w:eastAsia="Arial" w:hAnsi="Arial"/>
          <w:sz w:val="21"/>
          <w:szCs w:val="21"/>
          <w:color w:val="auto"/>
        </w:rPr>
      </w:pPr>
    </w:p>
    <w:p>
      <w:pPr>
        <w:jc w:val="both"/>
        <w:ind w:firstLine="1305"/>
        <w:spacing w:after="0" w:line="251" w:lineRule="auto"/>
        <w:tabs>
          <w:tab w:leader="none" w:pos="189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On each Equity Capital Contribution Date other than with respect to a Contribution Event, the Class B Members shall make a Capital Contribution (if more than one, then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B Units) in cash equal to the positive amount, if any, of the Capital Call Amount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Class A Capital Contribution Amount (the “</w:t>
      </w:r>
      <w:r>
        <w:rPr>
          <w:rFonts w:ascii="Arial" w:cs="Arial" w:eastAsia="Arial" w:hAnsi="Arial"/>
          <w:sz w:val="22"/>
          <w:szCs w:val="22"/>
          <w:b w:val="1"/>
          <w:bCs w:val="1"/>
          <w:color w:val="auto"/>
        </w:rPr>
        <w:t>Class B Capital</w:t>
      </w:r>
      <w:r>
        <w:rPr>
          <w:rFonts w:ascii="Arial" w:cs="Arial" w:eastAsia="Arial" w:hAnsi="Arial"/>
          <w:sz w:val="22"/>
          <w:szCs w:val="22"/>
          <w:color w:val="auto"/>
        </w:rPr>
        <w:t xml:space="preserve"> </w:t>
      </w:r>
      <w:r>
        <w:rPr>
          <w:rFonts w:ascii="Arial" w:cs="Arial" w:eastAsia="Arial" w:hAnsi="Arial"/>
          <w:sz w:val="22"/>
          <w:szCs w:val="22"/>
          <w:b w:val="1"/>
          <w:bCs w:val="1"/>
          <w:color w:val="auto"/>
        </w:rPr>
        <w:t>Contribution Amount</w:t>
      </w:r>
      <w:r>
        <w:rPr>
          <w:rFonts w:ascii="Arial" w:cs="Arial" w:eastAsia="Arial" w:hAnsi="Arial"/>
          <w:sz w:val="22"/>
          <w:szCs w:val="22"/>
          <w:color w:val="auto"/>
        </w:rPr>
        <w:t>”), as determined pursuant to the Cumulative Base Case Model included in the Capital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Request.</w:t>
      </w:r>
    </w:p>
    <w:p>
      <w:pPr>
        <w:spacing w:after="0" w:line="189" w:lineRule="exact"/>
        <w:rPr>
          <w:rFonts w:ascii="Arial" w:cs="Arial" w:eastAsia="Arial" w:hAnsi="Arial"/>
          <w:sz w:val="22"/>
          <w:szCs w:val="22"/>
          <w:color w:val="auto"/>
        </w:rPr>
      </w:pPr>
    </w:p>
    <w:p>
      <w:pPr>
        <w:jc w:val="both"/>
        <w:ind w:firstLine="1305"/>
        <w:spacing w:after="0" w:line="288" w:lineRule="auto"/>
        <w:tabs>
          <w:tab w:leader="none" w:pos="178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In addition to the Capital Contributions contemplated by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the Manager may (or, in the case of clause (iv), shall) request from the Members, and the Members shall be obligated to make, as applicable, Capital Contributions to fund (i) the purchase price of an Accepted Acquisition, (ii) a Fund Company Put Event, (iii) a Fund Company Call Event approved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(iv) a Member Contribution Event (each a “</w:t>
      </w:r>
      <w:r>
        <w:rPr>
          <w:rFonts w:ascii="Arial" w:cs="Arial" w:eastAsia="Arial" w:hAnsi="Arial"/>
          <w:sz w:val="19"/>
          <w:szCs w:val="19"/>
          <w:b w:val="1"/>
          <w:bCs w:val="1"/>
          <w:color w:val="auto"/>
        </w:rPr>
        <w:t>Contribution Event</w:t>
      </w:r>
      <w:r>
        <w:rPr>
          <w:rFonts w:ascii="Arial" w:cs="Arial" w:eastAsia="Arial" w:hAnsi="Arial"/>
          <w:sz w:val="19"/>
          <w:szCs w:val="19"/>
          <w:color w:val="auto"/>
        </w:rPr>
        <w:t xml:space="preserve">”), in each case, by delivering a Capital Contribution Request to the applicable Member(s) (with a copy to the other Members) in accordance with the time requirements of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consisting of (A) a detailed explanation of the Contribution Event and the total capital required from the Company in connection therewith, (B) the amount of such Capital Contribution requested of each such Member, and (C) all notices and other documentary evidence received by the Intermediate Company in connection with such Contribution Event. In the case of an Accepted Acquisition, the Manager shall determine the Members’ respective Capital Contribution amounts in accordance with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3.3(d)</w:t>
      </w:r>
      <w:r>
        <w:rPr>
          <w:rFonts w:ascii="Arial" w:cs="Arial" w:eastAsia="Arial" w:hAnsi="Arial"/>
          <w:sz w:val="19"/>
          <w:szCs w:val="19"/>
          <w:color w:val="auto"/>
        </w:rPr>
        <w:t xml:space="preserve"> respectively. In the event that a Contribution Event other than a Member Contribution Event occurs following the Investment Period, the Capital Contribution to be made by each Member shall be the applicable Capital Call Amount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such Member’s Post Investment Period Contribution Percentage.</w:t>
      </w:r>
    </w:p>
    <w:p>
      <w:pPr>
        <w:spacing w:after="0" w:line="162" w:lineRule="exact"/>
        <w:rPr>
          <w:rFonts w:ascii="Arial" w:cs="Arial" w:eastAsia="Arial" w:hAnsi="Arial"/>
          <w:sz w:val="19"/>
          <w:szCs w:val="19"/>
          <w:color w:val="auto"/>
        </w:rPr>
      </w:pPr>
    </w:p>
    <w:p>
      <w:pPr>
        <w:jc w:val="both"/>
        <w:ind w:firstLine="1305"/>
        <w:spacing w:after="0" w:line="307" w:lineRule="auto"/>
        <w:tabs>
          <w:tab w:leader="none" w:pos="181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Notwithstanding anything herein to the contrary, but subject to the Class A Members’ obligation to make further Capital Contributions in connection with a Contribution Event if and as required by this Agreement, (i) in no event shall the Class A Members be obligated to make Capital Contributions to the Company that in the aggregate exceed the Class A Member Capital Contribution Commitment or, if applicable, the Class A Member Capital Contribution Commitment plus any Class A</w:t>
      </w:r>
    </w:p>
    <w:p>
      <w:pPr>
        <w:sectPr>
          <w:pgSz w:w="11900" w:h="16900" w:orient="portrait"/>
          <w:cols w:equalWidth="0" w:num="1">
            <w:col w:w="11420"/>
          </w:cols>
          <w:pgMar w:left="240" w:top="132" w:right="239" w:bottom="0" w:gutter="0" w:footer="0" w:header="0"/>
        </w:sectPr>
      </w:pPr>
    </w:p>
    <w:bookmarkStart w:id="246" w:name="page247"/>
    <w:bookmarkEnd w:id="246"/>
    <w:p>
      <w:pPr>
        <w:jc w:val="both"/>
        <w:spacing w:after="0" w:line="257" w:lineRule="auto"/>
        <w:rPr>
          <w:sz w:val="20"/>
          <w:szCs w:val="20"/>
          <w:color w:val="auto"/>
        </w:rPr>
      </w:pPr>
      <w:r>
        <w:rPr>
          <w:rFonts w:ascii="Arial" w:cs="Arial" w:eastAsia="Arial" w:hAnsi="Arial"/>
          <w:sz w:val="21"/>
          <w:szCs w:val="21"/>
          <w:color w:val="auto"/>
        </w:rPr>
        <w:t xml:space="preserve">Member Capital Contribution Commitment Accordion Amount, or if the credit profile of the tranche of projects intended to be funded by the Capital Contributions is substantially different than the Fund Credit Profile defined in the applicable Fund Addendum (as determined by the Class A Members in their reasonable discretion) and (ii) the obligation of the Class A Members under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with respect to the acquisition of Projects by a Fund Company are subject to receipt by the Class A Members of evidence satisfactory to them that the Fund Investors under any applicable Fund Documents has agreed to make its required capital contribution pursuant to the terms of the Fund Documents. If the Class A Members do not fund any portion of the Capital Contribution requested of them contained in a Capital Contribution Request because such amount exceeds Class A Member Capital Contribution Commitment or, if applicable, the Class A Member Capital Contribution Commitment plus any Class A Member Capital Contribution Commitment Accordion Amount, then, in addition to funding such shortfall amount as a Member Loan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below, the Class B Members may fund such shortfall as a Capital Contribution (if more than one Class B Member desires to do so, then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accordance with their Class B Units), and the Members shall work together in good faith to adjust to the allocations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the distributions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to reflect such increased Capital Contributions made by the Class B Members.</w:t>
      </w:r>
    </w:p>
    <w:p>
      <w:pPr>
        <w:spacing w:after="0" w:line="190" w:lineRule="exact"/>
        <w:rPr>
          <w:sz w:val="20"/>
          <w:szCs w:val="20"/>
          <w:color w:val="auto"/>
        </w:rPr>
      </w:pPr>
    </w:p>
    <w:p>
      <w:pPr>
        <w:jc w:val="both"/>
        <w:ind w:firstLine="1305"/>
        <w:spacing w:after="0" w:line="307" w:lineRule="auto"/>
        <w:tabs>
          <w:tab w:leader="none" w:pos="172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If any Member disputes the amount of its Capital Contribution set forth in a Capital Contribution Request, then such Member shall immediately deliver notice to the other Members and the Manager and all Members and the Manager shall, within three (3) Business Days, meet in good faith to resolve any discrepancies causing such dispute and if they are not able to resolve such dispute, then such matter will be handled pursuant to the dispute resolution mechanisms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1305"/>
        <w:spacing w:after="0" w:line="270" w:lineRule="auto"/>
        <w:tabs>
          <w:tab w:leader="none" w:pos="175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Members acknowledge and agree that the source of the first $12,500,000 of any Class A Member Capital Contribution Commitment Accordion Amount elected by the Class B Member shall be a reallocation of the Class A Member’s capital contribution commitments to NRG DGPV Holdco 1 LLC (“</w:t>
      </w:r>
      <w:r>
        <w:rPr>
          <w:rFonts w:ascii="Arial" w:cs="Arial" w:eastAsia="Arial" w:hAnsi="Arial"/>
          <w:sz w:val="21"/>
          <w:szCs w:val="21"/>
          <w:b w:val="1"/>
          <w:bCs w:val="1"/>
          <w:color w:val="auto"/>
        </w:rPr>
        <w:t>HoldCo 1</w:t>
      </w:r>
      <w:r>
        <w:rPr>
          <w:rFonts w:ascii="Arial" w:cs="Arial" w:eastAsia="Arial" w:hAnsi="Arial"/>
          <w:sz w:val="21"/>
          <w:szCs w:val="21"/>
          <w:color w:val="auto"/>
        </w:rPr>
        <w:t>”), and the Members agree to amend the limited liability agreement of HoldCo 1 as reasonably necessary to accomplish the foregoing.</w:t>
      </w:r>
    </w:p>
    <w:p>
      <w:pPr>
        <w:spacing w:after="0" w:line="16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u w:val="single" w:color="auto"/>
          <w:color w:val="auto"/>
        </w:rPr>
        <w:t>Member Loans.</w:t>
      </w:r>
    </w:p>
    <w:p>
      <w:pPr>
        <w:spacing w:after="0" w:line="239" w:lineRule="exact"/>
        <w:rPr>
          <w:sz w:val="20"/>
          <w:szCs w:val="20"/>
          <w:color w:val="auto"/>
        </w:rPr>
      </w:pPr>
    </w:p>
    <w:p>
      <w:pPr>
        <w:jc w:val="both"/>
        <w:ind w:firstLine="1305"/>
        <w:spacing w:after="0" w:line="259" w:lineRule="auto"/>
        <w:tabs>
          <w:tab w:leader="none" w:pos="174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In the event that, from time to time after the Effective Date, additional working capital is needed to enable the Company to cause the Assets of the Company and any Subject Company to be properly operated and maintained (and to pay and perform the costs, expenses, obligations and liabilities of the Company or any Subject Company), but not in connection with a Contribution Event, then, at the discretion of the Manager, the Manager may give notice to the Members thereof (the “</w:t>
      </w:r>
      <w:r>
        <w:rPr>
          <w:rFonts w:ascii="Arial" w:cs="Arial" w:eastAsia="Arial" w:hAnsi="Arial"/>
          <w:sz w:val="21"/>
          <w:szCs w:val="21"/>
          <w:b w:val="1"/>
          <w:bCs w:val="1"/>
          <w:color w:val="auto"/>
        </w:rPr>
        <w:t>Working</w:t>
      </w:r>
      <w:r>
        <w:rPr>
          <w:rFonts w:ascii="Arial" w:cs="Arial" w:eastAsia="Arial" w:hAnsi="Arial"/>
          <w:sz w:val="21"/>
          <w:szCs w:val="21"/>
          <w:color w:val="auto"/>
        </w:rPr>
        <w:t xml:space="preserve"> </w:t>
      </w:r>
      <w:r>
        <w:rPr>
          <w:rFonts w:ascii="Arial" w:cs="Arial" w:eastAsia="Arial" w:hAnsi="Arial"/>
          <w:sz w:val="21"/>
          <w:szCs w:val="21"/>
          <w:b w:val="1"/>
          <w:bCs w:val="1"/>
          <w:color w:val="auto"/>
        </w:rPr>
        <w:t>Capital Notice</w:t>
      </w:r>
      <w:r>
        <w:rPr>
          <w:rFonts w:ascii="Arial" w:cs="Arial" w:eastAsia="Arial" w:hAnsi="Arial"/>
          <w:sz w:val="21"/>
          <w:szCs w:val="21"/>
          <w:color w:val="auto"/>
        </w:rPr>
        <w:t>”), and each Member shall have the right (but not the obligation) to advance all or part of the needed funds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Within ten (10) Business Days following the date of the Working Capital Notice, the participating Members shall give notice to the Manager and the other Members stating their election whether to provide such funding to the Company (the “</w:t>
      </w:r>
      <w:r>
        <w:rPr>
          <w:rFonts w:ascii="Arial" w:cs="Arial" w:eastAsia="Arial" w:hAnsi="Arial"/>
          <w:sz w:val="21"/>
          <w:szCs w:val="21"/>
          <w:b w:val="1"/>
          <w:bCs w:val="1"/>
          <w:color w:val="auto"/>
        </w:rPr>
        <w:t>Funding</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If more than one Member states in the Funding Notice that it elects to provide such funds, then each Member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provide an equal amount of funds (or such other amount as the Members decide) to the Company within five (5) Business Days after the date of the Funding Notice. Amounts advanced by any Member pursuant to this </w:t>
      </w:r>
      <w:r>
        <w:rPr>
          <w:rFonts w:ascii="Arial" w:cs="Arial" w:eastAsia="Arial" w:hAnsi="Arial"/>
          <w:sz w:val="21"/>
          <w:szCs w:val="21"/>
          <w:u w:val="single" w:color="auto"/>
          <w:color w:val="auto"/>
        </w:rPr>
        <w:t>Section 3.3(g)</w:t>
      </w:r>
      <w:r>
        <w:rPr>
          <w:rFonts w:ascii="Arial" w:cs="Arial" w:eastAsia="Arial" w:hAnsi="Arial"/>
          <w:sz w:val="21"/>
          <w:szCs w:val="21"/>
          <w:color w:val="auto"/>
        </w:rPr>
        <w:t xml:space="preserve"> shall be considered “</w:t>
      </w:r>
      <w:r>
        <w:rPr>
          <w:rFonts w:ascii="Arial" w:cs="Arial" w:eastAsia="Arial" w:hAnsi="Arial"/>
          <w:sz w:val="21"/>
          <w:szCs w:val="21"/>
          <w:b w:val="1"/>
          <w:bCs w:val="1"/>
          <w:color w:val="auto"/>
        </w:rPr>
        <w:t>Member Loans</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1305"/>
        <w:spacing w:after="0" w:line="264" w:lineRule="auto"/>
        <w:tabs>
          <w:tab w:leader="none" w:pos="176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Any Member Loan shall be unsecured and shall bear interest at a rate equal to the lesser of (A) the Reference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four percent (4%) or (B) 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Interest on each Member Loan pursuant to this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shall accrue and, if not paid in accordance with the immediately preceding sentence of this </w:t>
      </w:r>
      <w:r>
        <w:rPr>
          <w:rFonts w:ascii="Arial" w:cs="Arial" w:eastAsia="Arial" w:hAnsi="Arial"/>
          <w:sz w:val="21"/>
          <w:szCs w:val="21"/>
          <w:u w:val="single" w:color="auto"/>
          <w:color w:val="auto"/>
        </w:rPr>
        <w:t>Section 3.4(b)</w:t>
      </w:r>
      <w:r>
        <w:rPr>
          <w:rFonts w:ascii="Arial" w:cs="Arial" w:eastAsia="Arial" w:hAnsi="Arial"/>
          <w:sz w:val="21"/>
          <w:szCs w:val="21"/>
          <w:color w:val="auto"/>
        </w:rPr>
        <w:t>, be compounded to the principal amount thereof on each Distribution Date.</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u w:val="single" w:color="auto"/>
          <w:color w:val="auto"/>
        </w:rPr>
        <w:t>No Right to Return of Capital Contributions.</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CAPITAL ACCOUNTS; ALLOCATIONS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u w:val="single" w:color="auto"/>
          <w:color w:val="auto"/>
        </w:rPr>
        <w:t>Capital Accounts.</w:t>
      </w:r>
    </w:p>
    <w:p>
      <w:pPr>
        <w:spacing w:after="0" w:line="239" w:lineRule="exact"/>
        <w:rPr>
          <w:sz w:val="20"/>
          <w:szCs w:val="20"/>
          <w:color w:val="auto"/>
        </w:rPr>
      </w:pPr>
    </w:p>
    <w:p>
      <w:pPr>
        <w:ind w:firstLine="1305"/>
        <w:spacing w:after="0" w:line="272" w:lineRule="exact"/>
        <w:tabs>
          <w:tab w:leader="none" w:pos="182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Company shall maintain for each Member a separate Capital Account in accordance with the rules of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l(b)(2)(iv).</w:t>
      </w:r>
    </w:p>
    <w:p>
      <w:pPr>
        <w:spacing w:after="0" w:line="198" w:lineRule="exact"/>
        <w:rPr>
          <w:rFonts w:ascii="Arial" w:cs="Arial" w:eastAsia="Arial" w:hAnsi="Arial"/>
          <w:sz w:val="22"/>
          <w:szCs w:val="22"/>
          <w:color w:val="auto"/>
        </w:rPr>
      </w:pPr>
    </w:p>
    <w:p>
      <w:pPr>
        <w:jc w:val="both"/>
        <w:ind w:firstLine="1305"/>
        <w:spacing w:after="0" w:line="262" w:lineRule="exact"/>
        <w:tabs>
          <w:tab w:leader="none" w:pos="172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Member’s Capital Account will be increased by (i) such Member’s Capital Contributions, (ii) the income and gain the Member is allocated by the Company, including any income and gain that is exempted from tax and including any income and gain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1(b)(2)(iv)(g), but excluding tax items of income and gain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1(b)(4)(i), and (iii) an amount equal to an allocation of upward basis adjustment to such Member as a result of a Recapture of ITCs as described in Treasury Regulations Section 1.704-1(b)(2)(iv)(j). A Member’s Capital Account will be decreased by (i) the amount of money distributed to the Member by the Company, (ii) the net value of any property</w:t>
      </w:r>
    </w:p>
    <w:p>
      <w:pPr>
        <w:sectPr>
          <w:pgSz w:w="11900" w:h="16838" w:orient="portrait"/>
          <w:cols w:equalWidth="0" w:num="1">
            <w:col w:w="11420"/>
          </w:cols>
          <w:pgMar w:left="240" w:top="131" w:right="239" w:bottom="0" w:gutter="0" w:footer="0" w:header="0"/>
        </w:sectPr>
      </w:pPr>
    </w:p>
    <w:bookmarkStart w:id="247" w:name="page248"/>
    <w:bookmarkEnd w:id="247"/>
    <w:p>
      <w:pPr>
        <w:jc w:val="both"/>
        <w:spacing w:after="0" w:line="260" w:lineRule="exact"/>
        <w:rPr>
          <w:sz w:val="20"/>
          <w:szCs w:val="20"/>
          <w:color w:val="auto"/>
        </w:rPr>
      </w:pPr>
      <w:r>
        <w:rPr>
          <w:rFonts w:ascii="Arial" w:cs="Arial" w:eastAsia="Arial" w:hAnsi="Arial"/>
          <w:sz w:val="19"/>
          <w:szCs w:val="19"/>
          <w:color w:val="auto"/>
        </w:rPr>
        <w:t>other than money distributed to the Member by the Company (</w:t>
      </w:r>
      <w:r>
        <w:rPr>
          <w:rFonts w:ascii="Arial" w:cs="Arial" w:eastAsia="Arial" w:hAnsi="Arial"/>
          <w:sz w:val="19"/>
          <w:szCs w:val="19"/>
          <w:i w:val="1"/>
          <w:iCs w:val="1"/>
          <w:color w:val="auto"/>
        </w:rPr>
        <w:t>i.e.</w:t>
      </w:r>
      <w:r>
        <w:rPr>
          <w:rFonts w:ascii="Arial" w:cs="Arial" w:eastAsia="Arial" w:hAnsi="Arial"/>
          <w:sz w:val="19"/>
          <w:szCs w:val="19"/>
          <w:color w:val="auto"/>
        </w:rPr>
        <w:t>, the fair market value of the property net of any liabilities secured by the property that the Member is considered to assume or take subject to under Section 752 of the Code), (iii) any expenditures of the Company described in Section 705(a)(2)(B) of the Code (</w:t>
      </w:r>
      <w:r>
        <w:rPr>
          <w:rFonts w:ascii="Arial" w:cs="Arial" w:eastAsia="Arial" w:hAnsi="Arial"/>
          <w:sz w:val="19"/>
          <w:szCs w:val="19"/>
          <w:i w:val="1"/>
          <w:iCs w:val="1"/>
          <w:color w:val="auto"/>
        </w:rPr>
        <w:t>i.e.</w:t>
      </w:r>
      <w:r>
        <w:rPr>
          <w:rFonts w:ascii="Arial" w:cs="Arial" w:eastAsia="Arial" w:hAnsi="Arial"/>
          <w:sz w:val="19"/>
          <w:szCs w:val="19"/>
          <w:color w:val="auto"/>
        </w:rPr>
        <w:t>, that cannot be capitalized or deducted in computing taxable income) that are allocated to the Member, (iv) losses and deductions that are allocated to the Member, but excluding tax items of loss or deduction described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1(b)(4)(i), and (v) an amount equal to an allocation of downward basis adjustment to such Member as described in Treasury Regulations Section 1.704-1(b)(2)(iv)(j).</w:t>
      </w:r>
    </w:p>
    <w:p>
      <w:pPr>
        <w:spacing w:after="0" w:line="199" w:lineRule="exact"/>
        <w:rPr>
          <w:sz w:val="20"/>
          <w:szCs w:val="20"/>
          <w:color w:val="auto"/>
        </w:rPr>
      </w:pPr>
    </w:p>
    <w:p>
      <w:pPr>
        <w:ind w:firstLine="1305"/>
        <w:spacing w:after="0" w:line="276" w:lineRule="auto"/>
        <w:tabs>
          <w:tab w:leader="none" w:pos="173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event Units are Transferred in accordance with the terms of this Agreement, the Transferee shall succeed to the Capital Account of the Transferring Member to the extent it relates to the Units so Transferred.</w:t>
      </w:r>
    </w:p>
    <w:p>
      <w:pPr>
        <w:spacing w:after="0" w:line="160" w:lineRule="exact"/>
        <w:rPr>
          <w:rFonts w:ascii="Arial" w:cs="Arial" w:eastAsia="Arial" w:hAnsi="Arial"/>
          <w:sz w:val="22"/>
          <w:szCs w:val="22"/>
          <w:color w:val="auto"/>
        </w:rPr>
      </w:pPr>
    </w:p>
    <w:p>
      <w:pPr>
        <w:ind w:right="20" w:firstLine="1305"/>
        <w:spacing w:after="0" w:line="276" w:lineRule="auto"/>
        <w:tabs>
          <w:tab w:leader="none" w:pos="172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In determining the amount of any liability for purposes of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there shall be taken into account Code Section 752(c) and any other applicable provisions of the Code and Treasury Regulations.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Members’ Initial Capital Contributions and initial Capital Accounts are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7" w:lineRule="exact"/>
        <w:tabs>
          <w:tab w:leader="none" w:pos="16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the other provisions of this Agreement relating to the maintenance of Capital Accounts are intended to comply with Treasury Regulations Section 1.704</w:t>
      </w:r>
      <w:r>
        <w:rPr>
          <w:rFonts w:ascii="MS PGothic" w:cs="MS PGothic" w:eastAsia="MS PGothic" w:hAnsi="MS PGothic"/>
          <w:sz w:val="22"/>
          <w:szCs w:val="22"/>
          <w:color w:val="auto"/>
        </w:rPr>
        <w:t>‑</w:t>
      </w:r>
      <w:r>
        <w:rPr>
          <w:rFonts w:ascii="Arial" w:cs="Arial" w:eastAsia="Arial" w:hAnsi="Arial"/>
          <w:sz w:val="22"/>
          <w:szCs w:val="22"/>
          <w:color w:val="auto"/>
        </w:rPr>
        <w:t>1(b), and shall be interpreted and applied in a manner consistent with such Treasury Regulations.</w:t>
      </w:r>
    </w:p>
    <w:p>
      <w:pPr>
        <w:spacing w:after="0" w:line="19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u w:val="single" w:color="auto"/>
          <w:color w:val="auto"/>
        </w:rPr>
        <w:t>Allocations.</w:t>
      </w:r>
    </w:p>
    <w:p>
      <w:pPr>
        <w:spacing w:after="0" w:line="239" w:lineRule="exact"/>
        <w:rPr>
          <w:sz w:val="20"/>
          <w:szCs w:val="20"/>
          <w:color w:val="auto"/>
        </w:rPr>
      </w:pPr>
    </w:p>
    <w:p>
      <w:pPr>
        <w:jc w:val="both"/>
        <w:ind w:firstLine="1305"/>
        <w:spacing w:after="0" w:line="307" w:lineRule="auto"/>
        <w:tabs>
          <w:tab w:leader="none" w:pos="181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General Allocations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12.2(a)(iv)</w:t>
      </w:r>
      <w:r>
        <w:rPr>
          <w:rFonts w:ascii="Arial" w:cs="Arial" w:eastAsia="Arial" w:hAnsi="Arial"/>
          <w:sz w:val="19"/>
          <w:szCs w:val="19"/>
          <w:color w:val="auto"/>
        </w:rPr>
        <w:t xml:space="preserve">, all Company Items attributable to each Project, which, for the avoidance of doubt, shall be separately determined for each Project, for any Taxable Year or relevant portion thereof shall be allocated among the Members, ninety-nine percent (99%) to the Class A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Class A Units, and one percent (1%) to the Class B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Class B Units.</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Items in Connection with Liquidation</w:t>
      </w:r>
      <w:r>
        <w:rPr>
          <w:rFonts w:ascii="Arial" w:cs="Arial" w:eastAsia="Arial" w:hAnsi="Arial"/>
          <w:sz w:val="22"/>
          <w:szCs w:val="22"/>
          <w:color w:val="auto"/>
        </w:rPr>
        <w:t xml:space="preserve">. Company Items for the Taxable Year in which there is a disposition or deemed disposition of all or substantially all of the Assets of the Company pursuant to </w:t>
      </w:r>
      <w:r>
        <w:rPr>
          <w:rFonts w:ascii="Arial" w:cs="Arial" w:eastAsia="Arial" w:hAnsi="Arial"/>
          <w:sz w:val="22"/>
          <w:szCs w:val="22"/>
          <w:u w:val="single" w:color="auto"/>
          <w:color w:val="auto"/>
        </w:rPr>
        <w:t>Section 12.2(a)(iii)</w:t>
      </w:r>
      <w:r>
        <w:rPr>
          <w:rFonts w:ascii="Arial" w:cs="Arial" w:eastAsia="Arial" w:hAnsi="Arial"/>
          <w:sz w:val="22"/>
          <w:szCs w:val="22"/>
          <w:color w:val="auto"/>
        </w:rPr>
        <w:t xml:space="preserve"> shall be allocated pursuant to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7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u w:val="single" w:color="auto"/>
          <w:color w:val="auto"/>
        </w:rPr>
        <w:t>Adjustments.</w:t>
      </w:r>
    </w:p>
    <w:p>
      <w:pPr>
        <w:spacing w:after="0" w:line="239" w:lineRule="exact"/>
        <w:rPr>
          <w:sz w:val="20"/>
          <w:szCs w:val="20"/>
          <w:color w:val="auto"/>
        </w:rPr>
      </w:pPr>
    </w:p>
    <w:p>
      <w:pPr>
        <w:ind w:firstLine="1297"/>
        <w:spacing w:after="0" w:line="265" w:lineRule="exact"/>
        <w:rPr>
          <w:sz w:val="20"/>
          <w:szCs w:val="20"/>
          <w:color w:val="auto"/>
        </w:rPr>
      </w:pPr>
      <w:r>
        <w:rPr>
          <w:rFonts w:ascii="Arial" w:cs="Arial" w:eastAsia="Arial" w:hAnsi="Arial"/>
          <w:sz w:val="22"/>
          <w:szCs w:val="22"/>
          <w:color w:val="auto"/>
        </w:rPr>
        <w:t xml:space="preserve">The following adjustments shall be made to the allocations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in the following order of priority in order to comply with Treasury Regulations Sections 1.704</w:t>
      </w:r>
      <w:r>
        <w:rPr>
          <w:rFonts w:ascii="MS PGothic" w:cs="MS PGothic" w:eastAsia="MS PGothic" w:hAnsi="MS PGothic"/>
          <w:sz w:val="22"/>
          <w:szCs w:val="22"/>
          <w:color w:val="auto"/>
        </w:rPr>
        <w:t>‑</w:t>
      </w:r>
      <w:r>
        <w:rPr>
          <w:rFonts w:ascii="Arial" w:cs="Arial" w:eastAsia="Arial" w:hAnsi="Arial"/>
          <w:sz w:val="22"/>
          <w:szCs w:val="22"/>
          <w:color w:val="auto"/>
        </w:rPr>
        <w:t>1(b) and 1.704</w:t>
      </w:r>
      <w:r>
        <w:rPr>
          <w:rFonts w:ascii="MS PGothic" w:cs="MS PGothic" w:eastAsia="MS PGothic" w:hAnsi="MS PGothic"/>
          <w:sz w:val="22"/>
          <w:szCs w:val="22"/>
          <w:color w:val="auto"/>
        </w:rPr>
        <w:t>‑</w:t>
      </w:r>
      <w:r>
        <w:rPr>
          <w:rFonts w:ascii="Arial" w:cs="Arial" w:eastAsia="Arial" w:hAnsi="Arial"/>
          <w:sz w:val="22"/>
          <w:szCs w:val="22"/>
          <w:color w:val="auto"/>
        </w:rPr>
        <w:t>2:</w:t>
      </w:r>
    </w:p>
    <w:p>
      <w:pPr>
        <w:spacing w:after="0" w:line="200" w:lineRule="exact"/>
        <w:rPr>
          <w:sz w:val="20"/>
          <w:szCs w:val="20"/>
          <w:color w:val="auto"/>
        </w:rPr>
      </w:pPr>
    </w:p>
    <w:p>
      <w:pPr>
        <w:jc w:val="both"/>
        <w:ind w:firstLine="1305"/>
        <w:spacing w:after="0" w:line="260" w:lineRule="exact"/>
        <w:tabs>
          <w:tab w:leader="none" w:pos="1851"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Company Minimum Gain Chargeback</w:t>
      </w:r>
      <w:r>
        <w:rPr>
          <w:rFonts w:ascii="Arial" w:cs="Arial" w:eastAsia="Arial" w:hAnsi="Arial"/>
          <w:sz w:val="21"/>
          <w:szCs w:val="21"/>
          <w:color w:val="auto"/>
        </w:rPr>
        <w:t xml:space="preserve">. Notwithstanding the other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except as provided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2(g). Allocations pursuant to the previous sentence shall be made in proportion to the respective amounts required to be allocated to each Member pursuant thereto. The Company Items to be so allocated shall be determined in accordance with Treasury Regulations Sections 1.704</w:t>
      </w:r>
      <w:r>
        <w:rPr>
          <w:rFonts w:ascii="MS PGothic" w:cs="MS PGothic" w:eastAsia="MS PGothic" w:hAnsi="MS PGothic"/>
          <w:sz w:val="21"/>
          <w:szCs w:val="21"/>
          <w:color w:val="auto"/>
        </w:rPr>
        <w:t>‑</w:t>
      </w:r>
      <w:r>
        <w:rPr>
          <w:rFonts w:ascii="Arial" w:cs="Arial" w:eastAsia="Arial" w:hAnsi="Arial"/>
          <w:sz w:val="21"/>
          <w:szCs w:val="21"/>
          <w:color w:val="auto"/>
        </w:rPr>
        <w:t>2(f)(6) and 1.704</w:t>
      </w:r>
      <w:r>
        <w:rPr>
          <w:rFonts w:ascii="MS PGothic" w:cs="MS PGothic" w:eastAsia="MS PGothic" w:hAnsi="MS PGothic"/>
          <w:sz w:val="21"/>
          <w:szCs w:val="21"/>
          <w:color w:val="auto"/>
        </w:rPr>
        <w:t>‑</w:t>
      </w:r>
      <w:r>
        <w:rPr>
          <w:rFonts w:ascii="Arial" w:cs="Arial" w:eastAsia="Arial" w:hAnsi="Arial"/>
          <w:sz w:val="21"/>
          <w:szCs w:val="21"/>
          <w:color w:val="auto"/>
        </w:rPr>
        <w:t xml:space="preserve">2(j)(2). This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is intended to comply with the minimum gain chargeback requirement in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2(f) and shall be interpreted consistently therewith.</w:t>
      </w:r>
    </w:p>
    <w:p>
      <w:pPr>
        <w:spacing w:after="0" w:line="202" w:lineRule="exact"/>
        <w:rPr>
          <w:rFonts w:ascii="Arial" w:cs="Arial" w:eastAsia="Arial" w:hAnsi="Arial"/>
          <w:sz w:val="21"/>
          <w:szCs w:val="21"/>
          <w:color w:val="auto"/>
        </w:rPr>
      </w:pPr>
    </w:p>
    <w:p>
      <w:pPr>
        <w:jc w:val="both"/>
        <w:ind w:firstLine="1305"/>
        <w:spacing w:after="0" w:line="260" w:lineRule="exact"/>
        <w:tabs>
          <w:tab w:leader="none" w:pos="1972"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Chargeback of Minimum Gain Attributable to Member Nonrecourse Debt</w:t>
      </w:r>
      <w:r>
        <w:rPr>
          <w:rFonts w:ascii="Arial" w:cs="Arial" w:eastAsia="Arial" w:hAnsi="Arial"/>
          <w:sz w:val="19"/>
          <w:szCs w:val="19"/>
          <w:color w:val="auto"/>
        </w:rPr>
        <w:t xml:space="preserve">.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except as provided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2(i)(5), shall be allocated Company Items of income and gain for such taxable year (and, if necessary, subsequent taxable year) in an amount equal to such Member’s share of the net decrease in Member Nonrecourse Debt, determined in accordance with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Allocations pursuant to the previous sentence shall be made in proportion to the respective amounts required to be allocated to each Member pursuant thereto. The Company Items to be so allocated shall be determined in accordance with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2(i)(4) and 1.704</w:t>
      </w:r>
      <w:r>
        <w:rPr>
          <w:rFonts w:ascii="MS PGothic" w:cs="MS PGothic" w:eastAsia="MS PGothic" w:hAnsi="MS PGothic"/>
          <w:sz w:val="19"/>
          <w:szCs w:val="19"/>
          <w:color w:val="auto"/>
        </w:rPr>
        <w:t>‑</w:t>
      </w:r>
      <w:r>
        <w:rPr>
          <w:rFonts w:ascii="Arial" w:cs="Arial" w:eastAsia="Arial" w:hAnsi="Arial"/>
          <w:sz w:val="19"/>
          <w:szCs w:val="19"/>
          <w:color w:val="auto"/>
        </w:rPr>
        <w:t xml:space="preserve">2(j)(2). This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is intended to comply with the partner nonrecourse debt minimum gain chargeback requirement in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2(i)(4) and shall be interpreted consistently therewith.</w:t>
      </w:r>
    </w:p>
    <w:p>
      <w:pPr>
        <w:spacing w:after="0" w:line="198" w:lineRule="exact"/>
        <w:rPr>
          <w:rFonts w:ascii="Arial" w:cs="Arial" w:eastAsia="Arial" w:hAnsi="Arial"/>
          <w:sz w:val="19"/>
          <w:szCs w:val="19"/>
          <w:color w:val="auto"/>
        </w:rPr>
      </w:pPr>
    </w:p>
    <w:p>
      <w:pPr>
        <w:jc w:val="both"/>
        <w:ind w:firstLine="1305"/>
        <w:spacing w:after="0" w:line="262" w:lineRule="auto"/>
        <w:tabs>
          <w:tab w:leader="none" w:pos="1784"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Limitation on Losses and Deductions</w:t>
      </w:r>
      <w:r>
        <w:rPr>
          <w:rFonts w:ascii="Arial" w:cs="Arial" w:eastAsia="Arial" w:hAnsi="Arial"/>
          <w:sz w:val="21"/>
          <w:szCs w:val="21"/>
          <w:color w:val="auto"/>
        </w:rPr>
        <w:t xml:space="preserve">.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12.2(a)(iv)</w:t>
      </w:r>
      <w:r>
        <w:rPr>
          <w:rFonts w:ascii="Arial" w:cs="Arial" w:eastAsia="Arial" w:hAnsi="Arial"/>
          <w:sz w:val="21"/>
          <w:szCs w:val="21"/>
          <w:color w:val="auto"/>
        </w:rPr>
        <w:t xml:space="preserve"> to the extent such other Members may be allocated such items of loss or deduction without producing an Adjusted Capital Account Deficit.</w:t>
      </w:r>
    </w:p>
    <w:p>
      <w:pPr>
        <w:sectPr>
          <w:pgSz w:w="11900" w:h="16838" w:orient="portrait"/>
          <w:cols w:equalWidth="0" w:num="1">
            <w:col w:w="11420"/>
          </w:cols>
          <w:pgMar w:left="240" w:top="132" w:right="239" w:bottom="21" w:gutter="0" w:footer="0" w:header="0"/>
        </w:sectPr>
      </w:pPr>
    </w:p>
    <w:bookmarkStart w:id="248" w:name="page249"/>
    <w:bookmarkEnd w:id="248"/>
    <w:p>
      <w:pPr>
        <w:jc w:val="both"/>
        <w:ind w:left="-1200" w:firstLine="1305"/>
        <w:spacing w:after="0" w:line="262" w:lineRule="exact"/>
        <w:tabs>
          <w:tab w:leader="none" w:pos="66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Qualified Income Offset</w:t>
      </w:r>
      <w:r>
        <w:rPr>
          <w:rFonts w:ascii="Arial" w:cs="Arial" w:eastAsia="Arial" w:hAnsi="Arial"/>
          <w:sz w:val="19"/>
          <w:szCs w:val="19"/>
          <w:color w:val="auto"/>
        </w:rPr>
        <w:t>. In the event any Member unexpectedly receives any adjustments, allocations or distributions described in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 xml:space="preserve">1(b)(2)(ii)(d)(4), (5) or (6), Company Items of income and gain shall be allocated to such Member in an amount and manner sufficient to eliminate as quickly as possible, to the extent required by the Treasury Regulations, any Adjusted Capital Account Deficit;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shall be made only if and to the extent that such Member would have such a deficit Capital Account after all other adjustments provided for in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have been tentatively made as if this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were not in this Agreement.</w:t>
      </w:r>
    </w:p>
    <w:p>
      <w:pPr>
        <w:spacing w:after="0" w:line="201" w:lineRule="exact"/>
        <w:rPr>
          <w:rFonts w:ascii="Arial" w:cs="Arial" w:eastAsia="Arial" w:hAnsi="Arial"/>
          <w:sz w:val="19"/>
          <w:szCs w:val="19"/>
          <w:color w:val="auto"/>
        </w:rPr>
      </w:pPr>
    </w:p>
    <w:p>
      <w:pPr>
        <w:jc w:val="both"/>
        <w:ind w:left="-1200" w:firstLine="1305"/>
        <w:spacing w:after="0" w:line="262" w:lineRule="exact"/>
        <w:tabs>
          <w:tab w:leader="none" w:pos="51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Gross Income Allocation</w:t>
      </w:r>
      <w:r>
        <w:rPr>
          <w:rFonts w:ascii="Arial" w:cs="Arial" w:eastAsia="Arial" w:hAnsi="Arial"/>
          <w:sz w:val="19"/>
          <w:szCs w:val="19"/>
          <w:color w:val="auto"/>
        </w:rPr>
        <w:t>. In the event any Member has a deficit Capital Account at the end of any Taxable Year that is in excess of the amount such Member is deemed obligated to restore pursuant to the penultimate sentences of Treasury Regulations Sections 1.704</w:t>
      </w:r>
      <w:r>
        <w:rPr>
          <w:rFonts w:ascii="MS PGothic" w:cs="MS PGothic" w:eastAsia="MS PGothic" w:hAnsi="MS PGothic"/>
          <w:sz w:val="19"/>
          <w:szCs w:val="19"/>
          <w:color w:val="auto"/>
        </w:rPr>
        <w:t>‑</w:t>
      </w:r>
      <w:r>
        <w:rPr>
          <w:rFonts w:ascii="Arial" w:cs="Arial" w:eastAsia="Arial" w:hAnsi="Arial"/>
          <w:sz w:val="19"/>
          <w:szCs w:val="19"/>
          <w:color w:val="auto"/>
        </w:rPr>
        <w:t>2(g)(1) and 1.704</w:t>
      </w:r>
      <w:r>
        <w:rPr>
          <w:rFonts w:ascii="MS PGothic" w:cs="MS PGothic" w:eastAsia="MS PGothic" w:hAnsi="MS PGothic"/>
          <w:sz w:val="19"/>
          <w:szCs w:val="19"/>
          <w:color w:val="auto"/>
        </w:rPr>
        <w:t>‑</w:t>
      </w:r>
      <w:r>
        <w:rPr>
          <w:rFonts w:ascii="Arial" w:cs="Arial" w:eastAsia="Arial" w:hAnsi="Arial"/>
          <w:sz w:val="19"/>
          <w:szCs w:val="19"/>
          <w:color w:val="auto"/>
        </w:rPr>
        <w:t xml:space="preserve">2(i)(5), each such Member shall be specially allocated Company Items of income and gain in the amount of such excess as quickly as possible;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w:t>
      </w:r>
      <w:r>
        <w:rPr>
          <w:rFonts w:ascii="Arial" w:cs="Arial" w:eastAsia="Arial" w:hAnsi="Arial"/>
          <w:sz w:val="19"/>
          <w:szCs w:val="19"/>
          <w:u w:val="single" w:color="auto"/>
          <w:color w:val="auto"/>
        </w:rPr>
        <w:t>Section 4.3(e)</w:t>
      </w:r>
      <w:r>
        <w:rPr>
          <w:rFonts w:ascii="Arial" w:cs="Arial" w:eastAsia="Arial" w:hAnsi="Arial"/>
          <w:sz w:val="19"/>
          <w:szCs w:val="19"/>
          <w:color w:val="auto"/>
        </w:rPr>
        <w:t xml:space="preserve"> shall be made only if and to the extent that such Member would have a deficit Capital Account in excess of such sum after all other special allocations provided for in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have been made as if </w:t>
      </w:r>
      <w:r>
        <w:rPr>
          <w:rFonts w:ascii="Arial" w:cs="Arial" w:eastAsia="Arial" w:hAnsi="Arial"/>
          <w:sz w:val="19"/>
          <w:szCs w:val="19"/>
          <w:u w:val="single" w:color="auto"/>
          <w:color w:val="auto"/>
        </w:rPr>
        <w:t>Section 4.3(d)</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4.3(e)</w:t>
      </w:r>
      <w:r>
        <w:rPr>
          <w:rFonts w:ascii="Arial" w:cs="Arial" w:eastAsia="Arial" w:hAnsi="Arial"/>
          <w:sz w:val="19"/>
          <w:szCs w:val="19"/>
          <w:color w:val="auto"/>
        </w:rPr>
        <w:t xml:space="preserve"> were not in this Agreement.</w:t>
      </w:r>
    </w:p>
    <w:p>
      <w:pPr>
        <w:spacing w:after="0" w:line="201" w:lineRule="exact"/>
        <w:rPr>
          <w:rFonts w:ascii="Arial" w:cs="Arial" w:eastAsia="Arial" w:hAnsi="Arial"/>
          <w:sz w:val="19"/>
          <w:szCs w:val="19"/>
          <w:color w:val="auto"/>
        </w:rPr>
      </w:pPr>
    </w:p>
    <w:p>
      <w:pPr>
        <w:jc w:val="both"/>
        <w:ind w:left="-1200" w:firstLine="1305"/>
        <w:spacing w:after="0" w:line="260" w:lineRule="exact"/>
        <w:tabs>
          <w:tab w:leader="none" w:pos="50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Section 754 Adjustments</w:t>
      </w:r>
      <w:r>
        <w:rPr>
          <w:rFonts w:ascii="Arial" w:cs="Arial" w:eastAsia="Arial" w:hAnsi="Arial"/>
          <w:sz w:val="19"/>
          <w:szCs w:val="19"/>
          <w:color w:val="auto"/>
        </w:rPr>
        <w:t>. To the extent an adjustment to the adjusted tax basis of any Company Asset pursuant to Code Section 734(b) or Section 743(b) is required pursuant to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1(b)(2)(iv)(m)(2) or Section 1.704</w:t>
      </w:r>
      <w:r>
        <w:rPr>
          <w:rFonts w:ascii="MS PGothic" w:cs="MS PGothic" w:eastAsia="MS PGothic" w:hAnsi="MS PGothic"/>
          <w:sz w:val="19"/>
          <w:szCs w:val="19"/>
          <w:color w:val="auto"/>
        </w:rPr>
        <w:t>‑</w:t>
      </w:r>
      <w:r>
        <w:rPr>
          <w:rFonts w:ascii="Arial" w:cs="Arial" w:eastAsia="Arial" w:hAnsi="Arial"/>
          <w:sz w:val="19"/>
          <w:szCs w:val="19"/>
          <w:color w:val="auto"/>
        </w:rPr>
        <w:t>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 xml:space="preserve">1(b)(2)(iv)(m)(4) applies; (B) in accordance with how the corresponding item of “displaced” gain or loss would be allocated to the Members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to the extent the second sentence of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1(b)(2)(iv)(m)(4) applies; and (C) in accordance with the Members’ “interests in the Company” under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1(b)(3) in the event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1(b)(2)(iv)(m)(2) applies.</w:t>
      </w:r>
    </w:p>
    <w:p>
      <w:pPr>
        <w:spacing w:after="0" w:line="198" w:lineRule="exact"/>
        <w:rPr>
          <w:rFonts w:ascii="Arial" w:cs="Arial" w:eastAsia="Arial" w:hAnsi="Arial"/>
          <w:sz w:val="19"/>
          <w:szCs w:val="19"/>
          <w:color w:val="auto"/>
        </w:rPr>
      </w:pPr>
    </w:p>
    <w:p>
      <w:pPr>
        <w:jc w:val="both"/>
        <w:ind w:left="-1200" w:firstLine="1305"/>
        <w:spacing w:after="0" w:line="260" w:lineRule="auto"/>
        <w:tabs>
          <w:tab w:leader="none" w:pos="58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Nonrecourse Deductions</w:t>
      </w:r>
      <w:r>
        <w:rPr>
          <w:rFonts w:ascii="Arial" w:cs="Arial" w:eastAsia="Arial" w:hAnsi="Arial"/>
          <w:sz w:val="22"/>
          <w:szCs w:val="22"/>
          <w:color w:val="auto"/>
        </w:rPr>
        <w:t xml:space="preserve">. Nonrecourse Deductions for any Taxable Year shall be allocated to the Members in accordance with (i)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as in effect at the time the Nonrecourse Deduction arises, or (ii) if applicable, </w:t>
      </w:r>
      <w:r>
        <w:rPr>
          <w:rFonts w:ascii="Arial" w:cs="Arial" w:eastAsia="Arial" w:hAnsi="Arial"/>
          <w:sz w:val="22"/>
          <w:szCs w:val="22"/>
          <w:u w:val="single" w:color="auto"/>
          <w:color w:val="auto"/>
        </w:rPr>
        <w:t>Section 12.2(a)(iv)</w:t>
      </w:r>
      <w:r>
        <w:rPr>
          <w:rFonts w:ascii="Arial" w:cs="Arial" w:eastAsia="Arial" w:hAnsi="Arial"/>
          <w:sz w:val="22"/>
          <w:szCs w:val="22"/>
          <w:color w:val="auto"/>
        </w:rPr>
        <w:t>, as in effect at the time the Nonrecourse Deduction arises.</w:t>
      </w:r>
    </w:p>
    <w:p>
      <w:pPr>
        <w:spacing w:after="0" w:line="177" w:lineRule="exact"/>
        <w:rPr>
          <w:rFonts w:ascii="Arial" w:cs="Arial" w:eastAsia="Arial" w:hAnsi="Arial"/>
          <w:sz w:val="22"/>
          <w:szCs w:val="22"/>
          <w:color w:val="auto"/>
        </w:rPr>
      </w:pPr>
    </w:p>
    <w:p>
      <w:pPr>
        <w:jc w:val="both"/>
        <w:ind w:left="-1200" w:right="20" w:firstLine="1305"/>
        <w:spacing w:after="0" w:line="267" w:lineRule="exact"/>
        <w:tabs>
          <w:tab w:leader="none" w:pos="704"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Member Nonrecourse Deductions</w:t>
      </w:r>
      <w:r>
        <w:rPr>
          <w:rFonts w:ascii="Arial" w:cs="Arial" w:eastAsia="Arial" w:hAnsi="Arial"/>
          <w:sz w:val="21"/>
          <w:szCs w:val="21"/>
          <w:color w:val="auto"/>
        </w:rPr>
        <w:t>. Any Member Nonrecourse Deductions for any Taxable Year shall be allocated to the Member who bears the economic risk of loss with respect to the Member Nonrecourse Debt to which such Member Nonrecourse Deductions are attributable in accordance with Treasury Regulations Section 1.704</w:t>
      </w:r>
      <w:r>
        <w:rPr>
          <w:rFonts w:ascii="MS PGothic" w:cs="MS PGothic" w:eastAsia="MS PGothic" w:hAnsi="MS PGothic"/>
          <w:sz w:val="21"/>
          <w:szCs w:val="21"/>
          <w:color w:val="auto"/>
        </w:rPr>
        <w:t>‑</w:t>
      </w:r>
      <w:r>
        <w:rPr>
          <w:rFonts w:ascii="Arial" w:cs="Arial" w:eastAsia="Arial" w:hAnsi="Arial"/>
          <w:sz w:val="21"/>
          <w:szCs w:val="21"/>
          <w:color w:val="auto"/>
        </w:rPr>
        <w:t>2(i)(1).</w:t>
      </w:r>
    </w:p>
    <w:p>
      <w:pPr>
        <w:spacing w:after="0" w:line="193" w:lineRule="exact"/>
        <w:rPr>
          <w:rFonts w:ascii="Arial" w:cs="Arial" w:eastAsia="Arial" w:hAnsi="Arial"/>
          <w:sz w:val="21"/>
          <w:szCs w:val="21"/>
          <w:color w:val="auto"/>
        </w:rPr>
      </w:pPr>
    </w:p>
    <w:p>
      <w:pPr>
        <w:jc w:val="both"/>
        <w:ind w:left="-1200" w:firstLine="1305"/>
        <w:spacing w:after="0" w:line="261" w:lineRule="auto"/>
        <w:tabs>
          <w:tab w:leader="none" w:pos="588"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Regulatory Allocations</w:t>
      </w:r>
      <w:r>
        <w:rPr>
          <w:rFonts w:ascii="Arial" w:cs="Arial" w:eastAsia="Arial" w:hAnsi="Arial"/>
          <w:sz w:val="21"/>
          <w:szCs w:val="21"/>
          <w:color w:val="auto"/>
        </w:rPr>
        <w:t xml:space="preserve">. The allocations required in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4.3(h)</w:t>
      </w:r>
      <w:r>
        <w:rPr>
          <w:rFonts w:ascii="Arial" w:cs="Arial" w:eastAsia="Arial" w:hAnsi="Arial"/>
          <w:sz w:val="21"/>
          <w:szCs w:val="21"/>
          <w:color w:val="auto"/>
        </w:rPr>
        <w:t xml:space="preserve"> (the “</w:t>
      </w:r>
      <w:r>
        <w:rPr>
          <w:rFonts w:ascii="Arial" w:cs="Arial" w:eastAsia="Arial" w:hAnsi="Arial"/>
          <w:sz w:val="21"/>
          <w:szCs w:val="21"/>
          <w:b w:val="1"/>
          <w:bCs w:val="1"/>
          <w:color w:val="auto"/>
        </w:rPr>
        <w:t>Regulatory</w:t>
      </w:r>
      <w:r>
        <w:rPr>
          <w:rFonts w:ascii="Arial" w:cs="Arial" w:eastAsia="Arial" w:hAnsi="Arial"/>
          <w:sz w:val="21"/>
          <w:szCs w:val="21"/>
          <w:color w:val="auto"/>
        </w:rPr>
        <w:t xml:space="preserve"> </w:t>
      </w:r>
      <w:r>
        <w:rPr>
          <w:rFonts w:ascii="Arial" w:cs="Arial" w:eastAsia="Arial" w:hAnsi="Arial"/>
          <w:sz w:val="21"/>
          <w:szCs w:val="21"/>
          <w:b w:val="1"/>
          <w:bCs w:val="1"/>
          <w:color w:val="auto"/>
        </w:rPr>
        <w:t>Allocations</w:t>
      </w:r>
      <w:r>
        <w:rPr>
          <w:rFonts w:ascii="Arial" w:cs="Arial" w:eastAsia="Arial" w:hAnsi="Arial"/>
          <w:sz w:val="21"/>
          <w:szCs w:val="21"/>
          <w:color w:val="auto"/>
        </w:rPr>
        <w:t>”) are intended to comply with certain requirements of the Treasury Regulations. It is the intent of the Members that,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extent consistent with the Treasury Regulations, all Regulatory Allocations shall be offset either with other Regulatory Allocations or with allocations of other Company Items. Therefore, notwithstanding any other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(excluding the Regulatory Allocations) and this </w:t>
      </w:r>
      <w:r>
        <w:rPr>
          <w:rFonts w:ascii="Arial" w:cs="Arial" w:eastAsia="Arial" w:hAnsi="Arial"/>
          <w:sz w:val="21"/>
          <w:szCs w:val="21"/>
          <w:u w:val="single" w:color="auto"/>
          <w:color w:val="auto"/>
        </w:rPr>
        <w:t>Section 4.3(i)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12.2(a)(iv)</w:t>
      </w:r>
      <w:r>
        <w:rPr>
          <w:rFonts w:ascii="Arial" w:cs="Arial" w:eastAsia="Arial" w:hAnsi="Arial"/>
          <w:sz w:val="21"/>
          <w:szCs w:val="21"/>
          <w:color w:val="auto"/>
        </w:rPr>
        <w:t>.</w:t>
      </w:r>
    </w:p>
    <w:p>
      <w:pPr>
        <w:spacing w:after="0" w:line="175"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u w:val="single" w:color="auto"/>
          <w:color w:val="auto"/>
        </w:rPr>
        <w:t>Tax Allocations.</w:t>
      </w:r>
    </w:p>
    <w:p>
      <w:pPr>
        <w:spacing w:after="0" w:line="239" w:lineRule="exact"/>
        <w:rPr>
          <w:sz w:val="20"/>
          <w:szCs w:val="20"/>
          <w:color w:val="auto"/>
        </w:rPr>
      </w:pPr>
    </w:p>
    <w:p>
      <w:pPr>
        <w:jc w:val="both"/>
        <w:ind w:left="-1200" w:firstLine="1305"/>
        <w:spacing w:after="0" w:line="254" w:lineRule="auto"/>
        <w:tabs>
          <w:tab w:leader="none" w:pos="54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12.2(a)(iv)</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200" w:firstLine="1305"/>
        <w:spacing w:after="0" w:line="263" w:lineRule="exact"/>
        <w:tabs>
          <w:tab w:leader="none" w:pos="63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“remedial” method permitted by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3(d).</w:t>
      </w:r>
    </w:p>
    <w:p>
      <w:pPr>
        <w:spacing w:after="0" w:line="201" w:lineRule="exact"/>
        <w:rPr>
          <w:rFonts w:ascii="Arial" w:cs="Arial" w:eastAsia="Arial" w:hAnsi="Arial"/>
          <w:sz w:val="19"/>
          <w:szCs w:val="19"/>
          <w:color w:val="auto"/>
        </w:rPr>
      </w:pPr>
    </w:p>
    <w:p>
      <w:pPr>
        <w:jc w:val="both"/>
        <w:ind w:left="-1200" w:firstLine="1305"/>
        <w:spacing w:after="0" w:line="254" w:lineRule="auto"/>
        <w:tabs>
          <w:tab w:leader="none" w:pos="61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In the event the Value of any Company Asset is adjusted pursuant to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185" w:lineRule="exact"/>
        <w:rPr>
          <w:rFonts w:ascii="Arial" w:cs="Arial" w:eastAsia="Arial" w:hAnsi="Arial"/>
          <w:sz w:val="22"/>
          <w:szCs w:val="22"/>
          <w:color w:val="auto"/>
        </w:rPr>
      </w:pPr>
    </w:p>
    <w:p>
      <w:pPr>
        <w:jc w:val="both"/>
        <w:ind w:left="-1200" w:firstLine="1305"/>
        <w:spacing w:after="0" w:line="260" w:lineRule="auto"/>
        <w:tabs>
          <w:tab w:leader="none" w:pos="54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Allocations pursuant to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are solely for federal, state, and local income taxes and shall not affect, or in any way be taken into account in computing, any Member’s Capital Account or distributive share of Company Items or distributions pursuant to any provision of this Agreement.</w:t>
      </w:r>
    </w:p>
    <w:p>
      <w:pPr>
        <w:sectPr>
          <w:pgSz w:w="11900" w:h="16838" w:orient="portrait"/>
          <w:cols w:equalWidth="0" w:num="1">
            <w:col w:w="10220"/>
          </w:cols>
          <w:pgMar w:left="1440" w:top="132" w:right="239" w:bottom="0" w:gutter="0" w:footer="0" w:header="0"/>
        </w:sectPr>
      </w:pPr>
    </w:p>
    <w:bookmarkStart w:id="249" w:name="page250"/>
    <w:bookmarkEnd w:id="249"/>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19"/>
          <w:szCs w:val="19"/>
          <w:b w:val="1"/>
          <w:bCs w:val="1"/>
          <w:u w:val="single" w:color="auto"/>
          <w:color w:val="auto"/>
        </w:rPr>
        <w:t>Other Allocation Rules.</w:t>
      </w:r>
    </w:p>
    <w:p>
      <w:pPr>
        <w:spacing w:after="0" w:line="239" w:lineRule="exact"/>
        <w:rPr>
          <w:sz w:val="20"/>
          <w:szCs w:val="20"/>
          <w:color w:val="auto"/>
        </w:rPr>
      </w:pPr>
    </w:p>
    <w:p>
      <w:pPr>
        <w:jc w:val="both"/>
        <w:ind w:firstLine="1305"/>
        <w:spacing w:after="0" w:line="261" w:lineRule="exact"/>
        <w:tabs>
          <w:tab w:leader="none" w:pos="186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The Members are aware of the income tax consequences of the allocations made by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and hereby agree to be bound by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by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in reporting their distributive shares of Company Items for income tax purposes, unless otherwise required by applicable Law. If the respective Membership Interests or allocation ratios described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w:t>
      </w:r>
      <w:r>
        <w:rPr>
          <w:rFonts w:ascii="MS PGothic" w:cs="MS PGothic" w:eastAsia="MS PGothic" w:hAnsi="MS PGothic"/>
          <w:sz w:val="19"/>
          <w:szCs w:val="19"/>
          <w:color w:val="auto"/>
        </w:rPr>
        <w:t>‑</w:t>
      </w:r>
      <w:r>
        <w:rPr>
          <w:rFonts w:ascii="Arial" w:cs="Arial" w:eastAsia="Arial" w:hAnsi="Arial"/>
          <w:sz w:val="19"/>
          <w:szCs w:val="19"/>
          <w:color w:val="auto"/>
        </w:rPr>
        <w:t>1(c)</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(2)(ii), unless otherwise agreed in writing by all the Members.</w:t>
      </w:r>
    </w:p>
    <w:p>
      <w:pPr>
        <w:spacing w:after="0" w:line="201" w:lineRule="exact"/>
        <w:rPr>
          <w:rFonts w:ascii="Arial" w:cs="Arial" w:eastAsia="Arial" w:hAnsi="Arial"/>
          <w:sz w:val="19"/>
          <w:szCs w:val="19"/>
          <w:color w:val="auto"/>
        </w:rPr>
      </w:pPr>
    </w:p>
    <w:p>
      <w:pPr>
        <w:jc w:val="both"/>
        <w:ind w:firstLine="1305"/>
        <w:spacing w:after="0" w:line="267" w:lineRule="exact"/>
        <w:tabs>
          <w:tab w:leader="none" w:pos="182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Members agree that solely for purposes of determining a Member’s proportionate share of the “excess nonrecourse liabilities” of the Company within the meaning of Treasury Regulations Section 1.752</w:t>
      </w:r>
      <w:r>
        <w:rPr>
          <w:rFonts w:ascii="MS PGothic" w:cs="MS PGothic" w:eastAsia="MS PGothic" w:hAnsi="MS PGothic"/>
          <w:sz w:val="19"/>
          <w:szCs w:val="19"/>
          <w:color w:val="auto"/>
        </w:rPr>
        <w:t>‑</w:t>
      </w:r>
      <w:r>
        <w:rPr>
          <w:rFonts w:ascii="Arial" w:cs="Arial" w:eastAsia="Arial" w:hAnsi="Arial"/>
          <w:sz w:val="19"/>
          <w:szCs w:val="19"/>
          <w:color w:val="auto"/>
        </w:rPr>
        <w:t xml:space="preserve">3(a)(3), the Members’ interests in Company profits are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as in effect at the time the excess nonrecourse liability arises.</w:t>
      </w:r>
    </w:p>
    <w:p>
      <w:pPr>
        <w:spacing w:after="0" w:line="199" w:lineRule="exact"/>
        <w:rPr>
          <w:rFonts w:ascii="Arial" w:cs="Arial" w:eastAsia="Arial" w:hAnsi="Arial"/>
          <w:sz w:val="19"/>
          <w:szCs w:val="19"/>
          <w:color w:val="auto"/>
        </w:rPr>
      </w:pPr>
    </w:p>
    <w:p>
      <w:pPr>
        <w:jc w:val="both"/>
        <w:ind w:firstLine="1305"/>
        <w:spacing w:after="0" w:line="267" w:lineRule="exact"/>
        <w:tabs>
          <w:tab w:leader="none" w:pos="181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Each Member agrees to provide the Company with information in connection with a transaction subject to Sections 734 and 743 of the Code and the elections permitted and provisions required thereunder, including Treasury Regulations Section 1.743</w:t>
      </w:r>
      <w:r>
        <w:rPr>
          <w:rFonts w:ascii="MS PGothic" w:cs="MS PGothic" w:eastAsia="MS PGothic" w:hAnsi="MS PGothic"/>
          <w:sz w:val="22"/>
          <w:szCs w:val="22"/>
          <w:color w:val="auto"/>
        </w:rPr>
        <w:t>‑</w:t>
      </w:r>
      <w:r>
        <w:rPr>
          <w:rFonts w:ascii="Arial" w:cs="Arial" w:eastAsia="Arial" w:hAnsi="Arial"/>
          <w:sz w:val="22"/>
          <w:szCs w:val="22"/>
          <w:color w:val="auto"/>
        </w:rPr>
        <w:t>1.</w:t>
      </w:r>
    </w:p>
    <w:p>
      <w:pPr>
        <w:spacing w:after="0" w:line="19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DISTRIBUTIONS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u w:val="single" w:color="auto"/>
          <w:color w:val="auto"/>
        </w:rPr>
        <w:t>Distributions of Available Cash Flow.</w:t>
      </w:r>
    </w:p>
    <w:p>
      <w:pPr>
        <w:spacing w:after="0" w:line="239" w:lineRule="exact"/>
        <w:rPr>
          <w:sz w:val="20"/>
          <w:szCs w:val="20"/>
          <w:color w:val="auto"/>
        </w:rPr>
      </w:pPr>
    </w:p>
    <w:p>
      <w:pPr>
        <w:jc w:val="both"/>
        <w:ind w:firstLine="1305"/>
        <w:spacing w:after="0" w:line="254" w:lineRule="auto"/>
        <w:tabs>
          <w:tab w:leader="none" w:pos="171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5.1(b)</w:t>
      </w: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xml:space="preserve">, from and after the Effective Date, Available Cash Flow shall be distributed to the Members on each Distribution Date on which the Company has Available Cash Flow, ninety- nine percent (99%) to the Class A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A Units, and one percent (1%) to the Class B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Class B Units.</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on any Distribution Date on which there is an unpaid balance on any Member Loan made by a Member in accordance with </w:t>
      </w:r>
      <w:r>
        <w:rPr>
          <w:rFonts w:ascii="Arial" w:cs="Arial" w:eastAsia="Arial" w:hAnsi="Arial"/>
          <w:sz w:val="22"/>
          <w:szCs w:val="22"/>
          <w:u w:val="single" w:color="auto"/>
          <w:color w:val="auto"/>
        </w:rPr>
        <w:t>Section 3.4</w:t>
      </w:r>
      <w:r>
        <w:rPr>
          <w:rFonts w:ascii="Arial" w:cs="Arial" w:eastAsia="Arial" w:hAnsi="Arial"/>
          <w:sz w:val="22"/>
          <w:szCs w:val="22"/>
          <w:color w:val="auto"/>
        </w:rPr>
        <w:t>, Available Cash Flow shall first be distributed to the Members participating in such Member Loan on such Distribution Date in an amount not to exceed the outstanding balance of such Member Loan.</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4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to the extent that any Class A Capital Contribution Amount is in excess of the corresponding Capital Call Amount, the amount of such excess shall be specially distributed 100% to the Class B Member and shall reduce the Class B Member’s Capital Account accordingly.</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76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5.1(a)</w:t>
      </w:r>
      <w:r>
        <w:rPr>
          <w:rFonts w:ascii="Arial" w:cs="Arial" w:eastAsia="Arial" w:hAnsi="Arial"/>
          <w:sz w:val="22"/>
          <w:szCs w:val="22"/>
          <w:color w:val="auto"/>
        </w:rPr>
        <w:t>, all cash receipts from Indebtedness (but not a refinancing of Indebtedness) of an Intermediate Company that are received by the Company in connection with the Credit Agreement dated as of July 31, 2017 among NRG Chestnut Borrower LLC, Deutsche Bank Trust Company Americas, as administrative agent and collateral agent, Deutsche Bank AG, New York Branch, as issuing bank, and the lenders from time to time party thereto, as amended from time to time, shall be specially distributed 100% to the Class B Member and shall reduce the Class B Member’s Capital Account accordingly.</w:t>
      </w:r>
    </w:p>
    <w:p>
      <w:pPr>
        <w:spacing w:after="0" w:line="18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u w:val="single" w:color="auto"/>
          <w:color w:val="auto"/>
        </w:rPr>
        <w:t>Limitation.</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The distributions described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5.3</w:t>
      </w:r>
      <w:r>
        <w:rPr>
          <w:sz w:val="20"/>
          <w:szCs w:val="20"/>
          <w:color w:val="auto"/>
        </w:rPr>
        <w:tab/>
      </w:r>
      <w:r>
        <w:rPr>
          <w:rFonts w:ascii="Arial" w:cs="Arial" w:eastAsia="Arial" w:hAnsi="Arial"/>
          <w:sz w:val="19"/>
          <w:szCs w:val="19"/>
          <w:b w:val="1"/>
          <w:bCs w:val="1"/>
          <w:u w:val="single" w:color="auto"/>
          <w:color w:val="auto"/>
        </w:rPr>
        <w:t>Withholding.</w:t>
      </w:r>
    </w:p>
    <w:p>
      <w:pPr>
        <w:spacing w:after="0" w:line="23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w:t>
      </w:r>
    </w:p>
    <w:p>
      <w:pPr>
        <w:sectPr>
          <w:pgSz w:w="11900" w:h="16838" w:orient="portrait"/>
          <w:cols w:equalWidth="0" w:num="1">
            <w:col w:w="11420"/>
          </w:cols>
          <w:pgMar w:left="240" w:top="193" w:right="239" w:bottom="0" w:gutter="0" w:footer="0" w:header="0"/>
        </w:sectPr>
      </w:pPr>
    </w:p>
    <w:bookmarkStart w:id="250" w:name="page251"/>
    <w:bookmarkEnd w:id="250"/>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agrees to furnish to the Company such forms or other documentation as is reasonably necessary to assist the Company in determining the extent of, and in fulfilling, its withholding obligations.</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MANAGEMENT</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u w:val="single" w:color="auto"/>
          <w:color w:val="auto"/>
        </w:rPr>
        <w:t>Manager.</w:t>
      </w:r>
    </w:p>
    <w:p>
      <w:pPr>
        <w:spacing w:after="0" w:line="239" w:lineRule="exact"/>
        <w:rPr>
          <w:sz w:val="20"/>
          <w:szCs w:val="20"/>
          <w:color w:val="auto"/>
        </w:rPr>
      </w:pPr>
    </w:p>
    <w:p>
      <w:pPr>
        <w:jc w:val="both"/>
        <w:ind w:firstLine="1305"/>
        <w:spacing w:after="0" w:line="287" w:lineRule="auto"/>
        <w:tabs>
          <w:tab w:leader="none" w:pos="171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Initial Class B Member is hereby appointed by the Members as the initial Manager of the Company. Except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as otherwise expressly provided in this Agreement, the Manager shall conduct, direct and exercise control over all activities of the Company, and shall have full power and authority on behalf of the Company to manage and 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each Subject Company to perform its obligations and enforce its rights under the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Management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any Subject Company, only to the extent that the Company has (directly or indirectly) the authority to control the management of such Subject Company):</w:t>
      </w:r>
    </w:p>
    <w:p>
      <w:pPr>
        <w:spacing w:after="0" w:line="164" w:lineRule="exact"/>
        <w:rPr>
          <w:rFonts w:ascii="Arial" w:cs="Arial" w:eastAsia="Arial" w:hAnsi="Arial"/>
          <w:sz w:val="19"/>
          <w:szCs w:val="19"/>
          <w:color w:val="auto"/>
        </w:rPr>
      </w:pPr>
    </w:p>
    <w:p>
      <w:pPr>
        <w:jc w:val="both"/>
        <w:ind w:left="660" w:firstLine="1293"/>
        <w:spacing w:after="0" w:line="260" w:lineRule="auto"/>
        <w:tabs>
          <w:tab w:leader="none" w:pos="238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hereof, keep and maintain books of account that are true and correct in all material respects and prepare and timely file all necessary tax returns and make all necessary or desirable tax elections for the Company and each Subject Company;</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49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prepare and submit all filings of any nature that are required to be made by the Company and each Subject Company under any laws, regulations, ordinances or otherwise applicable to the Company, the Subject Companies or the Projects;</w:t>
      </w:r>
    </w:p>
    <w:p>
      <w:pPr>
        <w:spacing w:after="0" w:line="177" w:lineRule="exact"/>
        <w:rPr>
          <w:rFonts w:ascii="Arial" w:cs="Arial" w:eastAsia="Arial" w:hAnsi="Arial"/>
          <w:sz w:val="22"/>
          <w:szCs w:val="22"/>
          <w:color w:val="auto"/>
        </w:rPr>
      </w:pPr>
    </w:p>
    <w:p>
      <w:pPr>
        <w:ind w:left="2580" w:hanging="627"/>
        <w:spacing w:after="0"/>
        <w:tabs>
          <w:tab w:leader="none" w:pos="25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procure and maintain all Licenses and Permits (if any) required for the Company and the Subject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Companies;</w:t>
      </w:r>
    </w:p>
    <w:p>
      <w:pPr>
        <w:spacing w:after="0" w:line="215" w:lineRule="exact"/>
        <w:rPr>
          <w:rFonts w:ascii="Arial" w:cs="Arial" w:eastAsia="Arial" w:hAnsi="Arial"/>
          <w:sz w:val="19"/>
          <w:szCs w:val="19"/>
          <w:color w:val="auto"/>
        </w:rPr>
      </w:pPr>
    </w:p>
    <w:p>
      <w:pPr>
        <w:ind w:left="660" w:firstLine="1293"/>
        <w:spacing w:after="0" w:line="276" w:lineRule="auto"/>
        <w:tabs>
          <w:tab w:leader="none" w:pos="259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comply with the terms and conditions of the Investment Documents, the Project Documents, the Licenses and Permits and applicable Law;</w:t>
      </w:r>
    </w:p>
    <w:p>
      <w:pPr>
        <w:spacing w:after="0" w:line="160" w:lineRule="exact"/>
        <w:rPr>
          <w:rFonts w:ascii="Arial" w:cs="Arial" w:eastAsia="Arial" w:hAnsi="Arial"/>
          <w:sz w:val="22"/>
          <w:szCs w:val="22"/>
          <w:color w:val="auto"/>
        </w:rPr>
      </w:pPr>
    </w:p>
    <w:p>
      <w:pPr>
        <w:ind w:left="660" w:firstLine="1293"/>
        <w:spacing w:after="0" w:line="276" w:lineRule="auto"/>
        <w:tabs>
          <w:tab w:leader="none" w:pos="242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procure and maintain, or cause to be procured and maintained, all insurance required to be maintained pursuant to the Project Documents;</w:t>
      </w:r>
    </w:p>
    <w:p>
      <w:pPr>
        <w:spacing w:after="0" w:line="160" w:lineRule="exact"/>
        <w:rPr>
          <w:rFonts w:ascii="Arial" w:cs="Arial" w:eastAsia="Arial" w:hAnsi="Arial"/>
          <w:sz w:val="22"/>
          <w:szCs w:val="22"/>
          <w:color w:val="auto"/>
        </w:rPr>
      </w:pPr>
    </w:p>
    <w:p>
      <w:pPr>
        <w:jc w:val="both"/>
        <w:ind w:left="660" w:firstLine="1293"/>
        <w:spacing w:after="0" w:line="264" w:lineRule="exact"/>
        <w:tabs>
          <w:tab w:leader="none" w:pos="247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enforce the Company’s and the Subject Companies’ and any counterparty’s compliance with the terms and conditions of all Contracts under which the Company or any Subject Company has any obligations or rights, including this Agreement and the Project Documents and ensure compliance with applicable Laws, including Environmental Laws, Anti</w:t>
      </w:r>
      <w:r>
        <w:rPr>
          <w:rFonts w:ascii="MS PGothic" w:cs="MS PGothic" w:eastAsia="MS PGothic" w:hAnsi="MS PGothic"/>
          <w:sz w:val="22"/>
          <w:szCs w:val="22"/>
          <w:color w:val="auto"/>
        </w:rPr>
        <w:t>‑</w:t>
      </w:r>
      <w:r>
        <w:rPr>
          <w:rFonts w:ascii="Arial" w:cs="Arial" w:eastAsia="Arial" w:hAnsi="Arial"/>
          <w:sz w:val="22"/>
          <w:szCs w:val="22"/>
          <w:color w:val="auto"/>
        </w:rPr>
        <w:t>Corruption Laws and Laws relating to Sanctions;</w:t>
      </w:r>
    </w:p>
    <w:p>
      <w:pPr>
        <w:spacing w:after="0" w:line="201" w:lineRule="exact"/>
        <w:rPr>
          <w:rFonts w:ascii="Arial" w:cs="Arial" w:eastAsia="Arial" w:hAnsi="Arial"/>
          <w:sz w:val="22"/>
          <w:szCs w:val="22"/>
          <w:color w:val="auto"/>
        </w:rPr>
      </w:pPr>
    </w:p>
    <w:p>
      <w:pPr>
        <w:jc w:val="both"/>
        <w:ind w:left="660" w:firstLine="1293"/>
        <w:spacing w:after="0" w:line="254" w:lineRule="auto"/>
        <w:tabs>
          <w:tab w:leader="none" w:pos="253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 xml:space="preserve">manage the Company’s and the Subject Companies’ cash according to investment guidelines set forth in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and make distributions out of available cash as provided under the relevant provisions of this Agreement, the Fund Documents and the Subject Companies’ organizational documents, including the prompt distribution of cash from the Subject Companies to the Company;</w:t>
      </w:r>
    </w:p>
    <w:p>
      <w:pPr>
        <w:spacing w:after="0" w:line="185" w:lineRule="exact"/>
        <w:rPr>
          <w:rFonts w:ascii="Arial" w:cs="Arial" w:eastAsia="Arial" w:hAnsi="Arial"/>
          <w:sz w:val="22"/>
          <w:szCs w:val="22"/>
          <w:color w:val="auto"/>
        </w:rPr>
      </w:pPr>
    </w:p>
    <w:p>
      <w:pPr>
        <w:ind w:left="2560" w:hanging="607"/>
        <w:spacing w:after="0"/>
        <w:tabs>
          <w:tab w:leader="none" w:pos="256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 xml:space="preserve">prepare and deliver all of the reports and other information set forth in </w:t>
      </w:r>
      <w:r>
        <w:rPr>
          <w:rFonts w:ascii="Arial" w:cs="Arial" w:eastAsia="Arial" w:hAnsi="Arial"/>
          <w:sz w:val="22"/>
          <w:szCs w:val="22"/>
          <w:u w:val="single" w:color="auto"/>
          <w:color w:val="auto"/>
        </w:rPr>
        <w:t>Section 8.4</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2480" w:hanging="527"/>
        <w:spacing w:after="0"/>
        <w:tabs>
          <w:tab w:leader="none" w:pos="24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create and maintain the Register, including to reflect any Encumbrance on or Transfer of Membership</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Interests.</w:t>
      </w:r>
    </w:p>
    <w:p>
      <w:pPr>
        <w:spacing w:after="0" w:line="215" w:lineRule="exact"/>
        <w:rPr>
          <w:rFonts w:ascii="Arial" w:cs="Arial" w:eastAsia="Arial" w:hAnsi="Arial"/>
          <w:sz w:val="19"/>
          <w:szCs w:val="19"/>
          <w:color w:val="auto"/>
        </w:rPr>
      </w:pPr>
    </w:p>
    <w:p>
      <w:pPr>
        <w:jc w:val="both"/>
        <w:ind w:firstLine="1305"/>
        <w:spacing w:after="0" w:line="254" w:lineRule="auto"/>
        <w:tabs>
          <w:tab w:leader="none" w:pos="172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In addition to the actions required pursuant to </w:t>
      </w:r>
      <w:r>
        <w:rPr>
          <w:rFonts w:ascii="Arial" w:cs="Arial" w:eastAsia="Arial" w:hAnsi="Arial"/>
          <w:sz w:val="22"/>
          <w:szCs w:val="22"/>
          <w:u w:val="single" w:color="auto"/>
          <w:color w:val="auto"/>
        </w:rPr>
        <w:t>Section 6.1(a)</w:t>
      </w:r>
      <w:r>
        <w:rPr>
          <w:rFonts w:ascii="Arial" w:cs="Arial" w:eastAsia="Arial" w:hAnsi="Arial"/>
          <w:sz w:val="22"/>
          <w:szCs w:val="22"/>
          <w:color w:val="auto"/>
        </w:rPr>
        <w:t>, and in no event in limitation thereof, the Manager shall provide the following services to the Company and the Subject Companies, as applicable (provided that, in each case as it relates to any Subject Company, only to the extent that the Company has (directly or indirectly) the authority to control the management of such Subject Company):</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448"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Accounting Services</w:t>
      </w:r>
      <w:r>
        <w:rPr>
          <w:rFonts w:ascii="Arial" w:cs="Arial" w:eastAsia="Arial" w:hAnsi="Arial"/>
          <w:sz w:val="22"/>
          <w:szCs w:val="22"/>
          <w:color w:val="auto"/>
        </w:rPr>
        <w:t>. The Manager shall and/or shall cause the Master Services Provider to provide accounting and administrative support for all operations, including the following accounting services, to the Company and the Subject Companies, as applicable:</w:t>
      </w:r>
    </w:p>
    <w:p>
      <w:pPr>
        <w:spacing w:after="0" w:line="177" w:lineRule="exact"/>
        <w:rPr>
          <w:rFonts w:ascii="Arial" w:cs="Arial" w:eastAsia="Arial" w:hAnsi="Arial"/>
          <w:sz w:val="22"/>
          <w:szCs w:val="22"/>
          <w:color w:val="auto"/>
        </w:rPr>
      </w:pPr>
    </w:p>
    <w:p>
      <w:pPr>
        <w:jc w:val="both"/>
        <w:ind w:left="1300" w:firstLine="1301"/>
        <w:spacing w:after="0" w:line="358" w:lineRule="auto"/>
        <w:tabs>
          <w:tab w:leader="none" w:pos="3211" w:val="left"/>
        </w:tabs>
        <w:numPr>
          <w:ilvl w:val="2"/>
          <w:numId w:val="139"/>
        </w:numPr>
        <w:rPr>
          <w:rFonts w:ascii="Arial" w:cs="Arial" w:eastAsia="Arial" w:hAnsi="Arial"/>
          <w:sz w:val="19"/>
          <w:szCs w:val="19"/>
          <w:color w:val="auto"/>
        </w:rPr>
      </w:pPr>
      <w:r>
        <w:rPr>
          <w:rFonts w:ascii="Arial" w:cs="Arial" w:eastAsia="Arial" w:hAnsi="Arial"/>
          <w:sz w:val="19"/>
          <w:szCs w:val="19"/>
          <w:color w:val="auto"/>
        </w:rPr>
        <w:t>preparation, filing, storage and dissemination of all necessary documentation of each such Person’s actions and transactions as required by law, by the applicable Fund Documents (including all reporting</w:t>
      </w:r>
    </w:p>
    <w:p>
      <w:pPr>
        <w:sectPr>
          <w:pgSz w:w="11900" w:h="16988" w:orient="portrait"/>
          <w:cols w:equalWidth="0" w:num="1">
            <w:col w:w="11420"/>
          </w:cols>
          <w:pgMar w:left="240" w:top="132" w:right="239" w:bottom="0" w:gutter="0" w:footer="0" w:header="0"/>
        </w:sectPr>
      </w:pPr>
    </w:p>
    <w:bookmarkStart w:id="251" w:name="page252"/>
    <w:bookmarkEnd w:id="251"/>
    <w:p>
      <w:pPr>
        <w:ind w:left="100"/>
        <w:spacing w:after="0"/>
        <w:rPr>
          <w:sz w:val="20"/>
          <w:szCs w:val="20"/>
          <w:color w:val="auto"/>
        </w:rPr>
      </w:pPr>
      <w:r>
        <w:rPr>
          <w:rFonts w:ascii="Arial" w:cs="Arial" w:eastAsia="Arial" w:hAnsi="Arial"/>
          <w:sz w:val="19"/>
          <w:szCs w:val="19"/>
          <w:color w:val="auto"/>
        </w:rPr>
        <w:t>required thereunder) and of all documentation reasonably deemed necessary or appropriate by the Manager;</w:t>
      </w:r>
    </w:p>
    <w:p>
      <w:pPr>
        <w:spacing w:after="0" w:line="254" w:lineRule="exact"/>
        <w:rPr>
          <w:sz w:val="20"/>
          <w:szCs w:val="20"/>
          <w:color w:val="auto"/>
        </w:rPr>
      </w:pPr>
    </w:p>
    <w:p>
      <w:pPr>
        <w:ind w:left="100" w:firstLine="1301"/>
        <w:spacing w:after="0" w:line="301" w:lineRule="auto"/>
        <w:tabs>
          <w:tab w:leader="none" w:pos="1959" w:val="left"/>
        </w:tabs>
        <w:numPr>
          <w:ilvl w:val="1"/>
          <w:numId w:val="140"/>
        </w:numPr>
        <w:rPr>
          <w:rFonts w:ascii="Arial" w:cs="Arial" w:eastAsia="Arial" w:hAnsi="Arial"/>
          <w:sz w:val="21"/>
          <w:szCs w:val="21"/>
          <w:color w:val="auto"/>
        </w:rPr>
      </w:pPr>
      <w:r>
        <w:rPr>
          <w:rFonts w:ascii="Arial" w:cs="Arial" w:eastAsia="Arial" w:hAnsi="Arial"/>
          <w:sz w:val="21"/>
          <w:szCs w:val="21"/>
          <w:color w:val="auto"/>
        </w:rPr>
        <w:t>maintenance of accounting and tax records of each such Person’s transactions in accordance with the accounting standards set forth in the applicable Fund Documents and this Agreement;</w:t>
      </w:r>
    </w:p>
    <w:p>
      <w:pPr>
        <w:spacing w:after="0" w:line="137" w:lineRule="exact"/>
        <w:rPr>
          <w:rFonts w:ascii="Arial" w:cs="Arial" w:eastAsia="Arial" w:hAnsi="Arial"/>
          <w:sz w:val="21"/>
          <w:szCs w:val="21"/>
          <w:color w:val="auto"/>
        </w:rPr>
      </w:pPr>
    </w:p>
    <w:p>
      <w:pPr>
        <w:jc w:val="both"/>
        <w:ind w:left="100" w:firstLine="1301"/>
        <w:spacing w:after="0" w:line="320" w:lineRule="auto"/>
        <w:tabs>
          <w:tab w:leader="none" w:pos="1905" w:val="left"/>
        </w:tabs>
        <w:numPr>
          <w:ilvl w:val="1"/>
          <w:numId w:val="140"/>
        </w:numPr>
        <w:rPr>
          <w:rFonts w:ascii="Arial" w:cs="Arial" w:eastAsia="Arial" w:hAnsi="Arial"/>
          <w:sz w:val="19"/>
          <w:szCs w:val="19"/>
          <w:color w:val="auto"/>
        </w:rPr>
      </w:pPr>
      <w:r>
        <w:rPr>
          <w:rFonts w:ascii="Arial" w:cs="Arial" w:eastAsia="Arial" w:hAnsi="Arial"/>
          <w:sz w:val="19"/>
          <w:szCs w:val="19"/>
          <w:color w:val="auto"/>
        </w:rPr>
        <w:t>facilitation of payment by the Company and each Subject Company of all reasonable expenses of the Company and such Subject Company in accordance with the applicable Fund Documents and this Agreement, as reflected in the annual budget for the Company and such Subject Company, or reasonably related thereto;</w:t>
      </w:r>
    </w:p>
    <w:p>
      <w:pPr>
        <w:spacing w:after="0" w:line="125" w:lineRule="exact"/>
        <w:rPr>
          <w:rFonts w:ascii="Arial" w:cs="Arial" w:eastAsia="Arial" w:hAnsi="Arial"/>
          <w:sz w:val="19"/>
          <w:szCs w:val="19"/>
          <w:color w:val="auto"/>
        </w:rPr>
      </w:pPr>
    </w:p>
    <w:p>
      <w:pPr>
        <w:ind w:left="100" w:right="20" w:firstLine="1301"/>
        <w:spacing w:after="0" w:line="276" w:lineRule="auto"/>
        <w:tabs>
          <w:tab w:leader="none" w:pos="2187"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preparation and distribution of all applicable financial reports, financial models and accompanying certificates in accordance with the applicable Fund Documents and this Agreement;</w:t>
      </w:r>
    </w:p>
    <w:p>
      <w:pPr>
        <w:spacing w:after="0" w:line="160" w:lineRule="exact"/>
        <w:rPr>
          <w:rFonts w:ascii="Arial" w:cs="Arial" w:eastAsia="Arial" w:hAnsi="Arial"/>
          <w:sz w:val="22"/>
          <w:szCs w:val="22"/>
          <w:color w:val="auto"/>
        </w:rPr>
      </w:pPr>
    </w:p>
    <w:p>
      <w:pPr>
        <w:ind w:left="100" w:firstLine="1301"/>
        <w:spacing w:after="0" w:line="276" w:lineRule="auto"/>
        <w:tabs>
          <w:tab w:leader="none" w:pos="197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preparation and distribution of an annual budget for the Subject Companies and as may be required by the Fund Documents and this Agreement (including </w:t>
      </w:r>
      <w:r>
        <w:rPr>
          <w:rFonts w:ascii="Arial" w:cs="Arial" w:eastAsia="Arial" w:hAnsi="Arial"/>
          <w:sz w:val="22"/>
          <w:szCs w:val="22"/>
          <w:u w:val="single" w:color="auto"/>
          <w:color w:val="auto"/>
        </w:rPr>
        <w:t>Section 6.8</w:t>
      </w:r>
      <w:r>
        <w:rPr>
          <w:rFonts w:ascii="Arial" w:cs="Arial" w:eastAsia="Arial" w:hAnsi="Arial"/>
          <w:sz w:val="22"/>
          <w:szCs w:val="22"/>
          <w:color w:val="auto"/>
        </w:rPr>
        <w:t xml:space="preserve"> hereof);</w:t>
      </w:r>
    </w:p>
    <w:p>
      <w:pPr>
        <w:spacing w:after="0" w:line="160" w:lineRule="exact"/>
        <w:rPr>
          <w:rFonts w:ascii="Arial" w:cs="Arial" w:eastAsia="Arial" w:hAnsi="Arial"/>
          <w:sz w:val="22"/>
          <w:szCs w:val="22"/>
          <w:color w:val="auto"/>
        </w:rPr>
      </w:pPr>
    </w:p>
    <w:p>
      <w:pPr>
        <w:ind w:left="100" w:right="20" w:firstLine="1301"/>
        <w:spacing w:after="0" w:line="276" w:lineRule="auto"/>
        <w:tabs>
          <w:tab w:leader="none" w:pos="185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negotiation and administration of an engagement letter with the Certified Public Accountant for annual audit (if required) and tax return review services; and</w:t>
      </w:r>
    </w:p>
    <w:p>
      <w:pPr>
        <w:spacing w:after="0" w:line="160" w:lineRule="exact"/>
        <w:rPr>
          <w:rFonts w:ascii="Arial" w:cs="Arial" w:eastAsia="Arial" w:hAnsi="Arial"/>
          <w:sz w:val="22"/>
          <w:szCs w:val="22"/>
          <w:color w:val="auto"/>
        </w:rPr>
      </w:pPr>
    </w:p>
    <w:p>
      <w:pPr>
        <w:ind w:left="100" w:right="20" w:firstLine="1301"/>
        <w:spacing w:after="0" w:line="276" w:lineRule="auto"/>
        <w:tabs>
          <w:tab w:leader="none" w:pos="197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preparation, facilitation and / or distribution of all other reports, certificates, or transactional information or analysis as reasonably required by the Subject Companies.</w:t>
      </w:r>
    </w:p>
    <w:p>
      <w:pPr>
        <w:spacing w:after="0" w:line="160" w:lineRule="exact"/>
        <w:rPr>
          <w:rFonts w:ascii="Arial" w:cs="Arial" w:eastAsia="Arial" w:hAnsi="Arial"/>
          <w:sz w:val="22"/>
          <w:szCs w:val="22"/>
          <w:color w:val="auto"/>
        </w:rPr>
      </w:pPr>
    </w:p>
    <w:p>
      <w:pPr>
        <w:jc w:val="both"/>
        <w:ind w:left="-540" w:firstLine="1293"/>
        <w:spacing w:after="0" w:line="300" w:lineRule="auto"/>
        <w:tabs>
          <w:tab w:leader="none" w:pos="1295"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other more specific provisions of this Agreement and the related provisions contained in the Fund Documents, the Manager shall provide, or cause to be provided, the following tax services to the Company and the Subject Companies in accordance with its obligations required by the Fund Documents, as applicable (provided that, in each case as it relates to any Subject Company, only to the extent that the Company has (directly or indirectly) the authority to control the management of such Subject Company):</w:t>
      </w:r>
    </w:p>
    <w:p>
      <w:pPr>
        <w:spacing w:after="0" w:line="147" w:lineRule="exact"/>
        <w:rPr>
          <w:rFonts w:ascii="Arial" w:cs="Arial" w:eastAsia="Arial" w:hAnsi="Arial"/>
          <w:sz w:val="19"/>
          <w:szCs w:val="19"/>
          <w:color w:val="auto"/>
        </w:rPr>
      </w:pPr>
    </w:p>
    <w:p>
      <w:pPr>
        <w:jc w:val="both"/>
        <w:ind w:left="100" w:firstLine="1301"/>
        <w:spacing w:after="0" w:line="254" w:lineRule="auto"/>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preparation and timely filing of all applicable federal, state, local and / or other Tax returns, including income, franchise, excise, gross receipts, sales and use tax returns and / or reports in accordance with the terms and conditions of the Fund Documents and this Agreement, including the performance or coordination of any tax law research to support such filing;</w:t>
      </w:r>
    </w:p>
    <w:p>
      <w:pPr>
        <w:spacing w:after="0" w:line="185" w:lineRule="exact"/>
        <w:rPr>
          <w:rFonts w:ascii="Arial" w:cs="Arial" w:eastAsia="Arial" w:hAnsi="Arial"/>
          <w:sz w:val="22"/>
          <w:szCs w:val="22"/>
          <w:color w:val="auto"/>
        </w:rPr>
      </w:pPr>
    </w:p>
    <w:p>
      <w:pPr>
        <w:jc w:val="both"/>
        <w:ind w:left="100" w:firstLine="1301"/>
        <w:spacing w:after="0" w:line="320" w:lineRule="auto"/>
        <w:tabs>
          <w:tab w:leader="none" w:pos="2067"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administration, invoicing and coordination of property taxes including preparation of all applicable business property tax returns; the review of any property tax assessment on the Projects; the review and timely payment of property tax bills; and administration of any property tax agreement, if applicable; and</w:t>
      </w:r>
    </w:p>
    <w:p>
      <w:pPr>
        <w:spacing w:after="0" w:line="125" w:lineRule="exact"/>
        <w:rPr>
          <w:rFonts w:ascii="Arial" w:cs="Arial" w:eastAsia="Arial" w:hAnsi="Arial"/>
          <w:sz w:val="19"/>
          <w:szCs w:val="19"/>
          <w:color w:val="auto"/>
        </w:rPr>
      </w:pPr>
    </w:p>
    <w:p>
      <w:pPr>
        <w:jc w:val="both"/>
        <w:ind w:left="100" w:firstLine="1301"/>
        <w:spacing w:after="0" w:line="270" w:lineRule="auto"/>
        <w:tabs>
          <w:tab w:leader="none" w:pos="1891" w:val="left"/>
        </w:tabs>
        <w:numPr>
          <w:ilvl w:val="1"/>
          <w:numId w:val="141"/>
        </w:numPr>
        <w:rPr>
          <w:rFonts w:ascii="Arial" w:cs="Arial" w:eastAsia="Arial" w:hAnsi="Arial"/>
          <w:sz w:val="21"/>
          <w:szCs w:val="21"/>
          <w:color w:val="auto"/>
        </w:rPr>
      </w:pPr>
      <w:r>
        <w:rPr>
          <w:rFonts w:ascii="Arial" w:cs="Arial" w:eastAsia="Arial" w:hAnsi="Arial"/>
          <w:sz w:val="21"/>
          <w:szCs w:val="21"/>
          <w:color w:val="auto"/>
        </w:rPr>
        <w:t>cause the Tax Matters Member to represent the Company, and cause the tax matters member of each Subject Company to represent such Subject Company, in any audit, examination, or review conducted by an appropriate taxing authority of any of the Company’s or such Subject Company’s federal, state, provincial, or local income, franchise, gross receipts, sales and use, or property tax filings.</w:t>
      </w:r>
    </w:p>
    <w:p>
      <w:pPr>
        <w:spacing w:after="0" w:line="169" w:lineRule="exact"/>
        <w:rPr>
          <w:rFonts w:ascii="Arial" w:cs="Arial" w:eastAsia="Arial" w:hAnsi="Arial"/>
          <w:sz w:val="21"/>
          <w:szCs w:val="21"/>
          <w:color w:val="auto"/>
        </w:rPr>
      </w:pPr>
    </w:p>
    <w:p>
      <w:pPr>
        <w:jc w:val="both"/>
        <w:ind w:left="-540" w:firstLine="1293"/>
        <w:spacing w:after="0" w:line="254" w:lineRule="auto"/>
        <w:tabs>
          <w:tab w:leader="none" w:pos="1261"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Treasury Services</w:t>
      </w:r>
      <w:r>
        <w:rPr>
          <w:rFonts w:ascii="Arial" w:cs="Arial" w:eastAsia="Arial" w:hAnsi="Arial"/>
          <w:sz w:val="22"/>
          <w:szCs w:val="22"/>
          <w:color w:val="auto"/>
        </w:rPr>
        <w:t>. The Manager shall provide, or cause to be provided, the following treasury services, to the extent necessary, to the Company and the Subject Companies, as applicable (provided that, in each case as it relates to any Subject Company, only to the extent that the Company has (directly or indirectly) the authority to control the management of such Subject Company):</w:t>
      </w:r>
    </w:p>
    <w:p>
      <w:pPr>
        <w:spacing w:after="0" w:line="185" w:lineRule="exact"/>
        <w:rPr>
          <w:rFonts w:ascii="Arial" w:cs="Arial" w:eastAsia="Arial" w:hAnsi="Arial"/>
          <w:sz w:val="22"/>
          <w:szCs w:val="22"/>
          <w:color w:val="auto"/>
        </w:rPr>
      </w:pPr>
    </w:p>
    <w:p>
      <w:pPr>
        <w:jc w:val="both"/>
        <w:ind w:left="100" w:firstLine="1301"/>
        <w:spacing w:after="0" w:line="254" w:lineRule="auto"/>
        <w:tabs>
          <w:tab w:leader="none" w:pos="194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establishment, maintenance, and administration of one or more bank accounts in the name of the Company and the Subject Companies (with respect to the Subject Companies, if and as required) in which to deposit the Company’s or the Subject Companies’ receipts, and from which to draw upon for the payment of all reasonable expenses of the Company or the Subject Companies;</w:t>
      </w:r>
    </w:p>
    <w:p>
      <w:pPr>
        <w:spacing w:after="0" w:line="185" w:lineRule="exact"/>
        <w:rPr>
          <w:rFonts w:ascii="Arial" w:cs="Arial" w:eastAsia="Arial" w:hAnsi="Arial"/>
          <w:sz w:val="22"/>
          <w:szCs w:val="22"/>
          <w:color w:val="auto"/>
        </w:rPr>
      </w:pPr>
    </w:p>
    <w:p>
      <w:pPr>
        <w:jc w:val="both"/>
        <w:ind w:left="100" w:firstLine="1301"/>
        <w:spacing w:after="0" w:line="278" w:lineRule="auto"/>
        <w:tabs>
          <w:tab w:leader="none" w:pos="1932" w:val="left"/>
        </w:tabs>
        <w:numPr>
          <w:ilvl w:val="1"/>
          <w:numId w:val="141"/>
        </w:numPr>
        <w:rPr>
          <w:rFonts w:ascii="Arial" w:cs="Arial" w:eastAsia="Arial" w:hAnsi="Arial"/>
          <w:sz w:val="21"/>
          <w:szCs w:val="21"/>
          <w:color w:val="auto"/>
        </w:rPr>
      </w:pPr>
      <w:r>
        <w:rPr>
          <w:rFonts w:ascii="Arial" w:cs="Arial" w:eastAsia="Arial" w:hAnsi="Arial"/>
          <w:sz w:val="21"/>
          <w:szCs w:val="21"/>
          <w:color w:val="auto"/>
        </w:rPr>
        <w:t>investment and distribution of the Company and the Subject Companies’ funds in association with reasonable and customary cash forecast and cash management practices and in accordance with the terms, conditions, and limitations of all applicable Fund Documents and this Agreement;</w:t>
      </w:r>
    </w:p>
    <w:p>
      <w:pPr>
        <w:spacing w:after="0" w:line="160" w:lineRule="exact"/>
        <w:rPr>
          <w:rFonts w:ascii="Arial" w:cs="Arial" w:eastAsia="Arial" w:hAnsi="Arial"/>
          <w:sz w:val="21"/>
          <w:szCs w:val="21"/>
          <w:color w:val="auto"/>
        </w:rPr>
      </w:pPr>
    </w:p>
    <w:p>
      <w:pPr>
        <w:ind w:left="100" w:firstLine="1301"/>
        <w:spacing w:after="0" w:line="358" w:lineRule="auto"/>
        <w:tabs>
          <w:tab w:leader="none" w:pos="186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maintenance and administration of any revolving lines of credit available to the Company or the Subject Companies subject to the terms and conditions of all applicable Fund Documents and this Agreement;</w:t>
      </w:r>
    </w:p>
    <w:p>
      <w:pPr>
        <w:spacing w:after="0" w:line="90" w:lineRule="exact"/>
        <w:rPr>
          <w:rFonts w:ascii="Arial" w:cs="Arial" w:eastAsia="Arial" w:hAnsi="Arial"/>
          <w:sz w:val="19"/>
          <w:szCs w:val="19"/>
          <w:color w:val="auto"/>
        </w:rPr>
      </w:pPr>
    </w:p>
    <w:p>
      <w:pPr>
        <w:jc w:val="both"/>
        <w:ind w:left="100" w:firstLine="1301"/>
        <w:spacing w:after="0" w:line="260" w:lineRule="auto"/>
        <w:tabs>
          <w:tab w:leader="none" w:pos="187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maintenance and administration of any letters of credit issued by, on behalf of, or for the benefit of the Company or any Subject Company subject to the terms and conditions of all applicable Fund Documents and this Agreement;</w:t>
      </w:r>
    </w:p>
    <w:p>
      <w:pPr>
        <w:spacing w:after="0" w:line="177" w:lineRule="exact"/>
        <w:rPr>
          <w:rFonts w:ascii="Arial" w:cs="Arial" w:eastAsia="Arial" w:hAnsi="Arial"/>
          <w:sz w:val="22"/>
          <w:szCs w:val="22"/>
          <w:color w:val="auto"/>
        </w:rPr>
      </w:pPr>
    </w:p>
    <w:p>
      <w:pPr>
        <w:ind w:left="100" w:firstLine="1301"/>
        <w:spacing w:after="0" w:line="358" w:lineRule="auto"/>
        <w:tabs>
          <w:tab w:leader="none" w:pos="1893" w:val="left"/>
        </w:tabs>
        <w:numPr>
          <w:ilvl w:val="1"/>
          <w:numId w:val="141"/>
        </w:numPr>
        <w:rPr>
          <w:rFonts w:ascii="Arial" w:cs="Arial" w:eastAsia="Arial" w:hAnsi="Arial"/>
          <w:sz w:val="19"/>
          <w:szCs w:val="19"/>
          <w:color w:val="auto"/>
        </w:rPr>
      </w:pPr>
      <w:r>
        <w:rPr>
          <w:rFonts w:ascii="Arial" w:cs="Arial" w:eastAsia="Arial" w:hAnsi="Arial"/>
          <w:sz w:val="19"/>
          <w:szCs w:val="19"/>
          <w:color w:val="auto"/>
        </w:rPr>
        <w:t>maintenance by the Manager of the Company’s and the Subject Companies’ relationships with its banks, bondholders, rating agencies and / or other financial institutions, and their respective legal counsels; and</w:t>
      </w:r>
    </w:p>
    <w:p>
      <w:pPr>
        <w:spacing w:after="0" w:line="90" w:lineRule="exact"/>
        <w:rPr>
          <w:rFonts w:ascii="Arial" w:cs="Arial" w:eastAsia="Arial" w:hAnsi="Arial"/>
          <w:sz w:val="19"/>
          <w:szCs w:val="19"/>
          <w:color w:val="auto"/>
        </w:rPr>
      </w:pPr>
    </w:p>
    <w:p>
      <w:pPr>
        <w:ind w:left="1840" w:hanging="439"/>
        <w:spacing w:after="0"/>
        <w:tabs>
          <w:tab w:leader="none" w:pos="184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periodic maintenance and analysis of the Projects’ long-term economic projections.</w:t>
      </w:r>
    </w:p>
    <w:p>
      <w:pPr>
        <w:sectPr>
          <w:pgSz w:w="11900" w:h="16838" w:orient="portrait"/>
          <w:cols w:equalWidth="0" w:num="1">
            <w:col w:w="10220"/>
          </w:cols>
          <w:pgMar w:left="1440" w:top="132" w:right="239" w:bottom="0" w:gutter="0" w:footer="0" w:header="0"/>
        </w:sectPr>
      </w:pPr>
    </w:p>
    <w:bookmarkStart w:id="252" w:name="page253"/>
    <w:bookmarkEnd w:id="252"/>
    <w:p>
      <w:pPr>
        <w:jc w:val="both"/>
        <w:ind w:left="660" w:firstLine="1293"/>
        <w:spacing w:after="0" w:line="250" w:lineRule="auto"/>
        <w:tabs>
          <w:tab w:leader="none" w:pos="2475"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Legal</w:t>
      </w:r>
      <w:r>
        <w:rPr>
          <w:rFonts w:ascii="Arial" w:cs="Arial" w:eastAsia="Arial" w:hAnsi="Arial"/>
          <w:sz w:val="22"/>
          <w:szCs w:val="22"/>
          <w:color w:val="auto"/>
        </w:rPr>
        <w:t>. The Manager shall coordinate legal services, in the name of and on behalf of the Company and the Subject Companies for whom the Company has (directly or indirectly) management authority, as it deems necessary to ensure the proper administration and management of the Projects.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88" w:lineRule="exact"/>
        <w:rPr>
          <w:rFonts w:ascii="Arial" w:cs="Arial" w:eastAsia="Arial" w:hAnsi="Arial"/>
          <w:sz w:val="22"/>
          <w:szCs w:val="22"/>
          <w:color w:val="auto"/>
        </w:rPr>
      </w:pPr>
    </w:p>
    <w:p>
      <w:pPr>
        <w:jc w:val="both"/>
        <w:ind w:left="660" w:firstLine="1293"/>
        <w:spacing w:after="0" w:line="262" w:lineRule="auto"/>
        <w:tabs>
          <w:tab w:leader="none" w:pos="2429"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If required under the Fund Documents or any of the other Project Documents, the Manager shall procure insurance coverage for, and in the name of, the Company and (to the extent the Company has (directly or indirectly) management authority for any Subject Company) shall cause the Subject Companies to procure, at the Company’s or the Subject Companies’ expense, as applicable, and shall enforce its rights to such insurance coverage, defense and indemnification;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any such insurance (after consultation with ta reputable insurance broker) is not available on commercially reasonable terms only such insurance shall then be required to be carried pursuant to this Agreement as is then available on commercially reasonable terms.</w:t>
      </w:r>
    </w:p>
    <w:p>
      <w:pPr>
        <w:spacing w:after="0" w:line="180" w:lineRule="exact"/>
        <w:rPr>
          <w:rFonts w:ascii="Arial" w:cs="Arial" w:eastAsia="Arial" w:hAnsi="Arial"/>
          <w:sz w:val="21"/>
          <w:szCs w:val="21"/>
          <w:color w:val="auto"/>
        </w:rPr>
      </w:pPr>
    </w:p>
    <w:p>
      <w:pPr>
        <w:jc w:val="both"/>
        <w:ind w:left="660" w:firstLine="1293"/>
        <w:spacing w:after="0" w:line="262" w:lineRule="auto"/>
        <w:tabs>
          <w:tab w:leader="none" w:pos="2516"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Insurance Claims</w:t>
      </w:r>
      <w:r>
        <w:rPr>
          <w:rFonts w:ascii="Arial" w:cs="Arial" w:eastAsia="Arial" w:hAnsi="Arial"/>
          <w:sz w:val="21"/>
          <w:szCs w:val="21"/>
          <w:color w:val="auto"/>
        </w:rPr>
        <w:t>. The Manager shall adjust insurance claims of the Company and (to the extent the Company has (directly or indirectly) management authority for any Subject Company) the Subject Companies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Project Documents. In the event of a liability claim, the Manager shall oversee the defense of the claim.</w:t>
      </w:r>
    </w:p>
    <w:p>
      <w:pPr>
        <w:spacing w:after="0" w:line="180" w:lineRule="exact"/>
        <w:rPr>
          <w:rFonts w:ascii="Arial" w:cs="Arial" w:eastAsia="Arial" w:hAnsi="Arial"/>
          <w:sz w:val="21"/>
          <w:szCs w:val="21"/>
          <w:color w:val="auto"/>
        </w:rPr>
      </w:pPr>
    </w:p>
    <w:p>
      <w:pPr>
        <w:jc w:val="both"/>
        <w:ind w:left="660" w:firstLine="1293"/>
        <w:spacing w:after="0" w:line="278" w:lineRule="auto"/>
        <w:tabs>
          <w:tab w:leader="none" w:pos="2576"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Indebtedness</w:t>
      </w:r>
      <w:r>
        <w:rPr>
          <w:rFonts w:ascii="Arial" w:cs="Arial" w:eastAsia="Arial" w:hAnsi="Arial"/>
          <w:sz w:val="21"/>
          <w:szCs w:val="21"/>
          <w:color w:val="auto"/>
        </w:rPr>
        <w:t>. During any such time during which any Company or (to the extent the Company has (directly or indirectly) management authority for any Subject Company) Subject Company Indebtedness remains outstanding, the Manager shall cause the Company and the applicable Subject Companies to:</w:t>
      </w:r>
    </w:p>
    <w:p>
      <w:pPr>
        <w:spacing w:after="0" w:line="160" w:lineRule="exact"/>
        <w:rPr>
          <w:rFonts w:ascii="Arial" w:cs="Arial" w:eastAsia="Arial" w:hAnsi="Arial"/>
          <w:sz w:val="21"/>
          <w:szCs w:val="21"/>
          <w:color w:val="auto"/>
        </w:rPr>
      </w:pPr>
    </w:p>
    <w:p>
      <w:pPr>
        <w:ind w:left="1300" w:firstLine="1301"/>
        <w:spacing w:after="0" w:line="301" w:lineRule="auto"/>
        <w:tabs>
          <w:tab w:leader="none" w:pos="3184" w:val="left"/>
        </w:tabs>
        <w:numPr>
          <w:ilvl w:val="1"/>
          <w:numId w:val="142"/>
        </w:numPr>
        <w:rPr>
          <w:rFonts w:ascii="Arial" w:cs="Arial" w:eastAsia="Arial" w:hAnsi="Arial"/>
          <w:sz w:val="21"/>
          <w:szCs w:val="21"/>
          <w:color w:val="auto"/>
        </w:rPr>
      </w:pPr>
      <w:r>
        <w:rPr>
          <w:rFonts w:ascii="Arial" w:cs="Arial" w:eastAsia="Arial" w:hAnsi="Arial"/>
          <w:sz w:val="21"/>
          <w:szCs w:val="21"/>
          <w:color w:val="auto"/>
        </w:rPr>
        <w:t>comply with the applicable financing documents, including, without limitation, by repaying such Indebtedness in the amounts and at the times required under such financing documents; and</w:t>
      </w:r>
    </w:p>
    <w:p>
      <w:pPr>
        <w:spacing w:after="0" w:line="137" w:lineRule="exact"/>
        <w:rPr>
          <w:rFonts w:ascii="Arial" w:cs="Arial" w:eastAsia="Arial" w:hAnsi="Arial"/>
          <w:sz w:val="21"/>
          <w:szCs w:val="21"/>
          <w:color w:val="auto"/>
        </w:rPr>
      </w:pPr>
    </w:p>
    <w:p>
      <w:pPr>
        <w:jc w:val="both"/>
        <w:ind w:left="1300" w:firstLine="1301"/>
        <w:spacing w:after="0" w:line="294" w:lineRule="auto"/>
        <w:tabs>
          <w:tab w:leader="none" w:pos="310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as soon as practicable following the occurrence or existence of a default or an event of default under any financing documents, use cash or reserves of the applicable Subject Company or, if such Subject Company does not have sufficient cash or reserves, cash or reserves of the Company, to effect (or make commercially reasonable efforts to effect) a cure (or request a waiver) of such a default or an event of default in accordance with the applicable financing documents. For the avoidance of doubt, any cash used by the Company to cure (or attempt to cure or waive) such default or event of default shall be an expense of the Company and shall not be Available Cash Flow available for distribution to the Members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60" w:firstLine="1293"/>
        <w:spacing w:after="0" w:line="260" w:lineRule="exact"/>
        <w:tabs>
          <w:tab w:leader="none" w:pos="2569"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Manager shall cause the Company to maintain in effect and enforce policies and procedures designed to ensure compliance by the Company and the Subject Companies, and their respective directors, officers, employees and agents, with Anti</w:t>
      </w:r>
      <w:r>
        <w:rPr>
          <w:rFonts w:ascii="MS PGothic" w:cs="MS PGothic" w:eastAsia="MS PGothic" w:hAnsi="MS PGothic"/>
          <w:sz w:val="19"/>
          <w:szCs w:val="19"/>
          <w:color w:val="auto"/>
        </w:rPr>
        <w:t>‑</w:t>
      </w:r>
      <w:r>
        <w:rPr>
          <w:rFonts w:ascii="Arial" w:cs="Arial" w:eastAsia="Arial" w:hAnsi="Arial"/>
          <w:sz w:val="19"/>
          <w:szCs w:val="19"/>
          <w:color w:val="auto"/>
        </w:rPr>
        <w:t>Corruption Laws and applicable Sanctions. The Manager shall cause the Company and (to the extent the Company has (directly or indirectly) management authority for any Subject Company) the Subject Companies, and their respective directors, officers, employees and agents, not to use any Company or Subject Company funds (A) in furtherance of an offer, payment, promise to pay, or authorization of the payment or giving of money, or anything else of value, to any Person in violation of any Anti</w:t>
      </w:r>
      <w:r>
        <w:rPr>
          <w:rFonts w:ascii="MS PGothic" w:cs="MS PGothic" w:eastAsia="MS PGothic" w:hAnsi="MS PGothic"/>
          <w:sz w:val="19"/>
          <w:szCs w:val="19"/>
          <w:color w:val="auto"/>
        </w:rPr>
        <w:t>‑</w:t>
      </w:r>
      <w:r>
        <w:rPr>
          <w:rFonts w:ascii="Arial" w:cs="Arial" w:eastAsia="Arial" w:hAnsi="Arial"/>
          <w:sz w:val="19"/>
          <w:szCs w:val="19"/>
          <w:color w:val="auto"/>
        </w:rPr>
        <w:t>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avoidance of doubt, all services required to be performed by the Manager pursuant to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88" w:lineRule="exact"/>
        <w:rPr>
          <w:sz w:val="20"/>
          <w:szCs w:val="20"/>
          <w:color w:val="auto"/>
        </w:rPr>
      </w:pPr>
    </w:p>
    <w:p>
      <w:pPr>
        <w:ind w:right="20" w:firstLine="1305"/>
        <w:spacing w:after="0" w:line="358" w:lineRule="auto"/>
        <w:tabs>
          <w:tab w:leader="none" w:pos="171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 Member shall not be deemed to be participating in the control of the business of the Company by virtue of its possessing or exercising any rights set forth in this Agreement or the Act or any other Contract relating to the Company.</w:t>
      </w:r>
    </w:p>
    <w:p>
      <w:pPr>
        <w:spacing w:after="0" w:line="8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9"/>
          <w:szCs w:val="19"/>
          <w:b w:val="1"/>
          <w:bCs w:val="1"/>
          <w:u w:val="single" w:color="auto"/>
          <w:color w:val="auto"/>
        </w:rPr>
        <w:t>Standard of Care; Required Consents.</w:t>
      </w:r>
    </w:p>
    <w:p>
      <w:pPr>
        <w:spacing w:after="0" w:line="239" w:lineRule="exact"/>
        <w:rPr>
          <w:sz w:val="20"/>
          <w:szCs w:val="20"/>
          <w:color w:val="auto"/>
        </w:rPr>
      </w:pPr>
    </w:p>
    <w:p>
      <w:pPr>
        <w:jc w:val="both"/>
        <w:ind w:firstLine="1305"/>
        <w:spacing w:after="0" w:line="260" w:lineRule="auto"/>
        <w:tabs>
          <w:tab w:leader="none" w:pos="183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In carrying out its duties hereunder, the Manager shall perform its duties and obligations hereunder in all material respects in accordance with the Project Documents, Licenses and Permits, applicable Laws, the purposes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and in accordance with the Good Management Standard.</w:t>
      </w:r>
    </w:p>
    <w:p>
      <w:pPr>
        <w:spacing w:after="0" w:line="177" w:lineRule="exact"/>
        <w:rPr>
          <w:rFonts w:ascii="Arial" w:cs="Arial" w:eastAsia="Arial" w:hAnsi="Arial"/>
          <w:sz w:val="22"/>
          <w:szCs w:val="22"/>
          <w:color w:val="auto"/>
        </w:rPr>
      </w:pPr>
    </w:p>
    <w:p>
      <w:pPr>
        <w:jc w:val="both"/>
        <w:ind w:firstLine="1305"/>
        <w:spacing w:after="0" w:line="358" w:lineRule="auto"/>
        <w:tabs>
          <w:tab w:leader="none" w:pos="17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the Manager may not take, or cause or permit the Company or (to the extent the Company has (directly or indirectly) management authority for any Subject Company)</w:t>
      </w:r>
    </w:p>
    <w:p>
      <w:pPr>
        <w:sectPr>
          <w:pgSz w:w="11900" w:h="16838" w:orient="portrait"/>
          <w:cols w:equalWidth="0" w:num="1">
            <w:col w:w="11420"/>
          </w:cols>
          <w:pgMar w:left="240" w:top="253" w:right="239" w:bottom="0" w:gutter="0" w:footer="0" w:header="0"/>
        </w:sectPr>
      </w:pPr>
    </w:p>
    <w:bookmarkStart w:id="253" w:name="page254"/>
    <w:bookmarkEnd w:id="253"/>
    <w:p>
      <w:pPr>
        <w:spacing w:after="0" w:line="263" w:lineRule="auto"/>
        <w:rPr>
          <w:sz w:val="20"/>
          <w:szCs w:val="20"/>
          <w:color w:val="auto"/>
        </w:rPr>
      </w:pPr>
      <w:r>
        <w:rPr>
          <w:rFonts w:ascii="Arial" w:cs="Arial" w:eastAsia="Arial" w:hAnsi="Arial"/>
          <w:sz w:val="22"/>
          <w:szCs w:val="22"/>
          <w:color w:val="auto"/>
        </w:rPr>
        <w:t>any Subject Company to take, any of the following actions without having first obtained the Consent of the Members, taking into account the best interests of the Company and the mutual benefit of its Members:</w:t>
      </w:r>
    </w:p>
    <w:p>
      <w:pPr>
        <w:spacing w:after="0" w:line="175" w:lineRule="exact"/>
        <w:rPr>
          <w:sz w:val="20"/>
          <w:szCs w:val="20"/>
          <w:color w:val="auto"/>
        </w:rPr>
      </w:pPr>
    </w:p>
    <w:p>
      <w:pPr>
        <w:ind w:left="660" w:firstLine="1293"/>
        <w:spacing w:after="0" w:line="276" w:lineRule="auto"/>
        <w:tabs>
          <w:tab w:leader="none" w:pos="2394" w:val="left"/>
        </w:tabs>
        <w:numPr>
          <w:ilvl w:val="1"/>
          <w:numId w:val="145"/>
        </w:numPr>
        <w:rPr>
          <w:rFonts w:ascii="Arial" w:cs="Arial" w:eastAsia="Arial" w:hAnsi="Arial"/>
          <w:sz w:val="22"/>
          <w:szCs w:val="22"/>
          <w:color w:val="auto"/>
        </w:rPr>
      </w:pPr>
      <w:r>
        <w:rPr>
          <w:rFonts w:ascii="Arial" w:cs="Arial" w:eastAsia="Arial" w:hAnsi="Arial"/>
          <w:sz w:val="22"/>
          <w:szCs w:val="22"/>
          <w:color w:val="auto"/>
        </w:rPr>
        <w:t>Do any act in contravention of this Agreement or of the organizational documents of the Company or any Subject Company;</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401"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With respect to (A) the Company, engage in any business or activity that is not within the purpose of the Company, as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 or to change such purpose, and (B) any Subject Company, engage in any business or activity that is not within the purpose of such Subject Company’s organizational documents, or to change such purpose;</w:t>
      </w:r>
    </w:p>
    <w:p>
      <w:pPr>
        <w:spacing w:after="0" w:line="125" w:lineRule="exact"/>
        <w:rPr>
          <w:rFonts w:ascii="Arial" w:cs="Arial" w:eastAsia="Arial" w:hAnsi="Arial"/>
          <w:sz w:val="19"/>
          <w:szCs w:val="19"/>
          <w:color w:val="auto"/>
        </w:rPr>
      </w:pPr>
    </w:p>
    <w:p>
      <w:pPr>
        <w:jc w:val="both"/>
        <w:ind w:left="660" w:firstLine="1293"/>
        <w:spacing w:after="0" w:line="267" w:lineRule="exact"/>
        <w:tabs>
          <w:tab w:leader="none" w:pos="2542" w:val="left"/>
        </w:tabs>
        <w:numPr>
          <w:ilvl w:val="1"/>
          <w:numId w:val="145"/>
        </w:numPr>
        <w:rPr>
          <w:rFonts w:ascii="Arial" w:cs="Arial" w:eastAsia="Arial" w:hAnsi="Arial"/>
          <w:sz w:val="19"/>
          <w:szCs w:val="19"/>
          <w:color w:val="auto"/>
        </w:rPr>
      </w:pPr>
      <w:r>
        <w:rPr>
          <w:rFonts w:ascii="Arial" w:cs="Arial" w:eastAsia="Arial" w:hAnsi="Arial"/>
          <w:sz w:val="19"/>
          <w:szCs w:val="19"/>
          <w:color w:val="auto"/>
        </w:rPr>
        <w:t>Cause the Company to be treated other than as a partnership for tax purposes or cause any Subject Company listed to be treated other than as set forth in its Fund Documents, in each case for United States federal income tax purposes (including by electing under Treasury Regulations Section 301.7701</w:t>
      </w:r>
      <w:r>
        <w:rPr>
          <w:rFonts w:ascii="MS PGothic" w:cs="MS PGothic" w:eastAsia="MS PGothic" w:hAnsi="MS PGothic"/>
          <w:sz w:val="19"/>
          <w:szCs w:val="19"/>
          <w:color w:val="auto"/>
        </w:rPr>
        <w:t>‑</w:t>
      </w:r>
      <w:r>
        <w:rPr>
          <w:rFonts w:ascii="Arial" w:cs="Arial" w:eastAsia="Arial" w:hAnsi="Arial"/>
          <w:sz w:val="19"/>
          <w:szCs w:val="19"/>
          <w:color w:val="auto"/>
        </w:rPr>
        <w:t>3 to be classified as an association);</w:t>
      </w:r>
    </w:p>
    <w:p>
      <w:pPr>
        <w:spacing w:after="0" w:line="199" w:lineRule="exact"/>
        <w:rPr>
          <w:rFonts w:ascii="Arial" w:cs="Arial" w:eastAsia="Arial" w:hAnsi="Arial"/>
          <w:sz w:val="19"/>
          <w:szCs w:val="19"/>
          <w:color w:val="auto"/>
        </w:rPr>
      </w:pPr>
    </w:p>
    <w:p>
      <w:pPr>
        <w:jc w:val="both"/>
        <w:ind w:left="660" w:firstLine="1293"/>
        <w:spacing w:after="0" w:line="250" w:lineRule="auto"/>
        <w:tabs>
          <w:tab w:leader="none" w:pos="2503" w:val="left"/>
        </w:tabs>
        <w:numPr>
          <w:ilvl w:val="1"/>
          <w:numId w:val="145"/>
        </w:numPr>
        <w:rPr>
          <w:rFonts w:ascii="Arial" w:cs="Arial" w:eastAsia="Arial" w:hAnsi="Arial"/>
          <w:sz w:val="22"/>
          <w:szCs w:val="22"/>
          <w:color w:val="auto"/>
        </w:rPr>
      </w:pPr>
      <w:r>
        <w:rPr>
          <w:rFonts w:ascii="Arial" w:cs="Arial" w:eastAsia="Arial" w:hAnsi="Arial"/>
          <w:sz w:val="22"/>
          <w:szCs w:val="22"/>
          <w:color w:val="auto"/>
        </w:rPr>
        <w:t>Permit (A) possession of property of the Company or any Subject Company by any Member (unless such action is taken pursuant to the express terms of any Fund Document), (B) the assignment, transfer, Encumbrance or pledge of rights of the Company or any Subject Company in specific property of the Company or any Subject Company for other than a Company or Subject Company purpose, as applicable, or other than for the benefit of the Company or such Subject Company, or (C) any commingling of the funds of the Company or any Subject Company with the funds of any other Person;</w:t>
      </w:r>
    </w:p>
    <w:p>
      <w:pPr>
        <w:spacing w:after="0" w:line="188" w:lineRule="exact"/>
        <w:rPr>
          <w:rFonts w:ascii="Arial" w:cs="Arial" w:eastAsia="Arial" w:hAnsi="Arial"/>
          <w:sz w:val="22"/>
          <w:szCs w:val="22"/>
          <w:color w:val="auto"/>
        </w:rPr>
      </w:pPr>
    </w:p>
    <w:p>
      <w:pPr>
        <w:ind w:left="660" w:firstLine="1293"/>
        <w:spacing w:after="0" w:line="358" w:lineRule="auto"/>
        <w:tabs>
          <w:tab w:leader="none" w:pos="2497"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Amend the Delaware Certificate or the certificate of formation, certificate of incorporation or other formation document, as applicable, of any Subject Company, in any way that would be materially adverse to any Member;</w:t>
      </w:r>
    </w:p>
    <w:p>
      <w:pPr>
        <w:spacing w:after="0" w:line="90" w:lineRule="exact"/>
        <w:rPr>
          <w:rFonts w:ascii="Arial" w:cs="Arial" w:eastAsia="Arial" w:hAnsi="Arial"/>
          <w:sz w:val="19"/>
          <w:szCs w:val="19"/>
          <w:color w:val="auto"/>
        </w:rPr>
      </w:pPr>
    </w:p>
    <w:p>
      <w:pPr>
        <w:jc w:val="both"/>
        <w:ind w:left="660" w:firstLine="1293"/>
        <w:spacing w:after="0" w:line="251" w:lineRule="auto"/>
        <w:tabs>
          <w:tab w:leader="none" w:pos="253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Cause the Company or any Subject Company to be deemed Bankrupt, serve as one of the three (3) petitioning creditors in connection with an involuntary bankruptcy petition against the Company or any Subject Company, cooperate with creditors in an effort to commence an involuntary bankruptcy petition, guarantee such creditors’ claims, or take any action to encourage or assist in any way with the commencement of an involuntary bankruptcy petition against the Company or any Subject Company;</w:t>
      </w:r>
    </w:p>
    <w:p>
      <w:pPr>
        <w:spacing w:after="0" w:line="189" w:lineRule="exact"/>
        <w:rPr>
          <w:rFonts w:ascii="Arial" w:cs="Arial" w:eastAsia="Arial" w:hAnsi="Arial"/>
          <w:sz w:val="22"/>
          <w:szCs w:val="22"/>
          <w:color w:val="auto"/>
        </w:rPr>
      </w:pPr>
    </w:p>
    <w:p>
      <w:pPr>
        <w:ind w:left="2500" w:hanging="547"/>
        <w:spacing w:after="0"/>
        <w:tabs>
          <w:tab w:leader="none" w:pos="250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Make any distribution to any Member, except as specified in this Agreement;</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Repurchase, redeem or convert any membership interests in, or other securities of, the Company;</w:t>
      </w:r>
    </w:p>
    <w:p>
      <w:pPr>
        <w:spacing w:after="0" w:line="267" w:lineRule="exact"/>
        <w:rPr>
          <w:rFonts w:ascii="Arial" w:cs="Arial" w:eastAsia="Arial" w:hAnsi="Arial"/>
          <w:sz w:val="19"/>
          <w:szCs w:val="19"/>
          <w:color w:val="auto"/>
        </w:rPr>
      </w:pPr>
    </w:p>
    <w:p>
      <w:pPr>
        <w:jc w:val="both"/>
        <w:ind w:left="660" w:firstLine="1293"/>
        <w:spacing w:after="0" w:line="260" w:lineRule="auto"/>
        <w:tabs>
          <w:tab w:leader="none" w:pos="2448" w:val="left"/>
        </w:tabs>
        <w:numPr>
          <w:ilvl w:val="1"/>
          <w:numId w:val="145"/>
        </w:numPr>
        <w:rPr>
          <w:rFonts w:ascii="Arial" w:cs="Arial" w:eastAsia="Arial" w:hAnsi="Arial"/>
          <w:sz w:val="22"/>
          <w:szCs w:val="22"/>
          <w:color w:val="auto"/>
        </w:rPr>
      </w:pPr>
      <w:r>
        <w:rPr>
          <w:rFonts w:ascii="Arial" w:cs="Arial" w:eastAsia="Arial" w:hAnsi="Arial"/>
          <w:sz w:val="22"/>
          <w:szCs w:val="22"/>
          <w:color w:val="auto"/>
        </w:rPr>
        <w:t>Enter into any loan, contract or agreement with any Affiliate of the Manager other than as permitted by this Agreement or to loan any funds of the Company or any Subject Company to any Person or make any advance payments of compensation or other consideration to the Manager or any of its Affiliates;</w:t>
      </w:r>
    </w:p>
    <w:p>
      <w:pPr>
        <w:spacing w:after="0" w:line="177" w:lineRule="exact"/>
        <w:rPr>
          <w:rFonts w:ascii="Arial" w:cs="Arial" w:eastAsia="Arial" w:hAnsi="Arial"/>
          <w:sz w:val="22"/>
          <w:szCs w:val="22"/>
          <w:color w:val="auto"/>
        </w:rPr>
      </w:pPr>
    </w:p>
    <w:p>
      <w:pPr>
        <w:jc w:val="both"/>
        <w:ind w:left="660" w:firstLine="1293"/>
        <w:spacing w:after="0" w:line="297" w:lineRule="auto"/>
        <w:tabs>
          <w:tab w:leader="none" w:pos="238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Borrow any money in the name or on behalf of the Company or any Subject Company, as applicable, in excess of $1,000,000 in the aggregate, or execute and issue promissory notes and other negotiable or non-negotiable instruments and evidences of indebtedness in excess of $1,000,000 in the aggregate, except the Manager may borrow, or cause the Company or any Subject Company to borrow money in the name and on behalf of the Company or such Subject Company, as applicable, in such amounts as the Manager shall reasonably determine are necessary: to preserve and protect the Company’s or such Subject Company’s property upon the occurrence of an accident, catastrophe or similar event;</w:t>
      </w:r>
    </w:p>
    <w:p>
      <w:pPr>
        <w:spacing w:after="0" w:line="146" w:lineRule="exact"/>
        <w:rPr>
          <w:rFonts w:ascii="Arial" w:cs="Arial" w:eastAsia="Arial" w:hAnsi="Arial"/>
          <w:sz w:val="19"/>
          <w:szCs w:val="19"/>
          <w:color w:val="auto"/>
        </w:rPr>
      </w:pPr>
    </w:p>
    <w:p>
      <w:pPr>
        <w:jc w:val="both"/>
        <w:ind w:left="660" w:firstLine="1293"/>
        <w:spacing w:after="0" w:line="290" w:lineRule="auto"/>
        <w:tabs>
          <w:tab w:leader="none" w:pos="248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Mortgage, pledge, assign in trust or otherwise encumber any Company or Subject Company property, or assign any monies owing or to be owing to the Company or any Subject Company except: (A) to secure the payment of any borrowing permitted hereunder, (B) for customary liens contained in or arising under any operating agreements, construction contracts and similar agreements executed by or binding on the Company or such Subject Company with respect to amounts not yet due or not yet delinquent (or, if delinquent, that are being contested by the Manager, the Company or such Subject Company in good faith and for which adequate reserves have been set aside in accordance with GAAP), or (C) for statutory liens for amounts not yet due or not yet delinquent (or, if delinquent, that are being contested by the Manager, the Company or such Subject Company in good faith and for which adequate reserves have been set aside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shall the Manager mortgage, pledge, assign in trust or otherwise encumber the Company’s right to receive Capital Contributions from the Members;</w:t>
      </w:r>
    </w:p>
    <w:p>
      <w:pPr>
        <w:spacing w:after="0" w:line="155" w:lineRule="exact"/>
        <w:rPr>
          <w:rFonts w:ascii="Arial" w:cs="Arial" w:eastAsia="Arial" w:hAnsi="Arial"/>
          <w:sz w:val="19"/>
          <w:szCs w:val="19"/>
          <w:color w:val="auto"/>
        </w:rPr>
      </w:pPr>
    </w:p>
    <w:p>
      <w:pPr>
        <w:ind w:left="2580" w:hanging="627"/>
        <w:spacing w:after="0"/>
        <w:tabs>
          <w:tab w:leader="none" w:pos="258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Sell, lease, transfer, assign or distribute any interest in (A) any Subject Company or any Project or</w:t>
      </w:r>
    </w:p>
    <w:p>
      <w:pPr>
        <w:spacing w:after="0" w:line="56" w:lineRule="exact"/>
        <w:rPr>
          <w:rFonts w:ascii="Arial" w:cs="Arial" w:eastAsia="Arial" w:hAnsi="Arial"/>
          <w:sz w:val="19"/>
          <w:szCs w:val="19"/>
          <w:color w:val="auto"/>
        </w:rPr>
      </w:pPr>
    </w:p>
    <w:p>
      <w:pPr>
        <w:jc w:val="both"/>
        <w:ind w:left="660" w:hanging="4"/>
        <w:spacing w:after="0" w:line="300" w:lineRule="auto"/>
        <w:tabs>
          <w:tab w:leader="none" w:pos="100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any Asset or related group of Assets with a fair market value in excess of $2,000,000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and $10,000,000 in the aggregate in one or a related series of transactions, except for (1) the sale of energy, (2) the sale of RECs (3) otherwise in the ordinary course of the Subject Companies’ business and in accordance with the applicable Project Documents, or (4) as required under any security agreement in connection with a borrowing permitted hereunder;</w:t>
      </w:r>
    </w:p>
    <w:p>
      <w:pPr>
        <w:spacing w:after="0" w:line="145" w:lineRule="exact"/>
        <w:rPr>
          <w:rFonts w:ascii="Arial" w:cs="Arial" w:eastAsia="Arial" w:hAnsi="Arial"/>
          <w:sz w:val="19"/>
          <w:szCs w:val="19"/>
          <w:color w:val="auto"/>
        </w:rPr>
      </w:pPr>
    </w:p>
    <w:p>
      <w:pPr>
        <w:jc w:val="both"/>
        <w:ind w:left="660" w:firstLine="1293"/>
        <w:spacing w:after="0" w:line="320" w:lineRule="auto"/>
        <w:tabs>
          <w:tab w:leader="none" w:pos="2582" w:val="left"/>
        </w:tabs>
        <w:numPr>
          <w:ilvl w:val="1"/>
          <w:numId w:val="146"/>
        </w:numPr>
        <w:rPr>
          <w:rFonts w:ascii="Arial" w:cs="Arial" w:eastAsia="Arial" w:hAnsi="Arial"/>
          <w:sz w:val="19"/>
          <w:szCs w:val="19"/>
          <w:color w:val="auto"/>
        </w:rPr>
      </w:pPr>
      <w:r>
        <w:rPr>
          <w:rFonts w:ascii="Arial" w:cs="Arial" w:eastAsia="Arial" w:hAnsi="Arial"/>
          <w:sz w:val="19"/>
          <w:szCs w:val="19"/>
          <w:color w:val="auto"/>
        </w:rPr>
        <w:t>Guarantee in the name or on behalf of the Company or any Subject Company, the payment of money or the performance of any contract or other obligation of any Person except, (a) with respect to the Fund Documents, for responsibilities customarily assumed under operating agreements considered standard in the solar power industry and (b)</w:t>
      </w:r>
    </w:p>
    <w:p>
      <w:pPr>
        <w:sectPr>
          <w:pgSz w:w="11900" w:h="16838" w:orient="portrait"/>
          <w:cols w:equalWidth="0" w:num="1">
            <w:col w:w="11420"/>
          </w:cols>
          <w:pgMar w:left="240" w:top="132" w:right="239" w:bottom="0" w:gutter="0" w:footer="0" w:header="0"/>
        </w:sectPr>
      </w:pPr>
    </w:p>
    <w:bookmarkStart w:id="254" w:name="page255"/>
    <w:bookmarkEnd w:id="254"/>
    <w:p>
      <w:pPr>
        <w:spacing w:after="0" w:line="263" w:lineRule="auto"/>
        <w:rPr>
          <w:sz w:val="20"/>
          <w:szCs w:val="20"/>
          <w:color w:val="auto"/>
        </w:rPr>
      </w:pPr>
      <w:r>
        <w:rPr>
          <w:rFonts w:ascii="Arial" w:cs="Arial" w:eastAsia="Arial" w:hAnsi="Arial"/>
          <w:sz w:val="22"/>
          <w:szCs w:val="22"/>
          <w:color w:val="auto"/>
        </w:rPr>
        <w:t>guarantees made by any Subject Company for performance by the Company of its obligations under a borrowing permitted hereunder;</w:t>
      </w:r>
    </w:p>
    <w:p>
      <w:pPr>
        <w:spacing w:after="0" w:line="175" w:lineRule="exact"/>
        <w:rPr>
          <w:sz w:val="20"/>
          <w:szCs w:val="20"/>
          <w:color w:val="auto"/>
        </w:rPr>
      </w:pPr>
    </w:p>
    <w:p>
      <w:pPr>
        <w:jc w:val="both"/>
        <w:ind w:firstLine="1293"/>
        <w:spacing w:after="0" w:line="248" w:lineRule="auto"/>
        <w:tabs>
          <w:tab w:leader="none" w:pos="19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Amend the Approved Budget to increase projected expenditures or expend funds in excess of the Approved Budget for any Fiscal Year, except for (A) amendments or expenditures that do not increase the aggregate spending under the Approved Budget above one hundred ten percent (110%) of the aggregate expense amount reflected in the Approved Budget for the Fiscal Year, (B) with respect to any Subject Company, expenditures that, after taking into account amounts theretofore paid in such Fiscal Year, do not exceed twenty percent (20%) of the amount budgeted to be expended in such Fiscal Year in the Approved Budget for such Subject Company, (C) expenditures required to be made under Fund Documents and (D) in connection with the Accepted Acquisition of a new Fund Company in accordance with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firstLine="1293"/>
        <w:spacing w:after="0" w:line="270" w:lineRule="auto"/>
        <w:tabs>
          <w:tab w:leader="none" w:pos="193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Merge or consolidate the Company or any Subject Company with any Member or other Person or entity, convert the Company or any Subject Company to a general partnership or other entity, or agree to an exchange of interests with any other Person, or acquire all or substantially all of the assets, stock or interests of any other Person other than the Accepted Acquisition of a new Fund Company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293"/>
        <w:spacing w:after="0" w:line="320" w:lineRule="auto"/>
        <w:tabs>
          <w:tab w:leader="none" w:pos="204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Compromise or settle any lawsuit, administrative matter or other dispute where the amount the Company or any Subject Company may recover or might be obligated to pay, as applicable, is in excess of $1,000,000 in the aggregate, or which includes consent to the award of an injunction, specific performance or other equitable relief;</w:t>
      </w:r>
    </w:p>
    <w:p>
      <w:pPr>
        <w:spacing w:after="0" w:line="125" w:lineRule="exact"/>
        <w:rPr>
          <w:rFonts w:ascii="Arial" w:cs="Arial" w:eastAsia="Arial" w:hAnsi="Arial"/>
          <w:sz w:val="19"/>
          <w:szCs w:val="19"/>
          <w:color w:val="auto"/>
        </w:rPr>
      </w:pPr>
    </w:p>
    <w:p>
      <w:pPr>
        <w:jc w:val="both"/>
        <w:ind w:firstLine="1293"/>
        <w:spacing w:after="0" w:line="264" w:lineRule="auto"/>
        <w:tabs>
          <w:tab w:leader="none" w:pos="202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Admit any additional Member to the Company except as permitted under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hereof, cause any additional member to be admitted to any Subject Company except in accordance with such Subject Company’s operating agreement, or otherwise issue, or permit the issuance of, any additional membership interests in the Company or any Subject Company except in accordance with such Subject Company’s operating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Manager may not permit the issuance of additional Class A Units at any time during the term of this Agreement without having first obtained the Consent of the Class A Members;</w:t>
      </w:r>
    </w:p>
    <w:p>
      <w:pPr>
        <w:spacing w:after="0" w:line="175" w:lineRule="exact"/>
        <w:rPr>
          <w:rFonts w:ascii="Arial" w:cs="Arial" w:eastAsia="Arial" w:hAnsi="Arial"/>
          <w:sz w:val="21"/>
          <w:szCs w:val="21"/>
          <w:color w:val="auto"/>
        </w:rPr>
      </w:pPr>
    </w:p>
    <w:p>
      <w:pPr>
        <w:jc w:val="both"/>
        <w:ind w:firstLine="1293"/>
        <w:spacing w:after="0" w:line="266" w:lineRule="auto"/>
        <w:tabs>
          <w:tab w:leader="none" w:pos="2057"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any Subject Company, as the case may be or (B) transfer any Company or Subject Company Assets to satisfy any liabilities of any Class B Member or its Affiliates arising from ERISA;</w:t>
      </w:r>
    </w:p>
    <w:p>
      <w:pPr>
        <w:spacing w:after="0" w:line="174" w:lineRule="exact"/>
        <w:rPr>
          <w:rFonts w:ascii="Arial" w:cs="Arial" w:eastAsia="Arial" w:hAnsi="Arial"/>
          <w:sz w:val="21"/>
          <w:szCs w:val="21"/>
          <w:color w:val="auto"/>
        </w:rPr>
      </w:pPr>
    </w:p>
    <w:p>
      <w:pPr>
        <w:jc w:val="both"/>
        <w:ind w:firstLine="1293"/>
        <w:spacing w:after="0" w:line="254" w:lineRule="auto"/>
        <w:tabs>
          <w:tab w:leader="none" w:pos="189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Change the Company’s or any Subject Company’s methods of accounting as in effect on the Effective Date, except as required by GAAP, or take any action, other than reasonable and usual actions in the ordinary course of business or specifically contemplated under the Fund Documents to which it is a party, with respect to accounting policies or procedures, unless required by GAAP;</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187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Take any action that would result in a material breach or an event of default, or that would permit or result in the acceleration of any obligation or termination of any right, under any Fund Document, which acceleration or termination would cause a Subject Company Material Adverse Effect.</w:t>
      </w:r>
    </w:p>
    <w:p>
      <w:pPr>
        <w:spacing w:after="0" w:line="177" w:lineRule="exact"/>
        <w:rPr>
          <w:rFonts w:ascii="Arial" w:cs="Arial" w:eastAsia="Arial" w:hAnsi="Arial"/>
          <w:sz w:val="22"/>
          <w:szCs w:val="22"/>
          <w:color w:val="auto"/>
        </w:rPr>
      </w:pPr>
    </w:p>
    <w:p>
      <w:pPr>
        <w:jc w:val="both"/>
        <w:ind w:firstLine="1293"/>
        <w:spacing w:after="0" w:line="248" w:lineRule="auto"/>
        <w:tabs>
          <w:tab w:leader="none" w:pos="200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Enter into: (A) any amendment, modification, waiver or termination of a Fund Document or any Licenses or Permits that could reasonably be expected to have a Subject Company Material Adverse Effect, (B) any substitution or replacement of any Fund Document that could reasonably be expected to have a Subject Company Material Adverse Effect, (C) any Additional Project Document not contemplated by the then current Approved Budget or that could reasonably be expected to have a Subject Company Material Adverse Effect; or (D) any new agreement with an Affiliate other than in accordance with this Agreement or amend any economic provision or otherwise materially amend any existing contract with an Affiliate;</w:t>
      </w:r>
    </w:p>
    <w:p>
      <w:pPr>
        <w:spacing w:after="0" w:line="195" w:lineRule="exact"/>
        <w:rPr>
          <w:rFonts w:ascii="Arial" w:cs="Arial" w:eastAsia="Arial" w:hAnsi="Arial"/>
          <w:sz w:val="22"/>
          <w:szCs w:val="22"/>
          <w:color w:val="auto"/>
        </w:rPr>
      </w:pPr>
    </w:p>
    <w:p>
      <w:pPr>
        <w:jc w:val="both"/>
        <w:ind w:firstLine="1293"/>
        <w:spacing w:after="0" w:line="254" w:lineRule="auto"/>
        <w:tabs>
          <w:tab w:leader="none" w:pos="205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211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Cause an Intermediate Company to make a capital contribution to a Fund Company to purchase Projects unless any applicable Fund Investor has committed to fund its respective portion of such purchase price upon satisfaction or waiver of all of the conditions precedent in favor of such Fund Investor;</w:t>
      </w:r>
    </w:p>
    <w:p>
      <w:pPr>
        <w:spacing w:after="0" w:line="177" w:lineRule="exact"/>
        <w:rPr>
          <w:rFonts w:ascii="Arial" w:cs="Arial" w:eastAsia="Arial" w:hAnsi="Arial"/>
          <w:sz w:val="22"/>
          <w:szCs w:val="22"/>
          <w:color w:val="auto"/>
        </w:rPr>
      </w:pPr>
    </w:p>
    <w:p>
      <w:pPr>
        <w:ind w:firstLine="1293"/>
        <w:spacing w:after="0" w:line="276" w:lineRule="auto"/>
        <w:tabs>
          <w:tab w:leader="none" w:pos="200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6.3(e)</w:t>
      </w:r>
      <w:r>
        <w:rPr>
          <w:rFonts w:ascii="Arial" w:cs="Arial" w:eastAsia="Arial" w:hAnsi="Arial"/>
          <w:sz w:val="22"/>
          <w:szCs w:val="22"/>
          <w:color w:val="auto"/>
        </w:rPr>
        <w:t>, cause an Intermediate Company to exercise a purchase option pursuant to a Fund Company Call Event;</w:t>
      </w:r>
    </w:p>
    <w:p>
      <w:pPr>
        <w:spacing w:after="0" w:line="160" w:lineRule="exact"/>
        <w:rPr>
          <w:rFonts w:ascii="Arial" w:cs="Arial" w:eastAsia="Arial" w:hAnsi="Arial"/>
          <w:sz w:val="22"/>
          <w:szCs w:val="22"/>
          <w:color w:val="auto"/>
        </w:rPr>
      </w:pPr>
    </w:p>
    <w:p>
      <w:pPr>
        <w:jc w:val="both"/>
        <w:ind w:firstLine="1293"/>
        <w:spacing w:after="0" w:line="358" w:lineRule="auto"/>
        <w:tabs>
          <w:tab w:leader="none" w:pos="199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Cause the Company or cause the Company to cause any Subject Company to change its respective legal form, recapitalize, liquidate, wind up or dissolve (other than in accordance with this Agreement), or declare itself</w:t>
      </w:r>
    </w:p>
    <w:p>
      <w:pPr>
        <w:sectPr>
          <w:pgSz w:w="11900" w:h="16838" w:orient="portrait"/>
          <w:cols w:equalWidth="0" w:num="1">
            <w:col w:w="10760"/>
          </w:cols>
          <w:pgMar w:left="900" w:top="132" w:right="239" w:bottom="0" w:gutter="0" w:footer="0" w:header="0"/>
        </w:sectPr>
      </w:pPr>
    </w:p>
    <w:bookmarkStart w:id="255" w:name="page256"/>
    <w:bookmarkEnd w:id="255"/>
    <w:p>
      <w:pPr>
        <w:ind w:left="652"/>
        <w:spacing w:after="0"/>
        <w:rPr>
          <w:sz w:val="20"/>
          <w:szCs w:val="20"/>
          <w:color w:val="auto"/>
        </w:rPr>
      </w:pPr>
      <w:r>
        <w:rPr>
          <w:rFonts w:ascii="Arial" w:cs="Arial" w:eastAsia="Arial" w:hAnsi="Arial"/>
          <w:sz w:val="22"/>
          <w:szCs w:val="22"/>
          <w:color w:val="auto"/>
        </w:rPr>
        <w:t>Bankrupt; or</w:t>
      </w:r>
    </w:p>
    <w:p>
      <w:pPr>
        <w:spacing w:after="0" w:line="220" w:lineRule="exact"/>
        <w:rPr>
          <w:sz w:val="20"/>
          <w:szCs w:val="20"/>
          <w:color w:val="auto"/>
        </w:rPr>
      </w:pPr>
    </w:p>
    <w:p>
      <w:pPr>
        <w:ind w:left="652" w:firstLine="1293"/>
        <w:spacing w:after="0" w:line="301" w:lineRule="auto"/>
        <w:tabs>
          <w:tab w:leader="none" w:pos="267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Cause the Company or any Subject Company to hire legal advisors to act on such company’s behalf; provided that all legal advisors currently used by such company as of the Effective Date are approved.</w:t>
      </w:r>
    </w:p>
    <w:p>
      <w:pPr>
        <w:spacing w:after="0" w:line="137" w:lineRule="exact"/>
        <w:rPr>
          <w:rFonts w:ascii="Arial" w:cs="Arial" w:eastAsia="Arial" w:hAnsi="Arial"/>
          <w:sz w:val="21"/>
          <w:szCs w:val="21"/>
          <w:color w:val="auto"/>
        </w:rPr>
      </w:pPr>
    </w:p>
    <w:p>
      <w:pPr>
        <w:jc w:val="both"/>
        <w:ind w:left="-8" w:firstLine="1305"/>
        <w:spacing w:after="0" w:line="260" w:lineRule="auto"/>
        <w:tabs>
          <w:tab w:leader="none" w:pos="172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77" w:lineRule="exact"/>
        <w:rPr>
          <w:rFonts w:ascii="Arial" w:cs="Arial" w:eastAsia="Arial" w:hAnsi="Arial"/>
          <w:sz w:val="22"/>
          <w:szCs w:val="22"/>
          <w:color w:val="auto"/>
        </w:rPr>
      </w:pPr>
    </w:p>
    <w:p>
      <w:pPr>
        <w:jc w:val="both"/>
        <w:ind w:left="-8" w:firstLine="1305"/>
        <w:spacing w:after="0" w:line="297" w:lineRule="auto"/>
        <w:tabs>
          <w:tab w:leader="none" w:pos="177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With respect to any actions described in this Agreement that require the Consent of the Members (including, without limitation, those actions set forth in this </w:t>
      </w:r>
      <w:r>
        <w:rPr>
          <w:rFonts w:ascii="Arial" w:cs="Arial" w:eastAsia="Arial" w:hAnsi="Arial"/>
          <w:sz w:val="19"/>
          <w:szCs w:val="19"/>
          <w:u w:val="single" w:color="auto"/>
          <w:color w:val="auto"/>
        </w:rPr>
        <w:t>Section 6.2</w:t>
      </w:r>
      <w:r>
        <w:rPr>
          <w:rFonts w:ascii="Arial" w:cs="Arial" w:eastAsia="Arial" w:hAnsi="Arial"/>
          <w:sz w:val="19"/>
          <w:szCs w:val="19"/>
          <w:color w:val="auto"/>
        </w:rPr>
        <w:t>), the Manager shall use commercially reasonable efforts to request such consent or approval from each Member no later than ten (10) Business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such ten (10) Business Day period shall be deemed such Member’s consent to the proposed action.</w:t>
      </w:r>
    </w:p>
    <w:p>
      <w:pPr>
        <w:spacing w:after="0" w:line="141" w:lineRule="exact"/>
        <w:rPr>
          <w:sz w:val="20"/>
          <w:szCs w:val="20"/>
          <w:color w:val="auto"/>
        </w:rPr>
      </w:pPr>
    </w:p>
    <w:p>
      <w:pPr>
        <w:ind w:left="1292"/>
        <w:spacing w:after="0"/>
        <w:tabs>
          <w:tab w:leader="none" w:pos="2452"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u w:val="single" w:color="auto"/>
          <w:color w:val="auto"/>
        </w:rPr>
        <w:t>Fund Company Acquisitions; Fund Company Call Events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8" w:firstLine="1305"/>
        <w:spacing w:after="0" w:line="250" w:lineRule="auto"/>
        <w:tabs>
          <w:tab w:leader="none" w:pos="1803"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During the Investment Period, the Manager shall present each proposed Fund Company to the Members in accordance with </w:t>
      </w:r>
      <w:r>
        <w:rPr>
          <w:rFonts w:ascii="Arial" w:cs="Arial" w:eastAsia="Arial" w:hAnsi="Arial"/>
          <w:sz w:val="22"/>
          <w:szCs w:val="22"/>
          <w:u w:val="single" w:color="auto"/>
          <w:color w:val="auto"/>
        </w:rPr>
        <w:t>Section 6.3(b)</w:t>
      </w:r>
      <w:r>
        <w:rPr>
          <w:rFonts w:ascii="Arial" w:cs="Arial" w:eastAsia="Arial" w:hAnsi="Arial"/>
          <w:sz w:val="22"/>
          <w:szCs w:val="22"/>
          <w:color w:val="auto"/>
        </w:rPr>
        <w:t xml:space="preserve"> to obtain Consent of the Members to either (i) if such proposed Fund Company is a going concern and owns one or more Projects at the time of such acquisition, purchase such Fund Company or (ii) if such proposed Fund Company is a newly formed company that does not yet own any Projects at the time of such acquisition, cause the applicable Intermediate Company to acquire a membership interest in such Fund Company and enter into the Fund Documents with any applicable Fund Investor.</w:t>
      </w:r>
    </w:p>
    <w:p>
      <w:pPr>
        <w:spacing w:after="0" w:line="188" w:lineRule="exact"/>
        <w:rPr>
          <w:rFonts w:ascii="Arial" w:cs="Arial" w:eastAsia="Arial" w:hAnsi="Arial"/>
          <w:sz w:val="22"/>
          <w:szCs w:val="22"/>
          <w:color w:val="auto"/>
        </w:rPr>
      </w:pPr>
    </w:p>
    <w:p>
      <w:pPr>
        <w:jc w:val="both"/>
        <w:ind w:left="-8" w:firstLine="1305"/>
        <w:spacing w:after="0" w:line="292" w:lineRule="auto"/>
        <w:tabs>
          <w:tab w:leader="none" w:pos="173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In order to initiate the Company’s investment in a proposed Fund Company through an Intermediate Company, the Manager shall deliver to the Members a Fund Company Presentation Package for their review; </w:t>
      </w:r>
      <w:r>
        <w:rPr>
          <w:rFonts w:ascii="Arial" w:cs="Arial" w:eastAsia="Arial" w:hAnsi="Arial"/>
          <w:sz w:val="19"/>
          <w:szCs w:val="19"/>
          <w:i w:val="1"/>
          <w:iCs w:val="1"/>
          <w:color w:val="auto"/>
        </w:rPr>
        <w:t>provided</w:t>
      </w:r>
      <w:r>
        <w:rPr>
          <w:rFonts w:ascii="Arial" w:cs="Arial" w:eastAsia="Arial" w:hAnsi="Arial"/>
          <w:sz w:val="19"/>
          <w:szCs w:val="19"/>
          <w:color w:val="auto"/>
        </w:rPr>
        <w:t>, that such delivery will be considered an informal delivery unless and until a formal notice is sent by the Manager to the Members (a “</w:t>
      </w:r>
      <w:r>
        <w:rPr>
          <w:rFonts w:ascii="Arial" w:cs="Arial" w:eastAsia="Arial" w:hAnsi="Arial"/>
          <w:sz w:val="19"/>
          <w:szCs w:val="19"/>
          <w:b w:val="1"/>
          <w:bCs w:val="1"/>
          <w:color w:val="auto"/>
        </w:rPr>
        <w:t>Fund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Presentation Notice</w:t>
      </w:r>
      <w:r>
        <w:rPr>
          <w:rFonts w:ascii="Arial" w:cs="Arial" w:eastAsia="Arial" w:hAnsi="Arial"/>
          <w:sz w:val="19"/>
          <w:szCs w:val="19"/>
          <w:color w:val="auto"/>
        </w:rPr>
        <w:t>”) indicating that such delivery is intended to commence the Review Period set forth below. Following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of a Fund Company Presentation Notice, each Member shall respond in writing (each, an “</w:t>
      </w:r>
      <w:r>
        <w:rPr>
          <w:rFonts w:ascii="Arial" w:cs="Arial" w:eastAsia="Arial" w:hAnsi="Arial"/>
          <w:sz w:val="19"/>
          <w:szCs w:val="19"/>
          <w:b w:val="1"/>
          <w:bCs w:val="1"/>
          <w:color w:val="auto"/>
        </w:rPr>
        <w:t>Investment Response Notice</w:t>
      </w:r>
      <w:r>
        <w:rPr>
          <w:rFonts w:ascii="Arial" w:cs="Arial" w:eastAsia="Arial" w:hAnsi="Arial"/>
          <w:sz w:val="19"/>
          <w:szCs w:val="19"/>
          <w:color w:val="auto"/>
        </w:rPr>
        <w:t>”) within thirty (30) days (the “</w:t>
      </w:r>
      <w:r>
        <w:rPr>
          <w:rFonts w:ascii="Arial" w:cs="Arial" w:eastAsia="Arial" w:hAnsi="Arial"/>
          <w:sz w:val="19"/>
          <w:szCs w:val="19"/>
          <w:b w:val="1"/>
          <w:bCs w:val="1"/>
          <w:color w:val="auto"/>
        </w:rPr>
        <w:t>Review Period</w:t>
      </w:r>
      <w:r>
        <w:rPr>
          <w:rFonts w:ascii="Arial" w:cs="Arial" w:eastAsia="Arial" w:hAnsi="Arial"/>
          <w:sz w:val="19"/>
          <w:szCs w:val="19"/>
          <w:color w:val="auto"/>
        </w:rPr>
        <w:t>”) indicating whether it accepts (an “</w:t>
      </w:r>
      <w:r>
        <w:rPr>
          <w:rFonts w:ascii="Arial" w:cs="Arial" w:eastAsia="Arial" w:hAnsi="Arial"/>
          <w:sz w:val="19"/>
          <w:szCs w:val="19"/>
          <w:b w:val="1"/>
          <w:bCs w:val="1"/>
          <w:color w:val="auto"/>
        </w:rPr>
        <w:t>Accepted Acquisition</w:t>
      </w:r>
      <w:r>
        <w:rPr>
          <w:rFonts w:ascii="Arial" w:cs="Arial" w:eastAsia="Arial" w:hAnsi="Arial"/>
          <w:sz w:val="19"/>
          <w:szCs w:val="19"/>
          <w:color w:val="auto"/>
        </w:rPr>
        <w:t>”) or rejects (a “</w:t>
      </w:r>
      <w:r>
        <w:rPr>
          <w:rFonts w:ascii="Arial" w:cs="Arial" w:eastAsia="Arial" w:hAnsi="Arial"/>
          <w:sz w:val="19"/>
          <w:szCs w:val="19"/>
          <w:b w:val="1"/>
          <w:bCs w:val="1"/>
          <w:color w:val="auto"/>
        </w:rPr>
        <w:t>Rejected</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such investment opportunity. A proposed investment shall automatically be treated as a Rejected Acquisition unless</w:t>
      </w:r>
      <w:r>
        <w:rPr>
          <w:rFonts w:ascii="Arial" w:cs="Arial" w:eastAsia="Arial" w:hAnsi="Arial"/>
          <w:sz w:val="19"/>
          <w:szCs w:val="19"/>
          <w:b w:val="1"/>
          <w:bCs w:val="1"/>
          <w:color w:val="auto"/>
        </w:rPr>
        <w:t xml:space="preserve"> </w:t>
      </w:r>
      <w:r>
        <w:rPr>
          <w:rFonts w:ascii="Arial" w:cs="Arial" w:eastAsia="Arial" w:hAnsi="Arial"/>
          <w:sz w:val="19"/>
          <w:szCs w:val="19"/>
          <w:color w:val="auto"/>
        </w:rPr>
        <w:t>all Members deliver Investment Responses approving such acquisition prior to the expiration of the applicable Review Period.</w:t>
      </w:r>
    </w:p>
    <w:p>
      <w:pPr>
        <w:spacing w:after="0" w:line="155" w:lineRule="exact"/>
        <w:rPr>
          <w:rFonts w:ascii="Arial" w:cs="Arial" w:eastAsia="Arial" w:hAnsi="Arial"/>
          <w:sz w:val="19"/>
          <w:szCs w:val="19"/>
          <w:color w:val="auto"/>
        </w:rPr>
      </w:pPr>
    </w:p>
    <w:p>
      <w:pPr>
        <w:jc w:val="both"/>
        <w:ind w:left="-8" w:firstLine="1305"/>
        <w:spacing w:after="0" w:line="250" w:lineRule="auto"/>
        <w:tabs>
          <w:tab w:leader="none" w:pos="177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case of each Accepted Acquisition, the Members shall be deemed to have consented to the applicable Fund Documents and the Manager will (i) cause the applicable Intermediate Company to enter into the applicable Fund Documents to acquire interests in such Fund Company, (ii) coordinate with each Member any documents required to be executed by such Member in connection with such Accepted Acquisition, if any, including any guarantees required in connection therewith, (iii) the Members shall execute a Fund Addendum and (iv) deliver such Capital Contribution Notices to the Members as are required to fund such acquisition.</w:t>
      </w:r>
    </w:p>
    <w:p>
      <w:pPr>
        <w:spacing w:after="0" w:line="188" w:lineRule="exact"/>
        <w:rPr>
          <w:rFonts w:ascii="Arial" w:cs="Arial" w:eastAsia="Arial" w:hAnsi="Arial"/>
          <w:sz w:val="22"/>
          <w:szCs w:val="22"/>
          <w:color w:val="auto"/>
        </w:rPr>
      </w:pPr>
    </w:p>
    <w:p>
      <w:pPr>
        <w:jc w:val="both"/>
        <w:ind w:left="-8" w:firstLine="1305"/>
        <w:spacing w:after="0" w:line="262" w:lineRule="auto"/>
        <w:tabs>
          <w:tab w:leader="none" w:pos="1869" w:val="left"/>
        </w:tabs>
        <w:numPr>
          <w:ilvl w:val="1"/>
          <w:numId w:val="150"/>
        </w:numPr>
        <w:rPr>
          <w:rFonts w:ascii="Arial" w:cs="Arial" w:eastAsia="Arial" w:hAnsi="Arial"/>
          <w:sz w:val="21"/>
          <w:szCs w:val="21"/>
          <w:color w:val="auto"/>
        </w:rPr>
      </w:pPr>
      <w:r>
        <w:rPr>
          <w:rFonts w:ascii="Arial" w:cs="Arial" w:eastAsia="Arial" w:hAnsi="Arial"/>
          <w:sz w:val="21"/>
          <w:szCs w:val="21"/>
          <w:color w:val="auto"/>
        </w:rPr>
        <w:t>If the proposed Cumulative Base Case Model, Fund Base Case Model and proposed amendments to the Approved Budget contained in the Fund Company Presentation Package in connection with a proposed acquisition of a Fund Company require an increase to the Class A Member Capital Contribution Commitment or, if applicable, the Class A Member Capital Contribution Commitment Accordion Amount in connection with such acquisition and such acquisition becomes an Accepted Acquisition, then the Class A Member Capital Contribution Commitment or, if applicable, the Class A Member Capital Contribution Commitment Accordion Amount shall be automatically increased as agreed to by the Members in connection with the modification of the Approved Budget in connection with such acquisition.</w:t>
      </w:r>
    </w:p>
    <w:p>
      <w:pPr>
        <w:spacing w:after="0" w:line="180" w:lineRule="exact"/>
        <w:rPr>
          <w:rFonts w:ascii="Arial" w:cs="Arial" w:eastAsia="Arial" w:hAnsi="Arial"/>
          <w:sz w:val="21"/>
          <w:szCs w:val="21"/>
          <w:color w:val="auto"/>
        </w:rPr>
      </w:pPr>
    </w:p>
    <w:p>
      <w:pPr>
        <w:jc w:val="both"/>
        <w:ind w:left="-8" w:firstLine="1305"/>
        <w:spacing w:after="0" w:line="285" w:lineRule="auto"/>
        <w:tabs>
          <w:tab w:leader="none" w:pos="177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event that a Fund Company Call Event arises, the Manager shall send notice to the Members together with a detailed explanation of the mechanics for such event in the applicable Fund Documents. Within five (5) Business Days following receipt of such notice, the Members shall meet to determine whether the Company should cause the Intermediate Company to purchase the applicable Fund Investor’s membership interests (the “</w:t>
      </w:r>
      <w:r>
        <w:rPr>
          <w:rFonts w:ascii="Arial" w:cs="Arial" w:eastAsia="Arial" w:hAnsi="Arial"/>
          <w:sz w:val="19"/>
          <w:szCs w:val="19"/>
          <w:b w:val="1"/>
          <w:bCs w:val="1"/>
          <w:color w:val="auto"/>
        </w:rPr>
        <w:t>Fund Investor Interests</w:t>
      </w:r>
      <w:r>
        <w:rPr>
          <w:rFonts w:ascii="Arial" w:cs="Arial" w:eastAsia="Arial" w:hAnsi="Arial"/>
          <w:sz w:val="19"/>
          <w:szCs w:val="19"/>
          <w:color w:val="auto"/>
        </w:rPr>
        <w:t xml:space="preserve">”) in such Fund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decision is not required to be made under the Fund Documents until an appraisal of such Fund Investor Interests has been completed, then the Members may postpone such decision until such appraisal has been completed. If the Members agree to exercise the option pursuant to the Fund Company Call Event, then each Member’s respective Capital Contributions will be determined in accordance with </w:t>
      </w:r>
      <w:r>
        <w:rPr>
          <w:rFonts w:ascii="Arial" w:cs="Arial" w:eastAsia="Arial" w:hAnsi="Arial"/>
          <w:sz w:val="19"/>
          <w:szCs w:val="19"/>
          <w:u w:val="single" w:color="auto"/>
          <w:color w:val="auto"/>
        </w:rPr>
        <w:t>Section 3.3(e)</w:t>
      </w:r>
      <w:r>
        <w:rPr>
          <w:rFonts w:ascii="Arial" w:cs="Arial" w:eastAsia="Arial" w:hAnsi="Arial"/>
          <w:sz w:val="19"/>
          <w:szCs w:val="19"/>
          <w:color w:val="auto"/>
        </w:rPr>
        <w:t>. If the Class A Members and the Class B Members cannot reach agreement with respect to exercising such option within the number of days required for such decision contained in the notice from the Manager (to be determined reasonably by the Manager in each case based on the required response period in the underlying Fund Documents), then the Class B Members shall have the right (but not the obligation), to be exercised within three</w:t>
      </w:r>
    </w:p>
    <w:p>
      <w:pPr>
        <w:jc w:val="both"/>
        <w:ind w:left="-8" w:firstLine="8"/>
        <w:spacing w:after="0" w:line="292" w:lineRule="auto"/>
        <w:tabs>
          <w:tab w:leader="none" w:pos="32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days following the initial decision period contained in the Manager’s notice, to cause the Intermediate Company to exercise such option to purchase the Fund Investor Interests conditioned on the Class B Members funding one hundred percent (100%) of the Capital Contributions required to consummate such purchase. If the Class B Members decline the opportunity to fund one hundred percent (100%) of the Capital Contributions required to consummate such purchase, then the Class A Members shall have the right (but not the obligation), to be exercised within three (3) days following the receipt of the Class B Members’ response (or</w:t>
      </w:r>
    </w:p>
    <w:p>
      <w:pPr>
        <w:sectPr>
          <w:pgSz w:w="11900" w:h="16838" w:orient="portrait"/>
          <w:cols w:equalWidth="0" w:num="1">
            <w:col w:w="11412"/>
          </w:cols>
          <w:pgMar w:left="248" w:top="132" w:right="239" w:bottom="0" w:gutter="0" w:footer="0" w:header="0"/>
        </w:sectPr>
      </w:pPr>
    </w:p>
    <w:bookmarkStart w:id="256" w:name="page257"/>
    <w:bookmarkEnd w:id="256"/>
    <w:p>
      <w:pPr>
        <w:jc w:val="both"/>
        <w:spacing w:after="0" w:line="260" w:lineRule="auto"/>
        <w:rPr>
          <w:sz w:val="20"/>
          <w:szCs w:val="20"/>
          <w:color w:val="auto"/>
        </w:rPr>
      </w:pPr>
      <w:r>
        <w:rPr>
          <w:rFonts w:ascii="Arial" w:cs="Arial" w:eastAsia="Arial" w:hAnsi="Arial"/>
          <w:sz w:val="21"/>
          <w:szCs w:val="21"/>
          <w:color w:val="auto"/>
        </w:rPr>
        <w:t xml:space="preserve">deemed response), to cause the Intermediate Company to exercise such option to purchase the Fund Investor Interests conditioned on the Class A Members funding one hundred percent (100%) of the Capital Contributions required to consummate such purchase. The failure of any Member to respond within the time periods set forth in this </w:t>
      </w:r>
      <w:r>
        <w:rPr>
          <w:rFonts w:ascii="Arial" w:cs="Arial" w:eastAsia="Arial" w:hAnsi="Arial"/>
          <w:sz w:val="21"/>
          <w:szCs w:val="21"/>
          <w:u w:val="single" w:color="auto"/>
          <w:color w:val="auto"/>
        </w:rPr>
        <w:t>Section 6.3(e)</w:t>
      </w:r>
      <w:r>
        <w:rPr>
          <w:rFonts w:ascii="Arial" w:cs="Arial" w:eastAsia="Arial" w:hAnsi="Arial"/>
          <w:sz w:val="21"/>
          <w:szCs w:val="21"/>
          <w:color w:val="auto"/>
        </w:rPr>
        <w:t xml:space="preserve"> shall be deemed such Member’s rejection of such opportunity. Following any Member’s delivery of notice that it has elected to fund one hundred percent (100%) of the Capital Contributions required to consummate the purchase of the Fund Investor Interests, the Members shall work together in good faith to adjust to the allocations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the distributions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to reflect such increased Capital Contributions made by the Class B Members.</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b w:val="1"/>
          <w:bCs w:val="1"/>
          <w:u w:val="single" w:color="auto"/>
          <w:color w:val="auto"/>
        </w:rPr>
        <w:t>Removal and Election of Manager.</w:t>
      </w:r>
    </w:p>
    <w:p>
      <w:pPr>
        <w:spacing w:after="0" w:line="239" w:lineRule="exact"/>
        <w:rPr>
          <w:sz w:val="20"/>
          <w:szCs w:val="20"/>
          <w:color w:val="auto"/>
        </w:rPr>
      </w:pPr>
    </w:p>
    <w:p>
      <w:pPr>
        <w:jc w:val="both"/>
        <w:ind w:firstLine="1305"/>
        <w:spacing w:after="0" w:line="251" w:lineRule="auto"/>
        <w:tabs>
          <w:tab w:leader="none" w:pos="1784" w:val="left"/>
        </w:tabs>
        <w:numPr>
          <w:ilvl w:val="1"/>
          <w:numId w:val="152"/>
        </w:numPr>
        <w:rPr>
          <w:rFonts w:ascii="Arial" w:cs="Arial" w:eastAsia="Arial" w:hAnsi="Arial"/>
          <w:sz w:val="22"/>
          <w:szCs w:val="22"/>
          <w:color w:val="auto"/>
        </w:rPr>
      </w:pPr>
      <w:r>
        <w:rPr>
          <w:rFonts w:ascii="Arial" w:cs="Arial" w:eastAsia="Arial" w:hAnsi="Arial"/>
          <w:sz w:val="22"/>
          <w:szCs w:val="22"/>
          <w:color w:val="auto"/>
        </w:rPr>
        <w:t xml:space="preserve">The Manager shall not have a right to resign unless and until a successor manager is elected or appointed as specified under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89" w:lineRule="exact"/>
        <w:rPr>
          <w:rFonts w:ascii="Arial" w:cs="Arial" w:eastAsia="Arial" w:hAnsi="Arial"/>
          <w:sz w:val="22"/>
          <w:szCs w:val="22"/>
          <w:color w:val="auto"/>
        </w:rPr>
      </w:pPr>
    </w:p>
    <w:p>
      <w:pPr>
        <w:jc w:val="both"/>
        <w:ind w:firstLine="1305"/>
        <w:spacing w:after="0" w:line="299" w:lineRule="auto"/>
        <w:tabs>
          <w:tab w:leader="none" w:pos="1756"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Manager will be subject to removal as Manager by Consent of the Members (excluding any Member who is the Manager or an Affiliate of the Manager), if the Manager (in its capacity as Manager or its capacity as Tax Matters Member )</w:t>
      </w:r>
    </w:p>
    <w:p>
      <w:pPr>
        <w:jc w:val="both"/>
        <w:ind w:firstLine="8"/>
        <w:spacing w:after="0" w:line="286" w:lineRule="auto"/>
        <w:tabs>
          <w:tab w:leader="none" w:pos="26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is proven to have engaged in gross negligence, willful misconduct or fraud or (ii) is proven to have performed any action that is in breach or violation of this Agreement and that has or is reasonably expected to have a Portfolio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the case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 (ii)</w:t>
      </w:r>
      <w:r>
        <w:rPr>
          <w:rFonts w:ascii="Arial" w:cs="Arial" w:eastAsia="Arial" w:hAnsi="Arial"/>
          <w:sz w:val="19"/>
          <w:szCs w:val="19"/>
          <w:color w:val="auto"/>
        </w:rPr>
        <w:t>, for any breach or violation other than a failure to make a cash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when due under this Agreement, the Manager shall have the opportunity to cure such breach or violation within thirty (30) days of receiving notice of such breach;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such breach cannot be cured within such period, and the Manager is proceeding with diligence to cure such breach, the 30-day cure period shall be extended by an additional sixty (60) days, for a total cure period of ninety (90)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during such cure period the Manager may continue as the Manager (and Tax Matters Member). In addition, the Manager shall be removed automatically without further vote, action or notice by any Member in the event of a Bankruptcy of the Manager, the Tax Matters Member (if it is an Affiliate of the Manager) or any Member who is an Affiliate of the Manager, unless those Members who are not Affiliates of the Manager elect otherwise upon written notice.</w:t>
      </w:r>
    </w:p>
    <w:p>
      <w:pPr>
        <w:spacing w:after="0" w:line="160" w:lineRule="exact"/>
        <w:rPr>
          <w:rFonts w:ascii="Arial" w:cs="Arial" w:eastAsia="Arial" w:hAnsi="Arial"/>
          <w:sz w:val="19"/>
          <w:szCs w:val="19"/>
          <w:color w:val="auto"/>
        </w:rPr>
      </w:pPr>
    </w:p>
    <w:p>
      <w:pPr>
        <w:jc w:val="both"/>
        <w:ind w:firstLine="1305"/>
        <w:spacing w:after="0" w:line="297" w:lineRule="auto"/>
        <w:tabs>
          <w:tab w:leader="none" w:pos="173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solar facilities similar to the Projects and shall execute a counterpart to this Agreement.</w:t>
      </w:r>
    </w:p>
    <w:p>
      <w:pPr>
        <w:spacing w:after="0" w:line="14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b w:val="1"/>
          <w:bCs w:val="1"/>
          <w:u w:val="single" w:color="auto"/>
          <w:color w:val="auto"/>
        </w:rPr>
        <w:t>Indemnification and Exculpation.</w:t>
      </w:r>
    </w:p>
    <w:p>
      <w:pPr>
        <w:spacing w:after="0" w:line="239" w:lineRule="exact"/>
        <w:rPr>
          <w:sz w:val="20"/>
          <w:szCs w:val="20"/>
          <w:color w:val="auto"/>
        </w:rPr>
      </w:pPr>
    </w:p>
    <w:p>
      <w:pPr>
        <w:jc w:val="both"/>
        <w:ind w:firstLine="1305"/>
        <w:spacing w:after="0" w:line="262" w:lineRule="auto"/>
        <w:tabs>
          <w:tab w:leader="none" w:pos="173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Law, the Manager and its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indemnity does not apply to Damages that are attributable to the gross negligence, willful misconduct or fraud of such Person or a material breach by the Manager or any of its Affiliates of their respective covenants or representations set forth in any of the Investment Documents or any other Fund Document to which it is a party.</w:t>
      </w:r>
    </w:p>
    <w:p>
      <w:pPr>
        <w:spacing w:after="0" w:line="180" w:lineRule="exact"/>
        <w:rPr>
          <w:rFonts w:ascii="Arial" w:cs="Arial" w:eastAsia="Arial" w:hAnsi="Arial"/>
          <w:sz w:val="21"/>
          <w:szCs w:val="21"/>
          <w:color w:val="auto"/>
        </w:rPr>
      </w:pPr>
    </w:p>
    <w:p>
      <w:pPr>
        <w:jc w:val="both"/>
        <w:ind w:firstLine="1305"/>
        <w:spacing w:after="0" w:line="251" w:lineRule="auto"/>
        <w:tabs>
          <w:tab w:leader="none" w:pos="175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To the fullest extent permitted by Law, reasonable and documented expenses to be incurred by an indemnified Person under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9" w:lineRule="exact"/>
        <w:rPr>
          <w:rFonts w:ascii="Arial" w:cs="Arial" w:eastAsia="Arial" w:hAnsi="Arial"/>
          <w:sz w:val="22"/>
          <w:szCs w:val="22"/>
          <w:color w:val="auto"/>
        </w:rPr>
      </w:pPr>
    </w:p>
    <w:p>
      <w:pPr>
        <w:jc w:val="both"/>
        <w:ind w:firstLine="1305"/>
        <w:spacing w:after="0" w:line="307" w:lineRule="auto"/>
        <w:tabs>
          <w:tab w:leader="none" w:pos="174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Provided that the same is reflected in the Approved Budget, the Company may purchase from the funds of the Company and maintain insurance on behalf of any Person who is or was an officer, employee, or agent of the Company, against any liability asserted against the Person and incurred by the Person in any capacity, or arising out of the Person’s status as such, whether or not the Company would have the power to indemnify the Person against the liability under the provisions of this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3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6.6</w:t>
      </w:r>
      <w:r>
        <w:rPr>
          <w:sz w:val="20"/>
          <w:szCs w:val="20"/>
          <w:color w:val="auto"/>
        </w:rPr>
        <w:tab/>
      </w:r>
      <w:r>
        <w:rPr>
          <w:rFonts w:ascii="Arial" w:cs="Arial" w:eastAsia="Arial" w:hAnsi="Arial"/>
          <w:sz w:val="19"/>
          <w:szCs w:val="19"/>
          <w:b w:val="1"/>
          <w:bCs w:val="1"/>
          <w:u w:val="single" w:color="auto"/>
          <w:color w:val="auto"/>
        </w:rPr>
        <w:t>Company Reimbursement; Fund Formation Expenses.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Company shall directly pay and reimburse the Manager for all Company Reimbursable Expenses incurred from time to time. Notwithstanding anything to the contrary in this Agreement, the Class A Members shall not be obligated to make Capital Contributions in connection with any legal or other fees and costs in connection with the negotiation and entry by the Intermediate Company or any other Person into any Fund Documents, which obligation shall be borne solely by the Class B Member as a Member Contribution Event, including the repayment of the Manager for any such expenses advanced by the Manger.</w:t>
      </w:r>
    </w:p>
    <w:p>
      <w:pPr>
        <w:sectPr>
          <w:pgSz w:w="11900" w:h="16838" w:orient="portrait"/>
          <w:cols w:equalWidth="0" w:num="1">
            <w:col w:w="11420"/>
          </w:cols>
          <w:pgMar w:left="240" w:top="132" w:right="239" w:bottom="0" w:gutter="0" w:footer="0" w:header="0"/>
        </w:sectPr>
      </w:pPr>
    </w:p>
    <w:bookmarkStart w:id="257" w:name="page258"/>
    <w:bookmarkEnd w:id="257"/>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6.7</w:t>
      </w:r>
      <w:r>
        <w:rPr>
          <w:sz w:val="20"/>
          <w:szCs w:val="20"/>
          <w:color w:val="auto"/>
        </w:rPr>
        <w:tab/>
      </w:r>
      <w:r>
        <w:rPr>
          <w:rFonts w:ascii="Arial" w:cs="Arial" w:eastAsia="Arial" w:hAnsi="Arial"/>
          <w:sz w:val="19"/>
          <w:szCs w:val="19"/>
          <w:b w:val="1"/>
          <w:bCs w:val="1"/>
          <w:u w:val="single" w:color="auto"/>
          <w:color w:val="auto"/>
        </w:rPr>
        <w:t>Officers.</w:t>
      </w:r>
    </w:p>
    <w:p>
      <w:pPr>
        <w:spacing w:after="0" w:line="239" w:lineRule="exact"/>
        <w:rPr>
          <w:sz w:val="20"/>
          <w:szCs w:val="20"/>
          <w:color w:val="auto"/>
        </w:rPr>
      </w:pPr>
    </w:p>
    <w:p>
      <w:pPr>
        <w:jc w:val="both"/>
        <w:ind w:firstLine="1305"/>
        <w:spacing w:after="0" w:line="299" w:lineRule="auto"/>
        <w:tabs>
          <w:tab w:leader="none" w:pos="1757"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Number</w:t>
      </w:r>
      <w:r>
        <w:rPr>
          <w:rFonts w:ascii="Arial" w:cs="Arial" w:eastAsia="Arial" w:hAnsi="Arial"/>
          <w:sz w:val="19"/>
          <w:szCs w:val="19"/>
          <w:color w:val="auto"/>
        </w:rPr>
        <w:t>. The officers of the Company shall be a President, a Secretary and any number of Vice Presidents or Assistant Secretaries or other officers (each an “</w:t>
      </w:r>
      <w:r>
        <w:rPr>
          <w:rFonts w:ascii="Arial" w:cs="Arial" w:eastAsia="Arial" w:hAnsi="Arial"/>
          <w:sz w:val="19"/>
          <w:szCs w:val="19"/>
          <w:b w:val="1"/>
          <w:bCs w:val="1"/>
          <w:color w:val="auto"/>
        </w:rPr>
        <w:t>Officer</w:t>
      </w:r>
      <w:r>
        <w:rPr>
          <w:rFonts w:ascii="Arial" w:cs="Arial" w:eastAsia="Arial" w:hAnsi="Arial"/>
          <w:sz w:val="19"/>
          <w:szCs w:val="19"/>
          <w:color w:val="auto"/>
        </w:rPr>
        <w:t>” and collectively “</w:t>
      </w:r>
      <w:r>
        <w:rPr>
          <w:rFonts w:ascii="Arial" w:cs="Arial" w:eastAsia="Arial" w:hAnsi="Arial"/>
          <w:sz w:val="19"/>
          <w:szCs w:val="19"/>
          <w:b w:val="1"/>
          <w:bCs w:val="1"/>
          <w:color w:val="auto"/>
        </w:rPr>
        <w:t>Officers</w:t>
      </w:r>
      <w:r>
        <w:rPr>
          <w:rFonts w:ascii="Arial" w:cs="Arial" w:eastAsia="Arial" w:hAnsi="Arial"/>
          <w:sz w:val="19"/>
          <w:szCs w:val="19"/>
          <w:color w:val="auto"/>
        </w:rPr>
        <w:t>”) as may be elected by the Manager. Any two</w:t>
      </w:r>
    </w:p>
    <w:p>
      <w:pPr>
        <w:ind w:left="320" w:hanging="312"/>
        <w:spacing w:after="0"/>
        <w:tabs>
          <w:tab w:leader="none" w:pos="3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or more offices may be held by the same person.</w:t>
      </w:r>
    </w:p>
    <w:p>
      <w:pPr>
        <w:spacing w:after="0" w:line="201" w:lineRule="exact"/>
        <w:rPr>
          <w:rFonts w:ascii="Arial" w:cs="Arial" w:eastAsia="Arial" w:hAnsi="Arial"/>
          <w:sz w:val="22"/>
          <w:szCs w:val="22"/>
          <w:color w:val="auto"/>
        </w:rPr>
      </w:pPr>
    </w:p>
    <w:p>
      <w:pPr>
        <w:jc w:val="both"/>
        <w:ind w:firstLine="1305"/>
        <w:spacing w:after="0" w:line="254" w:lineRule="auto"/>
        <w:tabs>
          <w:tab w:leader="none" w:pos="1837"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Election and Term of Office</w:t>
      </w:r>
      <w:r>
        <w:rPr>
          <w:rFonts w:ascii="Arial" w:cs="Arial" w:eastAsia="Arial" w:hAnsi="Arial"/>
          <w:sz w:val="22"/>
          <w:szCs w:val="22"/>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85" w:lineRule="exact"/>
        <w:rPr>
          <w:rFonts w:ascii="Arial" w:cs="Arial" w:eastAsia="Arial" w:hAnsi="Arial"/>
          <w:sz w:val="22"/>
          <w:szCs w:val="22"/>
          <w:color w:val="auto"/>
        </w:rPr>
      </w:pPr>
    </w:p>
    <w:p>
      <w:pPr>
        <w:ind w:firstLine="1305"/>
        <w:spacing w:after="0" w:line="276" w:lineRule="auto"/>
        <w:tabs>
          <w:tab w:leader="none" w:pos="1757"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Vacancies</w:t>
      </w:r>
      <w:r>
        <w:rPr>
          <w:rFonts w:ascii="Arial" w:cs="Arial" w:eastAsia="Arial" w:hAnsi="Arial"/>
          <w:sz w:val="22"/>
          <w:szCs w:val="22"/>
          <w:color w:val="auto"/>
        </w:rPr>
        <w:t>. A vacancy in any office because of death, resignation, removal, disqualification or otherwise, may be filled by the Manager for the unexpired portion of the term.</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Removal</w:t>
      </w:r>
      <w:r>
        <w:rPr>
          <w:rFonts w:ascii="Arial" w:cs="Arial" w:eastAsia="Arial" w:hAnsi="Arial"/>
          <w:sz w:val="22"/>
          <w:szCs w:val="22"/>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743"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Duties; Standard of Care</w:t>
      </w:r>
      <w:r>
        <w:rPr>
          <w:rFonts w:ascii="Arial" w:cs="Arial" w:eastAsia="Arial" w:hAnsi="Arial"/>
          <w:sz w:val="19"/>
          <w:szCs w:val="19"/>
          <w:color w:val="auto"/>
        </w:rPr>
        <w:t xml:space="preserve">.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in carrying out any of their relevant duties whatsoever and shall be required to obtain the necessary prior consents for actions specified in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1305"/>
        <w:spacing w:after="0" w:line="288" w:lineRule="auto"/>
        <w:tabs>
          <w:tab w:leader="none" w:pos="1760"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Indemnification of Officers</w:t>
      </w:r>
      <w:r>
        <w:rPr>
          <w:rFonts w:ascii="Arial" w:cs="Arial" w:eastAsia="Arial" w:hAnsi="Arial"/>
          <w:sz w:val="19"/>
          <w:szCs w:val="19"/>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The foregoing indemnification is limited to Available Cash Flow, and nothing contained herein is intended to create personal liability for any Member.</w:t>
      </w:r>
    </w:p>
    <w:p>
      <w:pPr>
        <w:spacing w:after="0" w:line="15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6.8</w:t>
      </w:r>
      <w:r>
        <w:rPr>
          <w:sz w:val="20"/>
          <w:szCs w:val="20"/>
          <w:color w:val="auto"/>
        </w:rPr>
        <w:tab/>
      </w:r>
      <w:r>
        <w:rPr>
          <w:rFonts w:ascii="Arial" w:cs="Arial" w:eastAsia="Arial" w:hAnsi="Arial"/>
          <w:sz w:val="19"/>
          <w:szCs w:val="19"/>
          <w:b w:val="1"/>
          <w:bCs w:val="1"/>
          <w:u w:val="single" w:color="auto"/>
          <w:color w:val="auto"/>
        </w:rPr>
        <w:t>Approved Budgets.</w:t>
      </w:r>
    </w:p>
    <w:p>
      <w:pPr>
        <w:spacing w:after="0" w:line="239"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The Manager shall prepare or cause to be prepared for each Fiscal Year of the Company and the Subject Companies an operating budget on a consolidated basis setting forth the anticipated revenues and expenses of the Company and each Subject Company for such Fiscal Year. The initial operating budget for the remainder of the Fiscal Year ending December 31, 2017 is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For a succeeding Fiscal Year (commencing with the fiscal year ending December 31, 2018),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the lesser of ten percent (10%) above the annual spending projected in the Aggregate Tracking Model for the applicable Fiscal Year and five percent (5%) above the aggregate expense amount reflected in the Approved Budget for the previous Fiscal Year (and in each case, does not include expenditures exceeding $500,000 in aggregate of a type not included in the Aggregate Tracking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Arial" w:cs="Arial" w:eastAsia="Arial" w:hAnsi="Arial"/>
          <w:sz w:val="19"/>
          <w:szCs w:val="19"/>
          <w:b w:val="1"/>
          <w:bCs w:val="1"/>
          <w:color w:val="auto"/>
        </w:rPr>
        <w:t>Approved Budget</w:t>
      </w:r>
      <w:r>
        <w:rPr>
          <w:rFonts w:ascii="Arial" w:cs="Arial" w:eastAsia="Arial" w:hAnsi="Arial"/>
          <w:sz w:val="19"/>
          <w:szCs w:val="19"/>
          <w:color w:val="auto"/>
        </w:rPr>
        <w:t xml:space="preserve">”).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The Manager may from time to time during the Fiscal Year propose to amend the Approved Budget to decrease expected expenditures, or, subject to </w:t>
      </w:r>
      <w:r>
        <w:rPr>
          <w:rFonts w:ascii="Arial" w:cs="Arial" w:eastAsia="Arial" w:hAnsi="Arial"/>
          <w:sz w:val="19"/>
          <w:szCs w:val="19"/>
          <w:u w:val="single" w:color="auto"/>
          <w:color w:val="auto"/>
        </w:rPr>
        <w:t>Section 6.2(b)(xiv)</w:t>
      </w:r>
      <w:r>
        <w:rPr>
          <w:rFonts w:ascii="Arial" w:cs="Arial" w:eastAsia="Arial" w:hAnsi="Arial"/>
          <w:sz w:val="19"/>
          <w:szCs w:val="19"/>
          <w:color w:val="auto"/>
        </w:rPr>
        <w:t>, to increase expected expenditures and as so amended, any such amended budget shall be the Approved Budget hereunder.</w:t>
      </w: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RIGHTS AND RESPONSIBILITIES OF MEMBERS</w:t>
      </w:r>
    </w:p>
    <w:p>
      <w:pPr>
        <w:sectPr>
          <w:pgSz w:w="11900" w:h="16838" w:orient="portrait"/>
          <w:cols w:equalWidth="0" w:num="1">
            <w:col w:w="11420"/>
          </w:cols>
          <w:pgMar w:left="240" w:top="126" w:right="239" w:bottom="0" w:gutter="0" w:footer="0" w:header="0"/>
        </w:sectPr>
      </w:pPr>
    </w:p>
    <w:bookmarkStart w:id="258" w:name="page259"/>
    <w:bookmarkEnd w:id="258"/>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u w:val="single" w:color="auto"/>
          <w:color w:val="auto"/>
        </w:rPr>
        <w:t>General.</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rights and responsibilities of the Members shall be as provided in the Delaware Certificate, this Agreement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Act.</w:t>
      </w:r>
    </w:p>
    <w:p>
      <w:pPr>
        <w:spacing w:after="0" w:line="19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b w:val="1"/>
          <w:bCs w:val="1"/>
          <w:u w:val="single" w:color="auto"/>
          <w:color w:val="auto"/>
        </w:rPr>
        <w:t>Member Consent.</w:t>
      </w:r>
    </w:p>
    <w:p>
      <w:pPr>
        <w:spacing w:after="0" w:line="23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and as otherwise expressly provided in this Agreement, the Consent of the Members shall constitute the approval by, or the authorization of, any action by or on behalf of the Company that requires a vote, consent, approval or action of or an election by the Members; </w:t>
      </w:r>
      <w:r>
        <w:rPr>
          <w:rFonts w:ascii="Arial" w:cs="Arial" w:eastAsia="Arial" w:hAnsi="Arial"/>
          <w:sz w:val="19"/>
          <w:szCs w:val="19"/>
          <w:i w:val="1"/>
          <w:iCs w:val="1"/>
          <w:color w:val="auto"/>
        </w:rPr>
        <w:t>provided</w:t>
      </w:r>
      <w:r>
        <w:rPr>
          <w:rFonts w:ascii="Arial" w:cs="Arial" w:eastAsia="Arial" w:hAnsi="Arial"/>
          <w:sz w:val="19"/>
          <w:szCs w:val="19"/>
          <w:color w:val="auto"/>
        </w:rPr>
        <w:t>,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w:t>
      </w:r>
    </w:p>
    <w:p>
      <w:pPr>
        <w:spacing w:after="0" w:line="4" w:lineRule="exact"/>
        <w:rPr>
          <w:sz w:val="20"/>
          <w:szCs w:val="20"/>
          <w:color w:val="auto"/>
        </w:rPr>
      </w:pPr>
    </w:p>
    <w:p>
      <w:pPr>
        <w:ind w:left="360" w:hanging="352"/>
        <w:spacing w:after="0"/>
        <w:tabs>
          <w:tab w:leader="none" w:pos="36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alter the interest of any Member in Capital Accounts, Company Items, ITCs, distributions of Available Cash Flow; or</w:t>
      </w:r>
    </w:p>
    <w:p>
      <w:pPr>
        <w:spacing w:after="0" w:line="15" w:lineRule="exact"/>
        <w:rPr>
          <w:rFonts w:ascii="Arial" w:cs="Arial" w:eastAsia="Arial" w:hAnsi="Arial"/>
          <w:sz w:val="21"/>
          <w:szCs w:val="21"/>
          <w:color w:val="auto"/>
        </w:rPr>
      </w:pPr>
    </w:p>
    <w:p>
      <w:pPr>
        <w:ind w:firstLine="8"/>
        <w:spacing w:after="0" w:line="246" w:lineRule="auto"/>
        <w:tabs>
          <w:tab w:leader="none" w:pos="30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amend, supplement or otherwise modify </w:t>
      </w:r>
      <w:r>
        <w:rPr>
          <w:rFonts w:ascii="Arial" w:cs="Arial" w:eastAsia="Arial" w:hAnsi="Arial"/>
          <w:sz w:val="22"/>
          <w:szCs w:val="22"/>
          <w:u w:val="single" w:color="auto"/>
          <w:color w:val="auto"/>
        </w:rPr>
        <w:t>Section 6.2(b)</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7.2</w:t>
      </w:r>
      <w:r>
        <w:rPr>
          <w:rFonts w:ascii="Arial" w:cs="Arial" w:eastAsia="Arial" w:hAnsi="Arial"/>
          <w:sz w:val="22"/>
          <w:szCs w:val="22"/>
          <w:color w:val="auto"/>
        </w:rPr>
        <w:t>, or, in each case, any of the definitions of capitalized terms used therein.</w:t>
      </w:r>
    </w:p>
    <w:p>
      <w:pPr>
        <w:spacing w:after="0" w:line="18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b w:val="1"/>
          <w:bCs w:val="1"/>
          <w:u w:val="single" w:color="auto"/>
          <w:color w:val="auto"/>
        </w:rPr>
        <w:t>Member Liability.</w:t>
      </w:r>
    </w:p>
    <w:p>
      <w:pPr>
        <w:spacing w:after="0" w:line="239" w:lineRule="exact"/>
        <w:rPr>
          <w:sz w:val="20"/>
          <w:szCs w:val="20"/>
          <w:color w:val="auto"/>
        </w:rPr>
      </w:pPr>
    </w:p>
    <w:p>
      <w:pPr>
        <w:jc w:val="both"/>
        <w:ind w:firstLine="1305"/>
        <w:spacing w:after="0" w:line="251" w:lineRule="auto"/>
        <w:tabs>
          <w:tab w:leader="none" w:pos="171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89" w:lineRule="exact"/>
        <w:rPr>
          <w:rFonts w:ascii="Arial" w:cs="Arial" w:eastAsia="Arial" w:hAnsi="Arial"/>
          <w:sz w:val="22"/>
          <w:szCs w:val="22"/>
          <w:color w:val="auto"/>
        </w:rPr>
      </w:pPr>
    </w:p>
    <w:p>
      <w:pPr>
        <w:jc w:val="both"/>
        <w:ind w:firstLine="1305"/>
        <w:spacing w:after="0" w:line="250" w:lineRule="auto"/>
        <w:tabs>
          <w:tab w:leader="none" w:pos="189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A Member shall be liable only to make its Capital Contributions as provided herein and, other than as specifically provided in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shall not be required to restore a deficit balance in its Capital Account. Except as provided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188" w:lineRule="exact"/>
        <w:rPr>
          <w:rFonts w:ascii="Arial" w:cs="Arial" w:eastAsia="Arial" w:hAnsi="Arial"/>
          <w:sz w:val="22"/>
          <w:szCs w:val="22"/>
          <w:color w:val="auto"/>
        </w:rPr>
      </w:pPr>
    </w:p>
    <w:p>
      <w:pPr>
        <w:jc w:val="both"/>
        <w:ind w:firstLine="1305"/>
        <w:spacing w:after="0" w:line="261" w:lineRule="auto"/>
        <w:tabs>
          <w:tab w:leader="none" w:pos="193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Law, each Member and its respective officers, directors, managers, employees, direct and indirect owners, attorneys, contractors, representatives and agents shall be exculpated from, and the Company shall indemnify, defend and hold harmless such Persons from and against, all Damages from Third Parties that result by virtue of the Member’s ownership of its Membership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indemnity does not apply: (i) to Damages that are attributable to the proven gross negligence, willful misconduct or fraud of such Person, (ii) to indemnity obligations of the Members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this Agreement, or (iii) to a Member acting in a capacity other than solely as a Member, in the event that any such Claim is asserted against any Member in its capacity in more than one role (such as, for the avoidance of doubt, the Class B Member’s role as Member and Manager).</w:t>
      </w:r>
    </w:p>
    <w:p>
      <w:pPr>
        <w:spacing w:after="0" w:line="181" w:lineRule="exact"/>
        <w:rPr>
          <w:rFonts w:ascii="Arial" w:cs="Arial" w:eastAsia="Arial" w:hAnsi="Arial"/>
          <w:sz w:val="21"/>
          <w:szCs w:val="21"/>
          <w:color w:val="auto"/>
        </w:rPr>
      </w:pPr>
    </w:p>
    <w:p>
      <w:pPr>
        <w:jc w:val="both"/>
        <w:ind w:firstLine="1305"/>
        <w:spacing w:after="0" w:line="251" w:lineRule="auto"/>
        <w:tabs>
          <w:tab w:leader="none" w:pos="194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To the fullest extent permitted by Law, reasonable and documented expenses actually incurred by an indemnified Person under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b w:val="1"/>
          <w:bCs w:val="1"/>
          <w:u w:val="single" w:color="auto"/>
          <w:color w:val="auto"/>
        </w:rPr>
        <w:t>Withdrawal.</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2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7.5</w:t>
      </w:r>
      <w:r>
        <w:rPr>
          <w:sz w:val="20"/>
          <w:szCs w:val="20"/>
          <w:color w:val="auto"/>
        </w:rPr>
        <w:tab/>
      </w:r>
      <w:r>
        <w:rPr>
          <w:rFonts w:ascii="Arial" w:cs="Arial" w:eastAsia="Arial" w:hAnsi="Arial"/>
          <w:sz w:val="19"/>
          <w:szCs w:val="19"/>
          <w:b w:val="1"/>
          <w:bCs w:val="1"/>
          <w:u w:val="single" w:color="auto"/>
          <w:color w:val="auto"/>
        </w:rPr>
        <w:t>Member Compensation.</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7.6</w:t>
      </w:r>
      <w:r>
        <w:rPr>
          <w:sz w:val="20"/>
          <w:szCs w:val="20"/>
          <w:color w:val="auto"/>
        </w:rPr>
        <w:tab/>
      </w:r>
      <w:r>
        <w:rPr>
          <w:rFonts w:ascii="Arial" w:cs="Arial" w:eastAsia="Arial" w:hAnsi="Arial"/>
          <w:sz w:val="19"/>
          <w:szCs w:val="19"/>
          <w:b w:val="1"/>
          <w:bCs w:val="1"/>
          <w:u w:val="single" w:color="auto"/>
          <w:color w:val="auto"/>
        </w:rPr>
        <w:t>Other Ventures.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Subject Companies, independently or with others, as long as such venture does not cause any Subject Company to cease to hold any Energy Regulatory Approval or to become subject to regulation under PUHCA, other than with respect to</w:t>
      </w:r>
    </w:p>
    <w:p>
      <w:pPr>
        <w:sectPr>
          <w:pgSz w:w="11900" w:h="16838" w:orient="portrait"/>
          <w:cols w:equalWidth="0" w:num="1">
            <w:col w:w="11420"/>
          </w:cols>
          <w:pgMar w:left="240" w:top="207" w:right="239" w:bottom="0" w:gutter="0" w:footer="0" w:header="0"/>
        </w:sectPr>
      </w:pPr>
    </w:p>
    <w:bookmarkStart w:id="259" w:name="page260"/>
    <w:bookmarkEnd w:id="259"/>
    <w:p>
      <w:pPr>
        <w:jc w:val="both"/>
        <w:spacing w:after="0" w:line="265" w:lineRule="auto"/>
        <w:rPr>
          <w:sz w:val="20"/>
          <w:szCs w:val="20"/>
          <w:color w:val="auto"/>
        </w:rPr>
      </w:pPr>
      <w:r>
        <w:rPr>
          <w:rFonts w:ascii="Arial" w:cs="Arial" w:eastAsia="Arial" w:hAnsi="Arial"/>
          <w:sz w:val="21"/>
          <w:szCs w:val="21"/>
          <w:color w:val="auto"/>
        </w:rPr>
        <w:t>regulations pertaining to maintaining Qualifying Facility status, as applicable, in each case with no obligation to offer to such Subject Company, the Company, any Member or any of their respective Affiliates the right to participate in, or share the results or profits of, those activities (even if those activities may be made possible or more profitable by reason of the Company’s or such Subject Company’s activities), except any activity that would cause a Member to be a Related Party.</w:t>
      </w:r>
    </w:p>
    <w:p>
      <w:pPr>
        <w:spacing w:after="0" w:line="17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7.7</w:t>
      </w:r>
      <w:r>
        <w:rPr>
          <w:sz w:val="20"/>
          <w:szCs w:val="20"/>
          <w:color w:val="auto"/>
        </w:rPr>
        <w:tab/>
      </w:r>
      <w:r>
        <w:rPr>
          <w:rFonts w:ascii="Arial" w:cs="Arial" w:eastAsia="Arial" w:hAnsi="Arial"/>
          <w:sz w:val="19"/>
          <w:szCs w:val="19"/>
          <w:b w:val="1"/>
          <w:bCs w:val="1"/>
          <w:u w:val="single" w:color="auto"/>
          <w:color w:val="auto"/>
        </w:rPr>
        <w:t>Confidential Information.</w:t>
      </w:r>
    </w:p>
    <w:p>
      <w:pPr>
        <w:spacing w:after="0" w:line="239" w:lineRule="exact"/>
        <w:rPr>
          <w:sz w:val="20"/>
          <w:szCs w:val="20"/>
          <w:color w:val="auto"/>
        </w:rPr>
      </w:pPr>
    </w:p>
    <w:p>
      <w:pPr>
        <w:jc w:val="both"/>
        <w:ind w:firstLine="1305"/>
        <w:spacing w:after="0" w:line="283" w:lineRule="auto"/>
        <w:tabs>
          <w:tab w:leader="none" w:pos="1797" w:val="left"/>
        </w:tabs>
        <w:numPr>
          <w:ilvl w:val="1"/>
          <w:numId w:val="159"/>
        </w:numPr>
        <w:rPr>
          <w:rFonts w:ascii="Arial" w:cs="Arial" w:eastAsia="Arial" w:hAnsi="Arial"/>
          <w:sz w:val="19"/>
          <w:szCs w:val="19"/>
          <w:color w:val="auto"/>
        </w:rPr>
      </w:pPr>
      <w:r>
        <w:rPr>
          <w:rFonts w:ascii="Arial" w:cs="Arial" w:eastAsia="Arial" w:hAnsi="Arial"/>
          <w:sz w:val="19"/>
          <w:szCs w:val="19"/>
          <w:color w:val="auto"/>
        </w:rPr>
        <w:t>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or any of its advisors, counsel and public accountants (collectively, “</w:t>
      </w:r>
      <w:r>
        <w:rPr>
          <w:rFonts w:ascii="Arial" w:cs="Arial" w:eastAsia="Arial" w:hAnsi="Arial"/>
          <w:sz w:val="19"/>
          <w:szCs w:val="19"/>
          <w:b w:val="1"/>
          <w:bCs w:val="1"/>
          <w:color w:val="auto"/>
        </w:rPr>
        <w:t>Advisors</w:t>
      </w:r>
      <w:r>
        <w:rPr>
          <w:rFonts w:ascii="Arial" w:cs="Arial" w:eastAsia="Arial" w:hAnsi="Arial"/>
          <w:sz w:val="19"/>
          <w:szCs w:val="19"/>
          <w:color w:val="auto"/>
        </w:rPr>
        <w:t>”)), directly or indirectly, any of the terms and conditions of the Project Documents, this Agreement, the other Investment Documents or other information in respect of the transactions contemplated hereby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Company, any such Member, the Manager and its Affiliates, Representatives and Advisors may use and disclose Confidential Information to its Affiliates, Representatives and Advisors and to the Company, any other Member, the Manager and its Affiliates, Representatives and Advisors provided such use or disclosure is in connection with its 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w:t>
      </w:r>
      <w:r>
        <w:rPr>
          <w:rFonts w:ascii="Arial" w:cs="Arial" w:eastAsia="Arial" w:hAnsi="Arial"/>
          <w:sz w:val="19"/>
          <w:szCs w:val="19"/>
          <w:u w:val="single" w:color="auto"/>
          <w:color w:val="auto"/>
        </w:rPr>
        <w:t>Section 7.7</w:t>
      </w:r>
      <w:r>
        <w:rPr>
          <w:rFonts w:ascii="Arial" w:cs="Arial" w:eastAsia="Arial" w:hAnsi="Arial"/>
          <w:sz w:val="19"/>
          <w:szCs w:val="19"/>
          <w:color w:val="auto"/>
        </w:rPr>
        <w:t>),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w:t>
      </w:r>
    </w:p>
    <w:p>
      <w:pPr>
        <w:spacing w:after="0" w:line="6" w:lineRule="exact"/>
        <w:rPr>
          <w:rFonts w:ascii="Arial" w:cs="Arial" w:eastAsia="Arial" w:hAnsi="Arial"/>
          <w:sz w:val="19"/>
          <w:szCs w:val="19"/>
          <w:color w:val="auto"/>
        </w:rPr>
      </w:pPr>
    </w:p>
    <w:p>
      <w:pPr>
        <w:jc w:val="both"/>
        <w:ind w:firstLine="8"/>
        <w:spacing w:after="0" w:line="281" w:lineRule="auto"/>
        <w:tabs>
          <w:tab w:leader="none" w:pos="30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give prompt notice to the Company, the other Members or Manager that such disclosure is or may be required and (2) cooperate in protecting such confidential or proprietary nature of the Confidential Information which must so be disclosed;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notification shall be required in respect of any disclosure to FERC, any Energy Regulatory Authority or bank, insurance or financial industry regulatory authorities having jurisdiction over the Company, such Member, the Manager or its Affiliates,</w:t>
      </w:r>
    </w:p>
    <w:p>
      <w:pPr>
        <w:spacing w:after="0" w:line="3" w:lineRule="exact"/>
        <w:rPr>
          <w:rFonts w:ascii="Arial" w:cs="Arial" w:eastAsia="Arial" w:hAnsi="Arial"/>
          <w:sz w:val="19"/>
          <w:szCs w:val="19"/>
          <w:color w:val="auto"/>
        </w:rPr>
      </w:pPr>
    </w:p>
    <w:p>
      <w:pPr>
        <w:jc w:val="both"/>
        <w:spacing w:after="0" w:line="283" w:lineRule="auto"/>
        <w:rPr>
          <w:rFonts w:ascii="Arial" w:cs="Arial" w:eastAsia="Arial" w:hAnsi="Arial"/>
          <w:sz w:val="19"/>
          <w:szCs w:val="19"/>
          <w:color w:val="auto"/>
        </w:rPr>
      </w:pPr>
      <w:r>
        <w:rPr>
          <w:rFonts w:ascii="Arial" w:cs="Arial" w:eastAsia="Arial" w:hAnsi="Arial"/>
          <w:sz w:val="19"/>
          <w:szCs w:val="19"/>
          <w:color w:val="auto"/>
        </w:rPr>
        <w:t xml:space="preserve">(v) disclosures to lenders, potential lenders or other Persons providing financing to the Company or any Subject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have otherwise entered into an agreement with restrictions on disclosure substantially similar to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Project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any Project (but not Confidential Information relating to any other Member) to lenders, potential lenders or other Persons providing financing to any Person developing or proposing to develop the remaining phases of any Project and potential purchasers of equity interests in such Person or potential power or REC purchasers from such Persons, or to any Person in connection with the operation of any Project if, in each case described in this </w:t>
      </w:r>
      <w:r>
        <w:rPr>
          <w:rFonts w:ascii="Arial" w:cs="Arial" w:eastAsia="Arial" w:hAnsi="Arial"/>
          <w:sz w:val="19"/>
          <w:szCs w:val="19"/>
          <w:u w:val="single" w:color="auto"/>
          <w:color w:val="auto"/>
        </w:rPr>
        <w:t>clause (viii)</w:t>
      </w:r>
      <w:r>
        <w:rPr>
          <w:rFonts w:ascii="Arial" w:cs="Arial" w:eastAsia="Arial" w:hAnsi="Arial"/>
          <w:sz w:val="19"/>
          <w:szCs w:val="19"/>
          <w:color w:val="auto"/>
        </w:rPr>
        <w:t xml:space="preserve">, such Persons have agreed to abide by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have otherwise entered into a Contract with restrictions on disclosure substantially the same (and for not less than two (2) years in duration) as the terms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(or in the case of Advisors, are otherwise bound by professional or legal obligations of confidentiality), and (ix) any such Member may disclose Confidential Information to the IRS or any state taxing authority in connection with any communication regarding the tax consequences of any Project, any Subject Company’s ownership and operation of the applicable Project or such Member’s ownership of an interest in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survive the Transfer of its Units.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w:t>
      </w:r>
    </w:p>
    <w:p>
      <w:pPr>
        <w:sectPr>
          <w:pgSz w:w="11900" w:h="16838" w:orient="portrait"/>
          <w:cols w:equalWidth="0" w:num="1">
            <w:col w:w="11420"/>
          </w:cols>
          <w:pgMar w:left="240" w:top="132" w:right="239" w:bottom="0" w:gutter="0" w:footer="0" w:header="0"/>
        </w:sectPr>
      </w:pPr>
    </w:p>
    <w:bookmarkStart w:id="260" w:name="page261"/>
    <w:bookmarkEnd w:id="260"/>
    <w:p>
      <w:pPr>
        <w:spacing w:after="0" w:line="34"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information that may be disclosed being the “</w:t>
      </w:r>
      <w:r>
        <w:rPr>
          <w:rFonts w:ascii="Arial" w:cs="Arial" w:eastAsia="Arial" w:hAnsi="Arial"/>
          <w:sz w:val="19"/>
          <w:szCs w:val="19"/>
          <w:b w:val="1"/>
          <w:bCs w:val="1"/>
          <w:color w:val="auto"/>
        </w:rPr>
        <w:t>Tax Information</w:t>
      </w:r>
      <w:r>
        <w:rPr>
          <w:rFonts w:ascii="Arial" w:cs="Arial" w:eastAsia="Arial" w:hAnsi="Arial"/>
          <w:sz w:val="19"/>
          <w:szCs w:val="19"/>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w:t>
      </w:r>
      <w:r>
        <w:rPr>
          <w:rFonts w:ascii="MS PGothic" w:cs="MS PGothic" w:eastAsia="MS PGothic" w:hAnsi="MS PGothic"/>
          <w:sz w:val="19"/>
          <w:szCs w:val="19"/>
          <w:color w:val="auto"/>
        </w:rPr>
        <w:t>‑</w:t>
      </w:r>
      <w:r>
        <w:rPr>
          <w:rFonts w:ascii="Arial" w:cs="Arial" w:eastAsia="Arial" w:hAnsi="Arial"/>
          <w:sz w:val="19"/>
          <w:szCs w:val="19"/>
          <w:color w:val="auto"/>
        </w:rPr>
        <w:t>4(b)(3) and 301.6111</w:t>
      </w:r>
      <w:r>
        <w:rPr>
          <w:rFonts w:ascii="MS PGothic" w:cs="MS PGothic" w:eastAsia="MS PGothic" w:hAnsi="MS PGothic"/>
          <w:sz w:val="19"/>
          <w:szCs w:val="19"/>
          <w:color w:val="auto"/>
        </w:rPr>
        <w:t>‑</w:t>
      </w:r>
      <w:r>
        <w:rPr>
          <w:rFonts w:ascii="Arial" w:cs="Arial" w:eastAsia="Arial" w:hAnsi="Arial"/>
          <w:sz w:val="19"/>
          <w:szCs w:val="19"/>
          <w:color w:val="auto"/>
        </w:rPr>
        <w:t>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203" w:lineRule="exact"/>
        <w:rPr>
          <w:sz w:val="20"/>
          <w:szCs w:val="20"/>
          <w:color w:val="auto"/>
        </w:rPr>
      </w:pPr>
    </w:p>
    <w:p>
      <w:pPr>
        <w:jc w:val="both"/>
        <w:ind w:firstLine="1305"/>
        <w:spacing w:after="0" w:line="251" w:lineRule="auto"/>
        <w:tabs>
          <w:tab w:leader="none" w:pos="181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Except as otherwise permitted by this </w:t>
      </w:r>
      <w:r>
        <w:rPr>
          <w:rFonts w:ascii="Arial" w:cs="Arial" w:eastAsia="Arial" w:hAnsi="Arial"/>
          <w:sz w:val="22"/>
          <w:szCs w:val="22"/>
          <w:u w:val="single" w:color="auto"/>
          <w:color w:val="auto"/>
        </w:rPr>
        <w:t>Section 7.7</w:t>
      </w:r>
      <w:r>
        <w:rPr>
          <w:rFonts w:ascii="Arial" w:cs="Arial" w:eastAsia="Arial" w:hAnsi="Arial"/>
          <w:sz w:val="22"/>
          <w:szCs w:val="22"/>
          <w:color w:val="auto"/>
        </w:rPr>
        <w:t>,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without the prior written consent of such Member which consent shall not be unreasonably withheld.</w:t>
      </w:r>
    </w:p>
    <w:p>
      <w:pPr>
        <w:spacing w:after="0" w:line="189" w:lineRule="exact"/>
        <w:rPr>
          <w:rFonts w:ascii="Arial" w:cs="Arial" w:eastAsia="Arial" w:hAnsi="Arial"/>
          <w:sz w:val="22"/>
          <w:szCs w:val="22"/>
          <w:color w:val="auto"/>
        </w:rPr>
      </w:pPr>
    </w:p>
    <w:p>
      <w:pPr>
        <w:jc w:val="both"/>
        <w:ind w:firstLine="1305"/>
        <w:spacing w:after="0" w:line="291" w:lineRule="auto"/>
        <w:tabs>
          <w:tab w:leader="none" w:pos="175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154" w:lineRule="exact"/>
        <w:rPr>
          <w:rFonts w:ascii="Arial" w:cs="Arial" w:eastAsia="Arial" w:hAnsi="Arial"/>
          <w:sz w:val="19"/>
          <w:szCs w:val="19"/>
          <w:color w:val="auto"/>
        </w:rPr>
      </w:pPr>
    </w:p>
    <w:p>
      <w:pPr>
        <w:jc w:val="both"/>
        <w:ind w:firstLine="1305"/>
        <w:spacing w:after="0" w:line="294" w:lineRule="auto"/>
        <w:tabs>
          <w:tab w:leader="none" w:pos="174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4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7.8</w:t>
      </w:r>
      <w:r>
        <w:rPr>
          <w:sz w:val="20"/>
          <w:szCs w:val="20"/>
          <w:color w:val="auto"/>
        </w:rPr>
        <w:tab/>
      </w:r>
      <w:r>
        <w:rPr>
          <w:rFonts w:ascii="Arial" w:cs="Arial" w:eastAsia="Arial" w:hAnsi="Arial"/>
          <w:sz w:val="19"/>
          <w:szCs w:val="19"/>
          <w:b w:val="1"/>
          <w:bCs w:val="1"/>
          <w:u w:val="single" w:color="auto"/>
          <w:color w:val="auto"/>
        </w:rPr>
        <w:t>Company Property.</w:t>
      </w:r>
    </w:p>
    <w:p>
      <w:pPr>
        <w:spacing w:after="0" w:line="239"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All property owned by the Company, whether real or personal, tangible or intangible and wherever located, shall be deemed to be owned by the Company, and no Member, individually, shall have any ownership of such property.</w:t>
      </w:r>
    </w:p>
    <w:p>
      <w:pPr>
        <w:spacing w:after="0" w:line="14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ADMINISTRATIVE AND TAX MATTERS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u w:val="single" w:color="auto"/>
          <w:color w:val="auto"/>
        </w:rPr>
        <w:t>Intent for Income Tax Purposes.</w:t>
      </w:r>
    </w:p>
    <w:p>
      <w:pPr>
        <w:spacing w:after="0" w:line="23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8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b w:val="1"/>
          <w:bCs w:val="1"/>
          <w:u w:val="single" w:color="auto"/>
          <w:color w:val="auto"/>
        </w:rPr>
        <w:t>Books and Records; Bank Accounts; Company Procedures.</w:t>
      </w:r>
    </w:p>
    <w:p>
      <w:pPr>
        <w:spacing w:after="0" w:line="239" w:lineRule="exact"/>
        <w:rPr>
          <w:sz w:val="20"/>
          <w:szCs w:val="20"/>
          <w:color w:val="auto"/>
        </w:rPr>
      </w:pPr>
    </w:p>
    <w:p>
      <w:pPr>
        <w:jc w:val="both"/>
        <w:ind w:firstLine="1305"/>
        <w:spacing w:after="0" w:line="251" w:lineRule="auto"/>
        <w:tabs>
          <w:tab w:leader="none" w:pos="175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Company’s books of account shall be prepared and maintained in accordance with GAAP for the type of business of the Company. The Manager shall cause to be kept, at the principal place of business of the Company, full, proper, complete and accurate ledgers and other books of account and records of all receipts and disbursements and other financial activities of the Company in accordance with prudent business practices and as required by Law, including the following documents:</w:t>
      </w:r>
    </w:p>
    <w:p>
      <w:pPr>
        <w:spacing w:after="0" w:line="189" w:lineRule="exact"/>
        <w:rPr>
          <w:rFonts w:ascii="Arial" w:cs="Arial" w:eastAsia="Arial" w:hAnsi="Arial"/>
          <w:sz w:val="22"/>
          <w:szCs w:val="22"/>
          <w:color w:val="auto"/>
        </w:rPr>
      </w:pPr>
    </w:p>
    <w:p>
      <w:pPr>
        <w:ind w:left="660" w:right="20" w:firstLine="1293"/>
        <w:spacing w:after="0" w:line="276" w:lineRule="auto"/>
        <w:tabs>
          <w:tab w:leader="none" w:pos="2421"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 copy of the Delaware Certificate and all certificates of amendment thereto, together with executed copies of any powers of attorney pursuant to which any certificate has been executed;</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63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Copies of the Company’s and each Subject Company’s federal, state and local income tax or information returns and reports, if any, for the six (6) most recent Taxable Years or, if later, until the statute of limitations expires on any IRS, state, or local tax audit of such returns or reports of the Company and the Subject Companies;</w:t>
      </w:r>
    </w:p>
    <w:p>
      <w:pPr>
        <w:spacing w:after="0" w:line="125" w:lineRule="exact"/>
        <w:rPr>
          <w:rFonts w:ascii="Arial" w:cs="Arial" w:eastAsia="Arial" w:hAnsi="Arial"/>
          <w:sz w:val="19"/>
          <w:szCs w:val="19"/>
          <w:color w:val="auto"/>
        </w:rPr>
      </w:pPr>
    </w:p>
    <w:p>
      <w:pPr>
        <w:ind w:left="2460" w:hanging="507"/>
        <w:spacing w:after="0"/>
        <w:tabs>
          <w:tab w:leader="none" w:pos="246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Copies of this Agreement and all amendments thereto;</w:t>
      </w:r>
    </w:p>
    <w:p>
      <w:pPr>
        <w:sectPr>
          <w:pgSz w:w="11900" w:h="16872" w:orient="portrait"/>
          <w:cols w:equalWidth="0" w:num="1">
            <w:col w:w="11420"/>
          </w:cols>
          <w:pgMar w:left="240" w:top="125" w:right="239" w:bottom="0" w:gutter="0" w:footer="0" w:header="0"/>
        </w:sectPr>
      </w:pPr>
    </w:p>
    <w:bookmarkStart w:id="261" w:name="page262"/>
    <w:bookmarkEnd w:id="261"/>
    <w:p>
      <w:pPr>
        <w:spacing w:after="0" w:line="135" w:lineRule="exact"/>
        <w:rPr>
          <w:sz w:val="20"/>
          <w:szCs w:val="20"/>
          <w:color w:val="auto"/>
        </w:rPr>
      </w:pPr>
    </w:p>
    <w:p>
      <w:pPr>
        <w:ind w:left="2440" w:hanging="487"/>
        <w:spacing w:after="0"/>
        <w:tabs>
          <w:tab w:leader="none" w:pos="2440" w:val="left"/>
        </w:tabs>
        <w:numPr>
          <w:ilvl w:val="2"/>
          <w:numId w:val="163"/>
        </w:numPr>
        <w:rPr>
          <w:rFonts w:ascii="Arial" w:cs="Arial" w:eastAsia="Arial" w:hAnsi="Arial"/>
          <w:sz w:val="22"/>
          <w:szCs w:val="22"/>
          <w:color w:val="auto"/>
        </w:rPr>
      </w:pPr>
      <w:r>
        <w:rPr>
          <w:rFonts w:ascii="Arial" w:cs="Arial" w:eastAsia="Arial" w:hAnsi="Arial"/>
          <w:sz w:val="22"/>
          <w:szCs w:val="22"/>
          <w:color w:val="auto"/>
        </w:rPr>
        <w:t>Copies of the formation documents and operating agreement of each Subject Company;</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402" w:val="left"/>
        </w:tabs>
        <w:numPr>
          <w:ilvl w:val="2"/>
          <w:numId w:val="163"/>
        </w:numPr>
        <w:rPr>
          <w:rFonts w:ascii="Arial" w:cs="Arial" w:eastAsia="Arial" w:hAnsi="Arial"/>
          <w:sz w:val="22"/>
          <w:szCs w:val="22"/>
          <w:color w:val="auto"/>
        </w:rPr>
      </w:pPr>
      <w:r>
        <w:rPr>
          <w:rFonts w:ascii="Arial" w:cs="Arial" w:eastAsia="Arial" w:hAnsi="Arial"/>
          <w:sz w:val="22"/>
          <w:szCs w:val="22"/>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77" w:lineRule="exact"/>
        <w:rPr>
          <w:rFonts w:ascii="Arial" w:cs="Arial" w:eastAsia="Arial" w:hAnsi="Arial"/>
          <w:sz w:val="22"/>
          <w:szCs w:val="22"/>
          <w:color w:val="auto"/>
        </w:rPr>
      </w:pPr>
    </w:p>
    <w:p>
      <w:pPr>
        <w:ind w:left="2480" w:hanging="527"/>
        <w:spacing w:after="0"/>
        <w:tabs>
          <w:tab w:leader="none" w:pos="2480" w:val="left"/>
        </w:tabs>
        <w:numPr>
          <w:ilvl w:val="2"/>
          <w:numId w:val="163"/>
        </w:numPr>
        <w:rPr>
          <w:rFonts w:ascii="Arial" w:cs="Arial" w:eastAsia="Arial" w:hAnsi="Arial"/>
          <w:sz w:val="19"/>
          <w:szCs w:val="19"/>
          <w:color w:val="auto"/>
        </w:rPr>
      </w:pPr>
      <w:r>
        <w:rPr>
          <w:rFonts w:ascii="Arial" w:cs="Arial" w:eastAsia="Arial" w:hAnsi="Arial"/>
          <w:sz w:val="19"/>
          <w:szCs w:val="19"/>
          <w:color w:val="auto"/>
        </w:rPr>
        <w:t>The Company’s books and records for at least the current and, to the extent applicable, the past three</w:t>
      </w:r>
    </w:p>
    <w:p>
      <w:pPr>
        <w:spacing w:after="0" w:line="56" w:lineRule="exact"/>
        <w:rPr>
          <w:rFonts w:ascii="Arial" w:cs="Arial" w:eastAsia="Arial" w:hAnsi="Arial"/>
          <w:sz w:val="19"/>
          <w:szCs w:val="19"/>
          <w:color w:val="auto"/>
        </w:rPr>
      </w:pPr>
    </w:p>
    <w:p>
      <w:pPr>
        <w:ind w:left="960" w:hanging="304"/>
        <w:spacing w:after="0"/>
        <w:tabs>
          <w:tab w:leader="none" w:pos="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Fiscal Years;</w:t>
      </w:r>
    </w:p>
    <w:p>
      <w:pPr>
        <w:spacing w:after="0" w:line="215" w:lineRule="exact"/>
        <w:rPr>
          <w:rFonts w:ascii="Arial" w:cs="Arial" w:eastAsia="Arial" w:hAnsi="Arial"/>
          <w:sz w:val="22"/>
          <w:szCs w:val="22"/>
          <w:color w:val="auto"/>
        </w:rPr>
      </w:pPr>
    </w:p>
    <w:p>
      <w:pPr>
        <w:ind w:left="2500" w:hanging="547"/>
        <w:spacing w:after="0"/>
        <w:tabs>
          <w:tab w:leader="none" w:pos="250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the Register;</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minutes of meetings of the Members; and</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copies of all Project Documents.</w:t>
      </w:r>
    </w:p>
    <w:p>
      <w:pPr>
        <w:spacing w:after="0" w:line="233" w:lineRule="exact"/>
        <w:rPr>
          <w:rFonts w:ascii="Arial" w:cs="Arial" w:eastAsia="Arial" w:hAnsi="Arial"/>
          <w:sz w:val="22"/>
          <w:szCs w:val="22"/>
          <w:color w:val="auto"/>
        </w:rPr>
      </w:pPr>
    </w:p>
    <w:p>
      <w:pPr>
        <w:ind w:right="20" w:firstLine="1305"/>
        <w:spacing w:after="0" w:line="276" w:lineRule="auto"/>
        <w:tabs>
          <w:tab w:leader="none" w:pos="175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books of account of the Company shall be (i) maintained on the basis of a Fiscal Year and (ii) maintained on an accrual basis in accordance with GAAP.</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57" w:val="left"/>
        </w:tabs>
        <w:numPr>
          <w:ilvl w:val="1"/>
          <w:numId w:val="164"/>
        </w:numPr>
        <w:rPr>
          <w:rFonts w:ascii="Arial" w:cs="Arial" w:eastAsia="Arial" w:hAnsi="Arial"/>
          <w:sz w:val="22"/>
          <w:szCs w:val="22"/>
          <w:color w:val="auto"/>
        </w:rPr>
      </w:pPr>
      <w:r>
        <w:rPr>
          <w:rFonts w:ascii="Arial" w:cs="Arial" w:eastAsia="Arial" w:hAnsi="Arial"/>
          <w:sz w:val="22"/>
          <w:szCs w:val="22"/>
          <w:color w:val="auto"/>
        </w:rPr>
        <w:t>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77" w:lineRule="exact"/>
        <w:rPr>
          <w:rFonts w:ascii="Arial" w:cs="Arial" w:eastAsia="Arial" w:hAnsi="Arial"/>
          <w:sz w:val="22"/>
          <w:szCs w:val="22"/>
          <w:color w:val="auto"/>
        </w:rPr>
      </w:pPr>
    </w:p>
    <w:p>
      <w:pPr>
        <w:ind w:firstLine="1305"/>
        <w:spacing w:after="0" w:line="276" w:lineRule="auto"/>
        <w:tabs>
          <w:tab w:leader="none" w:pos="1783"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Manager shall cause the Company to maintain its existence separate and distinct from any other Person, including causing the Company to take the following actions:</w:t>
      </w:r>
    </w:p>
    <w:p>
      <w:pPr>
        <w:spacing w:after="0" w:line="160" w:lineRule="exact"/>
        <w:rPr>
          <w:rFonts w:ascii="Arial" w:cs="Arial" w:eastAsia="Arial" w:hAnsi="Arial"/>
          <w:sz w:val="22"/>
          <w:szCs w:val="22"/>
          <w:color w:val="auto"/>
        </w:rPr>
      </w:pPr>
    </w:p>
    <w:p>
      <w:pPr>
        <w:jc w:val="both"/>
        <w:ind w:left="660" w:firstLine="1293"/>
        <w:spacing w:after="0" w:line="300" w:lineRule="auto"/>
        <w:tabs>
          <w:tab w:leader="none" w:pos="2421" w:val="left"/>
        </w:tabs>
        <w:numPr>
          <w:ilvl w:val="2"/>
          <w:numId w:val="165"/>
        </w:numPr>
        <w:rPr>
          <w:rFonts w:ascii="Arial" w:cs="Arial" w:eastAsia="Arial" w:hAnsi="Arial"/>
          <w:sz w:val="19"/>
          <w:szCs w:val="19"/>
          <w:color w:val="auto"/>
        </w:rPr>
      </w:pPr>
      <w:r>
        <w:rPr>
          <w:rFonts w:ascii="Arial" w:cs="Arial" w:eastAsia="Arial" w:hAnsi="Arial"/>
          <w:sz w:val="19"/>
          <w:szCs w:val="19"/>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 agreement and permit and effectuate the transactions contemplated in its applicable operating agreement;</w:t>
      </w:r>
    </w:p>
    <w:p>
      <w:pPr>
        <w:spacing w:after="0" w:line="147" w:lineRule="exact"/>
        <w:rPr>
          <w:rFonts w:ascii="Arial" w:cs="Arial" w:eastAsia="Arial" w:hAnsi="Arial"/>
          <w:sz w:val="19"/>
          <w:szCs w:val="19"/>
          <w:color w:val="auto"/>
        </w:rPr>
      </w:pPr>
    </w:p>
    <w:p>
      <w:pPr>
        <w:ind w:left="660" w:firstLine="1293"/>
        <w:spacing w:after="0" w:line="276" w:lineRule="auto"/>
        <w:tabs>
          <w:tab w:leader="none" w:pos="2441" w:val="left"/>
        </w:tabs>
        <w:numPr>
          <w:ilvl w:val="2"/>
          <w:numId w:val="165"/>
        </w:numPr>
        <w:rPr>
          <w:rFonts w:ascii="Arial" w:cs="Arial" w:eastAsia="Arial" w:hAnsi="Arial"/>
          <w:sz w:val="22"/>
          <w:szCs w:val="22"/>
          <w:color w:val="auto"/>
        </w:rPr>
      </w:pPr>
      <w:r>
        <w:rPr>
          <w:rFonts w:ascii="Arial" w:cs="Arial" w:eastAsia="Arial" w:hAnsi="Arial"/>
          <w:sz w:val="22"/>
          <w:szCs w:val="22"/>
          <w:color w:val="auto"/>
        </w:rPr>
        <w:t>conducting its affairs separately from those of the Manager and its Affiliates and maintaining accurate and separate books and records;</w:t>
      </w:r>
    </w:p>
    <w:p>
      <w:pPr>
        <w:spacing w:after="0" w:line="160" w:lineRule="exact"/>
        <w:rPr>
          <w:rFonts w:ascii="Arial" w:cs="Arial" w:eastAsia="Arial" w:hAnsi="Arial"/>
          <w:sz w:val="22"/>
          <w:szCs w:val="22"/>
          <w:color w:val="auto"/>
        </w:rPr>
      </w:pPr>
    </w:p>
    <w:p>
      <w:pPr>
        <w:ind w:left="660" w:firstLine="1293"/>
        <w:spacing w:after="0" w:line="276" w:lineRule="auto"/>
        <w:tabs>
          <w:tab w:leader="none" w:pos="2474" w:val="left"/>
        </w:tabs>
        <w:numPr>
          <w:ilvl w:val="2"/>
          <w:numId w:val="165"/>
        </w:numPr>
        <w:rPr>
          <w:rFonts w:ascii="Arial" w:cs="Arial" w:eastAsia="Arial" w:hAnsi="Arial"/>
          <w:sz w:val="22"/>
          <w:szCs w:val="22"/>
          <w:color w:val="auto"/>
        </w:rPr>
      </w:pPr>
      <w:r>
        <w:rPr>
          <w:rFonts w:ascii="Arial" w:cs="Arial" w:eastAsia="Arial" w:hAnsi="Arial"/>
          <w:sz w:val="22"/>
          <w:szCs w:val="22"/>
          <w:color w:val="auto"/>
        </w:rPr>
        <w:t>acting solely in its own limited liability company name and not that of any other Person, including the Manager and its Affiliates;</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2"/>
          <w:numId w:val="165"/>
        </w:numPr>
        <w:rPr>
          <w:rFonts w:ascii="Arial" w:cs="Arial" w:eastAsia="Arial" w:hAnsi="Arial"/>
          <w:sz w:val="19"/>
          <w:szCs w:val="19"/>
          <w:color w:val="auto"/>
        </w:rPr>
      </w:pPr>
      <w:r>
        <w:rPr>
          <w:rFonts w:ascii="Arial" w:cs="Arial" w:eastAsia="Arial" w:hAnsi="Arial"/>
          <w:sz w:val="19"/>
          <w:szCs w:val="19"/>
          <w:color w:val="auto"/>
        </w:rPr>
        <w:t>not holding itself out as having agreed to pay, or as being liable for, the obligations of any other Person;</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not commingling its Assets with those of any other Person;</w:t>
      </w:r>
    </w:p>
    <w:p>
      <w:pPr>
        <w:spacing w:after="0" w:line="233" w:lineRule="exact"/>
        <w:rPr>
          <w:rFonts w:ascii="Arial" w:cs="Arial" w:eastAsia="Arial" w:hAnsi="Arial"/>
          <w:sz w:val="22"/>
          <w:szCs w:val="22"/>
          <w:color w:val="auto"/>
        </w:rPr>
      </w:pPr>
    </w:p>
    <w:p>
      <w:pPr>
        <w:ind w:left="2600" w:hanging="647"/>
        <w:spacing w:after="0"/>
        <w:tabs>
          <w:tab w:leader="none" w:pos="2600" w:val="left"/>
        </w:tabs>
        <w:numPr>
          <w:ilvl w:val="2"/>
          <w:numId w:val="165"/>
        </w:numPr>
        <w:rPr>
          <w:rFonts w:ascii="Arial" w:cs="Arial" w:eastAsia="Arial" w:hAnsi="Arial"/>
          <w:sz w:val="21"/>
          <w:szCs w:val="21"/>
          <w:color w:val="auto"/>
        </w:rPr>
      </w:pPr>
      <w:r>
        <w:rPr>
          <w:rFonts w:ascii="Arial" w:cs="Arial" w:eastAsia="Arial" w:hAnsi="Arial"/>
          <w:sz w:val="21"/>
          <w:szCs w:val="21"/>
          <w:color w:val="auto"/>
        </w:rPr>
        <w:t>observing all limited liability company formalities required in this Agreement and the Delaware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Certificate;</w:t>
      </w:r>
    </w:p>
    <w:p>
      <w:pPr>
        <w:spacing w:after="0" w:line="215" w:lineRule="exact"/>
        <w:rPr>
          <w:rFonts w:ascii="Arial" w:cs="Arial" w:eastAsia="Arial" w:hAnsi="Arial"/>
          <w:sz w:val="21"/>
          <w:szCs w:val="21"/>
          <w:color w:val="auto"/>
        </w:rPr>
      </w:pPr>
    </w:p>
    <w:p>
      <w:pPr>
        <w:ind w:left="2500" w:hanging="547"/>
        <w:spacing w:after="0"/>
        <w:tabs>
          <w:tab w:leader="none" w:pos="250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paying the salaries of its own employees, if any;</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not acquiring obligations of its Members, the Manager or their respective Affiliates;</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holding itself out as a separate entity;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correcting any known misunderstanding regarding its separate identity.</w:t>
      </w:r>
    </w:p>
    <w:p>
      <w:pPr>
        <w:spacing w:after="0" w:line="22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u w:val="single" w:color="auto"/>
          <w:color w:val="auto"/>
        </w:rPr>
        <w:t>Information and Access Rights.</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The Members and their respective agents also will have the right, at their sole risk and expense and upon reasonable prior notice to the Manager, to inspect the Projects, and the Company’s Assets no more than twice per Taxable Year and to audit, examine and make copies of all relevant documents, books and records of the Company.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Projects shall be subject to all restrictions and conditions included in the operating agreement of the applicable Subject Company.</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u w:val="single" w:color="auto"/>
          <w:color w:val="auto"/>
        </w:rPr>
        <w:t>Reports.</w:t>
      </w:r>
    </w:p>
    <w:p>
      <w:pPr>
        <w:spacing w:after="0" w:line="239"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The Manager shall, at the Company’s expense, deliver, or caused to be delivered, to each Member, the following reports, information and consolidated financial statements for the Company and its consolidated subsidiaries, at the times indicated</w:t>
      </w:r>
    </w:p>
    <w:p>
      <w:pPr>
        <w:sectPr>
          <w:pgSz w:w="11900" w:h="16974" w:orient="portrait"/>
          <w:cols w:equalWidth="0" w:num="1">
            <w:col w:w="11420"/>
          </w:cols>
          <w:pgMar w:left="240" w:top="334" w:right="239" w:bottom="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below:</w:t>
      </w:r>
    </w:p>
    <w:p>
      <w:pPr>
        <w:spacing w:after="0" w:line="220" w:lineRule="exact"/>
        <w:rPr>
          <w:sz w:val="20"/>
          <w:szCs w:val="20"/>
          <w:color w:val="auto"/>
        </w:rPr>
      </w:pPr>
    </w:p>
    <w:p>
      <w:pPr>
        <w:jc w:val="both"/>
        <w:ind w:firstLine="1305"/>
        <w:spacing w:after="0" w:line="251" w:lineRule="auto"/>
        <w:tabs>
          <w:tab w:leader="none" w:pos="178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Annually, within one hundred twenty (120) days after the end of each Fiscal Year (and, for the avoidance of doubt, the first such Fiscal Year for which financial statements shall be delivered shall be the Fiscal Year ending December 31, 2017),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89" w:lineRule="exact"/>
        <w:rPr>
          <w:rFonts w:ascii="Arial" w:cs="Arial" w:eastAsia="Arial" w:hAnsi="Arial"/>
          <w:sz w:val="22"/>
          <w:szCs w:val="22"/>
          <w:color w:val="auto"/>
        </w:rPr>
      </w:pPr>
    </w:p>
    <w:p>
      <w:pPr>
        <w:ind w:left="1740" w:hanging="435"/>
        <w:spacing w:after="0"/>
        <w:tabs>
          <w:tab w:leader="none" w:pos="17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The Aggregate Tracking Model prepared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00" w:lineRule="auto"/>
        <w:tabs>
          <w:tab w:leader="none" w:pos="183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Quarterly within sixty (60)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77" w:lineRule="exact"/>
        <w:rPr>
          <w:rFonts w:ascii="Arial" w:cs="Arial" w:eastAsia="Arial" w:hAnsi="Arial"/>
          <w:sz w:val="22"/>
          <w:szCs w:val="22"/>
          <w:color w:val="auto"/>
        </w:rPr>
      </w:pPr>
    </w:p>
    <w:p>
      <w:pPr>
        <w:ind w:firstLine="1305"/>
        <w:spacing w:after="0" w:line="276" w:lineRule="auto"/>
        <w:tabs>
          <w:tab w:leader="none" w:pos="183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Copies of all material reports or (without duplication of any other provisions of this </w:t>
      </w:r>
      <w:r>
        <w:rPr>
          <w:rFonts w:ascii="Arial" w:cs="Arial" w:eastAsia="Arial" w:hAnsi="Arial"/>
          <w:sz w:val="22"/>
          <w:szCs w:val="22"/>
          <w:u w:val="single" w:color="auto"/>
          <w:color w:val="auto"/>
        </w:rPr>
        <w:t>Section 8.4</w:t>
      </w:r>
      <w:r>
        <w:rPr>
          <w:rFonts w:ascii="Arial" w:cs="Arial" w:eastAsia="Arial" w:hAnsi="Arial"/>
          <w:sz w:val="22"/>
          <w:szCs w:val="22"/>
          <w:color w:val="auto"/>
        </w:rPr>
        <w:t>) material notices delivered to or by the Company or any Subject Company under any Project Document;</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99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Within thirty (30) days after renewal, certificates of insurance evidencing fire, liabilities, workers’ compensation and other forms of insurance owned or held by or on behalf of the Company or the Subject Companies, and promptly following receipt, any notices of nonpayment of premium, nonrenewal or cancellation; and</w:t>
      </w:r>
    </w:p>
    <w:p>
      <w:pPr>
        <w:spacing w:after="0" w:line="177" w:lineRule="exact"/>
        <w:rPr>
          <w:rFonts w:ascii="Arial" w:cs="Arial" w:eastAsia="Arial" w:hAnsi="Arial"/>
          <w:sz w:val="22"/>
          <w:szCs w:val="22"/>
          <w:color w:val="auto"/>
        </w:rPr>
      </w:pPr>
    </w:p>
    <w:p>
      <w:pPr>
        <w:jc w:val="both"/>
        <w:ind w:firstLine="1305"/>
        <w:spacing w:after="0" w:line="266" w:lineRule="auto"/>
        <w:tabs>
          <w:tab w:leader="none" w:pos="179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Promptly after execution thereof, a copy of: (i) any amendment, modification, waiver or termination of any Fund Document, (ii) any new, or substitution or replacement of a Fund Document; (iii) any new Contract between the Company or any Subject Company and an Affiliate thereof and any amendment or modification of any existing Contract between the Company or any Subject Company and an Affiliate thereof; and (iv) any new Contract having a term in excess of one year, or providing for payments by, or revenues to, the Company or any Subject Company in excess of $2,000,000.</w:t>
      </w:r>
    </w:p>
    <w:p>
      <w:pPr>
        <w:spacing w:after="0" w:line="168"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b w:val="1"/>
          <w:bCs w:val="1"/>
          <w:u w:val="single" w:color="auto"/>
          <w:color w:val="auto"/>
        </w:rPr>
        <w:t>Permitted Investments.</w:t>
      </w:r>
    </w:p>
    <w:p>
      <w:pPr>
        <w:spacing w:after="0" w:line="239" w:lineRule="exact"/>
        <w:rPr>
          <w:sz w:val="20"/>
          <w:szCs w:val="20"/>
          <w:color w:val="auto"/>
        </w:rPr>
      </w:pPr>
    </w:p>
    <w:p>
      <w:pPr>
        <w:ind w:firstLine="1305"/>
        <w:spacing w:after="0" w:line="276" w:lineRule="auto"/>
        <w:tabs>
          <w:tab w:leader="none" w:pos="1757" w:val="left"/>
        </w:tabs>
        <w:numPr>
          <w:ilvl w:val="1"/>
          <w:numId w:val="167"/>
        </w:numPr>
        <w:rPr>
          <w:rFonts w:ascii="Arial" w:cs="Arial" w:eastAsia="Arial" w:hAnsi="Arial"/>
          <w:sz w:val="22"/>
          <w:szCs w:val="22"/>
          <w:color w:val="auto"/>
        </w:rPr>
      </w:pPr>
      <w:r>
        <w:rPr>
          <w:rFonts w:ascii="Arial" w:cs="Arial" w:eastAsia="Arial" w:hAnsi="Arial"/>
          <w:sz w:val="22"/>
          <w:szCs w:val="22"/>
          <w:color w:val="auto"/>
        </w:rPr>
        <w:t>All cash of the Company may only be invested and reinvested in one of the following investment alternatives (“</w:t>
      </w:r>
      <w:r>
        <w:rPr>
          <w:rFonts w:ascii="Arial" w:cs="Arial" w:eastAsia="Arial" w:hAnsi="Arial"/>
          <w:sz w:val="22"/>
          <w:szCs w:val="22"/>
          <w:b w:val="1"/>
          <w:bCs w:val="1"/>
          <w:color w:val="auto"/>
        </w:rPr>
        <w:t>Permitted Investments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1293"/>
        <w:spacing w:after="0" w:line="278" w:lineRule="auto"/>
        <w:tabs>
          <w:tab w:leader="none" w:pos="2394" w:val="left"/>
        </w:tabs>
        <w:numPr>
          <w:ilvl w:val="2"/>
          <w:numId w:val="167"/>
        </w:numPr>
        <w:rPr>
          <w:rFonts w:ascii="Arial" w:cs="Arial" w:eastAsia="Arial" w:hAnsi="Arial"/>
          <w:sz w:val="21"/>
          <w:szCs w:val="21"/>
          <w:color w:val="auto"/>
        </w:rPr>
      </w:pPr>
      <w:r>
        <w:rPr>
          <w:rFonts w:ascii="Arial" w:cs="Arial" w:eastAsia="Arial" w:hAnsi="Arial"/>
          <w:sz w:val="21"/>
          <w:szCs w:val="21"/>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60" w:lineRule="exact"/>
        <w:rPr>
          <w:rFonts w:ascii="Arial" w:cs="Arial" w:eastAsia="Arial" w:hAnsi="Arial"/>
          <w:sz w:val="21"/>
          <w:szCs w:val="21"/>
          <w:color w:val="auto"/>
        </w:rPr>
      </w:pPr>
    </w:p>
    <w:p>
      <w:pPr>
        <w:jc w:val="both"/>
        <w:ind w:left="660" w:firstLine="1293"/>
        <w:spacing w:after="0" w:line="260" w:lineRule="auto"/>
        <w:tabs>
          <w:tab w:leader="none" w:pos="2482" w:val="left"/>
        </w:tabs>
        <w:numPr>
          <w:ilvl w:val="2"/>
          <w:numId w:val="167"/>
        </w:numPr>
        <w:rPr>
          <w:rFonts w:ascii="Arial" w:cs="Arial" w:eastAsia="Arial" w:hAnsi="Arial"/>
          <w:sz w:val="22"/>
          <w:szCs w:val="22"/>
          <w:color w:val="auto"/>
        </w:rPr>
      </w:pPr>
      <w:r>
        <w:rPr>
          <w:rFonts w:ascii="Arial" w:cs="Arial" w:eastAsia="Arial" w:hAnsi="Arial"/>
          <w:sz w:val="22"/>
          <w:szCs w:val="22"/>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77" w:lineRule="exact"/>
        <w:rPr>
          <w:rFonts w:ascii="Arial" w:cs="Arial" w:eastAsia="Arial" w:hAnsi="Arial"/>
          <w:sz w:val="22"/>
          <w:szCs w:val="22"/>
          <w:color w:val="auto"/>
        </w:rPr>
      </w:pPr>
    </w:p>
    <w:p>
      <w:pPr>
        <w:jc w:val="both"/>
        <w:ind w:left="660" w:firstLine="1293"/>
        <w:spacing w:after="0" w:line="251" w:lineRule="auto"/>
        <w:tabs>
          <w:tab w:leader="none" w:pos="2501" w:val="left"/>
        </w:tabs>
        <w:numPr>
          <w:ilvl w:val="2"/>
          <w:numId w:val="167"/>
        </w:numPr>
        <w:rPr>
          <w:rFonts w:ascii="Arial" w:cs="Arial" w:eastAsia="Arial" w:hAnsi="Arial"/>
          <w:sz w:val="22"/>
          <w:szCs w:val="22"/>
          <w:color w:val="auto"/>
        </w:rPr>
      </w:pPr>
      <w:r>
        <w:rPr>
          <w:rFonts w:ascii="Arial" w:cs="Arial" w:eastAsia="Arial" w:hAnsi="Arial"/>
          <w:sz w:val="22"/>
          <w:szCs w:val="22"/>
          <w:color w:val="auto"/>
        </w:rPr>
        <w:t xml:space="preserve">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8.5(a)</w:t>
      </w:r>
      <w:r>
        <w:rPr>
          <w:rFonts w:ascii="Arial" w:cs="Arial" w:eastAsia="Arial" w:hAnsi="Arial"/>
          <w:sz w:val="22"/>
          <w:szCs w:val="22"/>
          <w:color w:val="auto"/>
        </w:rPr>
        <w:t>, of a market value of no less than the amount of moneys so invested;</w:t>
      </w:r>
    </w:p>
    <w:p>
      <w:pPr>
        <w:spacing w:after="0" w:line="189" w:lineRule="exact"/>
        <w:rPr>
          <w:rFonts w:ascii="Arial" w:cs="Arial" w:eastAsia="Arial" w:hAnsi="Arial"/>
          <w:sz w:val="22"/>
          <w:szCs w:val="22"/>
          <w:color w:val="auto"/>
        </w:rPr>
      </w:pPr>
    </w:p>
    <w:p>
      <w:pPr>
        <w:ind w:left="660" w:firstLine="1293"/>
        <w:spacing w:after="0" w:line="276" w:lineRule="auto"/>
        <w:tabs>
          <w:tab w:leader="none" w:pos="2489" w:val="left"/>
        </w:tabs>
        <w:numPr>
          <w:ilvl w:val="2"/>
          <w:numId w:val="167"/>
        </w:numPr>
        <w:rPr>
          <w:rFonts w:ascii="Arial" w:cs="Arial" w:eastAsia="Arial" w:hAnsi="Arial"/>
          <w:sz w:val="22"/>
          <w:szCs w:val="22"/>
          <w:color w:val="auto"/>
        </w:rPr>
      </w:pPr>
      <w:r>
        <w:rPr>
          <w:rFonts w:ascii="Arial" w:cs="Arial" w:eastAsia="Arial" w:hAnsi="Arial"/>
          <w:sz w:val="22"/>
          <w:szCs w:val="22"/>
          <w:color w:val="auto"/>
        </w:rPr>
        <w:t>Obligations of any state of the United States or any agency or instrumentality of any of the foregoing which are rated at least “AA” by S&amp;P or at least “Aa” by Moody’s;</w:t>
      </w:r>
    </w:p>
    <w:p>
      <w:pPr>
        <w:spacing w:after="0" w:line="160" w:lineRule="exact"/>
        <w:rPr>
          <w:rFonts w:ascii="Arial" w:cs="Arial" w:eastAsia="Arial" w:hAnsi="Arial"/>
          <w:sz w:val="22"/>
          <w:szCs w:val="22"/>
          <w:color w:val="auto"/>
        </w:rPr>
      </w:pPr>
    </w:p>
    <w:p>
      <w:pPr>
        <w:jc w:val="both"/>
        <w:ind w:left="660" w:firstLine="1293"/>
        <w:spacing w:after="0" w:line="293" w:lineRule="auto"/>
        <w:tabs>
          <w:tab w:leader="none" w:pos="2470" w:val="left"/>
        </w:tabs>
        <w:numPr>
          <w:ilvl w:val="2"/>
          <w:numId w:val="167"/>
        </w:numPr>
        <w:rPr>
          <w:rFonts w:ascii="Arial" w:cs="Arial" w:eastAsia="Arial" w:hAnsi="Arial"/>
          <w:sz w:val="19"/>
          <w:szCs w:val="19"/>
          <w:color w:val="auto"/>
        </w:rPr>
      </w:pPr>
      <w:r>
        <w:rPr>
          <w:rFonts w:ascii="Arial" w:cs="Arial" w:eastAsia="Arial" w:hAnsi="Arial"/>
          <w:sz w:val="19"/>
          <w:szCs w:val="19"/>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w:t>
      </w:r>
    </w:p>
    <w:p>
      <w:pPr>
        <w:spacing w:after="0" w:line="1" w:lineRule="exact"/>
        <w:rPr>
          <w:rFonts w:ascii="Arial" w:cs="Arial" w:eastAsia="Arial" w:hAnsi="Arial"/>
          <w:sz w:val="19"/>
          <w:szCs w:val="19"/>
          <w:color w:val="auto"/>
        </w:rPr>
      </w:pPr>
    </w:p>
    <w:p>
      <w:pPr>
        <w:ind w:left="660" w:right="20" w:hanging="4"/>
        <w:spacing w:after="0" w:line="246" w:lineRule="auto"/>
        <w:tabs>
          <w:tab w:leader="none" w:pos="107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days from the date of creation thereof but excluding any such commercial paper issued by any Member or any Affiliate of the Manager;</w:t>
      </w:r>
    </w:p>
    <w:p>
      <w:pPr>
        <w:spacing w:after="0" w:line="192" w:lineRule="exact"/>
        <w:rPr>
          <w:rFonts w:ascii="Arial" w:cs="Arial" w:eastAsia="Arial" w:hAnsi="Arial"/>
          <w:sz w:val="22"/>
          <w:szCs w:val="22"/>
          <w:color w:val="auto"/>
        </w:rPr>
      </w:pPr>
    </w:p>
    <w:p>
      <w:pPr>
        <w:jc w:val="both"/>
        <w:ind w:left="660" w:firstLine="1293"/>
        <w:spacing w:after="0" w:line="307" w:lineRule="auto"/>
        <w:tabs>
          <w:tab w:leader="none" w:pos="2516" w:val="left"/>
        </w:tabs>
        <w:numPr>
          <w:ilvl w:val="2"/>
          <w:numId w:val="168"/>
        </w:numPr>
        <w:rPr>
          <w:rFonts w:ascii="Arial" w:cs="Arial" w:eastAsia="Arial" w:hAnsi="Arial"/>
          <w:sz w:val="19"/>
          <w:szCs w:val="19"/>
          <w:color w:val="auto"/>
        </w:rPr>
      </w:pPr>
      <w:r>
        <w:rPr>
          <w:rFonts w:ascii="Arial" w:cs="Arial" w:eastAsia="Arial" w:hAnsi="Arial"/>
          <w:sz w:val="19"/>
          <w:szCs w:val="19"/>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$500,000,000 and at no point in</w:t>
      </w:r>
    </w:p>
    <w:p>
      <w:pPr>
        <w:sectPr>
          <w:pgSz w:w="11900" w:h="16838" w:orient="portrait"/>
          <w:cols w:equalWidth="0" w:num="1">
            <w:col w:w="11420"/>
          </w:cols>
          <w:pgMar w:left="240" w:top="132" w:right="239" w:bottom="0" w:gutter="0" w:footer="0" w:header="0"/>
        </w:sectPr>
      </w:pPr>
    </w:p>
    <w:bookmarkStart w:id="263" w:name="page264"/>
    <w:bookmarkEnd w:id="263"/>
    <w:p>
      <w:pPr>
        <w:ind w:left="660"/>
        <w:spacing w:after="0" w:line="263" w:lineRule="auto"/>
        <w:rPr>
          <w:sz w:val="20"/>
          <w:szCs w:val="20"/>
          <w:color w:val="auto"/>
        </w:rPr>
      </w:pPr>
      <w:r>
        <w:rPr>
          <w:rFonts w:ascii="Arial" w:cs="Arial" w:eastAsia="Arial" w:hAnsi="Arial"/>
          <w:sz w:val="22"/>
          <w:szCs w:val="22"/>
          <w:color w:val="auto"/>
        </w:rPr>
        <w:t xml:space="preserve">time will aggregate investments under this </w:t>
      </w:r>
      <w:r>
        <w:rPr>
          <w:rFonts w:ascii="Arial" w:cs="Arial" w:eastAsia="Arial" w:hAnsi="Arial"/>
          <w:sz w:val="22"/>
          <w:szCs w:val="22"/>
          <w:u w:val="single" w:color="auto"/>
          <w:color w:val="auto"/>
        </w:rPr>
        <w:t>Section 8.5(a)(vi)</w:t>
      </w:r>
      <w:r>
        <w:rPr>
          <w:rFonts w:ascii="Arial" w:cs="Arial" w:eastAsia="Arial" w:hAnsi="Arial"/>
          <w:sz w:val="22"/>
          <w:szCs w:val="22"/>
          <w:color w:val="auto"/>
        </w:rPr>
        <w:t xml:space="preserve"> constitute more than five percent (5%) of any such fund’s capital; or</w:t>
      </w:r>
    </w:p>
    <w:p>
      <w:pPr>
        <w:spacing w:after="0" w:line="175"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Any other investments agreed to by the Members and the Manager.</w:t>
      </w:r>
    </w:p>
    <w:p>
      <w:pPr>
        <w:spacing w:after="0" w:line="22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u w:val="single" w:color="auto"/>
          <w:color w:val="auto"/>
        </w:rPr>
        <w:t>Tax Elections.</w:t>
      </w:r>
    </w:p>
    <w:p>
      <w:pPr>
        <w:spacing w:after="0" w:line="239" w:lineRule="exact"/>
        <w:rPr>
          <w:sz w:val="20"/>
          <w:szCs w:val="20"/>
          <w:color w:val="auto"/>
        </w:rPr>
      </w:pPr>
    </w:p>
    <w:p>
      <w:pPr>
        <w:ind w:left="1720" w:hanging="415"/>
        <w:spacing w:after="0"/>
        <w:tabs>
          <w:tab w:leader="none" w:pos="17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Manager shall make the following federal income tax elections on the appropriate Company tax returns:</w:t>
      </w:r>
    </w:p>
    <w:p>
      <w:pPr>
        <w:spacing w:after="0" w:line="267" w:lineRule="exact"/>
        <w:rPr>
          <w:rFonts w:ascii="Arial" w:cs="Arial" w:eastAsia="Arial" w:hAnsi="Arial"/>
          <w:sz w:val="19"/>
          <w:szCs w:val="19"/>
          <w:color w:val="auto"/>
        </w:rPr>
      </w:pPr>
    </w:p>
    <w:p>
      <w:pPr>
        <w:ind w:left="2400" w:hanging="447"/>
        <w:spacing w:after="0"/>
        <w:tabs>
          <w:tab w:leader="none" w:pos="240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To the extent permitted under Code Section 706, to elect the calendar year as the Company’s Taxable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Year;</w:t>
      </w:r>
    </w:p>
    <w:p>
      <w:pPr>
        <w:spacing w:after="0" w:line="215" w:lineRule="exact"/>
        <w:rPr>
          <w:sz w:val="20"/>
          <w:szCs w:val="20"/>
          <w:color w:val="auto"/>
        </w:rPr>
      </w:pPr>
    </w:p>
    <w:p>
      <w:pPr>
        <w:ind w:left="2400" w:hanging="447"/>
        <w:spacing w:after="0"/>
        <w:tabs>
          <w:tab w:leader="none" w:pos="24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elect the accrual method of accounting;</w:t>
      </w:r>
    </w:p>
    <w:p>
      <w:pPr>
        <w:spacing w:after="0" w:line="233" w:lineRule="exact"/>
        <w:rPr>
          <w:rFonts w:ascii="Arial" w:cs="Arial" w:eastAsia="Arial" w:hAnsi="Arial"/>
          <w:sz w:val="22"/>
          <w:szCs w:val="22"/>
          <w:color w:val="auto"/>
        </w:rPr>
      </w:pPr>
    </w:p>
    <w:p>
      <w:pPr>
        <w:ind w:left="660" w:firstLine="1293"/>
        <w:spacing w:after="0" w:line="276" w:lineRule="auto"/>
        <w:tabs>
          <w:tab w:leader="none" w:pos="2488"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elect to amortize any organizational and start-up expenses of the Company ratably over a period of one hundred eighty (180) months as permitted by Code Section 709(b);</w:t>
      </w:r>
    </w:p>
    <w:p>
      <w:pPr>
        <w:spacing w:after="0" w:line="160" w:lineRule="exact"/>
        <w:rPr>
          <w:rFonts w:ascii="Arial" w:cs="Arial" w:eastAsia="Arial" w:hAnsi="Arial"/>
          <w:sz w:val="22"/>
          <w:szCs w:val="22"/>
          <w:color w:val="auto"/>
        </w:rPr>
      </w:pPr>
    </w:p>
    <w:p>
      <w:pPr>
        <w:jc w:val="both"/>
        <w:ind w:left="660" w:firstLine="1293"/>
        <w:spacing w:after="0" w:line="307" w:lineRule="auto"/>
        <w:tabs>
          <w:tab w:leader="none" w:pos="257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38" w:lineRule="exact"/>
        <w:rPr>
          <w:rFonts w:ascii="Arial" w:cs="Arial" w:eastAsia="Arial" w:hAnsi="Arial"/>
          <w:sz w:val="19"/>
          <w:szCs w:val="19"/>
          <w:color w:val="auto"/>
        </w:rPr>
      </w:pPr>
    </w:p>
    <w:p>
      <w:pPr>
        <w:jc w:val="both"/>
        <w:ind w:left="660" w:firstLine="1293"/>
        <w:spacing w:after="0" w:line="263" w:lineRule="exact"/>
        <w:tabs>
          <w:tab w:leader="none" w:pos="252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shall file an election under Section 6231(a)(1)(B)(ii) of the Code and the Treasury Regulations thereunder to treat the Company as a partnership to which the provisions of Sections 6221 through 6234 of the Code, inclusive, apply, which election shall be made from time to time in the manner and at the time required by Treasury Regulations Section 301.6231(a)(1)</w:t>
      </w:r>
      <w:r>
        <w:rPr>
          <w:rFonts w:ascii="MS PGothic" w:cs="MS PGothic" w:eastAsia="MS PGothic" w:hAnsi="MS PGothic"/>
          <w:sz w:val="19"/>
          <w:szCs w:val="19"/>
          <w:color w:val="auto"/>
        </w:rPr>
        <w:t>‑</w:t>
      </w:r>
      <w:r>
        <w:rPr>
          <w:rFonts w:ascii="Arial" w:cs="Arial" w:eastAsia="Arial" w:hAnsi="Arial"/>
          <w:sz w:val="19"/>
          <w:szCs w:val="19"/>
          <w:color w:val="auto"/>
        </w:rPr>
        <w:t>1 so that the Company is subject to the TEFRA unified audit rules contained in Section 6221 through 6234 of the Code for all Taxable Years ending after the Effective Date; and</w:t>
      </w:r>
    </w:p>
    <w:p>
      <w:pPr>
        <w:spacing w:after="0" w:line="202" w:lineRule="exact"/>
        <w:rPr>
          <w:sz w:val="20"/>
          <w:szCs w:val="20"/>
          <w:color w:val="auto"/>
        </w:rPr>
      </w:pPr>
    </w:p>
    <w:p>
      <w:pPr>
        <w:jc w:val="both"/>
        <w:spacing w:after="0" w:line="262" w:lineRule="exact"/>
        <w:rPr>
          <w:sz w:val="20"/>
          <w:szCs w:val="20"/>
          <w:color w:val="auto"/>
        </w:rPr>
      </w:pPr>
      <w:r>
        <w:rPr>
          <w:rFonts w:ascii="Arial" w:cs="Arial" w:eastAsia="Arial" w:hAnsi="Arial"/>
          <w:sz w:val="19"/>
          <w:szCs w:val="19"/>
          <w:color w:val="auto"/>
        </w:rPr>
        <w:t>The Manager shall not make, or cause the Company or any Subject Company (to the extent the Company has (directly or indirectly) management authority for any Subject Company) to make, any tax election for the Company or any Subject Company, except as otherwise provided herein, without the Consent of the Members if such tax election would materially affect the economic consequences to the Class A Members as set forth in any of the Fund Base Case Models.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any Subject Company classified as an association taxable as a corporation for federal income tax purposes under Treasury Regulations Section 301.7701</w:t>
      </w:r>
      <w:r>
        <w:rPr>
          <w:rFonts w:ascii="MS PGothic" w:cs="MS PGothic" w:eastAsia="MS PGothic" w:hAnsi="MS PGothic"/>
          <w:sz w:val="19"/>
          <w:szCs w:val="19"/>
          <w:color w:val="auto"/>
        </w:rPr>
        <w:t>‑</w:t>
      </w:r>
      <w:r>
        <w:rPr>
          <w:rFonts w:ascii="Arial" w:cs="Arial" w:eastAsia="Arial" w:hAnsi="Arial"/>
          <w:sz w:val="19"/>
          <w:szCs w:val="19"/>
          <w:color w:val="auto"/>
        </w:rPr>
        <w:t>3. The Manager and each Member shall, in addition, affirmatively take such action within its control as may be necessary or required to maintain the status of the Company as a partnership for federal, state and local income tax purposes.</w:t>
      </w:r>
    </w:p>
    <w:p>
      <w:pPr>
        <w:spacing w:after="0" w:line="200" w:lineRule="exact"/>
        <w:rPr>
          <w:sz w:val="20"/>
          <w:szCs w:val="20"/>
          <w:color w:val="auto"/>
        </w:rPr>
      </w:pPr>
    </w:p>
    <w:p>
      <w:pPr>
        <w:spacing w:after="0" w:line="21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b w:val="1"/>
          <w:bCs w:val="1"/>
          <w:u w:val="single" w:color="auto"/>
          <w:color w:val="auto"/>
        </w:rPr>
        <w:t>Tax Matters Person and Company Tax Filings.</w:t>
      </w:r>
    </w:p>
    <w:p>
      <w:pPr>
        <w:spacing w:after="0" w:line="239" w:lineRule="exact"/>
        <w:rPr>
          <w:sz w:val="20"/>
          <w:szCs w:val="20"/>
          <w:color w:val="auto"/>
        </w:rPr>
      </w:pPr>
    </w:p>
    <w:p>
      <w:pPr>
        <w:jc w:val="both"/>
        <w:ind w:firstLine="1305"/>
        <w:spacing w:after="0" w:line="286" w:lineRule="auto"/>
        <w:tabs>
          <w:tab w:leader="none" w:pos="177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Initial Class B Member shall be, and so long as it continues to be the Manager, shall continue to be, the “tax matters partner” of the Company pursuant to Section 6231(a)(7) of the Code, and, for all tax years beginning after December 31, 2017, the “partnership representative” of the Partnership, as defined in Section 6223(a), as amended by the Budget Act (any Member acting in the capacity of the tax matters partner or the partnership representative, the “</w:t>
      </w:r>
      <w:r>
        <w:rPr>
          <w:rFonts w:ascii="Arial" w:cs="Arial" w:eastAsia="Arial" w:hAnsi="Arial"/>
          <w:sz w:val="19"/>
          <w:szCs w:val="19"/>
          <w:b w:val="1"/>
          <w:bCs w:val="1"/>
          <w:color w:val="auto"/>
        </w:rPr>
        <w:t>Tax Matters Member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Initial Class B Member is no longer the Manager, the Person selected as the successor Manager pursuant to </w:t>
      </w:r>
      <w:r>
        <w:rPr>
          <w:rFonts w:ascii="Arial" w:cs="Arial" w:eastAsia="Arial" w:hAnsi="Arial"/>
          <w:sz w:val="19"/>
          <w:szCs w:val="19"/>
          <w:u w:val="single" w:color="auto"/>
          <w:color w:val="auto"/>
        </w:rPr>
        <w:t>Section 6.4(c)</w:t>
      </w:r>
      <w:r>
        <w:rPr>
          <w:rFonts w:ascii="Arial" w:cs="Arial" w:eastAsia="Arial" w:hAnsi="Arial"/>
          <w:sz w:val="19"/>
          <w:szCs w:val="19"/>
          <w:color w:val="auto"/>
        </w:rPr>
        <w:t xml:space="preserve"> shall nominate a Member to become the new Tax Matters Member and such Member shall become the new Tax Matters Member if approved by the Consent of the Class A Members. The Tax Matters Member shall take such action as may be necessary to cause, to the extent possible, each other Member to become a “notice partner” within the meaning of Sections 6231(a)</w:t>
      </w:r>
    </w:p>
    <w:p>
      <w:pPr>
        <w:spacing w:after="0" w:line="1" w:lineRule="exact"/>
        <w:rPr>
          <w:rFonts w:ascii="Arial" w:cs="Arial" w:eastAsia="Arial" w:hAnsi="Arial"/>
          <w:sz w:val="19"/>
          <w:szCs w:val="19"/>
          <w:color w:val="auto"/>
        </w:rPr>
      </w:pPr>
    </w:p>
    <w:p>
      <w:pPr>
        <w:jc w:val="both"/>
        <w:ind w:firstLine="8"/>
        <w:spacing w:after="0" w:line="256" w:lineRule="exact"/>
        <w:tabs>
          <w:tab w:leader="none" w:pos="31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and 6223 of the Code (prior to amendment by the Budget Act). In the event of any pending tax action, investigation, claim or controversy involving the Company which proposes or may result in an adjustment to any item reported on a federal tax return of the Class A Members or the Company, the Tax Matters Member, shall keep the other Members fully and timely informed by written notice of any audit, administrative or judicial proceedings, meetings or conferences with the IRS or other similar matters that come to its attention in its capacity as Tax Matters Member. Furthermore, the Class A Members shall have the right to review and comment on any submissions to the IRS, and attend and jointly participate in any meetings or conferences with the IRS at their own expense. In any such proceedings, the Tax Matters Member shall take any action or omit to take any action reasonably requested by the Consent of the Class A Members to the extent such action or omission of action affects any tax item reported to the Class A Member on a Schedule K</w:t>
      </w:r>
      <w:r>
        <w:rPr>
          <w:rFonts w:ascii="MS PGothic" w:cs="MS PGothic" w:eastAsia="MS PGothic" w:hAnsi="MS PGothic"/>
          <w:sz w:val="19"/>
          <w:szCs w:val="19"/>
          <w:color w:val="auto"/>
        </w:rPr>
        <w:t>‑</w:t>
      </w:r>
      <w:r>
        <w:rPr>
          <w:rFonts w:ascii="Arial" w:cs="Arial" w:eastAsia="Arial" w:hAnsi="Arial"/>
          <w:sz w:val="19"/>
          <w:szCs w:val="19"/>
          <w:color w:val="auto"/>
        </w:rPr>
        <w:t>1 from the Company and / or reported on any federal income tax return of the Class A Member or would materially affect the economic consequences to the Class A Members as set forth in any of the Fund Base Case Models.</w:t>
      </w:r>
    </w:p>
    <w:p>
      <w:pPr>
        <w:spacing w:after="0" w:line="206" w:lineRule="exact"/>
        <w:rPr>
          <w:rFonts w:ascii="Arial" w:cs="Arial" w:eastAsia="Arial" w:hAnsi="Arial"/>
          <w:sz w:val="19"/>
          <w:szCs w:val="19"/>
          <w:color w:val="auto"/>
        </w:rPr>
      </w:pPr>
    </w:p>
    <w:p>
      <w:pPr>
        <w:jc w:val="both"/>
        <w:ind w:firstLine="1305"/>
        <w:spacing w:after="0" w:line="320" w:lineRule="auto"/>
        <w:tabs>
          <w:tab w:leader="none" w:pos="179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Tax Matters Member is authorized to represent the Company (at the Company’s expense) in connection with all examinations of the Company’s affairs by taxing authorities, including resulting administrative and judicial proceedings, and to expend Company funds for professional services and costs associated therewith. Notwithstanding the foregoing, the Tax</w:t>
      </w:r>
    </w:p>
    <w:p>
      <w:pPr>
        <w:sectPr>
          <w:pgSz w:w="11900" w:h="16838" w:orient="portrait"/>
          <w:cols w:equalWidth="0" w:num="1">
            <w:col w:w="11420"/>
          </w:cols>
          <w:pgMar w:left="240" w:top="132" w:right="239" w:bottom="0" w:gutter="0" w:footer="0" w:header="0"/>
        </w:sectPr>
      </w:pPr>
    </w:p>
    <w:bookmarkStart w:id="264" w:name="page265"/>
    <w:bookmarkEnd w:id="264"/>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Matters Member will not take any action with respect to any material matter pursuant to Code Sections 6222 through 6234 (prior to amendment by the Budget Act) or pursuant to Subchapter C of Chapter 63 of Subtitle F of the Code (under the Budget Act), and any action pursuant to Code Sections 6225 or 6226, which binds the Company or the Class A Members, including, in each case, extending the period of limitations for making assessments or settling any tax audit or controversy, if, in any case, the taking of such action could materially and adversely affect any tax item reported to the Class A Member on a Schedule K-1 and/or reported on any tax return of the Class A Member or would materially and adversely affect the economic consequences to the Class A Members as set forth in any of the Fund Base Case Models or the Cumulative Base Case Model, without the consent of the Class A Members. The Tax Matters Member will consult the Class A Members, and use reasonable best efforts to minimize the economic burden due to taxes on the Members and their direct and indirect beneficial owners by making an election under Code Section 6226 and, to the extent available, by making modifications to an imputed underpayment available under Code Sections 6225(c)(3), (4), and (5) (in each case, under the Budget Act), or otherwise. If any Member intends to file, pursuant to Section 6227 of the Code (prior to amendment by the Budget Act), a request for an administrative adjustment of any such partnership item of the Company, or to file a petition under Sections 6226, 6228 or other Sections of the Code (prior to amendment by the Budget Act) with respect to any such partnership item or any other tax matter involving the Company, such Member shall, at least thirty (30) days prior to any such filing, notify the other Members of such intent, which notification must include a reasonable description of the contemplated action and the reasons for such action. Any cost or expense incurred by the Tax Matters Member in connection with its duties, including, if relevant, the preparation for or pursuance of administrative or judicial proceedings, shall be paid by the Company. The Class A Member will use commercially reasonable efforts to ensure that any Tax Matter relating to the Company is properly addressed as a “partnership item”, within the meaning of Section 6231(a)(3) of the Code (prior to amendment by the Budget Act), at the Company level. In the event that the Class A Member is unsuccessful in such efforts to cause the IRS to address such claim as a “partnership item,” the Class A Member shall, to the extent practicable under the circumstances, provide notification, information, documents, correspondence and a reasonable opportunity for the Class B Member to control such matter in the same degree as provided for under this </w:t>
      </w:r>
      <w:r>
        <w:rPr>
          <w:rFonts w:ascii="Arial" w:cs="Arial" w:eastAsia="Arial" w:hAnsi="Arial"/>
          <w:sz w:val="19"/>
          <w:szCs w:val="19"/>
          <w:u w:val="single" w:color="auto"/>
          <w:color w:val="auto"/>
        </w:rPr>
        <w:t>Section 8.7</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jc w:val="both"/>
        <w:ind w:firstLine="1305"/>
        <w:spacing w:after="0" w:line="294" w:lineRule="auto"/>
        <w:tabs>
          <w:tab w:leader="none" w:pos="1743"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Members acknowledge that Subchapters C and D of Old Chapter 63 of the Code have been repealed, and that New Chapter 63 of the Code has been amended, by Section 1101 of the Budget Act, to be effective with respect to taxable years beginning after December 31, 2017. The Members agree to cooperate, reasonably and in good faith, to preserve and retain after the effective date of Section 1101 of the Budget Act, to the extent possible, the substantive arrangement and relative and analogous rights, duties, responsibilities and obligations of and limitations imposed upon the Members reflected in this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under Old Chapter 63 with respect to Tax audits and other administrative procedures addressed by Section 1101 of the Budget Act, including the limitations and obligations imposed on the Tax Matters Member. In furtherance of the foregoing:</w:t>
      </w:r>
    </w:p>
    <w:p>
      <w:pPr>
        <w:spacing w:after="0" w:line="152" w:lineRule="exact"/>
        <w:rPr>
          <w:rFonts w:ascii="Arial" w:cs="Arial" w:eastAsia="Arial" w:hAnsi="Arial"/>
          <w:sz w:val="19"/>
          <w:szCs w:val="19"/>
          <w:color w:val="auto"/>
        </w:rPr>
      </w:pPr>
    </w:p>
    <w:p>
      <w:pPr>
        <w:jc w:val="both"/>
        <w:ind w:left="660" w:firstLine="1293"/>
        <w:spacing w:after="0" w:line="307" w:lineRule="auto"/>
        <w:tabs>
          <w:tab w:leader="none" w:pos="23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Members agree that, if the Company receives a notice of final partnership administrative adjustment that would, with the passing of time, result in an “imputed underpayment” imposed on the Company as that term is defined in Section 6225 of New Chapter 63 of the Code, then, the Partnership Representative shall request any applicable modifications to such imputed underpayment pursuant to Section 6225(c) of New Chapter 63 of the Code.</w:t>
      </w:r>
    </w:p>
    <w:p>
      <w:pPr>
        <w:spacing w:after="0" w:line="138" w:lineRule="exact"/>
        <w:rPr>
          <w:rFonts w:ascii="Arial" w:cs="Arial" w:eastAsia="Arial" w:hAnsi="Arial"/>
          <w:sz w:val="19"/>
          <w:szCs w:val="19"/>
          <w:color w:val="auto"/>
        </w:rPr>
      </w:pPr>
    </w:p>
    <w:p>
      <w:pPr>
        <w:jc w:val="both"/>
        <w:ind w:left="660" w:firstLine="1293"/>
        <w:spacing w:after="0" w:line="260" w:lineRule="auto"/>
        <w:tabs>
          <w:tab w:leader="none" w:pos="2522" w:val="left"/>
        </w:tabs>
        <w:numPr>
          <w:ilvl w:val="1"/>
          <w:numId w:val="173"/>
        </w:numPr>
        <w:rPr>
          <w:rFonts w:ascii="Arial" w:cs="Arial" w:eastAsia="Arial" w:hAnsi="Arial"/>
          <w:sz w:val="22"/>
          <w:szCs w:val="22"/>
          <w:color w:val="auto"/>
        </w:rPr>
      </w:pPr>
      <w:r>
        <w:rPr>
          <w:rFonts w:ascii="Arial" w:cs="Arial" w:eastAsia="Arial" w:hAnsi="Arial"/>
          <w:sz w:val="22"/>
          <w:szCs w:val="22"/>
          <w:color w:val="auto"/>
        </w:rPr>
        <w:t>None of the Members shall make any election under section 1101(g)(4) of the Budget Act or any subsequent law or guidance to have the provisions of section 1101 of the Budget Act apply to the Company prior to any taxable year of the Company beginning after December 31, 2017.</w:t>
      </w:r>
    </w:p>
    <w:p>
      <w:pPr>
        <w:spacing w:after="0" w:line="177" w:lineRule="exact"/>
        <w:rPr>
          <w:rFonts w:ascii="Arial" w:cs="Arial" w:eastAsia="Arial" w:hAnsi="Arial"/>
          <w:sz w:val="22"/>
          <w:szCs w:val="22"/>
          <w:color w:val="auto"/>
        </w:rPr>
      </w:pPr>
    </w:p>
    <w:p>
      <w:pPr>
        <w:jc w:val="both"/>
        <w:ind w:left="660" w:firstLine="1293"/>
        <w:spacing w:after="0" w:line="266" w:lineRule="auto"/>
        <w:tabs>
          <w:tab w:leader="none" w:pos="2677" w:val="left"/>
        </w:tabs>
        <w:numPr>
          <w:ilvl w:val="1"/>
          <w:numId w:val="173"/>
        </w:numPr>
        <w:rPr>
          <w:rFonts w:ascii="Arial" w:cs="Arial" w:eastAsia="Arial" w:hAnsi="Arial"/>
          <w:sz w:val="21"/>
          <w:szCs w:val="21"/>
          <w:color w:val="auto"/>
        </w:rPr>
      </w:pPr>
      <w:r>
        <w:rPr>
          <w:rFonts w:ascii="Arial" w:cs="Arial" w:eastAsia="Arial" w:hAnsi="Arial"/>
          <w:sz w:val="21"/>
          <w:szCs w:val="21"/>
          <w:color w:val="auto"/>
        </w:rPr>
        <w:t xml:space="preserve">In the event there are additional statutory amendments; temporary, proposed or final Treasury Regulations; any IRS guidance published in the Internal Revenue Bulletin and/or Cumulative Bulletin; any notice, announcement, revenue ruling or revenue procedure or similar authority issued by the IRS; or any other administrative guidance, in each case, interpreting or applying Section 1101 of the Budget Act, if necessary, the Members shall amend this Agreement to remain consistent with the intent of this </w:t>
      </w:r>
      <w:r>
        <w:rPr>
          <w:rFonts w:ascii="Arial" w:cs="Arial" w:eastAsia="Arial" w:hAnsi="Arial"/>
          <w:sz w:val="21"/>
          <w:szCs w:val="21"/>
          <w:u w:val="single" w:color="auto"/>
          <w:color w:val="auto"/>
        </w:rPr>
        <w:t>Section 8.7</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left="660" w:firstLine="1293"/>
        <w:spacing w:after="0" w:line="288" w:lineRule="auto"/>
        <w:tabs>
          <w:tab w:leader="none" w:pos="2489"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taxes, penalties, and interest payable by the Company or any fiscally transparent entity in which the Company owns an interest under the Budget Act will be treated as specifically attributable to the Members, and the Tax Matters Member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Tax Matters Member. In connection with the foregoing, to the extent that the Company is assessed amounts under Section 6221(a) of the Code (as amended by the Budget Act), and an election under Section 6226 of the Code (as amended by the Budget Act) is not made or each Member has not otherwise satisfied its allocable share of such assessed amount, each current or former Member to which the assessment relates will remit to the Company, within thirty (30) days’ written notice by the Tax Matters Member, an amount equal to such Member’s allocable share of the assessment, including such Member’s allocable share of any interest imposed on the Company. The foregoing sentence will survive the dissolution of the Company, the withdrawal of any Member from the Company and the transfer of any Member’s Units.</w:t>
      </w:r>
    </w:p>
    <w:p>
      <w:pPr>
        <w:spacing w:after="0" w:line="162" w:lineRule="exact"/>
        <w:rPr>
          <w:rFonts w:ascii="Arial" w:cs="Arial" w:eastAsia="Arial" w:hAnsi="Arial"/>
          <w:sz w:val="19"/>
          <w:szCs w:val="19"/>
          <w:color w:val="auto"/>
        </w:rPr>
      </w:pPr>
    </w:p>
    <w:p>
      <w:pPr>
        <w:ind w:left="1740" w:hanging="435"/>
        <w:spacing w:after="0"/>
        <w:tabs>
          <w:tab w:leader="none" w:pos="174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320" w:lineRule="auto"/>
        <w:tabs>
          <w:tab w:leader="none" w:pos="2448"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Preparation of Tax Returns</w:t>
      </w:r>
      <w:r>
        <w:rPr>
          <w:rFonts w:ascii="Arial" w:cs="Arial" w:eastAsia="Arial" w:hAnsi="Arial"/>
          <w:sz w:val="19"/>
          <w:szCs w:val="19"/>
          <w:color w:val="auto"/>
        </w:rPr>
        <w:t>. The Tax Matters Member shall prepare, or cause to be prepared by the Certified Public Accountant, and timely file (on behalf of the Company) all federal, state and local tax returns required to be filed by the Company. Each Member shall furnish to the Tax Matters Member all pertinent information in its possession</w:t>
      </w:r>
    </w:p>
    <w:p>
      <w:pPr>
        <w:sectPr>
          <w:pgSz w:w="11900" w:h="16913" w:orient="portrait"/>
          <w:cols w:equalWidth="0" w:num="1">
            <w:col w:w="11420"/>
          </w:cols>
          <w:pgMar w:left="240" w:top="132" w:right="239" w:bottom="0" w:gutter="0" w:footer="0" w:header="0"/>
        </w:sectPr>
      </w:pPr>
    </w:p>
    <w:bookmarkStart w:id="265" w:name="page266"/>
    <w:bookmarkEnd w:id="265"/>
    <w:p>
      <w:pPr>
        <w:ind w:left="660"/>
        <w:spacing w:after="0" w:line="263" w:lineRule="auto"/>
        <w:rPr>
          <w:sz w:val="20"/>
          <w:szCs w:val="20"/>
          <w:color w:val="auto"/>
        </w:rPr>
      </w:pPr>
      <w:r>
        <w:rPr>
          <w:rFonts w:ascii="Arial" w:cs="Arial" w:eastAsia="Arial" w:hAnsi="Arial"/>
          <w:sz w:val="22"/>
          <w:szCs w:val="22"/>
          <w:color w:val="auto"/>
        </w:rPr>
        <w:t>relating to the Company’s operations that is reasonably necessary to enable the Company’s tax returns to be timely prepared and filed.</w:t>
      </w:r>
    </w:p>
    <w:p>
      <w:pPr>
        <w:spacing w:after="0" w:line="175" w:lineRule="exact"/>
        <w:rPr>
          <w:sz w:val="20"/>
          <w:szCs w:val="20"/>
          <w:color w:val="auto"/>
        </w:rPr>
      </w:pPr>
    </w:p>
    <w:p>
      <w:pPr>
        <w:jc w:val="both"/>
        <w:ind w:left="660" w:firstLine="1293"/>
        <w:spacing w:after="0" w:line="238" w:lineRule="auto"/>
        <w:tabs>
          <w:tab w:leader="none" w:pos="2468" w:val="left"/>
        </w:tabs>
        <w:numPr>
          <w:ilvl w:val="1"/>
          <w:numId w:val="174"/>
        </w:numPr>
        <w:rPr>
          <w:rFonts w:ascii="Arial" w:cs="Arial" w:eastAsia="Arial" w:hAnsi="Arial"/>
          <w:sz w:val="22"/>
          <w:szCs w:val="22"/>
          <w:color w:val="auto"/>
        </w:rPr>
      </w:pPr>
      <w:r>
        <w:rPr>
          <w:rFonts w:ascii="Arial" w:cs="Arial" w:eastAsia="Arial" w:hAnsi="Arial"/>
          <w:sz w:val="22"/>
          <w:szCs w:val="22"/>
          <w:u w:val="single" w:color="auto"/>
          <w:color w:val="auto"/>
        </w:rPr>
        <w:t>Furnishing Returns</w:t>
      </w:r>
      <w:r>
        <w:rPr>
          <w:rFonts w:ascii="Arial" w:cs="Arial" w:eastAsia="Arial" w:hAnsi="Arial"/>
          <w:sz w:val="22"/>
          <w:szCs w:val="22"/>
          <w:color w:val="auto"/>
        </w:rPr>
        <w:t>. The Tax Matters Member shall use commercially reasonable efforts to furnish to the Members, (A) by no later than March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each year, an estimate of all items of Company income, gain, loss, deduction, and credit (including ITCs) of the Company and the Members’ respective allocable shares thereof expected by the Tax Matters Member to be reported on the Tax Return to be filed by the Tax Matters Member for the immediately preceding Taxable Year, and (B) by no later than June 30 of each Taxable Year (or, if earlier, thirty (30) days prior to the date on which the Tax Matters Member intends to file the Tax Return), the Tax Return proposed to be filed by the Tax Matters Member.</w:t>
      </w:r>
    </w:p>
    <w:p>
      <w:pPr>
        <w:spacing w:after="0" w:line="201" w:lineRule="exact"/>
        <w:rPr>
          <w:rFonts w:ascii="Arial" w:cs="Arial" w:eastAsia="Arial" w:hAnsi="Arial"/>
          <w:sz w:val="22"/>
          <w:szCs w:val="22"/>
          <w:color w:val="auto"/>
        </w:rPr>
      </w:pPr>
    </w:p>
    <w:p>
      <w:pPr>
        <w:ind w:left="660" w:firstLine="1293"/>
        <w:spacing w:after="0" w:line="276" w:lineRule="auto"/>
        <w:tabs>
          <w:tab w:leader="none" w:pos="2555" w:val="left"/>
        </w:tabs>
        <w:numPr>
          <w:ilvl w:val="1"/>
          <w:numId w:val="174"/>
        </w:numPr>
        <w:rPr>
          <w:rFonts w:ascii="Arial" w:cs="Arial" w:eastAsia="Arial" w:hAnsi="Arial"/>
          <w:sz w:val="22"/>
          <w:szCs w:val="22"/>
          <w:color w:val="auto"/>
        </w:rPr>
      </w:pPr>
      <w:r>
        <w:rPr>
          <w:rFonts w:ascii="Arial" w:cs="Arial" w:eastAsia="Arial" w:hAnsi="Arial"/>
          <w:sz w:val="22"/>
          <w:szCs w:val="22"/>
          <w:u w:val="single" w:color="auto"/>
          <w:color w:val="auto"/>
        </w:rPr>
        <w:t>Costs of Preparation</w:t>
      </w:r>
      <w:r>
        <w:rPr>
          <w:rFonts w:ascii="Arial" w:cs="Arial" w:eastAsia="Arial" w:hAnsi="Arial"/>
          <w:sz w:val="22"/>
          <w:szCs w:val="22"/>
          <w:color w:val="auto"/>
        </w:rPr>
        <w:t>. The Company shall bear the costs of the preparation and filing of its returns, including the fees of the independent public accounting firm.</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82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6233.</w:t>
      </w:r>
    </w:p>
    <w:p>
      <w:pPr>
        <w:spacing w:after="0" w:line="185" w:lineRule="exact"/>
        <w:rPr>
          <w:rFonts w:ascii="Arial" w:cs="Arial" w:eastAsia="Arial" w:hAnsi="Arial"/>
          <w:sz w:val="22"/>
          <w:szCs w:val="22"/>
          <w:color w:val="auto"/>
        </w:rPr>
      </w:pPr>
    </w:p>
    <w:p>
      <w:pPr>
        <w:ind w:left="1700" w:hanging="395"/>
        <w:spacing w:after="0"/>
        <w:tabs>
          <w:tab w:leader="none" w:pos="170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Additional Requirements for an Indemnified Tax Claim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54" w:lineRule="auto"/>
        <w:tabs>
          <w:tab w:leader="none" w:pos="23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Class B Member will notify the Class A Member of (A) any written communication it receives from the IRS or a Subject Company that, if sustained may require the Class B Member to make a contribution to the Company or otherwise indemnify the Class A Member or any counterparty to any Fund Document or Subject Company (an “</w:t>
      </w:r>
      <w:r>
        <w:rPr>
          <w:rFonts w:ascii="Arial" w:cs="Arial" w:eastAsia="Arial" w:hAnsi="Arial"/>
          <w:sz w:val="22"/>
          <w:szCs w:val="22"/>
          <w:b w:val="1"/>
          <w:bCs w:val="1"/>
          <w:color w:val="auto"/>
        </w:rPr>
        <w:t>Indemnified Tax Claim</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1293"/>
        <w:spacing w:after="0" w:line="270" w:lineRule="auto"/>
        <w:tabs>
          <w:tab w:leader="none" w:pos="2414" w:val="left"/>
        </w:tabs>
        <w:numPr>
          <w:ilvl w:val="1"/>
          <w:numId w:val="17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after consulting with the Class A Member, the Class B Member may in its sole discretion exercise in good faith control any Indemnified Claim, including controlling any IRS audit (including selection of counsel) determining whether to settle or to commence a judicial action or to appeal any adverse determination of a judicial tribunal with respect to an Indemnified Claim.</w:t>
      </w:r>
    </w:p>
    <w:p>
      <w:pPr>
        <w:spacing w:after="0" w:line="16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b w:val="1"/>
          <w:bCs w:val="1"/>
          <w:u w:val="single" w:color="auto"/>
          <w:color w:val="auto"/>
        </w:rPr>
        <w:t>Financial Accounting.</w:t>
      </w:r>
    </w:p>
    <w:p>
      <w:pPr>
        <w:spacing w:after="0" w:line="23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Each Member may report the transactions contemplated hereby for financial accounting purposes in such manner as the Member and its accountants may determine appropriate.</w:t>
      </w:r>
    </w:p>
    <w:p>
      <w:pPr>
        <w:spacing w:after="0" w:line="16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8.9</w:t>
      </w:r>
      <w:r>
        <w:rPr>
          <w:sz w:val="20"/>
          <w:szCs w:val="20"/>
          <w:color w:val="auto"/>
        </w:rPr>
        <w:tab/>
      </w:r>
      <w:r>
        <w:rPr>
          <w:rFonts w:ascii="Arial" w:cs="Arial" w:eastAsia="Arial" w:hAnsi="Arial"/>
          <w:sz w:val="19"/>
          <w:szCs w:val="19"/>
          <w:b w:val="1"/>
          <w:bCs w:val="1"/>
          <w:u w:val="single" w:color="auto"/>
          <w:color w:val="auto"/>
        </w:rPr>
        <w:t>Membership Interest Legend.</w:t>
      </w:r>
    </w:p>
    <w:p>
      <w:pPr>
        <w:spacing w:after="0" w:line="239" w:lineRule="exact"/>
        <w:rPr>
          <w:sz w:val="20"/>
          <w:szCs w:val="20"/>
          <w:color w:val="auto"/>
        </w:rPr>
      </w:pPr>
    </w:p>
    <w:p>
      <w:pPr>
        <w:jc w:val="both"/>
        <w:ind w:firstLine="1305"/>
        <w:spacing w:after="0" w:line="270" w:lineRule="auto"/>
        <w:tabs>
          <w:tab w:leader="none" w:pos="191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169"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176" w:lineRule="exact"/>
        <w:rPr>
          <w:sz w:val="20"/>
          <w:szCs w:val="20"/>
          <w:color w:val="auto"/>
        </w:rPr>
      </w:pPr>
    </w:p>
    <w:p>
      <w:pPr>
        <w:ind w:firstLine="1305"/>
        <w:spacing w:after="0" w:line="276" w:lineRule="auto"/>
        <w:tabs>
          <w:tab w:leader="none" w:pos="176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Company will also cause each certificate representing its securities to be stamped or otherwise imprinted with the following legend:</w:t>
      </w:r>
    </w:p>
    <w:p>
      <w:pPr>
        <w:spacing w:after="0" w:line="161" w:lineRule="exact"/>
        <w:rPr>
          <w:sz w:val="20"/>
          <w:szCs w:val="20"/>
          <w:color w:val="auto"/>
        </w:rPr>
      </w:pPr>
    </w:p>
    <w:p>
      <w:pPr>
        <w:jc w:val="both"/>
        <w:ind w:left="1300"/>
        <w:spacing w:after="0" w:line="261" w:lineRule="exact"/>
        <w:rPr>
          <w:sz w:val="20"/>
          <w:szCs w:val="20"/>
          <w:color w:val="auto"/>
        </w:rPr>
      </w:pPr>
      <w:r>
        <w:rPr>
          <w:rFonts w:ascii="Arial" w:cs="Arial" w:eastAsia="Arial" w:hAnsi="Arial"/>
          <w:sz w:val="22"/>
          <w:szCs w:val="22"/>
          <w:color w:val="auto"/>
        </w:rPr>
        <w:t>THE MEMBERSHIP INTEREST AND UNITS REPRESENTED BY THIS CERTIFICATE ARE, AND SHALL BE, FOR ALL PURPOSES, “CERTIFIED SECURITIES” UNDER AND GOVERNED BY ARTICLE 8 (INCLUDING SECTION 8</w:t>
      </w:r>
      <w:r>
        <w:rPr>
          <w:rFonts w:ascii="MS PGothic" w:cs="MS PGothic" w:eastAsia="MS PGothic" w:hAnsi="MS PGothic"/>
          <w:sz w:val="22"/>
          <w:szCs w:val="22"/>
          <w:color w:val="auto"/>
        </w:rPr>
        <w:t>‑</w:t>
      </w:r>
      <w:r>
        <w:rPr>
          <w:rFonts w:ascii="Arial" w:cs="Arial" w:eastAsia="Arial" w:hAnsi="Arial"/>
          <w:sz w:val="22"/>
          <w:szCs w:val="22"/>
          <w:color w:val="auto"/>
        </w:rPr>
        <w:t>103(c) THEREOF) AND ALL OTHER PROVISIONS OF THE UNIFORM COMMERCIAL CODE IN EFFECT FROM TIME TO TIME IN THE STATE OF DELAWARE.</w:t>
      </w:r>
    </w:p>
    <w:p>
      <w:pPr>
        <w:spacing w:after="0" w:line="19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8.10</w:t>
      </w:r>
      <w:r>
        <w:rPr>
          <w:sz w:val="20"/>
          <w:szCs w:val="20"/>
          <w:color w:val="auto"/>
        </w:rPr>
        <w:tab/>
      </w:r>
      <w:r>
        <w:rPr>
          <w:rFonts w:ascii="Arial" w:cs="Arial" w:eastAsia="Arial" w:hAnsi="Arial"/>
          <w:sz w:val="19"/>
          <w:szCs w:val="19"/>
          <w:b w:val="1"/>
          <w:bCs w:val="1"/>
          <w:u w:val="single" w:color="auto"/>
          <w:color w:val="auto"/>
        </w:rPr>
        <w:t>Representations, Warranties and Covenants of the Members.</w:t>
      </w:r>
    </w:p>
    <w:p>
      <w:pPr>
        <w:spacing w:after="0" w:line="23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Each Member, severally but not jointly, represents, warrants, and with respect to </w:t>
      </w:r>
      <w:r>
        <w:rPr>
          <w:rFonts w:ascii="Arial" w:cs="Arial" w:eastAsia="Arial" w:hAnsi="Arial"/>
          <w:sz w:val="19"/>
          <w:szCs w:val="19"/>
          <w:u w:val="single" w:color="auto"/>
          <w:color w:val="auto"/>
        </w:rPr>
        <w:t>clauses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w:t>
      </w:r>
      <w:r>
        <w:rPr>
          <w:rFonts w:ascii="Arial" w:cs="Arial" w:eastAsia="Arial" w:hAnsi="Arial"/>
          <w:sz w:val="19"/>
          <w:szCs w:val="19"/>
          <w:u w:val="single" w:color="auto"/>
          <w:color w:val="auto"/>
        </w:rPr>
        <w:t>clauses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shall be true and correct at all times that such Person is a Member:</w:t>
      </w:r>
    </w:p>
    <w:p>
      <w:pPr>
        <w:spacing w:after="0" w:line="14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It is an entity duly organized, validly existing and in good standing under the laws of its jurisdiction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ectPr>
          <w:pgSz w:w="11900" w:h="16838" w:orient="portrait"/>
          <w:cols w:equalWidth="0" w:num="1">
            <w:col w:w="11420"/>
          </w:cols>
          <w:pgMar w:left="240" w:top="132" w:right="239" w:bottom="0" w:gutter="0" w:footer="0" w:header="0"/>
        </w:sectPr>
      </w:pPr>
    </w:p>
    <w:bookmarkStart w:id="266" w:name="page267"/>
    <w:bookmarkEnd w:id="266"/>
    <w:p>
      <w:pPr>
        <w:ind w:left="1740" w:hanging="435"/>
        <w:spacing w:after="0"/>
        <w:tabs>
          <w:tab w:leader="none" w:pos="17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has the full right, power and authority to perform its obligations hereunder.</w:t>
      </w:r>
    </w:p>
    <w:p>
      <w:pPr>
        <w:spacing w:after="0" w:line="233" w:lineRule="exact"/>
        <w:rPr>
          <w:rFonts w:ascii="Arial" w:cs="Arial" w:eastAsia="Arial" w:hAnsi="Arial"/>
          <w:sz w:val="22"/>
          <w:szCs w:val="22"/>
          <w:color w:val="auto"/>
        </w:rPr>
      </w:pPr>
    </w:p>
    <w:p>
      <w:pPr>
        <w:jc w:val="both"/>
        <w:ind w:firstLine="1305"/>
        <w:spacing w:after="0" w:line="264" w:lineRule="auto"/>
        <w:tabs>
          <w:tab w:leader="none" w:pos="1757"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75" w:lineRule="exact"/>
        <w:rPr>
          <w:rFonts w:ascii="Arial" w:cs="Arial" w:eastAsia="Arial" w:hAnsi="Arial"/>
          <w:sz w:val="21"/>
          <w:szCs w:val="21"/>
          <w:color w:val="auto"/>
        </w:rPr>
      </w:pPr>
    </w:p>
    <w:p>
      <w:pPr>
        <w:jc w:val="both"/>
        <w:ind w:firstLine="1305"/>
        <w:spacing w:after="0" w:line="260" w:lineRule="auto"/>
        <w:tabs>
          <w:tab w:leader="none" w:pos="1823"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nature of each Member’s investment 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84" w:lineRule="exact"/>
        <w:rPr>
          <w:rFonts w:ascii="Arial" w:cs="Arial" w:eastAsia="Arial" w:hAnsi="Arial"/>
          <w:sz w:val="21"/>
          <w:szCs w:val="21"/>
          <w:color w:val="auto"/>
        </w:rPr>
      </w:pPr>
    </w:p>
    <w:p>
      <w:pPr>
        <w:jc w:val="both"/>
        <w:ind w:firstLine="1305"/>
        <w:spacing w:after="0" w:line="250" w:lineRule="auto"/>
        <w:tabs>
          <w:tab w:leader="none" w:pos="175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188" w:lineRule="exact"/>
        <w:rPr>
          <w:rFonts w:ascii="Arial" w:cs="Arial" w:eastAsia="Arial" w:hAnsi="Arial"/>
          <w:sz w:val="22"/>
          <w:szCs w:val="22"/>
          <w:color w:val="auto"/>
        </w:rPr>
      </w:pPr>
    </w:p>
    <w:p>
      <w:pPr>
        <w:ind w:firstLine="1305"/>
        <w:spacing w:after="0" w:line="276" w:lineRule="auto"/>
        <w:tabs>
          <w:tab w:leader="none" w:pos="169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will report the Transaction in accordance with this Agreement and its own applicable regulatory requirements, including the accounting and tax treatment to be accorded to the Transaction.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is not now and it shall not become a Disqualified Entity or Related Party.</w:t>
      </w:r>
    </w:p>
    <w:p>
      <w:pPr>
        <w:spacing w:after="0" w:line="233" w:lineRule="exact"/>
        <w:rPr>
          <w:rFonts w:ascii="Arial" w:cs="Arial" w:eastAsia="Arial" w:hAnsi="Arial"/>
          <w:sz w:val="22"/>
          <w:szCs w:val="22"/>
          <w:color w:val="auto"/>
        </w:rPr>
      </w:pPr>
    </w:p>
    <w:p>
      <w:pPr>
        <w:jc w:val="both"/>
        <w:ind w:firstLine="1305"/>
        <w:spacing w:after="0" w:line="300" w:lineRule="auto"/>
        <w:tabs>
          <w:tab w:leader="none" w:pos="185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xml:space="preserve">”), or other “benefit plan investor” (as defined in U.S. Department of Labor Reg. §§ 2510.3-101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Section 3(42) of ERISA) or Assets allocated to any insurance company separate account or general account in which any such employee benefit plan or benefit plan investor (or related trust) has any interest.</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6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77" w:lineRule="exact"/>
        <w:rPr>
          <w:rFonts w:ascii="Arial" w:cs="Arial" w:eastAsia="Arial" w:hAnsi="Arial"/>
          <w:sz w:val="22"/>
          <w:szCs w:val="22"/>
          <w:color w:val="auto"/>
        </w:rPr>
      </w:pPr>
    </w:p>
    <w:p>
      <w:pPr>
        <w:ind w:firstLine="1305"/>
        <w:spacing w:after="0" w:line="276" w:lineRule="auto"/>
        <w:tabs>
          <w:tab w:leader="none" w:pos="172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will not take any action or change its status if such action or change would result in a breach of a Company covenant or is otherwise prohibited by the terms of the Fund Documents.</w:t>
      </w:r>
    </w:p>
    <w:p>
      <w:pPr>
        <w:spacing w:after="0" w:line="15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8.11</w:t>
      </w:r>
      <w:r>
        <w:rPr>
          <w:sz w:val="20"/>
          <w:szCs w:val="20"/>
          <w:color w:val="auto"/>
        </w:rPr>
        <w:tab/>
      </w:r>
      <w:r>
        <w:rPr>
          <w:rFonts w:ascii="Arial" w:cs="Arial" w:eastAsia="Arial" w:hAnsi="Arial"/>
          <w:sz w:val="19"/>
          <w:szCs w:val="19"/>
          <w:b w:val="1"/>
          <w:bCs w:val="1"/>
          <w:u w:val="single" w:color="auto"/>
          <w:color w:val="auto"/>
        </w:rPr>
        <w:t>Survival.</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representations, warranties and covenants herein shall be continuing agreements of the Members that made them and shall survive the termination of this Agreement and the Company.</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TRANSFERS OF INTERESTS</w:t>
      </w:r>
    </w:p>
    <w:p>
      <w:pPr>
        <w:spacing w:after="0" w:line="20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u w:val="single" w:color="auto"/>
          <w:color w:val="auto"/>
        </w:rPr>
        <w:t>Transfer Restrictions.</w:t>
      </w:r>
    </w:p>
    <w:p>
      <w:pPr>
        <w:spacing w:after="0" w:line="23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A Member may not Transfer or Encumber all or any portion of its Membership Interest, except in strict accordance with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References in this Agreement to Transfers or Encumbrances of a “Membership Interest” shall also refer to Transfers or Encumbrances of a portion of a Membership Interest. Any attempted Transfer or Encumbrance of any Membership Interest, other than in strict accordance with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and is hereby declared,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The Members agree that a breach of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may be enforced by specific performance.</w:t>
      </w:r>
    </w:p>
    <w:p>
      <w:pPr>
        <w:spacing w:after="0" w:line="15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b w:val="1"/>
          <w:bCs w:val="1"/>
          <w:u w:val="single" w:color="auto"/>
          <w:color w:val="auto"/>
        </w:rPr>
        <w:t>Permitted Transfers.</w:t>
      </w:r>
    </w:p>
    <w:p>
      <w:pPr>
        <w:sectPr>
          <w:pgSz w:w="11900" w:h="16838" w:orient="portrait"/>
          <w:cols w:equalWidth="0" w:num="1">
            <w:col w:w="11420"/>
          </w:cols>
          <w:pgMar w:left="240" w:top="226" w:right="239" w:bottom="0" w:gutter="0" w:footer="0" w:header="0"/>
        </w:sectPr>
      </w:pPr>
    </w:p>
    <w:bookmarkStart w:id="267" w:name="page268"/>
    <w:bookmarkEnd w:id="267"/>
    <w:p>
      <w:pPr>
        <w:jc w:val="both"/>
        <w:ind w:firstLine="1297"/>
        <w:spacing w:after="0" w:line="260" w:lineRule="auto"/>
        <w:rPr>
          <w:sz w:val="20"/>
          <w:szCs w:val="20"/>
          <w:color w:val="auto"/>
        </w:rPr>
      </w:pPr>
      <w:r>
        <w:rPr>
          <w:rFonts w:ascii="Arial" w:cs="Arial" w:eastAsia="Arial" w:hAnsi="Arial"/>
          <w:sz w:val="21"/>
          <w:szCs w:val="21"/>
          <w:color w:val="auto"/>
        </w:rPr>
        <w:t xml:space="preserve">Prior to the expiration of the Investment Period, a Member may only Transfer (other than a Transfer pursuant to an Encumbrance entered into in accordance with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all or part of its Units (and the Class A Interest represented thereby) with the Consent of the Members. Following the expiration of the Investment Period, a Member may Transfer all or part of its Units (and Membership Interest represented thereby) to a Person that is not a Disqualified Transferee,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it satisfies the requirements of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Notwithstanding anything in this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to the contrary, a Transfer upon foreclosure (or in lieu of such foreclosure) under an Encumbrance on such Member’s Units permitted in accordance with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shall not require the approval by the Consent of the Members.</w:t>
      </w:r>
    </w:p>
    <w:p>
      <w:pPr>
        <w:spacing w:after="0" w:line="17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9"/>
          <w:szCs w:val="19"/>
          <w:b w:val="1"/>
          <w:bCs w:val="1"/>
          <w:u w:val="single" w:color="auto"/>
          <w:color w:val="auto"/>
        </w:rPr>
        <w:t>Conditions to Transfers.</w:t>
      </w:r>
    </w:p>
    <w:p>
      <w:pPr>
        <w:spacing w:after="0" w:line="239"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IX</w:t>
      </w:r>
      <w:r>
        <w:rPr>
          <w:rFonts w:ascii="Arial" w:cs="Arial" w:eastAsia="Arial" w:hAnsi="Arial"/>
          <w:sz w:val="22"/>
          <w:szCs w:val="22"/>
          <w:color w:val="auto"/>
        </w:rPr>
        <w:t>, all Transfers permitted hereby shall be subject to the satisfaction of the following requirements:</w:t>
      </w:r>
    </w:p>
    <w:p>
      <w:pPr>
        <w:spacing w:after="0" w:line="175" w:lineRule="exact"/>
        <w:rPr>
          <w:sz w:val="20"/>
          <w:szCs w:val="20"/>
          <w:color w:val="auto"/>
        </w:rPr>
      </w:pPr>
    </w:p>
    <w:p>
      <w:pPr>
        <w:ind w:firstLine="1305"/>
        <w:spacing w:after="0" w:line="276" w:lineRule="auto"/>
        <w:tabs>
          <w:tab w:leader="none" w:pos="1784"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Transfer Documents</w:t>
      </w:r>
      <w:r>
        <w:rPr>
          <w:rFonts w:ascii="Arial" w:cs="Arial" w:eastAsia="Arial" w:hAnsi="Arial"/>
          <w:sz w:val="22"/>
          <w:szCs w:val="22"/>
          <w:color w:val="auto"/>
        </w:rPr>
        <w:t>. The following documents shall have been delivered by the Transferring Member to the Manager and each other Member:</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2"/>
          <w:numId w:val="179"/>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Written notice not less than ten (10) Business Days prior to the proposed effective date of such</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Transfer.</w:t>
      </w:r>
    </w:p>
    <w:p>
      <w:pPr>
        <w:spacing w:after="0" w:line="215" w:lineRule="exact"/>
        <w:rPr>
          <w:rFonts w:ascii="Arial" w:cs="Arial" w:eastAsia="Arial" w:hAnsi="Arial"/>
          <w:sz w:val="19"/>
          <w:szCs w:val="19"/>
          <w:color w:val="auto"/>
        </w:rPr>
      </w:pPr>
    </w:p>
    <w:p>
      <w:pPr>
        <w:jc w:val="both"/>
        <w:ind w:left="660" w:firstLine="1293"/>
        <w:spacing w:after="0" w:line="284" w:lineRule="auto"/>
        <w:tabs>
          <w:tab w:leader="none" w:pos="2657" w:val="left"/>
        </w:tabs>
        <w:numPr>
          <w:ilvl w:val="2"/>
          <w:numId w:val="179"/>
        </w:numPr>
        <w:rPr>
          <w:rFonts w:ascii="Arial" w:cs="Arial" w:eastAsia="Arial" w:hAnsi="Arial"/>
          <w:sz w:val="19"/>
          <w:szCs w:val="19"/>
          <w:color w:val="auto"/>
        </w:rPr>
      </w:pPr>
      <w:r>
        <w:rPr>
          <w:rFonts w:ascii="Arial" w:cs="Arial" w:eastAsia="Arial" w:hAnsi="Arial"/>
          <w:sz w:val="19"/>
          <w:szCs w:val="19"/>
          <w:u w:val="single" w:color="auto"/>
          <w:color w:val="auto"/>
        </w:rPr>
        <w:t>Transfer Instrument</w:t>
      </w:r>
      <w:r>
        <w:rPr>
          <w:rFonts w:ascii="Arial" w:cs="Arial" w:eastAsia="Arial" w:hAnsi="Arial"/>
          <w:sz w:val="19"/>
          <w:szCs w:val="19"/>
          <w:color w:val="auto"/>
        </w:rPr>
        <w:t xml:space="preserve">. An instrument executed by the Transferring Member and the Transferee implementing the Transfer,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applicable to it are true and correct with respect to it; (E) the Transferee’s ratification of the Investment Documents to which the Transferring Member is a party and agreement to be bound by them to the same extent that the Transferring Member was bound by them prior to the Transfer, including the assumptions of all liabilities and obligations thereunder with respect to the Transferred Membership Interest (including, without limitation and for the avoidance of doubt, each Member’s indemnification obligations under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 connection with any Indemnification Claims arising out of or resulting from actions of the Member (or any successor thereto) as Manager prior to any replacement of the Manager pursuant to </w:t>
      </w:r>
      <w:r>
        <w:rPr>
          <w:rFonts w:ascii="Arial" w:cs="Arial" w:eastAsia="Arial" w:hAnsi="Arial"/>
          <w:sz w:val="19"/>
          <w:szCs w:val="19"/>
          <w:u w:val="single" w:color="auto"/>
          <w:color w:val="auto"/>
        </w:rPr>
        <w:t>Section 6.4</w:t>
      </w:r>
      <w:r>
        <w:rPr>
          <w:rFonts w:ascii="Arial" w:cs="Arial" w:eastAsia="Arial" w:hAnsi="Arial"/>
          <w:sz w:val="19"/>
          <w:szCs w:val="19"/>
          <w:color w:val="auto"/>
        </w:rPr>
        <w:t>); and</w:t>
      </w:r>
    </w:p>
    <w:p>
      <w:pPr>
        <w:spacing w:after="0" w:line="6" w:lineRule="exact"/>
        <w:rPr>
          <w:rFonts w:ascii="Arial" w:cs="Arial" w:eastAsia="Arial" w:hAnsi="Arial"/>
          <w:sz w:val="19"/>
          <w:szCs w:val="19"/>
          <w:color w:val="auto"/>
        </w:rPr>
      </w:pPr>
    </w:p>
    <w:p>
      <w:pPr>
        <w:jc w:val="both"/>
        <w:ind w:left="660" w:hanging="4"/>
        <w:spacing w:after="0" w:line="260" w:lineRule="auto"/>
        <w:tabs>
          <w:tab w:leader="none" w:pos="98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representations and warranties by the Transferring Member and its Transferee that the Transfer and the admission of the Transferee as a Member is being made in accordance with all applicable Law, and that the applicable conditions set forth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have been satisfied. Upon any such Transfer, the Manager shall update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and the Register appropriately, and shall provide such updated Register to each Member.</w:t>
      </w:r>
    </w:p>
    <w:p>
      <w:pPr>
        <w:spacing w:after="0" w:line="178" w:lineRule="exact"/>
        <w:rPr>
          <w:rFonts w:ascii="Arial" w:cs="Arial" w:eastAsia="Arial" w:hAnsi="Arial"/>
          <w:sz w:val="21"/>
          <w:szCs w:val="21"/>
          <w:color w:val="auto"/>
        </w:rPr>
      </w:pPr>
    </w:p>
    <w:p>
      <w:pPr>
        <w:ind w:left="1820" w:hanging="515"/>
        <w:spacing w:after="0"/>
        <w:tabs>
          <w:tab w:leader="none" w:pos="1820"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Fund Documents</w:t>
      </w:r>
      <w:r>
        <w:rPr>
          <w:rFonts w:ascii="Arial" w:cs="Arial" w:eastAsia="Arial" w:hAnsi="Arial"/>
          <w:sz w:val="19"/>
          <w:szCs w:val="19"/>
          <w:color w:val="auto"/>
        </w:rPr>
        <w:t>. Such Transfer does not breach any provision of any Fund Document or any other Project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w:t>
      </w:r>
    </w:p>
    <w:p>
      <w:pPr>
        <w:spacing w:after="0" w:line="215" w:lineRule="exact"/>
        <w:rPr>
          <w:rFonts w:ascii="Arial" w:cs="Arial" w:eastAsia="Arial" w:hAnsi="Arial"/>
          <w:sz w:val="19"/>
          <w:szCs w:val="19"/>
          <w:color w:val="auto"/>
        </w:rPr>
      </w:pPr>
    </w:p>
    <w:p>
      <w:pPr>
        <w:ind w:right="20" w:firstLine="1305"/>
        <w:spacing w:after="0" w:line="276" w:lineRule="auto"/>
        <w:tabs>
          <w:tab w:leader="none" w:pos="1784"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Applicable Law; Securities Law</w:t>
      </w:r>
      <w:r>
        <w:rPr>
          <w:rFonts w:ascii="Arial" w:cs="Arial" w:eastAsia="Arial" w:hAnsi="Arial"/>
          <w:sz w:val="22"/>
          <w:szCs w:val="22"/>
          <w:color w:val="auto"/>
        </w:rPr>
        <w:t>. Such Transfer does not violate any provision of applicable Law, including, without limitation, applicable securities Law.</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340" w:val="left"/>
        </w:tabs>
        <w:numPr>
          <w:ilvl w:val="2"/>
          <w:numId w:val="180"/>
        </w:numPr>
        <w:rPr>
          <w:rFonts w:ascii="Arial" w:cs="Arial" w:eastAsia="Arial" w:hAnsi="Arial"/>
          <w:sz w:val="22"/>
          <w:szCs w:val="22"/>
          <w:color w:val="auto"/>
        </w:rPr>
      </w:pPr>
      <w:r>
        <w:rPr>
          <w:rFonts w:ascii="Arial" w:cs="Arial" w:eastAsia="Arial" w:hAnsi="Arial"/>
          <w:sz w:val="22"/>
          <w:szCs w:val="22"/>
          <w:u w:val="single" w:color="auto"/>
          <w:color w:val="auto"/>
        </w:rPr>
        <w:t>Entity Classification</w:t>
      </w:r>
      <w:r>
        <w:rPr>
          <w:rFonts w:ascii="Arial" w:cs="Arial" w:eastAsia="Arial" w:hAnsi="Arial"/>
          <w:sz w:val="22"/>
          <w:szCs w:val="22"/>
          <w:color w:val="auto"/>
        </w:rPr>
        <w:t>. Such Transfer does not cause the Company to be classified as an entity other than a partnership (or cause the Company to be treated as a publicly traded partnership taxable as a corporation) for purposes of the Code.</w:t>
      </w:r>
    </w:p>
    <w:p>
      <w:pPr>
        <w:spacing w:after="0" w:line="177" w:lineRule="exact"/>
        <w:rPr>
          <w:rFonts w:ascii="Arial" w:cs="Arial" w:eastAsia="Arial" w:hAnsi="Arial"/>
          <w:sz w:val="22"/>
          <w:szCs w:val="22"/>
          <w:color w:val="auto"/>
        </w:rPr>
      </w:pPr>
    </w:p>
    <w:p>
      <w:pPr>
        <w:ind w:left="660" w:firstLine="1293"/>
        <w:spacing w:after="0" w:line="276" w:lineRule="auto"/>
        <w:tabs>
          <w:tab w:leader="none" w:pos="2455" w:val="left"/>
        </w:tabs>
        <w:numPr>
          <w:ilvl w:val="2"/>
          <w:numId w:val="180"/>
        </w:numPr>
        <w:rPr>
          <w:rFonts w:ascii="Arial" w:cs="Arial" w:eastAsia="Arial" w:hAnsi="Arial"/>
          <w:sz w:val="22"/>
          <w:szCs w:val="22"/>
          <w:color w:val="auto"/>
        </w:rPr>
      </w:pPr>
      <w:r>
        <w:rPr>
          <w:rFonts w:ascii="Arial" w:cs="Arial" w:eastAsia="Arial" w:hAnsi="Arial"/>
          <w:sz w:val="22"/>
          <w:szCs w:val="22"/>
          <w:u w:val="single" w:color="auto"/>
          <w:color w:val="auto"/>
        </w:rPr>
        <w:t>Recapture</w:t>
      </w:r>
      <w:r>
        <w:rPr>
          <w:rFonts w:ascii="Arial" w:cs="Arial" w:eastAsia="Arial" w:hAnsi="Arial"/>
          <w:sz w:val="22"/>
          <w:szCs w:val="22"/>
          <w:color w:val="auto"/>
        </w:rPr>
        <w:t>. If such Transfer would occur prior to the end of the Recapture Period, such Transfer does not and will not result in the Recapture of any ITCs previously accrued to the Company.</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582" w:val="left"/>
        </w:tabs>
        <w:numPr>
          <w:ilvl w:val="2"/>
          <w:numId w:val="180"/>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Such Transfer would not result in the Company’s termination within the meaning of Section 708 of the Code unless the transferee has indemnified the other Members against any adverse tax effects that result from such termination.</w:t>
      </w:r>
    </w:p>
    <w:p>
      <w:pPr>
        <w:spacing w:after="0" w:line="177" w:lineRule="exact"/>
        <w:rPr>
          <w:rFonts w:ascii="Arial" w:cs="Arial" w:eastAsia="Arial" w:hAnsi="Arial"/>
          <w:sz w:val="22"/>
          <w:szCs w:val="22"/>
          <w:color w:val="auto"/>
        </w:rPr>
      </w:pPr>
    </w:p>
    <w:p>
      <w:pPr>
        <w:jc w:val="both"/>
        <w:ind w:left="660" w:firstLine="1293"/>
        <w:spacing w:after="0" w:line="300" w:lineRule="auto"/>
        <w:tabs>
          <w:tab w:leader="none" w:pos="2516" w:val="left"/>
        </w:tabs>
        <w:numPr>
          <w:ilvl w:val="2"/>
          <w:numId w:val="180"/>
        </w:numPr>
        <w:rPr>
          <w:rFonts w:ascii="Arial" w:cs="Arial" w:eastAsia="Arial" w:hAnsi="Arial"/>
          <w:sz w:val="19"/>
          <w:szCs w:val="19"/>
          <w:color w:val="auto"/>
        </w:rPr>
      </w:pPr>
      <w:r>
        <w:rPr>
          <w:rFonts w:ascii="Arial" w:cs="Arial" w:eastAsia="Arial" w:hAnsi="Arial"/>
          <w:sz w:val="19"/>
          <w:szCs w:val="19"/>
          <w:u w:val="single" w:color="auto"/>
          <w:color w:val="auto"/>
        </w:rPr>
        <w:t>Tax-Exempt Entity</w:t>
      </w:r>
      <w:r>
        <w:rPr>
          <w:rFonts w:ascii="Arial" w:cs="Arial" w:eastAsia="Arial" w:hAnsi="Arial"/>
          <w:sz w:val="19"/>
          <w:szCs w:val="19"/>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any Subject Company would thereby become “tax-exempt use property” within the meaning of Section 168(h)(6) of the Code.</w:t>
      </w:r>
    </w:p>
    <w:p>
      <w:pPr>
        <w:spacing w:after="0" w:line="147" w:lineRule="exact"/>
        <w:rPr>
          <w:rFonts w:ascii="Arial" w:cs="Arial" w:eastAsia="Arial" w:hAnsi="Arial"/>
          <w:sz w:val="19"/>
          <w:szCs w:val="19"/>
          <w:color w:val="auto"/>
        </w:rPr>
      </w:pPr>
    </w:p>
    <w:p>
      <w:pPr>
        <w:jc w:val="both"/>
        <w:ind w:firstLine="1305"/>
        <w:spacing w:after="0" w:line="358" w:lineRule="auto"/>
        <w:tabs>
          <w:tab w:leader="none" w:pos="1716"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Transferring Member and the Transferee shall have paid or reimbursed the Company and each Member for all reasonable costs and expenses incurred by the Company and such Members in connection with the</w:t>
      </w:r>
    </w:p>
    <w:p>
      <w:pPr>
        <w:sectPr>
          <w:pgSz w:w="11900" w:h="16838" w:orient="portrait"/>
          <w:cols w:equalWidth="0" w:num="1">
            <w:col w:w="11420"/>
          </w:cols>
          <w:pgMar w:left="240" w:top="159" w:right="239" w:bottom="0" w:gutter="0" w:footer="0" w:header="0"/>
        </w:sectPr>
      </w:pPr>
    </w:p>
    <w:bookmarkStart w:id="268" w:name="page269"/>
    <w:bookmarkEnd w:id="268"/>
    <w:p>
      <w:pPr>
        <w:spacing w:after="0" w:line="225" w:lineRule="auto"/>
        <w:rPr>
          <w:sz w:val="20"/>
          <w:szCs w:val="20"/>
          <w:color w:val="auto"/>
        </w:rPr>
      </w:pPr>
      <w:r>
        <w:rPr>
          <w:rFonts w:ascii="Arial" w:cs="Arial" w:eastAsia="Arial" w:hAnsi="Arial"/>
          <w:sz w:val="22"/>
          <w:szCs w:val="22"/>
          <w:color w:val="auto"/>
        </w:rPr>
        <w:t>Transfer and admission, on or before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after the receipt by such Persons of the Company’s or any such Member’s invoice for the amount due.</w:t>
      </w:r>
    </w:p>
    <w:p>
      <w:pPr>
        <w:spacing w:after="0" w:line="200" w:lineRule="exact"/>
        <w:rPr>
          <w:sz w:val="20"/>
          <w:szCs w:val="20"/>
          <w:color w:val="auto"/>
        </w:rPr>
      </w:pPr>
    </w:p>
    <w:p>
      <w:pPr>
        <w:ind w:firstLine="1305"/>
        <w:spacing w:after="0" w:line="301" w:lineRule="auto"/>
        <w:tabs>
          <w:tab w:leader="none" w:pos="1800"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No Release</w:t>
      </w:r>
      <w:r>
        <w:rPr>
          <w:rFonts w:ascii="Arial" w:cs="Arial" w:eastAsia="Arial" w:hAnsi="Arial"/>
          <w:sz w:val="21"/>
          <w:szCs w:val="21"/>
          <w:color w:val="auto"/>
        </w:rPr>
        <w:t>. Such Transfer shall not effect a release of the Transferring Member from any liabilities to the Company or the other Members arising from events occurring prior to or in connection with the Transfer.</w:t>
      </w:r>
    </w:p>
    <w:p>
      <w:pPr>
        <w:spacing w:after="0" w:line="137" w:lineRule="exact"/>
        <w:rPr>
          <w:rFonts w:ascii="Arial" w:cs="Arial" w:eastAsia="Arial" w:hAnsi="Arial"/>
          <w:sz w:val="21"/>
          <w:szCs w:val="21"/>
          <w:color w:val="auto"/>
        </w:rPr>
      </w:pPr>
    </w:p>
    <w:p>
      <w:pPr>
        <w:jc w:val="both"/>
        <w:ind w:firstLine="1305"/>
        <w:spacing w:after="0" w:line="254" w:lineRule="auto"/>
        <w:tabs>
          <w:tab w:leader="none" w:pos="1769"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Regulatory Matters</w:t>
      </w:r>
      <w:r>
        <w:rPr>
          <w:rFonts w:ascii="Arial" w:cs="Arial" w:eastAsia="Arial" w:hAnsi="Arial"/>
          <w:sz w:val="22"/>
          <w:szCs w:val="22"/>
          <w:color w:val="auto"/>
        </w:rPr>
        <w:t>. Such Transfer shall not result in (a) any Project ceasing to be or a Qualifying Facility, to the extent applicable, (b) any Subject Company becoming subject to regulation under PUHCA other than with respect to regulations pertaining to maintaining Qualifying Facility status or (c) any Subject Company ceasing to hold any other Energy Regulatory Approval.</w:t>
      </w:r>
    </w:p>
    <w:p>
      <w:pPr>
        <w:spacing w:after="0" w:line="185" w:lineRule="exact"/>
        <w:rPr>
          <w:rFonts w:ascii="Arial" w:cs="Arial" w:eastAsia="Arial" w:hAnsi="Arial"/>
          <w:sz w:val="22"/>
          <w:szCs w:val="22"/>
          <w:color w:val="auto"/>
        </w:rPr>
      </w:pPr>
    </w:p>
    <w:p>
      <w:pPr>
        <w:ind w:left="1820" w:hanging="515"/>
        <w:spacing w:after="0"/>
        <w:tabs>
          <w:tab w:leader="none" w:pos="182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Consents and Permits</w:t>
      </w:r>
      <w:r>
        <w:rPr>
          <w:rFonts w:ascii="Arial" w:cs="Arial" w:eastAsia="Arial" w:hAnsi="Arial"/>
          <w:sz w:val="19"/>
          <w:szCs w:val="19"/>
          <w:color w:val="auto"/>
        </w:rPr>
        <w:t>. All consents, approvals and Licenses and Permits with respect to such Transfer shall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have been obtained.</w:t>
      </w:r>
    </w:p>
    <w:p>
      <w:pPr>
        <w:spacing w:after="0" w:line="215" w:lineRule="exact"/>
        <w:rPr>
          <w:rFonts w:ascii="Arial" w:cs="Arial" w:eastAsia="Arial" w:hAnsi="Arial"/>
          <w:sz w:val="19"/>
          <w:szCs w:val="19"/>
          <w:color w:val="auto"/>
        </w:rPr>
      </w:pPr>
    </w:p>
    <w:p>
      <w:pPr>
        <w:ind w:right="20" w:firstLine="1305"/>
        <w:spacing w:after="0" w:line="276" w:lineRule="auto"/>
        <w:tabs>
          <w:tab w:leader="none" w:pos="1694"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Such Transfer does not require the Company to register as an “investment company” under the Investment Company Act of 1940, as amended.</w:t>
      </w:r>
    </w:p>
    <w:p>
      <w:pPr>
        <w:spacing w:after="0" w:line="155"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9.4</w:t>
      </w:r>
      <w:r>
        <w:rPr>
          <w:sz w:val="20"/>
          <w:szCs w:val="20"/>
          <w:color w:val="auto"/>
        </w:rPr>
        <w:tab/>
      </w:r>
      <w:r>
        <w:rPr>
          <w:rFonts w:ascii="Arial" w:cs="Arial" w:eastAsia="Arial" w:hAnsi="Arial"/>
          <w:sz w:val="19"/>
          <w:szCs w:val="19"/>
          <w:b w:val="1"/>
          <w:bCs w:val="1"/>
          <w:u w:val="single" w:color="auto"/>
          <w:color w:val="auto"/>
        </w:rPr>
        <w:t>Encumbrances of Membership Interest.</w:t>
      </w:r>
    </w:p>
    <w:p>
      <w:pPr>
        <w:spacing w:after="0" w:line="23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during the Investment Period, shall only be to a Qualified Transferee and (c) otherwise comply with the requirements of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Notwithstanding the foregoing provisions of this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 (b) such Member may Encumber its Membership Interests pursuant to and subject to the terms of any such consent.</w:t>
      </w:r>
    </w:p>
    <w:p>
      <w:pPr>
        <w:spacing w:after="0" w:line="177"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9.5</w:t>
      </w:r>
      <w:r>
        <w:rPr>
          <w:sz w:val="20"/>
          <w:szCs w:val="20"/>
          <w:color w:val="auto"/>
        </w:rPr>
        <w:tab/>
      </w:r>
      <w:r>
        <w:rPr>
          <w:rFonts w:ascii="Arial" w:cs="Arial" w:eastAsia="Arial" w:hAnsi="Arial"/>
          <w:sz w:val="19"/>
          <w:szCs w:val="19"/>
          <w:b w:val="1"/>
          <w:bCs w:val="1"/>
          <w:u w:val="single" w:color="auto"/>
          <w:color w:val="auto"/>
        </w:rPr>
        <w:t>Admission of Transferee as a Member.</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Any Transferee in a Transfer permitted under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9.6</w:t>
      </w:r>
      <w:r>
        <w:rPr>
          <w:sz w:val="20"/>
          <w:szCs w:val="20"/>
          <w:color w:val="auto"/>
        </w:rPr>
        <w:tab/>
      </w:r>
      <w:r>
        <w:rPr>
          <w:rFonts w:ascii="Arial" w:cs="Arial" w:eastAsia="Arial" w:hAnsi="Arial"/>
          <w:sz w:val="19"/>
          <w:szCs w:val="19"/>
          <w:b w:val="1"/>
          <w:bCs w:val="1"/>
          <w:u w:val="single" w:color="auto"/>
          <w:color w:val="auto"/>
        </w:rPr>
        <w:t>Change in Control.</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The Class B Member shall provide prompt written notice to the Class A Member of execution of definitive agreements, which if consummated would result in a Change in Control (a </w:t>
      </w:r>
      <w:r>
        <w:rPr>
          <w:rFonts w:ascii="Arial" w:cs="Arial" w:eastAsia="Arial" w:hAnsi="Arial"/>
          <w:sz w:val="21"/>
          <w:szCs w:val="21"/>
          <w:b w:val="1"/>
          <w:bCs w:val="1"/>
          <w:color w:val="auto"/>
        </w:rPr>
        <w:t>“Change in Control Notice</w:t>
      </w:r>
      <w:r>
        <w:rPr>
          <w:rFonts w:ascii="Arial" w:cs="Arial" w:eastAsia="Arial" w:hAnsi="Arial"/>
          <w:sz w:val="21"/>
          <w:szCs w:val="21"/>
          <w:color w:val="auto"/>
        </w:rPr>
        <w:t>”). The Class A Member shall have the right (the “</w:t>
      </w:r>
      <w:r>
        <w:rPr>
          <w:rFonts w:ascii="Arial" w:cs="Arial" w:eastAsia="Arial" w:hAnsi="Arial"/>
          <w:sz w:val="21"/>
          <w:szCs w:val="21"/>
          <w:b w:val="1"/>
          <w:bCs w:val="1"/>
          <w:color w:val="auto"/>
        </w:rPr>
        <w:t>Affiliate Termination Right</w:t>
      </w:r>
      <w:r>
        <w:rPr>
          <w:rFonts w:ascii="Arial" w:cs="Arial" w:eastAsia="Arial" w:hAnsi="Arial"/>
          <w:sz w:val="21"/>
          <w:szCs w:val="21"/>
          <w:color w:val="auto"/>
        </w:rPr>
        <w:t>”), exercisable within twelve (12) months after the Class A Member’s receipt of a Change in Control Notice, to give notice (the “</w:t>
      </w:r>
      <w:r>
        <w:rPr>
          <w:rFonts w:ascii="Arial" w:cs="Arial" w:eastAsia="Arial" w:hAnsi="Arial"/>
          <w:sz w:val="21"/>
          <w:szCs w:val="21"/>
          <w:b w:val="1"/>
          <w:bCs w:val="1"/>
          <w:color w:val="auto"/>
        </w:rPr>
        <w:t>Affiliate Termination Notice</w:t>
      </w:r>
      <w:r>
        <w:rPr>
          <w:rFonts w:ascii="Arial" w:cs="Arial" w:eastAsia="Arial" w:hAnsi="Arial"/>
          <w:sz w:val="21"/>
          <w:szCs w:val="21"/>
          <w:color w:val="auto"/>
        </w:rPr>
        <w:t>”) to the Class B Member that upon such Change in Control the Class A Member desires to terminate the O&amp;M Agreement and the AMA. Such Affiliate Termination Notice shall specify the proposed replacement operator and/or manager (“</w:t>
      </w:r>
      <w:r>
        <w:rPr>
          <w:rFonts w:ascii="Arial" w:cs="Arial" w:eastAsia="Arial" w:hAnsi="Arial"/>
          <w:sz w:val="21"/>
          <w:szCs w:val="21"/>
          <w:b w:val="1"/>
          <w:bCs w:val="1"/>
          <w:color w:val="auto"/>
        </w:rPr>
        <w:t>Replacement Service Provider(s)</w:t>
      </w:r>
      <w:r>
        <w:rPr>
          <w:rFonts w:ascii="Arial" w:cs="Arial" w:eastAsia="Arial" w:hAnsi="Arial"/>
          <w:sz w:val="21"/>
          <w:szCs w:val="21"/>
          <w:color w:val="auto"/>
        </w:rPr>
        <w:t>”), as applicable, and include form replacement service contract(s) (“</w:t>
      </w:r>
      <w:r>
        <w:rPr>
          <w:rFonts w:ascii="Arial" w:cs="Arial" w:eastAsia="Arial" w:hAnsi="Arial"/>
          <w:sz w:val="21"/>
          <w:szCs w:val="21"/>
          <w:b w:val="1"/>
          <w:bCs w:val="1"/>
          <w:color w:val="auto"/>
        </w:rPr>
        <w:t>Replacement Service Contract(s)</w:t>
      </w:r>
      <w:r>
        <w:rPr>
          <w:rFonts w:ascii="Arial" w:cs="Arial" w:eastAsia="Arial" w:hAnsi="Arial"/>
          <w:sz w:val="21"/>
          <w:szCs w:val="21"/>
          <w:color w:val="auto"/>
        </w:rPr>
        <w:t>”).</w:t>
      </w:r>
    </w:p>
    <w:p>
      <w:pPr>
        <w:spacing w:after="0" w:line="181" w:lineRule="exact"/>
        <w:rPr>
          <w:sz w:val="20"/>
          <w:szCs w:val="20"/>
          <w:color w:val="auto"/>
        </w:rPr>
      </w:pPr>
    </w:p>
    <w:p>
      <w:pPr>
        <w:jc w:val="both"/>
        <w:ind w:firstLine="1305"/>
        <w:spacing w:after="0" w:line="259" w:lineRule="auto"/>
        <w:tabs>
          <w:tab w:leader="none" w:pos="173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Promptly upon receipt of the Affiliate Termination Notice, the Class B Member shall, at the Class B Member’s sole cost and expense, cause the Independent Engineer to (i) determine whether (A) the creditworthiness and operational capabilities of the Replacement Service Provider(s) and its or their Affiliates are reasonably equivalent to the creditworthiness and operational capabilities of the providers under the O&amp;M Agreement and the AMA and (B) the terms of the Replacement Service Contracts are in the aggregate at least as favorable to NRG Chestnut Fund LLC as the terms of the O&amp;M Agreement and the AMA, and (ii) provide notice to the Class A Member and the Class B Member of such determination. If the Independent Engineer determines that the Replacement Service Providers are reasonably equivalent to the providers under the O&amp;M Agreement and AMA and the Replacement Service Contracts are at least as favorable to NRG Chestnut Fund LLC as the terms of the O&amp;M Agreement, such determination shall be an </w:t>
      </w:r>
      <w:r>
        <w:rPr>
          <w:rFonts w:ascii="Arial" w:cs="Arial" w:eastAsia="Arial" w:hAnsi="Arial"/>
          <w:sz w:val="21"/>
          <w:szCs w:val="21"/>
          <w:b w:val="1"/>
          <w:bCs w:val="1"/>
          <w:color w:val="auto"/>
        </w:rPr>
        <w:t>“IE Approval</w:t>
      </w:r>
      <w:r>
        <w:rPr>
          <w:rFonts w:ascii="Arial" w:cs="Arial" w:eastAsia="Arial" w:hAnsi="Arial"/>
          <w:sz w:val="21"/>
          <w:szCs w:val="21"/>
          <w:color w:val="auto"/>
        </w:rPr>
        <w:t xml:space="preserve">”. If such determination is not an IE Approval, the Class B Member may specify different proposed Replacement Service Provider(s) and Replacement Service Contract(s) for the Independent Engineer’s determination pursuant to this Section 9.6(a). The final determination of the Independent Engineer which is not an IE Approval shall be an </w:t>
      </w:r>
      <w:r>
        <w:rPr>
          <w:rFonts w:ascii="Arial" w:cs="Arial" w:eastAsia="Arial" w:hAnsi="Arial"/>
          <w:sz w:val="21"/>
          <w:szCs w:val="21"/>
          <w:b w:val="1"/>
          <w:bCs w:val="1"/>
          <w:color w:val="auto"/>
        </w:rPr>
        <w:t>“IE Rejection”</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jc w:val="both"/>
        <w:ind w:firstLine="1305"/>
        <w:spacing w:after="0" w:line="320" w:lineRule="auto"/>
        <w:tabs>
          <w:tab w:leader="none" w:pos="182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Upon receipt of the IE Approval, the Class A Member shall have thirty (30) days to determine whether to proceed with termination of the O&amp;M Agreement and AMA. If an IE Approval is received and the Class A Member determines to proceed with termination of the O&amp;M Agreement and AMA, the Class B Member shall use commercially reasonable efforts to</w:t>
      </w:r>
    </w:p>
    <w:p>
      <w:pPr>
        <w:sectPr>
          <w:pgSz w:w="11900" w:h="16838" w:orient="portrait"/>
          <w:cols w:equalWidth="0" w:num="1">
            <w:col w:w="11420"/>
          </w:cols>
          <w:pgMar w:left="240" w:top="122" w:right="239" w:bottom="0" w:gutter="0" w:footer="0" w:header="0"/>
        </w:sectPr>
      </w:pPr>
    </w:p>
    <w:bookmarkStart w:id="269" w:name="page270"/>
    <w:bookmarkEnd w:id="269"/>
    <w:p>
      <w:pPr>
        <w:ind w:right="20"/>
        <w:spacing w:after="0" w:line="263" w:lineRule="auto"/>
        <w:rPr>
          <w:sz w:val="20"/>
          <w:szCs w:val="20"/>
          <w:color w:val="auto"/>
        </w:rPr>
      </w:pPr>
      <w:r>
        <w:rPr>
          <w:rFonts w:ascii="Arial" w:cs="Arial" w:eastAsia="Arial" w:hAnsi="Arial"/>
          <w:sz w:val="22"/>
          <w:szCs w:val="22"/>
          <w:color w:val="auto"/>
        </w:rPr>
        <w:t>obtain the consent of any Fund Investor, backleverage lender or other Person whose consent is required to (i) terminate the O&amp;M Agreement and AMA and (ii) replace such agreements with the Replacement Service Contracts.</w:t>
      </w:r>
    </w:p>
    <w:p>
      <w:pPr>
        <w:spacing w:after="0" w:line="175" w:lineRule="exact"/>
        <w:rPr>
          <w:sz w:val="20"/>
          <w:szCs w:val="20"/>
          <w:color w:val="auto"/>
        </w:rPr>
      </w:pPr>
    </w:p>
    <w:p>
      <w:pPr>
        <w:jc w:val="both"/>
        <w:ind w:firstLine="1305"/>
        <w:spacing w:after="0" w:line="254" w:lineRule="auto"/>
        <w:tabs>
          <w:tab w:leader="none" w:pos="187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Upon obtaining the consents described in clause (b) above, the Class B Member and the Sponsor shall promptly, but in any event within sixty (60) days after receipt of such consents, terminate, or cause to be terminated, the O&amp;M Agreement and AMA for convenience without any payment with respect to such termination other than the payment of any Termination Costs required pursuant to this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48" w:lineRule="auto"/>
        <w:tabs>
          <w:tab w:leader="none" w:pos="181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In the event the O&amp;M Agreement and/or the AMA are terminated pursuant to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the Class A Member shall be required to pay to the operator or manager under the O&amp;M Agreement and/or AMA, as applicable, Termination Costs (as determined in accordance with </w:t>
      </w:r>
      <w:r>
        <w:rPr>
          <w:rFonts w:ascii="Arial" w:cs="Arial" w:eastAsia="Arial" w:hAnsi="Arial"/>
          <w:sz w:val="22"/>
          <w:szCs w:val="22"/>
          <w:u w:val="single" w:color="auto"/>
          <w:color w:val="auto"/>
        </w:rPr>
        <w:t>Section 9.6(e)</w:t>
      </w:r>
      <w:r>
        <w:rPr>
          <w:rFonts w:ascii="Arial" w:cs="Arial" w:eastAsia="Arial" w:hAnsi="Arial"/>
          <w:sz w:val="22"/>
          <w:szCs w:val="22"/>
          <w:color w:val="auto"/>
        </w:rPr>
        <w:t xml:space="preserve">) only if following the Change in Control the Person who ultimately Controls the Class B Member will not also ultimately control the Class A Member (through the ownership of the non-public shares of NRG Yield, Inc.) (the </w:t>
      </w:r>
      <w:r>
        <w:rPr>
          <w:rFonts w:ascii="Arial" w:cs="Arial" w:eastAsia="Arial" w:hAnsi="Arial"/>
          <w:sz w:val="22"/>
          <w:szCs w:val="22"/>
          <w:b w:val="1"/>
          <w:bCs w:val="1"/>
          <w:color w:val="auto"/>
        </w:rPr>
        <w:t>“Unaffiliated Scenario”</w:t>
      </w:r>
      <w:r>
        <w:rPr>
          <w:rFonts w:ascii="Arial" w:cs="Arial" w:eastAsia="Arial" w:hAnsi="Arial"/>
          <w:sz w:val="22"/>
          <w:szCs w:val="22"/>
          <w:color w:val="auto"/>
        </w:rPr>
        <w:t>). For clarity, the Class A Member shall have no obligation to pay Termination Costs where (A) there is an IE Approval and the Unaffiliated Scenario does not occur or (B) there is an IE Rejection (whether or not the Unaffiliated Scenario occurs).</w:t>
      </w:r>
    </w:p>
    <w:p>
      <w:pPr>
        <w:spacing w:after="0" w:line="195" w:lineRule="exact"/>
        <w:rPr>
          <w:rFonts w:ascii="Arial" w:cs="Arial" w:eastAsia="Arial" w:hAnsi="Arial"/>
          <w:sz w:val="22"/>
          <w:szCs w:val="22"/>
          <w:color w:val="auto"/>
        </w:rPr>
      </w:pPr>
    </w:p>
    <w:p>
      <w:pPr>
        <w:jc w:val="both"/>
        <w:ind w:firstLine="1305"/>
        <w:spacing w:after="0" w:line="287" w:lineRule="auto"/>
        <w:tabs>
          <w:tab w:leader="none" w:pos="181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Within thirty (30) days after the Class B Member’s receipt of an Affiliate Termination Notice, the Class B Member shall prepare in good faith and deliver to the Class A Member a reasonable estimate of the Termination Costs (defined below), including reasonable supporting detail thereof (the </w:t>
      </w:r>
      <w:r>
        <w:rPr>
          <w:rFonts w:ascii="Arial" w:cs="Arial" w:eastAsia="Arial" w:hAnsi="Arial"/>
          <w:sz w:val="19"/>
          <w:szCs w:val="19"/>
          <w:b w:val="1"/>
          <w:bCs w:val="1"/>
          <w:color w:val="auto"/>
        </w:rPr>
        <w:t>“Estimated Termination Costs”</w:t>
      </w:r>
      <w:r>
        <w:rPr>
          <w:rFonts w:ascii="Arial" w:cs="Arial" w:eastAsia="Arial" w:hAnsi="Arial"/>
          <w:sz w:val="19"/>
          <w:szCs w:val="19"/>
          <w:color w:val="auto"/>
        </w:rPr>
        <w:t>). The Parties shall work together in good faith to resolve any disagreements with respect to the Estimated Termination Costs. No later than thirty (30) days following the effectiveness of the termination of the O&amp;M Agreement and AMA, as applicable, the Class B Member shall deliver to the Class A Member a written statement (the “</w:t>
      </w:r>
      <w:r>
        <w:rPr>
          <w:rFonts w:ascii="Arial" w:cs="Arial" w:eastAsia="Arial" w:hAnsi="Arial"/>
          <w:sz w:val="19"/>
          <w:szCs w:val="19"/>
          <w:b w:val="1"/>
          <w:bCs w:val="1"/>
          <w:color w:val="auto"/>
        </w:rPr>
        <w:t>Termination Fee Statement</w:t>
      </w:r>
      <w:r>
        <w:rPr>
          <w:rFonts w:ascii="Arial" w:cs="Arial" w:eastAsia="Arial" w:hAnsi="Arial"/>
          <w:sz w:val="19"/>
          <w:szCs w:val="19"/>
          <w:color w:val="auto"/>
        </w:rPr>
        <w:t>”), certified by an officer of the operator or manager under the O&amp;M Agreement and AMA, setting forth the final (x) Wind-down Costs, including reasonable supporting detail thereof, and (y) Investment Costs, including reasonable supporting detail thereof that (i) have actually been incurred with respect to the O&amp;M Agreement or AMA, as applicable, (ii) are not readily redeployed or amortized across other projects, (iii) have been incurred or committed to be incurred between the Effective Date and twelve (12) months following the effective date of termination of the O&amp;M Agreement and AMA, and (iv) have not already been recovered through fees actually paid under the O&amp;M Agreement or AMA, as applicable (such Wind-down Costs and Investment Costs collectively, the “</w:t>
      </w:r>
      <w:r>
        <w:rPr>
          <w:rFonts w:ascii="Arial" w:cs="Arial" w:eastAsia="Arial" w:hAnsi="Arial"/>
          <w:sz w:val="19"/>
          <w:szCs w:val="19"/>
          <w:b w:val="1"/>
          <w:bCs w:val="1"/>
          <w:color w:val="auto"/>
        </w:rPr>
        <w:t>Termination Costs</w:t>
      </w:r>
      <w:r>
        <w:rPr>
          <w:rFonts w:ascii="Arial" w:cs="Arial" w:eastAsia="Arial" w:hAnsi="Arial"/>
          <w:sz w:val="19"/>
          <w:szCs w:val="19"/>
          <w:color w:val="auto"/>
        </w:rPr>
        <w:t>”). If Termination Costs are payable pursuant to clause (d) above, the Class A Member shall pay all Termination Costs to the operator or manager, as applicable, within thirty (30) days of receipt of the Termination Fee Statement; provided, that the maximum amount of Termination Costs that the Class A Member shall be required to pay under this Agreement shall not exceed one hundred thirty percent (130%) of the Estimated Termination Costs.</w:t>
      </w:r>
    </w:p>
    <w:p>
      <w:pPr>
        <w:spacing w:after="0" w:line="200" w:lineRule="exact"/>
        <w:rPr>
          <w:sz w:val="20"/>
          <w:szCs w:val="20"/>
          <w:color w:val="auto"/>
        </w:rPr>
      </w:pP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to the contrary, if (x) the Class A Member does not provide the Class B Member with an Affiliate Termination Notice within twelve (12) months of the effective date of a Change in Control (y) the Class A Member receives an IE Rejection or (z) the Class A Member determines not to proceed with termination of the O&amp;M Agreement and AMA pursuant to clause (b) above, the Affiliate Termination Right and the provisions of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shall expire and be of no further force and effect.</w:t>
      </w:r>
    </w:p>
    <w:p>
      <w:pPr>
        <w:spacing w:after="0" w:line="186"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color w:val="auto"/>
        </w:rPr>
        <w:t>Section 9.7</w:t>
      </w:r>
      <w:r>
        <w:rPr>
          <w:sz w:val="20"/>
          <w:szCs w:val="20"/>
          <w:color w:val="auto"/>
        </w:rPr>
        <w:tab/>
      </w:r>
      <w:r>
        <w:rPr>
          <w:rFonts w:ascii="Arial" w:cs="Arial" w:eastAsia="Arial" w:hAnsi="Arial"/>
          <w:sz w:val="19"/>
          <w:szCs w:val="19"/>
          <w:b w:val="1"/>
          <w:bCs w:val="1"/>
          <w:u w:val="single" w:color="auto"/>
          <w:color w:val="auto"/>
        </w:rPr>
        <w:t>Terminated Member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 xml:space="preserve">Upon the closing of a Transfer by a Member of all of its Membership Interest in the Company in accordance with this </w:t>
      </w:r>
      <w:r>
        <w:rPr>
          <w:rFonts w:ascii="Arial" w:cs="Arial" w:eastAsia="Arial" w:hAnsi="Arial"/>
          <w:sz w:val="21"/>
          <w:szCs w:val="21"/>
          <w:u w:val="single" w:color="auto"/>
          <w:color w:val="auto"/>
        </w:rPr>
        <w:t>Article IX</w:t>
      </w:r>
      <w:r>
        <w:rPr>
          <w:rFonts w:ascii="Arial" w:cs="Arial" w:eastAsia="Arial" w:hAnsi="Arial"/>
          <w:sz w:val="21"/>
          <w:szCs w:val="21"/>
          <w:color w:val="auto"/>
        </w:rPr>
        <w:t>, the following provisions shall apply to the Transferring Member (now a “</w:t>
      </w:r>
      <w:r>
        <w:rPr>
          <w:rFonts w:ascii="Arial" w:cs="Arial" w:eastAsia="Arial" w:hAnsi="Arial"/>
          <w:sz w:val="21"/>
          <w:szCs w:val="21"/>
          <w:b w:val="1"/>
          <w:bCs w:val="1"/>
          <w:color w:val="auto"/>
        </w:rPr>
        <w:t>Terminated Member</w:t>
      </w:r>
      <w:r>
        <w:rPr>
          <w:rFonts w:ascii="Arial" w:cs="Arial" w:eastAsia="Arial" w:hAnsi="Arial"/>
          <w:sz w:val="21"/>
          <w:szCs w:val="21"/>
          <w:color w:val="auto"/>
        </w:rPr>
        <w:t>”):</w:t>
      </w:r>
    </w:p>
    <w:p>
      <w:pPr>
        <w:spacing w:after="0" w:line="152" w:lineRule="exact"/>
        <w:rPr>
          <w:sz w:val="20"/>
          <w:szCs w:val="20"/>
          <w:color w:val="auto"/>
        </w:rPr>
      </w:pPr>
    </w:p>
    <w:p>
      <w:pPr>
        <w:ind w:left="1720" w:hanging="415"/>
        <w:spacing w:after="0"/>
        <w:tabs>
          <w:tab w:leader="none" w:pos="172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Terminated Member shall cease to be a Member immediately upon the occurrence of such closing.</w:t>
      </w:r>
    </w:p>
    <w:p>
      <w:pPr>
        <w:spacing w:after="0" w:line="244" w:lineRule="exact"/>
        <w:rPr>
          <w:rFonts w:ascii="Arial" w:cs="Arial" w:eastAsia="Arial" w:hAnsi="Arial"/>
          <w:sz w:val="21"/>
          <w:szCs w:val="21"/>
          <w:color w:val="auto"/>
        </w:rPr>
      </w:pPr>
    </w:p>
    <w:p>
      <w:pPr>
        <w:jc w:val="both"/>
        <w:ind w:firstLine="1305"/>
        <w:spacing w:after="0" w:line="254" w:lineRule="auto"/>
        <w:tabs>
          <w:tab w:leader="none" w:pos="193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The Terminated Member shall no longer be entitled to receive any distributions (including liquidating distributions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 or allocations from the Company, and it shall not be entitled to exercise any voting or consent rights or to receive any further information (or access to information) from the Company (other than any required tax information).</w:t>
      </w:r>
    </w:p>
    <w:p>
      <w:pPr>
        <w:spacing w:after="0" w:line="185" w:lineRule="exact"/>
        <w:rPr>
          <w:rFonts w:ascii="Arial" w:cs="Arial" w:eastAsia="Arial" w:hAnsi="Arial"/>
          <w:sz w:val="22"/>
          <w:szCs w:val="22"/>
          <w:color w:val="auto"/>
        </w:rPr>
      </w:pPr>
    </w:p>
    <w:p>
      <w:pPr>
        <w:ind w:firstLine="1305"/>
        <w:spacing w:after="0" w:line="276" w:lineRule="auto"/>
        <w:tabs>
          <w:tab w:leader="none" w:pos="178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Terminated Member must pay (i) to the Company all amounts owed to the Company by the Terminated Member and (ii) to each other Member all amounts owed to such Member by the Terminated Member.</w:t>
      </w:r>
    </w:p>
    <w:p>
      <w:pPr>
        <w:spacing w:after="0" w:line="160" w:lineRule="exact"/>
        <w:rPr>
          <w:rFonts w:ascii="Arial" w:cs="Arial" w:eastAsia="Arial" w:hAnsi="Arial"/>
          <w:sz w:val="22"/>
          <w:szCs w:val="22"/>
          <w:color w:val="auto"/>
        </w:rPr>
      </w:pPr>
    </w:p>
    <w:p>
      <w:pPr>
        <w:ind w:firstLine="1305"/>
        <w:spacing w:after="0" w:line="276" w:lineRule="auto"/>
        <w:tabs>
          <w:tab w:leader="none" w:pos="172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Terminated Member shall remain obligated for all liabilities it may have under this Agreement or otherwise with respect to the Company that accrue prior to the closing.</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90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Membership Interest, including the Capital Account balance attributable thereto, of the Terminated Member shall be allocated among the applicable Transferees in proportion to the relative Transferred Units acquired by such Transferee.</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AGGREGATE TRACKING MODEL AND DISPUTE</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u w:val="single" w:color="auto"/>
          <w:color w:val="auto"/>
        </w:rPr>
        <w:t>Aggregate Tracking Model.</w:t>
      </w:r>
    </w:p>
    <w:p>
      <w:pPr>
        <w:sectPr>
          <w:pgSz w:w="11900" w:h="16838" w:orient="portrait"/>
          <w:cols w:equalWidth="0" w:num="1">
            <w:col w:w="11420"/>
          </w:cols>
          <w:pgMar w:left="240" w:top="132" w:right="239" w:bottom="0" w:gutter="0" w:footer="0" w:header="0"/>
        </w:sectPr>
      </w:pPr>
    </w:p>
    <w:bookmarkStart w:id="270" w:name="page271"/>
    <w:bookmarkEnd w:id="270"/>
    <w:p>
      <w:pPr>
        <w:spacing w:after="0" w:line="29" w:lineRule="exact"/>
        <w:rPr>
          <w:sz w:val="20"/>
          <w:szCs w:val="20"/>
          <w:color w:val="auto"/>
        </w:rPr>
      </w:pPr>
    </w:p>
    <w:p>
      <w:pPr>
        <w:ind w:firstLine="1305"/>
        <w:spacing w:after="0" w:line="276" w:lineRule="auto"/>
        <w:tabs>
          <w:tab w:leader="none" w:pos="171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Manager will send the Members, within one hundred twenty (120) days after the date of the Tax Return for the immediately preceding Fiscal Year was filed, a report in the form of the Aggregate Tracking Model.</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Prior to making any liquidating distribution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the Manager shall provide the Members an Aggregate Tracking Model specifying the portion of the liquidation proceeds to be distributed to the Class A Members and the portion of the Company Items to be allocated to the Class A Members under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The Manager will make its advisers (if any) available to answer any questions about its calculations and reports made under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Any Class A Member may invoke the dispute resolution procedures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to resolve any item or procedure that is in dispute.</w:t>
      </w:r>
    </w:p>
    <w:p>
      <w:pPr>
        <w:spacing w:after="0" w:line="17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u w:val="single" w:color="auto"/>
          <w:color w:val="auto"/>
        </w:rPr>
        <w:t>Dispute.</w:t>
      </w:r>
    </w:p>
    <w:p>
      <w:pPr>
        <w:spacing w:after="0" w:line="23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If any Class A Member shall dispute any item or procedure or calculation of, or which affects, its Capital Contribution set forth in a Capital Contribution Request delivered to such Class A Member, such Class A Member shall notify the Manager within ten (10) days following receipt of the notice or report disputed. In such case, such Class A Member’s notification will set forth in reasonable detail such Class A Member’s objections or disagreements, and the Parties shall attempt in good faith to promptly resolve any differences as to the matters so disputed. If the Parties are unable to resolve any such differences within ten</w:t>
      </w:r>
    </w:p>
    <w:p>
      <w:pPr>
        <w:spacing w:after="0" w:line="4" w:lineRule="exact"/>
        <w:rPr>
          <w:sz w:val="20"/>
          <w:szCs w:val="20"/>
          <w:color w:val="auto"/>
        </w:rPr>
      </w:pPr>
    </w:p>
    <w:p>
      <w:pPr>
        <w:jc w:val="both"/>
        <w:ind w:firstLine="8"/>
        <w:spacing w:after="0" w:line="286" w:lineRule="auto"/>
        <w:tabs>
          <w:tab w:leader="none" w:pos="43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days after the date of such Class A Member’s notice, then the actual determination shall be finally referred to a nationally recognized independent public accounting firm (which may or may not be the Certified Public Accountant) selected by the Class A Members (by vote of the Consent of the Class A Members), which accounting firm will be asked to designate one of its partners to act as an independent expert for purposes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w:t>
      </w:r>
      <w:r>
        <w:rPr>
          <w:rFonts w:ascii="Arial" w:cs="Arial" w:eastAsia="Arial" w:hAnsi="Arial"/>
          <w:sz w:val="19"/>
          <w:szCs w:val="19"/>
          <w:b w:val="1"/>
          <w:bCs w:val="1"/>
          <w:color w:val="auto"/>
        </w:rPr>
        <w:t>Independent Expert</w:t>
      </w:r>
      <w:r>
        <w:rPr>
          <w:rFonts w:ascii="Arial" w:cs="Arial" w:eastAsia="Arial" w:hAnsi="Arial"/>
          <w:sz w:val="19"/>
          <w:szCs w:val="19"/>
          <w:color w:val="auto"/>
        </w:rPr>
        <w:t xml:space="preserve">”). Such Class A Member and the Manager shall submit the pertinent information, books and records, as applicable, and all other data necessary for the Independent Expert to make his determination, including any additional data requested by the Independent Expert. The Independent Expert shall keep confidential all information submitted to him in connection with his resolution of the dispute(s) hereunder. The Independent Expert shall be requested to render his determination as promptly as possible after he receives all necessary data and materials. The determination of the Independent Expert resolving a dispute pursuant to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 be final and binding upon the disputing parties, and such determination shall apply for all subsequent periods to any item or procedure substantially similar to that determined hereunder. The Company shall pay the fees of the Independent Expert incurred for such determination.</w:t>
      </w:r>
    </w:p>
    <w:p>
      <w:pPr>
        <w:spacing w:after="0" w:line="15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u w:val="single" w:color="auto"/>
          <w:color w:val="auto"/>
        </w:rPr>
        <w:t>Indemnification by the Members.</w:t>
      </w:r>
    </w:p>
    <w:p>
      <w:pPr>
        <w:spacing w:after="0" w:line="239" w:lineRule="exact"/>
        <w:rPr>
          <w:sz w:val="20"/>
          <w:szCs w:val="20"/>
          <w:color w:val="auto"/>
        </w:rPr>
      </w:pPr>
    </w:p>
    <w:p>
      <w:pPr>
        <w:jc w:val="both"/>
        <w:ind w:firstLine="1305"/>
        <w:spacing w:after="0" w:line="284" w:lineRule="auto"/>
        <w:tabs>
          <w:tab w:leader="none" w:pos="177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Indemnification by the Class B Member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A Parties</w:t>
      </w:r>
      <w:r>
        <w:rPr>
          <w:rFonts w:ascii="Arial" w:cs="Arial" w:eastAsia="Arial" w:hAnsi="Arial"/>
          <w:sz w:val="19"/>
          <w:szCs w:val="19"/>
          <w:color w:val="auto"/>
        </w:rPr>
        <w:t>”), from and against any and all claims, actions, causes of action, demands, assessments, losses, damages, liabilities, judgments, settlements, Taxes, penalties, costs, and expenses (including reasonable attorneys’ fees and expenses, including such fees and expenses at trial and on any appeal), of any nature whatsoever (collectively, “</w:t>
      </w:r>
      <w:r>
        <w:rPr>
          <w:rFonts w:ascii="Arial" w:cs="Arial" w:eastAsia="Arial" w:hAnsi="Arial"/>
          <w:sz w:val="19"/>
          <w:szCs w:val="19"/>
          <w:b w:val="1"/>
          <w:bCs w:val="1"/>
          <w:color w:val="auto"/>
        </w:rPr>
        <w:t>Damages</w:t>
      </w:r>
      <w:r>
        <w:rPr>
          <w:rFonts w:ascii="Arial" w:cs="Arial" w:eastAsia="Arial" w:hAnsi="Arial"/>
          <w:sz w:val="19"/>
          <w:szCs w:val="19"/>
          <w:color w:val="auto"/>
        </w:rPr>
        <w:t>”) asserted against, resulting to, imposed upon, or incurred by the Class A Parties, directly or indirectly, by reason of or resulting from: (i) any breach or failure by a Class B Member (whether in its capacity as a Class B Member, the Manager, the Tax Matters Member or otherwise), of any of its respective representations, warranties, covenants, obligations or agreements contained in any Investment Document or any certificate delivered thereunder or hereunder; (ii) any indemnity obligation due and payable to a Fund Investor under the Fund Documents, solely to the extent relating to (x) a breach of Sections 3.1 (Organization and Good Standing), 3.2 (Authorization, Execution and Enforceability), 3.4 (Subsidiaries; Non-Related Liabilities), 3.5 (Members of the Company; Additional Membership Interests), 3.6 (Warranty of Title; Personal Property), 3.9 (Brokers), 4.1 (Organization and Good Standing), 4.2 (Authorization, Execution and Enforceability), 4.4 (Brokers) and 4.8 (Ownership) of the ECCA or breach of any similar representations set forth in any other Fund Document (y) a breach of Sections 3.23 (Taxes) and 3.24(a)-(c), (f), and (g) (Tax Representations) of the ECCA or breach of any similar representations set forth in any other Fund Document (but for the avoidance of doubt, not including any representation with respect to the tax structure of any transaction or with respect to, or which becomes incorrect as a result of, a change in law including a change in Tax law) (unless caused by the breach or failure by a Class A Member of any of its representations, warranties, covenants, obligations or agreements contained in this Agreement or any other Investment Document) or (z) a breach by an affiliate of the Class B Member under the MIPAs, the NRG Guaranty, the Sponsor Guaranty, the O&amp;M Agreement, or the Management Services Agreement (all as defined in the ECCA); (iii) any indemnity obligation due and payable to a Fund Investor under the Fund Documents, in connection with a breach not covered by (ii) above (unless caused by the breach or failure by the a Class A Member of any of its representations, warranties, covenants, obligations or agreements contained in this Agreement or any other Investment Document); provided, that, notwithstanding anything to the contrary contained herein, the Damages indemnified by the Class B Members pursuant to this clause (iii) shall be limited to an amount equal to 20% of the applicable indemnity obligation due and payable to a Fund Investor under the Fund Documents; (iv) any underdeployment penalty or other amount due and payable to a Fund Investor under the Fund Documents as a result of a reduction of such Fund Investor’s capital contributions under the Fund Documents; (v) any upfront fees or penalties payable to a Fund Investor or backleverage lender in connection with the Fund Documents or backleverage of a Backleveraged Fund Company, as applicable or (vi) any breach or failure of any representations or warranties of any Subject</w:t>
      </w:r>
    </w:p>
    <w:p>
      <w:pPr>
        <w:sectPr>
          <w:pgSz w:w="11900" w:h="16867" w:orient="portrait"/>
          <w:cols w:equalWidth="0" w:num="1">
            <w:col w:w="11420"/>
          </w:cols>
          <w:pgMar w:left="240" w:top="132" w:right="239" w:bottom="0" w:gutter="0" w:footer="0" w:header="0"/>
        </w:sectPr>
      </w:pPr>
    </w:p>
    <w:bookmarkStart w:id="271" w:name="page272"/>
    <w:bookmarkEnd w:id="271"/>
    <w:p>
      <w:pPr>
        <w:jc w:val="both"/>
        <w:spacing w:after="0" w:line="259" w:lineRule="auto"/>
        <w:rPr>
          <w:sz w:val="20"/>
          <w:szCs w:val="20"/>
          <w:color w:val="auto"/>
        </w:rPr>
      </w:pPr>
      <w:r>
        <w:rPr>
          <w:rFonts w:ascii="Arial" w:cs="Arial" w:eastAsia="Arial" w:hAnsi="Arial"/>
          <w:sz w:val="21"/>
          <w:szCs w:val="21"/>
          <w:color w:val="auto"/>
        </w:rPr>
        <w:t>Company to any Fund Investor regarding any Project which are contained in any Fund Document (collectively, “</w:t>
      </w:r>
      <w:r>
        <w:rPr>
          <w:rFonts w:ascii="Arial" w:cs="Arial" w:eastAsia="Arial" w:hAnsi="Arial"/>
          <w:sz w:val="21"/>
          <w:szCs w:val="21"/>
          <w:b w:val="1"/>
          <w:bCs w:val="1"/>
          <w:color w:val="auto"/>
        </w:rPr>
        <w:t>Class A Claims</w:t>
      </w:r>
      <w:r>
        <w:rPr>
          <w:rFonts w:ascii="Arial" w:cs="Arial" w:eastAsia="Arial" w:hAnsi="Arial"/>
          <w:sz w:val="21"/>
          <w:szCs w:val="21"/>
          <w:color w:val="auto"/>
        </w:rPr>
        <w:t xml:space="preserve">”). For the avoidance of doubt, in the event that representations or warranties under the agreements described in clause (ii)(z) of the preceding sentence are made to a Fund Investor and not to the applicable Fund Company, Damages in respect of breaches thereof shall: (i) include Damages resulting from a claim by the Fund Investor, and (ii) be determined as if such representations and warranties were made to the Fund Company as well as the Fund Investor. To the extent that any such Damages relating to an Investor Claim remain unpaid after a claim has been properly made therefor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that is not subject to a bona fide dispute, any distributions otherwise payable to the Class B Members under this Agreement shall be used to satisfy the obligations of each Class B Member (whether in its capacity as a Class B Member, the Manager, the Tax Matters Member or otherwise), hereunder.</w:t>
      </w:r>
    </w:p>
    <w:p>
      <w:pPr>
        <w:spacing w:after="0" w:line="186" w:lineRule="exact"/>
        <w:rPr>
          <w:sz w:val="20"/>
          <w:szCs w:val="20"/>
          <w:color w:val="auto"/>
        </w:rPr>
      </w:pPr>
    </w:p>
    <w:p>
      <w:pPr>
        <w:jc w:val="both"/>
        <w:ind w:firstLine="1305"/>
        <w:spacing w:after="0" w:line="286" w:lineRule="auto"/>
        <w:tabs>
          <w:tab w:leader="none" w:pos="1769"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Indemnification by the Class A Member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9"/>
          <w:szCs w:val="19"/>
          <w:b w:val="1"/>
          <w:bCs w:val="1"/>
          <w:color w:val="auto"/>
        </w:rPr>
        <w:t>Class B Parties</w:t>
      </w:r>
      <w:r>
        <w:rPr>
          <w:rFonts w:ascii="Arial" w:cs="Arial" w:eastAsia="Arial" w:hAnsi="Arial"/>
          <w:sz w:val="19"/>
          <w:szCs w:val="19"/>
          <w:color w:val="auto"/>
        </w:rPr>
        <w:t>” and together with the Class A Parties, the “</w:t>
      </w:r>
      <w:r>
        <w:rPr>
          <w:rFonts w:ascii="Arial" w:cs="Arial" w:eastAsia="Arial" w:hAnsi="Arial"/>
          <w:sz w:val="19"/>
          <w:szCs w:val="19"/>
          <w:b w:val="1"/>
          <w:bCs w:val="1"/>
          <w:color w:val="auto"/>
        </w:rPr>
        <w:t>Indemnified Parties</w:t>
      </w:r>
      <w:r>
        <w:rPr>
          <w:rFonts w:ascii="Arial" w:cs="Arial" w:eastAsia="Arial" w:hAnsi="Arial"/>
          <w:sz w:val="19"/>
          <w:szCs w:val="19"/>
          <w:color w:val="auto"/>
        </w:rPr>
        <w:t xml:space="preserve">”), from and against any and Damages asserted against, resulting to, imposed upon, or incurred by the Class B Parties, directly or indirectly, by reason of or resulting from (i) any breach or failure by the Class A Member of any of its representations, warranties, covenants, obligations or agreements contained in this Agreement or any other Investment Document or any certificate delivered thereunder or hereunder; (ii) any indemnity obligation due and payable to a Fund Investor under the Fund Documents, in connection with a breach not addressed in </w:t>
      </w:r>
      <w:r>
        <w:rPr>
          <w:rFonts w:ascii="Arial" w:cs="Arial" w:eastAsia="Arial" w:hAnsi="Arial"/>
          <w:sz w:val="19"/>
          <w:szCs w:val="19"/>
          <w:u w:val="single" w:color="auto"/>
          <w:color w:val="auto"/>
        </w:rPr>
        <w:t>Section 11.1(a)(ii)</w:t>
      </w:r>
      <w:r>
        <w:rPr>
          <w:rFonts w:ascii="Arial" w:cs="Arial" w:eastAsia="Arial" w:hAnsi="Arial"/>
          <w:sz w:val="19"/>
          <w:szCs w:val="19"/>
          <w:color w:val="auto"/>
        </w:rPr>
        <w:t xml:space="preserve"> (unless caused by the breach or failure by a Class B Member of any of its representations, warranties, covenants, obligations or agreements contained in this Agreement or any other Investment Document); provided, that, notwithstanding anything to the contrary contained herein, the Damages indemnified by the Class A Member pursuant to this clause (ii) shall be limited to an amount equal to 80% of the applicable indemnity obligation due and payable to a Fund Investor under the Fund Documents; or (iii) any indemnity obligation due and payable to a Fund Investor under the Fund Documents if caused by the breach or failure by a Class A Member of any of its representations, warranties, covenants, obligations or agreements contained in this Agreement or any other Investment Document (collectively, “</w:t>
      </w:r>
      <w:r>
        <w:rPr>
          <w:rFonts w:ascii="Arial" w:cs="Arial" w:eastAsia="Arial" w:hAnsi="Arial"/>
          <w:sz w:val="19"/>
          <w:szCs w:val="19"/>
          <w:b w:val="1"/>
          <w:bCs w:val="1"/>
          <w:color w:val="auto"/>
        </w:rPr>
        <w:t>Class B Claim</w:t>
      </w:r>
      <w:r>
        <w:rPr>
          <w:rFonts w:ascii="Arial" w:cs="Arial" w:eastAsia="Arial" w:hAnsi="Arial"/>
          <w:sz w:val="19"/>
          <w:szCs w:val="19"/>
          <w:color w:val="auto"/>
        </w:rPr>
        <w:t>” and together with an Investor Claim, an “</w:t>
      </w:r>
      <w:r>
        <w:rPr>
          <w:rFonts w:ascii="Arial" w:cs="Arial" w:eastAsia="Arial" w:hAnsi="Arial"/>
          <w:sz w:val="19"/>
          <w:szCs w:val="19"/>
          <w:b w:val="1"/>
          <w:bCs w:val="1"/>
          <w:color w:val="auto"/>
        </w:rPr>
        <w:t>Indemnity Claim</w:t>
      </w:r>
      <w:r>
        <w:rPr>
          <w:rFonts w:ascii="Arial" w:cs="Arial" w:eastAsia="Arial" w:hAnsi="Arial"/>
          <w:sz w:val="19"/>
          <w:szCs w:val="19"/>
          <w:color w:val="auto"/>
        </w:rPr>
        <w:t xml:space="preserve">”). To the extent that any such Damages relating to a Class B Claim remain unpaid after a claim has been properly made therefor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that is not subject to a bona fide dispute, any distributions otherwise payable to the Class A Members under this Agreement shall be used to satisfy the obligations of each Class A Member hereunder.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305"/>
        <w:spacing w:after="0" w:line="266" w:lineRule="auto"/>
        <w:tabs>
          <w:tab w:leader="none" w:pos="1770"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Indemnification by the Sponsor</w:t>
      </w:r>
      <w:r>
        <w:rPr>
          <w:rFonts w:ascii="Arial" w:cs="Arial" w:eastAsia="Arial" w:hAnsi="Arial"/>
          <w:sz w:val="21"/>
          <w:szCs w:val="21"/>
          <w:color w:val="auto"/>
        </w:rPr>
        <w:t xml:space="preserve">. Subject to the terms and conditions of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to the extent that any Damages relating to a Class A Claim remain unpaid after a claim has been properly made therefor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that is not subject to a bona fide dispute, the Sponsor shall pay to the Class A Parties any amounts validly due from the Class B Members under the indemnity obligations set out in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above. If any claim is made under this Section 11.1(c), the Sponsor shall have all of the rights of an Indemnifying Member (as defined below).</w:t>
      </w:r>
    </w:p>
    <w:p>
      <w:pPr>
        <w:spacing w:after="0" w:line="16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u w:val="single" w:color="auto"/>
          <w:color w:val="auto"/>
        </w:rPr>
        <w:t>Limitation on Liability.</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The indemnification obligations pursuant to this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shall be subject to the following limitations:</w:t>
      </w:r>
    </w:p>
    <w:p>
      <w:pPr>
        <w:spacing w:after="0" w:line="220" w:lineRule="exact"/>
        <w:rPr>
          <w:sz w:val="20"/>
          <w:szCs w:val="20"/>
          <w:color w:val="auto"/>
        </w:rPr>
      </w:pPr>
    </w:p>
    <w:p>
      <w:pPr>
        <w:jc w:val="both"/>
        <w:ind w:firstLine="1305"/>
        <w:spacing w:after="0" w:line="300" w:lineRule="auto"/>
        <w:tabs>
          <w:tab w:leader="none" w:pos="177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amount of Damages for which a Member is obligated to indemnify with respect to any Indemnity Claim shall be reduced to the extent of any amounts actually received by the applicable Class A Parties or Class B Parties, as applicable, after the Effective Date pursuant to the terms of the insurance policies obtained and maintained by the Company or any Subject Company (if any) covering such claim or any insurance proceeds from policies obtained and maintained by or for the benefit of any such Person or any Affiliate thereof be considered in connection with a reduction of Damages pursuant to this </w:t>
      </w:r>
      <w:r>
        <w:rPr>
          <w:rFonts w:ascii="Arial" w:cs="Arial" w:eastAsia="Arial" w:hAnsi="Arial"/>
          <w:sz w:val="19"/>
          <w:szCs w:val="19"/>
          <w:u w:val="single" w:color="auto"/>
          <w:color w:val="auto"/>
        </w:rPr>
        <w:t>Section 11.2(a)</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305"/>
        <w:spacing w:after="0" w:line="261" w:lineRule="exact"/>
        <w:tabs>
          <w:tab w:leader="none" w:pos="182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Damages paid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grossed-up and paid on an After</w:t>
      </w:r>
      <w:r>
        <w:rPr>
          <w:rFonts w:ascii="MS PGothic" w:cs="MS PGothic" w:eastAsia="MS PGothic" w:hAnsi="MS PGothic"/>
          <w:sz w:val="19"/>
          <w:szCs w:val="19"/>
          <w:color w:val="auto"/>
        </w:rPr>
        <w:t>‑</w:t>
      </w:r>
      <w:r>
        <w:rPr>
          <w:rFonts w:ascii="Arial" w:cs="Arial" w:eastAsia="Arial" w:hAnsi="Arial"/>
          <w:sz w:val="19"/>
          <w:szCs w:val="19"/>
          <w:color w:val="auto"/>
        </w:rPr>
        <w:t xml:space="preserve">Tax Basis. To the extent an Indemnified Party subsequently recovers all or a part of the Damages indemnified under this </w:t>
      </w:r>
      <w:r>
        <w:rPr>
          <w:rFonts w:ascii="Arial" w:cs="Arial" w:eastAsia="Arial" w:hAnsi="Arial"/>
          <w:sz w:val="19"/>
          <w:szCs w:val="19"/>
          <w:u w:val="single" w:color="auto"/>
          <w:color w:val="auto"/>
        </w:rPr>
        <w:t>Article XI</w:t>
      </w:r>
      <w:r>
        <w:rPr>
          <w:rFonts w:ascii="Arial" w:cs="Arial" w:eastAsia="Arial" w:hAnsi="Arial"/>
          <w:sz w:val="19"/>
          <w:szCs w:val="19"/>
          <w:color w:val="auto"/>
        </w:rPr>
        <w:t>, the Indemnified Party shall promptly refund the applicable Member(s) that paid such Damages the recovered Damages on an After</w:t>
      </w:r>
      <w:r>
        <w:rPr>
          <w:rFonts w:ascii="MS PGothic" w:cs="MS PGothic" w:eastAsia="MS PGothic" w:hAnsi="MS PGothic"/>
          <w:sz w:val="19"/>
          <w:szCs w:val="19"/>
          <w:i w:val="1"/>
          <w:iCs w:val="1"/>
          <w:color w:val="auto"/>
        </w:rPr>
        <w:t>‑</w:t>
      </w:r>
      <w:r>
        <w:rPr>
          <w:rFonts w:ascii="Arial" w:cs="Arial" w:eastAsia="Arial" w:hAnsi="Arial"/>
          <w:sz w:val="19"/>
          <w:szCs w:val="19"/>
          <w:color w:val="auto"/>
        </w:rPr>
        <w:t xml:space="preserve">Tax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refund shall not exceed the original amount paid to the Indemnified Party by the applicable Member(s) (on an After</w:t>
      </w:r>
      <w:r>
        <w:rPr>
          <w:rFonts w:ascii="MS PGothic" w:cs="MS PGothic" w:eastAsia="MS PGothic" w:hAnsi="MS PGothic"/>
          <w:sz w:val="19"/>
          <w:szCs w:val="19"/>
          <w:color w:val="auto"/>
        </w:rPr>
        <w:t>‑</w:t>
      </w:r>
      <w:r>
        <w:rPr>
          <w:rFonts w:ascii="Arial" w:cs="Arial" w:eastAsia="Arial" w:hAnsi="Arial"/>
          <w:sz w:val="19"/>
          <w:szCs w:val="19"/>
          <w:color w:val="auto"/>
        </w:rPr>
        <w:t>Tax Basis) hereunder.</w:t>
      </w:r>
    </w:p>
    <w:p>
      <w:pPr>
        <w:spacing w:after="0" w:line="203" w:lineRule="exact"/>
        <w:rPr>
          <w:rFonts w:ascii="Arial" w:cs="Arial" w:eastAsia="Arial" w:hAnsi="Arial"/>
          <w:sz w:val="19"/>
          <w:szCs w:val="19"/>
          <w:color w:val="auto"/>
        </w:rPr>
      </w:pPr>
    </w:p>
    <w:p>
      <w:pPr>
        <w:jc w:val="both"/>
        <w:ind w:firstLine="1305"/>
        <w:spacing w:after="0" w:line="260" w:lineRule="auto"/>
        <w:tabs>
          <w:tab w:leader="none" w:pos="1743"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The indemnification obligations under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shall be limited to actual Damages and shall not include special, incidental, consequential, indirect, punitive, or exemplary Damages (including lost profits and damages for a lost opportunity);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incidental, consequential, indirect, punitive, or exemplary Damages recovered by a third party (including Governmental Authorities) against a Person entitled to indemnity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shall be included in the Damages recoverable under such indemnity;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loss, disallowance or reduction of ITCs shall not be considered as special, incidental, consequential, indirect, punitive or exemplary Damage and shall be included in the Damages recoverable under this indemnity, but, with respect to Damages for the loss, disallowance or reduction of ITCs, only with respect to a loss, disallowance or reduction arising after the Effective Date and prior to the ten (10) year anniversary of the latest Placed in Service Date for any Project.</w:t>
      </w:r>
    </w:p>
    <w:p>
      <w:pPr>
        <w:sectPr>
          <w:pgSz w:w="11900" w:h="16838" w:orient="portrait"/>
          <w:cols w:equalWidth="0" w:num="1">
            <w:col w:w="11420"/>
          </w:cols>
          <w:pgMar w:left="240" w:top="126" w:right="239" w:bottom="147" w:gutter="0" w:footer="0" w:header="0"/>
        </w:sectPr>
      </w:pPr>
    </w:p>
    <w:bookmarkStart w:id="272" w:name="page273"/>
    <w:bookmarkEnd w:id="272"/>
    <w:p>
      <w:pPr>
        <w:jc w:val="both"/>
        <w:ind w:firstLine="1305"/>
        <w:spacing w:after="0" w:line="254" w:lineRule="auto"/>
        <w:tabs>
          <w:tab w:leader="none" w:pos="176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 Indemnified Party may receive compensation for Damages suffered by such Person to the extent that such Damages are attributable to (i) the gross negligence or willful misconduct of such Indemnified Party or (ii) the breach of any representation or warranty by such Indemnified Party in this Agreement to the extent such representation or warranty was false when made.</w:t>
      </w:r>
    </w:p>
    <w:p>
      <w:pPr>
        <w:spacing w:after="0" w:line="185" w:lineRule="exact"/>
        <w:rPr>
          <w:rFonts w:ascii="Arial" w:cs="Arial" w:eastAsia="Arial" w:hAnsi="Arial"/>
          <w:sz w:val="22"/>
          <w:szCs w:val="22"/>
          <w:color w:val="auto"/>
        </w:rPr>
      </w:pPr>
    </w:p>
    <w:p>
      <w:pPr>
        <w:jc w:val="both"/>
        <w:ind w:firstLine="1305"/>
        <w:spacing w:after="0" w:line="266" w:lineRule="auto"/>
        <w:tabs>
          <w:tab w:leader="none" w:pos="177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Notwithstanding any limitation of liability contained in the O&amp;M Agreement or the AMA, as applicable, the Class B Member’s liability for Damages under </w:t>
      </w:r>
      <w:r>
        <w:rPr>
          <w:rFonts w:ascii="Arial" w:cs="Arial" w:eastAsia="Arial" w:hAnsi="Arial"/>
          <w:sz w:val="21"/>
          <w:szCs w:val="21"/>
          <w:u w:val="single" w:color="auto"/>
          <w:color w:val="auto"/>
        </w:rPr>
        <w:t>Section 11.2(a)(ii)(z)</w:t>
      </w:r>
      <w:r>
        <w:rPr>
          <w:rFonts w:ascii="Arial" w:cs="Arial" w:eastAsia="Arial" w:hAnsi="Arial"/>
          <w:sz w:val="21"/>
          <w:szCs w:val="21"/>
          <w:color w:val="auto"/>
        </w:rPr>
        <w:t xml:space="preserve"> in respect of a breach by an Affiliate of the Class B Member under the O&amp;M Agreement or the AMA, as applicable, shall not exceed: (i) an amount equal to two (2) years of the fees paid under the O&amp;M Agreement or AMA, as applicable, minus (ii) any payments made to the NRG Chestnut Fund LLC in respect of such Damages under the O&amp;M Agreement or AMA, as applicable.</w:t>
      </w:r>
    </w:p>
    <w:p>
      <w:pPr>
        <w:spacing w:after="0" w:line="16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u w:val="single" w:color="auto"/>
          <w:color w:val="auto"/>
        </w:rPr>
        <w:t>Procedure for Indemnification.</w:t>
      </w:r>
    </w:p>
    <w:p>
      <w:pPr>
        <w:spacing w:after="0" w:line="239"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After receipt by an Indemnified Party under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notice of the commencement of any action, or any other actual or potential Indemnity Claim, such Indemnified Party shall, if a claim in respect thereof is to be made against a Member (the “</w:t>
      </w:r>
      <w:r>
        <w:rPr>
          <w:rFonts w:ascii="Arial" w:cs="Arial" w:eastAsia="Arial" w:hAnsi="Arial"/>
          <w:sz w:val="19"/>
          <w:szCs w:val="19"/>
          <w:b w:val="1"/>
          <w:bCs w:val="1"/>
          <w:color w:val="auto"/>
        </w:rPr>
        <w:t>Indemnifying Member</w:t>
      </w:r>
      <w:r>
        <w:rPr>
          <w:rFonts w:ascii="Arial" w:cs="Arial" w:eastAsia="Arial" w:hAnsi="Arial"/>
          <w:sz w:val="19"/>
          <w:szCs w:val="19"/>
          <w:color w:val="auto"/>
        </w:rPr>
        <w:t xml:space="preserve">”), give written notice thereof to such Indemnifying Member. The failure to promptly notify the Indemnifying Member shall not relieve such Indemnifying Member of any liability that it may have to any Indemnified Party with respect to such action;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 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16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11.4</w:t>
      </w:r>
      <w:r>
        <w:rPr>
          <w:sz w:val="20"/>
          <w:szCs w:val="20"/>
          <w:color w:val="auto"/>
        </w:rPr>
        <w:tab/>
      </w:r>
      <w:r>
        <w:rPr>
          <w:rFonts w:ascii="Arial" w:cs="Arial" w:eastAsia="Arial" w:hAnsi="Arial"/>
          <w:sz w:val="19"/>
          <w:szCs w:val="19"/>
          <w:b w:val="1"/>
          <w:bCs w:val="1"/>
          <w:u w:val="single" w:color="auto"/>
          <w:color w:val="auto"/>
        </w:rPr>
        <w:t>Exclusivity.</w:t>
      </w:r>
    </w:p>
    <w:p>
      <w:pPr>
        <w:spacing w:after="0" w:line="23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The Parties agree that, (a) except with respect to fraud or willful misconduct, in relation to any breach, default, or nonperformance of any representation, warranty, covenant, or agreement made or entered into by a Member (whether in its capacity as a Member, the Manager, the Tax Matters Member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but only to the extent properly claimable hereunder and as limited pursuant to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or otherwise hereunder. For the avoidance of doubt, no Party has waived any rights to pursue equitable remedies under this Agreement or the other Investment Documents.</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b w:val="1"/>
          <w:bCs w:val="1"/>
          <w:u w:val="single" w:color="auto"/>
          <w:color w:val="auto"/>
        </w:rPr>
        <w:t>No Right of Contribution.</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80"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b w:val="1"/>
          <w:bCs w:val="1"/>
          <w:u w:val="single" w:color="auto"/>
          <w:color w:val="auto"/>
        </w:rPr>
        <w:t>Entire Agreement.</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of this Agreement constitutes the entire agreement and understanding of the parties with respect to indemnification hereunder.</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DISSOLUTION, LIQUIDATION AND TERMINATION</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b w:val="1"/>
          <w:bCs w:val="1"/>
          <w:u w:val="single" w:color="auto"/>
          <w:color w:val="auto"/>
        </w:rPr>
        <w:t>Dissolution.</w:t>
      </w:r>
    </w:p>
    <w:p>
      <w:pPr>
        <w:sectPr>
          <w:pgSz w:w="11900" w:h="16838" w:orient="portrait"/>
          <w:cols w:equalWidth="0" w:num="1">
            <w:col w:w="11420"/>
          </w:cols>
          <w:pgMar w:left="240" w:top="132" w:right="239" w:bottom="80" w:gutter="0" w:footer="0" w:header="0"/>
        </w:sectPr>
      </w:pPr>
    </w:p>
    <w:bookmarkStart w:id="273" w:name="page274"/>
    <w:bookmarkEnd w:id="273"/>
    <w:p>
      <w:pPr>
        <w:ind w:left="-660" w:firstLine="1305"/>
        <w:spacing w:after="0" w:line="276" w:lineRule="auto"/>
        <w:tabs>
          <w:tab w:leader="none" w:pos="10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Company will dissolve and its business and affairs will be wound up on the first to occur of the following (the “</w:t>
      </w:r>
      <w:r>
        <w:rPr>
          <w:rFonts w:ascii="Arial" w:cs="Arial" w:eastAsia="Arial" w:hAnsi="Arial"/>
          <w:sz w:val="22"/>
          <w:szCs w:val="22"/>
          <w:b w:val="1"/>
          <w:bCs w:val="1"/>
          <w:color w:val="auto"/>
        </w:rPr>
        <w:t>Liquidating Events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680" w:hanging="387"/>
        <w:spacing w:after="0"/>
        <w:tabs>
          <w:tab w:leader="none" w:pos="168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unanimous consent of the Members to dissolve the Company;</w:t>
      </w:r>
    </w:p>
    <w:p>
      <w:pPr>
        <w:spacing w:after="0" w:line="233" w:lineRule="exact"/>
        <w:rPr>
          <w:rFonts w:ascii="Arial" w:cs="Arial" w:eastAsia="Arial" w:hAnsi="Arial"/>
          <w:sz w:val="22"/>
          <w:szCs w:val="22"/>
          <w:color w:val="auto"/>
        </w:rPr>
      </w:pPr>
    </w:p>
    <w:p>
      <w:pPr>
        <w:jc w:val="both"/>
        <w:ind w:firstLine="1293"/>
        <w:spacing w:after="0" w:line="251" w:lineRule="auto"/>
        <w:tabs>
          <w:tab w:leader="none" w:pos="1768" w:val="left"/>
        </w:tabs>
        <w:numPr>
          <w:ilvl w:val="1"/>
          <w:numId w:val="191"/>
        </w:numPr>
        <w:rPr>
          <w:rFonts w:ascii="Arial" w:cs="Arial" w:eastAsia="Arial" w:hAnsi="Arial"/>
          <w:sz w:val="22"/>
          <w:szCs w:val="22"/>
          <w:color w:val="auto"/>
        </w:rPr>
      </w:pPr>
      <w:r>
        <w:rPr>
          <w:rFonts w:ascii="Arial" w:cs="Arial" w:eastAsia="Arial" w:hAnsi="Arial"/>
          <w:sz w:val="22"/>
          <w:szCs w:val="22"/>
          <w:color w:val="auto"/>
        </w:rPr>
        <w:t xml:space="preserve">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w:t>
      </w:r>
      <w:r>
        <w:rPr>
          <w:rFonts w:ascii="Arial" w:cs="Arial" w:eastAsia="Arial" w:hAnsi="Arial"/>
          <w:sz w:val="22"/>
          <w:szCs w:val="22"/>
          <w:u w:val="single" w:color="auto"/>
          <w:color w:val="auto"/>
        </w:rPr>
        <w:t>Section 12.1(a)(ii)</w:t>
      </w:r>
      <w:r>
        <w:rPr>
          <w:rFonts w:ascii="Arial" w:cs="Arial" w:eastAsia="Arial" w:hAnsi="Arial"/>
          <w:sz w:val="22"/>
          <w:szCs w:val="22"/>
          <w:color w:val="auto"/>
        </w:rPr>
        <w:t xml:space="preserve"> occurs, to continue the business of the Company, in which case the Company will not dissolve; or</w:t>
      </w:r>
    </w:p>
    <w:p>
      <w:pPr>
        <w:spacing w:after="0" w:line="189" w:lineRule="exact"/>
        <w:rPr>
          <w:rFonts w:ascii="Arial" w:cs="Arial" w:eastAsia="Arial" w:hAnsi="Arial"/>
          <w:sz w:val="22"/>
          <w:szCs w:val="22"/>
          <w:color w:val="auto"/>
        </w:rPr>
      </w:pPr>
    </w:p>
    <w:p>
      <w:pPr>
        <w:ind w:left="1880" w:hanging="587"/>
        <w:spacing w:after="0"/>
        <w:tabs>
          <w:tab w:leader="none" w:pos="188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The sale, transfer or other disposition by the Company of all or substantially all of its business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15" w:lineRule="exact"/>
        <w:rPr>
          <w:rFonts w:ascii="Arial" w:cs="Arial" w:eastAsia="Arial" w:hAnsi="Arial"/>
          <w:sz w:val="19"/>
          <w:szCs w:val="19"/>
          <w:color w:val="auto"/>
        </w:rPr>
      </w:pPr>
    </w:p>
    <w:p>
      <w:pPr>
        <w:ind w:left="-660" w:firstLine="1305"/>
        <w:spacing w:after="0" w:line="276" w:lineRule="auto"/>
        <w:tabs>
          <w:tab w:leader="none" w:pos="110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Each Member agrees that, to the fullest extent permitted by Law, it will not dissolve itself or the Company or withdraw from the Company except as set forth in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15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b w:val="1"/>
          <w:bCs w:val="1"/>
          <w:u w:val="single" w:color="auto"/>
          <w:color w:val="auto"/>
        </w:rPr>
        <w:t>Liquidation and Termination.</w:t>
      </w:r>
    </w:p>
    <w:p>
      <w:pPr>
        <w:spacing w:after="0" w:line="239" w:lineRule="exact"/>
        <w:rPr>
          <w:sz w:val="20"/>
          <w:szCs w:val="20"/>
          <w:color w:val="auto"/>
        </w:rPr>
      </w:pPr>
    </w:p>
    <w:p>
      <w:pPr>
        <w:jc w:val="both"/>
        <w:ind w:left="-660" w:firstLine="1305"/>
        <w:spacing w:after="0" w:line="251" w:lineRule="auto"/>
        <w:tabs>
          <w:tab w:leader="none" w:pos="107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On dissolution of the Company, the Manager shall, with the Consent of the Class A Members, act as liquidator. The liquidator shall proceed diligently to wind up the affairs of the Company and make final distributions as provided in this Agreement. The costs of liquidation will be borne as a Company Expense. Until final distribution, the liquidator shall continue to operate the Company with all of the power and authority of the Members. The steps to be accomplished by the liquidator are as follows:</w:t>
      </w:r>
    </w:p>
    <w:p>
      <w:pPr>
        <w:spacing w:after="0" w:line="189" w:lineRule="exact"/>
        <w:rPr>
          <w:rFonts w:ascii="Arial" w:cs="Arial" w:eastAsia="Arial" w:hAnsi="Arial"/>
          <w:sz w:val="22"/>
          <w:szCs w:val="22"/>
          <w:color w:val="auto"/>
        </w:rPr>
      </w:pPr>
    </w:p>
    <w:p>
      <w:pPr>
        <w:jc w:val="both"/>
        <w:ind w:firstLine="1293"/>
        <w:spacing w:after="0" w:line="254" w:lineRule="auto"/>
        <w:tabs>
          <w:tab w:leader="none" w:pos="1734" w:val="left"/>
        </w:tabs>
        <w:numPr>
          <w:ilvl w:val="1"/>
          <w:numId w:val="192"/>
        </w:numPr>
        <w:rPr>
          <w:rFonts w:ascii="Arial" w:cs="Arial" w:eastAsia="Arial" w:hAnsi="Arial"/>
          <w:sz w:val="22"/>
          <w:szCs w:val="22"/>
          <w:color w:val="auto"/>
        </w:rPr>
      </w:pPr>
      <w:r>
        <w:rPr>
          <w:rFonts w:ascii="Arial" w:cs="Arial" w:eastAsia="Arial" w:hAnsi="Arial"/>
          <w:sz w:val="22"/>
          <w:szCs w:val="22"/>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85" w:lineRule="exact"/>
        <w:rPr>
          <w:rFonts w:ascii="Arial" w:cs="Arial" w:eastAsia="Arial" w:hAnsi="Arial"/>
          <w:sz w:val="22"/>
          <w:szCs w:val="22"/>
          <w:color w:val="auto"/>
        </w:rPr>
      </w:pPr>
    </w:p>
    <w:p>
      <w:pPr>
        <w:jc w:val="both"/>
        <w:ind w:firstLine="1293"/>
        <w:spacing w:after="0" w:line="278" w:lineRule="auto"/>
        <w:tabs>
          <w:tab w:leader="none" w:pos="1903"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160" w:lineRule="exact"/>
        <w:rPr>
          <w:rFonts w:ascii="Arial" w:cs="Arial" w:eastAsia="Arial" w:hAnsi="Arial"/>
          <w:sz w:val="21"/>
          <w:szCs w:val="21"/>
          <w:color w:val="auto"/>
        </w:rPr>
      </w:pPr>
    </w:p>
    <w:p>
      <w:pPr>
        <w:ind w:left="1800" w:hanging="507"/>
        <w:spacing w:after="0"/>
        <w:tabs>
          <w:tab w:leader="none" w:pos="180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With respect to the remaining Assets of the Company:</w:t>
      </w:r>
    </w:p>
    <w:p>
      <w:pPr>
        <w:spacing w:after="0" w:line="233" w:lineRule="exact"/>
        <w:rPr>
          <w:rFonts w:ascii="Arial" w:cs="Arial" w:eastAsia="Arial" w:hAnsi="Arial"/>
          <w:sz w:val="22"/>
          <w:szCs w:val="22"/>
          <w:color w:val="auto"/>
        </w:rPr>
      </w:pPr>
    </w:p>
    <w:p>
      <w:pPr>
        <w:jc w:val="both"/>
        <w:ind w:left="640" w:firstLine="1301"/>
        <w:spacing w:after="0" w:line="320" w:lineRule="auto"/>
        <w:tabs>
          <w:tab w:leader="none" w:pos="2443" w:val="left"/>
        </w:tabs>
        <w:numPr>
          <w:ilvl w:val="2"/>
          <w:numId w:val="192"/>
        </w:numPr>
        <w:rPr>
          <w:rFonts w:ascii="Arial" w:cs="Arial" w:eastAsia="Arial" w:hAnsi="Arial"/>
          <w:sz w:val="19"/>
          <w:szCs w:val="19"/>
          <w:color w:val="auto"/>
        </w:rPr>
      </w:pPr>
      <w:r>
        <w:rPr>
          <w:rFonts w:ascii="Arial" w:cs="Arial" w:eastAsia="Arial" w:hAnsi="Arial"/>
          <w:sz w:val="19"/>
          <w:szCs w:val="19"/>
          <w:color w:val="auto"/>
        </w:rPr>
        <w:t>the liquidator shall use all commercially reasonable efforts to obtain the best possible price and may sell any or all Company Assets (subject to any and all restrictions to which any Project is subject), including to the Members at such price, but in no event lower than the Fair Market Value thereof; and</w:t>
      </w:r>
    </w:p>
    <w:p>
      <w:pPr>
        <w:spacing w:after="0" w:line="125" w:lineRule="exact"/>
        <w:rPr>
          <w:rFonts w:ascii="Arial" w:cs="Arial" w:eastAsia="Arial" w:hAnsi="Arial"/>
          <w:sz w:val="19"/>
          <w:szCs w:val="19"/>
          <w:color w:val="auto"/>
        </w:rPr>
      </w:pPr>
    </w:p>
    <w:p>
      <w:pPr>
        <w:ind w:left="640" w:firstLine="1301"/>
        <w:spacing w:after="0" w:line="276" w:lineRule="auto"/>
        <w:tabs>
          <w:tab w:leader="none" w:pos="2445" w:val="left"/>
        </w:tabs>
        <w:numPr>
          <w:ilvl w:val="2"/>
          <w:numId w:val="192"/>
        </w:numPr>
        <w:rPr>
          <w:rFonts w:ascii="Arial" w:cs="Arial" w:eastAsia="Arial" w:hAnsi="Arial"/>
          <w:sz w:val="22"/>
          <w:szCs w:val="22"/>
          <w:color w:val="auto"/>
        </w:rPr>
      </w:pPr>
      <w:r>
        <w:rPr>
          <w:rFonts w:ascii="Arial" w:cs="Arial" w:eastAsia="Arial" w:hAnsi="Arial"/>
          <w:sz w:val="22"/>
          <w:szCs w:val="22"/>
          <w:color w:val="auto"/>
        </w:rPr>
        <w:t xml:space="preserve">with respect to all Company Assets that have not been sold, the Values of such Assets shall be determined pursuant to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of the definition of Value.</w:t>
      </w:r>
    </w:p>
    <w:p>
      <w:pPr>
        <w:spacing w:after="0" w:line="160" w:lineRule="exact"/>
        <w:rPr>
          <w:rFonts w:ascii="Arial" w:cs="Arial" w:eastAsia="Arial" w:hAnsi="Arial"/>
          <w:sz w:val="22"/>
          <w:szCs w:val="22"/>
          <w:color w:val="auto"/>
        </w:rPr>
      </w:pPr>
    </w:p>
    <w:p>
      <w:pPr>
        <w:jc w:val="both"/>
        <w:ind w:firstLine="1293"/>
        <w:spacing w:after="0" w:line="290" w:lineRule="auto"/>
        <w:tabs>
          <w:tab w:leader="none" w:pos="1856"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Any Company Items of income and gain (including any such items attributable to the disposition or deemed disposition of Assets pursuant to </w:t>
      </w:r>
      <w:r>
        <w:rPr>
          <w:rFonts w:ascii="Arial" w:cs="Arial" w:eastAsia="Arial" w:hAnsi="Arial"/>
          <w:sz w:val="19"/>
          <w:szCs w:val="19"/>
          <w:u w:val="single" w:color="auto"/>
          <w:color w:val="auto"/>
        </w:rPr>
        <w:t>Section 12.2(a)(iii)</w:t>
      </w:r>
      <w:r>
        <w:rPr>
          <w:rFonts w:ascii="Arial" w:cs="Arial" w:eastAsia="Arial" w:hAnsi="Arial"/>
          <w:sz w:val="19"/>
          <w:szCs w:val="19"/>
          <w:color w:val="auto"/>
        </w:rPr>
        <w:t xml:space="preserve">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 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w:t>
      </w:r>
      <w:r>
        <w:rPr>
          <w:rFonts w:ascii="Arial" w:cs="Arial" w:eastAsia="Arial" w:hAnsi="Arial"/>
          <w:sz w:val="19"/>
          <w:szCs w:val="19"/>
          <w:u w:val="single" w:color="auto"/>
          <w:color w:val="auto"/>
        </w:rPr>
        <w:t>Section 12.2(a)(v)</w:t>
      </w:r>
      <w:r>
        <w:rPr>
          <w:rFonts w:ascii="Arial" w:cs="Arial" w:eastAsia="Arial" w:hAnsi="Arial"/>
          <w:sz w:val="19"/>
          <w:szCs w:val="19"/>
          <w:color w:val="auto"/>
        </w:rPr>
        <w:t xml:space="preserve"> to the Class A Members and the Class B Members in accordance with the sharing ratios set forth in Section 5.1(a); and</w:t>
      </w:r>
    </w:p>
    <w:p>
      <w:pPr>
        <w:spacing w:after="0" w:line="155" w:lineRule="exact"/>
        <w:rPr>
          <w:rFonts w:ascii="Arial" w:cs="Arial" w:eastAsia="Arial" w:hAnsi="Arial"/>
          <w:sz w:val="19"/>
          <w:szCs w:val="19"/>
          <w:color w:val="auto"/>
        </w:rPr>
      </w:pPr>
    </w:p>
    <w:p>
      <w:pPr>
        <w:jc w:val="both"/>
        <w:ind w:firstLine="1293"/>
        <w:spacing w:after="0" w:line="307" w:lineRule="auto"/>
        <w:tabs>
          <w:tab w:leader="none" w:pos="172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After giving effect to all allocations (including those under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12.2(a)(iv)</w:t>
      </w:r>
      <w:r>
        <w:rPr>
          <w:rFonts w:ascii="Arial" w:cs="Arial" w:eastAsia="Arial" w:hAnsi="Arial"/>
          <w:sz w:val="19"/>
          <w:szCs w:val="19"/>
          <w:color w:val="auto"/>
        </w:rPr>
        <w:t xml:space="preserve">), all prior distributions (including those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all Capital Contributions (including those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3.3</w:t>
      </w:r>
      <w:r>
        <w:rPr>
          <w:rFonts w:ascii="Arial" w:cs="Arial" w:eastAsia="Arial" w:hAnsi="Arial"/>
          <w:sz w:val="19"/>
          <w:szCs w:val="19"/>
          <w:color w:val="auto"/>
        </w:rPr>
        <w:t>) for all periods, all remaining cash and property (including any Available Cash Flow and liquidation proceeds) shall be distributed to the Members in accordance with the positive balances in their Capital Accounts.</w:t>
      </w:r>
    </w:p>
    <w:p>
      <w:pPr>
        <w:spacing w:after="0" w:line="138" w:lineRule="exact"/>
        <w:rPr>
          <w:rFonts w:ascii="Arial" w:cs="Arial" w:eastAsia="Arial" w:hAnsi="Arial"/>
          <w:sz w:val="19"/>
          <w:szCs w:val="19"/>
          <w:color w:val="auto"/>
        </w:rPr>
      </w:pPr>
    </w:p>
    <w:p>
      <w:pPr>
        <w:jc w:val="both"/>
        <w:ind w:firstLine="1293"/>
        <w:spacing w:after="0" w:line="260" w:lineRule="auto"/>
        <w:tabs>
          <w:tab w:leader="none" w:pos="1788" w:val="left"/>
        </w:tabs>
        <w:numPr>
          <w:ilvl w:val="1"/>
          <w:numId w:val="192"/>
        </w:numPr>
        <w:rPr>
          <w:rFonts w:ascii="Arial" w:cs="Arial" w:eastAsia="Arial" w:hAnsi="Arial"/>
          <w:sz w:val="22"/>
          <w:szCs w:val="22"/>
          <w:color w:val="auto"/>
        </w:rPr>
      </w:pPr>
      <w:r>
        <w:rPr>
          <w:rFonts w:ascii="Arial" w:cs="Arial" w:eastAsia="Arial" w:hAnsi="Arial"/>
          <w:sz w:val="22"/>
          <w:szCs w:val="22"/>
          <w:color w:val="auto"/>
        </w:rPr>
        <w:t xml:space="preserve">Any distribution to the Members in respect of their Capital Accounts pursuant to this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shall be made by the end of the Company taxable year in which a Liquidating Event occurs (or if later, within ninety (90) days after the date of such Liquidating Event).</w:t>
      </w:r>
    </w:p>
    <w:p>
      <w:pPr>
        <w:spacing w:after="0" w:line="177" w:lineRule="exact"/>
        <w:rPr>
          <w:rFonts w:ascii="Arial" w:cs="Arial" w:eastAsia="Arial" w:hAnsi="Arial"/>
          <w:sz w:val="22"/>
          <w:szCs w:val="22"/>
          <w:color w:val="auto"/>
        </w:rPr>
      </w:pPr>
    </w:p>
    <w:p>
      <w:pPr>
        <w:jc w:val="both"/>
        <w:ind w:left="-660" w:right="20" w:firstLine="1305"/>
        <w:spacing w:after="0" w:line="358" w:lineRule="auto"/>
        <w:tabs>
          <w:tab w:leader="none" w:pos="120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distribution of cash or property to a Member in accordance with the provisions of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constitutes a complete return to the Member of its Capital Contributions and a complete distribution to the Member on account of</w:t>
      </w:r>
    </w:p>
    <w:p>
      <w:pPr>
        <w:sectPr>
          <w:pgSz w:w="11900" w:h="16838" w:orient="portrait"/>
          <w:cols w:equalWidth="0" w:num="1">
            <w:col w:w="10760"/>
          </w:cols>
          <w:pgMar w:left="900" w:top="132" w:right="239" w:bottom="0" w:gutter="0" w:footer="0" w:header="0"/>
        </w:sectPr>
      </w:pPr>
    </w:p>
    <w:bookmarkStart w:id="274" w:name="page275"/>
    <w:bookmarkEnd w:id="274"/>
    <w:p>
      <w:pPr>
        <w:spacing w:after="0" w:line="263" w:lineRule="auto"/>
        <w:rPr>
          <w:sz w:val="20"/>
          <w:szCs w:val="20"/>
          <w:color w:val="auto"/>
        </w:rPr>
      </w:pPr>
      <w:r>
        <w:rPr>
          <w:rFonts w:ascii="Arial" w:cs="Arial" w:eastAsia="Arial" w:hAnsi="Arial"/>
          <w:sz w:val="22"/>
          <w:szCs w:val="22"/>
          <w:color w:val="auto"/>
        </w:rPr>
        <w:t>its Membership Interest and all the Company’s property and constitutes a compromise to which all Members have consented pursuant to Section 18-502(b) of the Act.</w:t>
      </w:r>
    </w:p>
    <w:p>
      <w:pPr>
        <w:spacing w:after="0" w:line="16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12.3</w:t>
      </w:r>
      <w:r>
        <w:rPr>
          <w:sz w:val="20"/>
          <w:szCs w:val="20"/>
          <w:color w:val="auto"/>
        </w:rPr>
        <w:tab/>
      </w:r>
      <w:r>
        <w:rPr>
          <w:rFonts w:ascii="Arial" w:cs="Arial" w:eastAsia="Arial" w:hAnsi="Arial"/>
          <w:sz w:val="19"/>
          <w:szCs w:val="19"/>
          <w:b w:val="1"/>
          <w:bCs w:val="1"/>
          <w:u w:val="single" w:color="auto"/>
          <w:color w:val="auto"/>
        </w:rPr>
        <w:t>Deficit Capital Accounts.</w:t>
      </w:r>
    </w:p>
    <w:p>
      <w:pPr>
        <w:spacing w:after="0" w:line="239" w:lineRule="exact"/>
        <w:rPr>
          <w:sz w:val="20"/>
          <w:szCs w:val="20"/>
          <w:color w:val="auto"/>
        </w:rPr>
      </w:pPr>
    </w:p>
    <w:p>
      <w:pPr>
        <w:ind w:firstLine="1305"/>
        <w:spacing w:after="0" w:line="276" w:lineRule="auto"/>
        <w:tabs>
          <w:tab w:leader="none" w:pos="1743" w:val="left"/>
        </w:tabs>
        <w:numPr>
          <w:ilvl w:val="1"/>
          <w:numId w:val="193"/>
        </w:numPr>
        <w:rPr>
          <w:rFonts w:ascii="Arial" w:cs="Arial" w:eastAsia="Arial" w:hAnsi="Arial"/>
          <w:sz w:val="22"/>
          <w:szCs w:val="22"/>
          <w:color w:val="auto"/>
        </w:rPr>
      </w:pPr>
      <w:r>
        <w:rPr>
          <w:rFonts w:ascii="Arial" w:cs="Arial" w:eastAsia="Arial" w:hAnsi="Arial"/>
          <w:sz w:val="22"/>
          <w:szCs w:val="22"/>
          <w:color w:val="auto"/>
        </w:rPr>
        <w:t xml:space="preserve">Except as expressly provided in this </w:t>
      </w:r>
      <w:r>
        <w:rPr>
          <w:rFonts w:ascii="Arial" w:cs="Arial" w:eastAsia="Arial" w:hAnsi="Arial"/>
          <w:sz w:val="22"/>
          <w:szCs w:val="22"/>
          <w:u w:val="single" w:color="auto"/>
          <w:color w:val="auto"/>
        </w:rPr>
        <w:t>Section 12.3</w:t>
      </w:r>
      <w:r>
        <w:rPr>
          <w:rFonts w:ascii="Arial" w:cs="Arial" w:eastAsia="Arial" w:hAnsi="Arial"/>
          <w:sz w:val="22"/>
          <w:szCs w:val="22"/>
          <w:color w:val="auto"/>
        </w:rPr>
        <w:t>, no Member shall be obligated to contribute cash to restore a deficit in its Capital Account balance.</w:t>
      </w:r>
    </w:p>
    <w:p>
      <w:pPr>
        <w:spacing w:after="0" w:line="160" w:lineRule="exact"/>
        <w:rPr>
          <w:rFonts w:ascii="Arial" w:cs="Arial" w:eastAsia="Arial" w:hAnsi="Arial"/>
          <w:sz w:val="22"/>
          <w:szCs w:val="22"/>
          <w:color w:val="auto"/>
        </w:rPr>
      </w:pPr>
    </w:p>
    <w:p>
      <w:pPr>
        <w:jc w:val="both"/>
        <w:ind w:firstLine="1305"/>
        <w:spacing w:after="0" w:line="293" w:lineRule="auto"/>
        <w:tabs>
          <w:tab w:leader="none" w:pos="1769" w:val="left"/>
        </w:tabs>
        <w:numPr>
          <w:ilvl w:val="1"/>
          <w:numId w:val="193"/>
        </w:numPr>
        <w:rPr>
          <w:rFonts w:ascii="Arial" w:cs="Arial" w:eastAsia="Arial" w:hAnsi="Arial"/>
          <w:sz w:val="19"/>
          <w:szCs w:val="19"/>
          <w:color w:val="auto"/>
        </w:rPr>
      </w:pPr>
      <w:r>
        <w:rPr>
          <w:rFonts w:ascii="Arial" w:cs="Arial" w:eastAsia="Arial" w:hAnsi="Arial"/>
          <w:sz w:val="19"/>
          <w:szCs w:val="19"/>
          <w:color w:val="auto"/>
        </w:rPr>
        <w:t>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1.704-2(g)</w:t>
      </w:r>
    </w:p>
    <w:p>
      <w:pPr>
        <w:spacing w:after="0" w:line="1" w:lineRule="exact"/>
        <w:rPr>
          <w:rFonts w:ascii="Arial" w:cs="Arial" w:eastAsia="Arial" w:hAnsi="Arial"/>
          <w:sz w:val="19"/>
          <w:szCs w:val="19"/>
          <w:color w:val="auto"/>
        </w:rPr>
      </w:pPr>
    </w:p>
    <w:p>
      <w:pPr>
        <w:jc w:val="both"/>
        <w:ind w:firstLine="8"/>
        <w:spacing w:after="0" w:line="295" w:lineRule="auto"/>
        <w:tabs>
          <w:tab w:leader="none" w:pos="33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and 1.704-2(i)(5) (an “</w:t>
      </w:r>
      <w:r>
        <w:rPr>
          <w:rFonts w:ascii="Arial" w:cs="Arial" w:eastAsia="Arial" w:hAnsi="Arial"/>
          <w:sz w:val="19"/>
          <w:szCs w:val="19"/>
          <w:u w:val="single" w:color="auto"/>
          <w:color w:val="auto"/>
        </w:rPr>
        <w:t>Adjusted Deficit Capital Account Balance</w:t>
      </w:r>
      <w:r>
        <w:rPr>
          <w:rFonts w:ascii="Arial" w:cs="Arial" w:eastAsia="Arial" w:hAnsi="Arial"/>
          <w:sz w:val="19"/>
          <w:szCs w:val="19"/>
          <w:color w:val="auto"/>
        </w:rPr>
        <w:t xml:space="preserve">”),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restoration obligation of the Class A Member shall not, under any circumstances be more than its DRO Amount.</w:t>
      </w:r>
    </w:p>
    <w:p>
      <w:pPr>
        <w:spacing w:after="0" w:line="14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12.4</w:t>
      </w:r>
      <w:r>
        <w:rPr>
          <w:sz w:val="20"/>
          <w:szCs w:val="20"/>
          <w:color w:val="auto"/>
        </w:rPr>
        <w:tab/>
      </w:r>
      <w:r>
        <w:rPr>
          <w:rFonts w:ascii="Arial" w:cs="Arial" w:eastAsia="Arial" w:hAnsi="Arial"/>
          <w:sz w:val="19"/>
          <w:szCs w:val="19"/>
          <w:b w:val="1"/>
          <w:bCs w:val="1"/>
          <w:u w:val="single" w:color="auto"/>
          <w:color w:val="auto"/>
        </w:rPr>
        <w:t>Termination.</w:t>
      </w:r>
    </w:p>
    <w:p>
      <w:pPr>
        <w:spacing w:after="0" w:line="23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be borne by the Company.</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13.1</w:t>
      </w:r>
      <w:r>
        <w:rPr>
          <w:sz w:val="20"/>
          <w:szCs w:val="20"/>
          <w:color w:val="auto"/>
        </w:rPr>
        <w:tab/>
      </w:r>
      <w:r>
        <w:rPr>
          <w:rFonts w:ascii="Arial" w:cs="Arial" w:eastAsia="Arial" w:hAnsi="Arial"/>
          <w:sz w:val="19"/>
          <w:szCs w:val="19"/>
          <w:b w:val="1"/>
          <w:bCs w:val="1"/>
          <w:u w:val="single" w:color="auto"/>
          <w:color w:val="auto"/>
        </w:rPr>
        <w:t>Offset.</w:t>
      </w:r>
    </w:p>
    <w:p>
      <w:pPr>
        <w:spacing w:after="0" w:line="23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Whenever the Company (or another Person on behalf of the Company) is to pay any sum to any Member, any amounts then owed by such Member to the Company may be deducted from such sum before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Member’s obligation to make Capital Contributions may be deducted from any payment amounts without such Member’s consent.</w:t>
      </w:r>
    </w:p>
    <w:p>
      <w:pPr>
        <w:spacing w:after="0" w:line="12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b w:val="1"/>
          <w:bCs w:val="1"/>
          <w:u w:val="single" w:color="auto"/>
          <w:color w:val="auto"/>
        </w:rPr>
        <w:t>Notices.</w:t>
      </w:r>
    </w:p>
    <w:p>
      <w:pPr>
        <w:spacing w:after="0" w:line="23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 xml:space="preserve">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w:t>
      </w:r>
      <w:r>
        <w:rPr>
          <w:rFonts w:ascii="Arial" w:cs="Arial" w:eastAsia="Arial" w:hAnsi="Arial"/>
          <w:sz w:val="19"/>
          <w:szCs w:val="19"/>
          <w:i w:val="1"/>
          <w:iCs w:val="1"/>
          <w:color w:val="auto"/>
        </w:rPr>
        <w:t>provided</w:t>
      </w:r>
      <w:r>
        <w:rPr>
          <w:rFonts w:ascii="Arial" w:cs="Arial" w:eastAsia="Arial" w:hAnsi="Arial"/>
          <w:sz w:val="19"/>
          <w:szCs w:val="19"/>
          <w:color w:val="auto"/>
        </w:rPr>
        <w:t>, that any Fund Documents, financial models or reports required to be delivered under this Agreement shall be emailed to (i) with respect to residential Projects, NRGRPVHoldCo3LLC@nrg.com, and (ii) with respect to commercial or industrial Projects, NRGDGPVHoldCo3LLC@nrg.com, and additionally, may be uploaded to a data site mutually agreed to by the Members, including by allowing access to a Member to a Fund Company data site, as long as such Members are delivered notice by one of the other means allowed hereunder when and where such documents are available. Any notice, request or consent to the Company must be given to the Manager. Notices, consents, demands, requests and other communications shall be deemed effective or served on the date of receipt at the address of the Person to receive it.</w:t>
      </w:r>
    </w:p>
    <w:p>
      <w:pPr>
        <w:spacing w:after="0" w:line="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13.3</w:t>
      </w:r>
      <w:r>
        <w:rPr>
          <w:sz w:val="20"/>
          <w:szCs w:val="20"/>
          <w:color w:val="auto"/>
        </w:rPr>
        <w:tab/>
      </w:r>
      <w:r>
        <w:rPr>
          <w:rFonts w:ascii="Arial" w:cs="Arial" w:eastAsia="Arial" w:hAnsi="Arial"/>
          <w:sz w:val="19"/>
          <w:szCs w:val="19"/>
          <w:b w:val="1"/>
          <w:bCs w:val="1"/>
          <w:u w:val="single" w:color="auto"/>
          <w:color w:val="auto"/>
        </w:rPr>
        <w:t>Counterparts.</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8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13.4</w:t>
      </w:r>
      <w:r>
        <w:rPr>
          <w:sz w:val="20"/>
          <w:szCs w:val="20"/>
          <w:color w:val="auto"/>
        </w:rPr>
        <w:tab/>
      </w:r>
      <w:r>
        <w:rPr>
          <w:rFonts w:ascii="Arial" w:cs="Arial" w:eastAsia="Arial" w:hAnsi="Arial"/>
          <w:sz w:val="19"/>
          <w:szCs w:val="19"/>
          <w:b w:val="1"/>
          <w:bCs w:val="1"/>
          <w:u w:val="single" w:color="auto"/>
          <w:color w:val="auto"/>
        </w:rPr>
        <w:t>Governing Law and Severability.</w:t>
      </w:r>
    </w:p>
    <w:p>
      <w:pPr>
        <w:spacing w:after="0" w:line="23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4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13.5</w:t>
      </w:r>
      <w:r>
        <w:rPr>
          <w:sz w:val="20"/>
          <w:szCs w:val="20"/>
          <w:color w:val="auto"/>
        </w:rPr>
        <w:tab/>
      </w:r>
      <w:r>
        <w:rPr>
          <w:rFonts w:ascii="Arial" w:cs="Arial" w:eastAsia="Arial" w:hAnsi="Arial"/>
          <w:sz w:val="19"/>
          <w:szCs w:val="19"/>
          <w:b w:val="1"/>
          <w:bCs w:val="1"/>
          <w:u w:val="single" w:color="auto"/>
          <w:color w:val="auto"/>
        </w:rPr>
        <w:t>Entire Agreement.</w:t>
      </w:r>
    </w:p>
    <w:p>
      <w:pPr>
        <w:sectPr>
          <w:pgSz w:w="11900" w:h="16838" w:orient="portrait"/>
          <w:cols w:equalWidth="0" w:num="1">
            <w:col w:w="11420"/>
          </w:cols>
          <w:pgMar w:left="240" w:top="132" w:right="239" w:bottom="0" w:gutter="0" w:footer="0" w:header="0"/>
        </w:sectPr>
      </w:pPr>
    </w:p>
    <w:bookmarkStart w:id="275" w:name="page276"/>
    <w:bookmarkEnd w:id="275"/>
    <w:p>
      <w:pPr>
        <w:jc w:val="both"/>
        <w:ind w:firstLine="1297"/>
        <w:spacing w:after="0" w:line="250" w:lineRule="auto"/>
        <w:rPr>
          <w:sz w:val="20"/>
          <w:szCs w:val="20"/>
          <w:color w:val="auto"/>
        </w:rPr>
      </w:pPr>
      <w:r>
        <w:rPr>
          <w:rFonts w:ascii="Arial" w:cs="Arial" w:eastAsia="Arial" w:hAnsi="Arial"/>
          <w:sz w:val="22"/>
          <w:szCs w:val="22"/>
          <w:color w:val="auto"/>
        </w:rPr>
        <w:t>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8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13.6</w:t>
      </w:r>
      <w:r>
        <w:rPr>
          <w:sz w:val="20"/>
          <w:szCs w:val="20"/>
          <w:color w:val="auto"/>
        </w:rPr>
        <w:tab/>
      </w:r>
      <w:r>
        <w:rPr>
          <w:rFonts w:ascii="Arial" w:cs="Arial" w:eastAsia="Arial" w:hAnsi="Arial"/>
          <w:sz w:val="19"/>
          <w:szCs w:val="19"/>
          <w:b w:val="1"/>
          <w:bCs w:val="1"/>
          <w:u w:val="single" w:color="auto"/>
          <w:color w:val="auto"/>
        </w:rPr>
        <w:t>Effect of Waiver or Consent.</w:t>
      </w:r>
    </w:p>
    <w:p>
      <w:pPr>
        <w:spacing w:after="0" w:line="23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9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13.7</w:t>
      </w:r>
      <w:r>
        <w:rPr>
          <w:sz w:val="20"/>
          <w:szCs w:val="20"/>
          <w:color w:val="auto"/>
        </w:rPr>
        <w:tab/>
      </w:r>
      <w:r>
        <w:rPr>
          <w:rFonts w:ascii="Arial" w:cs="Arial" w:eastAsia="Arial" w:hAnsi="Arial"/>
          <w:sz w:val="19"/>
          <w:szCs w:val="19"/>
          <w:b w:val="1"/>
          <w:bCs w:val="1"/>
          <w:u w:val="single" w:color="auto"/>
          <w:color w:val="auto"/>
        </w:rPr>
        <w:t>Amendment or Modification.</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Except as otherwise provided herein, this Agreement may be amended or modified from time to time only by a written instrument executed by all Members.</w:t>
      </w:r>
    </w:p>
    <w:p>
      <w:pPr>
        <w:spacing w:after="0" w:line="16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13.8</w:t>
      </w:r>
      <w:r>
        <w:rPr>
          <w:sz w:val="20"/>
          <w:szCs w:val="20"/>
          <w:color w:val="auto"/>
        </w:rPr>
        <w:tab/>
      </w:r>
      <w:r>
        <w:rPr>
          <w:rFonts w:ascii="Arial" w:cs="Arial" w:eastAsia="Arial" w:hAnsi="Arial"/>
          <w:sz w:val="19"/>
          <w:szCs w:val="19"/>
          <w:b w:val="1"/>
          <w:bCs w:val="1"/>
          <w:u w:val="single" w:color="auto"/>
          <w:color w:val="auto"/>
        </w:rPr>
        <w:t>Binding Effect.</w:t>
      </w:r>
    </w:p>
    <w:p>
      <w:pPr>
        <w:spacing w:after="0" w:line="23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Subject to the restrictions on Transfers set forth in this Agreement, this Agreement is binding on and inures to the benefit of the Members and their respective legal representatives, permitted successors and permitted assigns.</w:t>
      </w:r>
    </w:p>
    <w:p>
      <w:pPr>
        <w:spacing w:after="0" w:line="146"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13.9</w:t>
      </w:r>
      <w:r>
        <w:rPr>
          <w:sz w:val="20"/>
          <w:szCs w:val="20"/>
          <w:color w:val="auto"/>
        </w:rPr>
        <w:tab/>
      </w:r>
      <w:r>
        <w:rPr>
          <w:rFonts w:ascii="Arial" w:cs="Arial" w:eastAsia="Arial" w:hAnsi="Arial"/>
          <w:sz w:val="19"/>
          <w:szCs w:val="19"/>
          <w:b w:val="1"/>
          <w:bCs w:val="1"/>
          <w:u w:val="single" w:color="auto"/>
          <w:color w:val="auto"/>
        </w:rPr>
        <w:t>Further Assurances.</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b w:val="1"/>
          <w:bCs w:val="1"/>
          <w:color w:val="auto"/>
        </w:rPr>
        <w:t>Section 13.10</w:t>
      </w:r>
      <w:r>
        <w:rPr>
          <w:sz w:val="20"/>
          <w:szCs w:val="20"/>
          <w:color w:val="auto"/>
        </w:rPr>
        <w:tab/>
      </w:r>
      <w:r>
        <w:rPr>
          <w:rFonts w:ascii="Arial" w:cs="Arial" w:eastAsia="Arial" w:hAnsi="Arial"/>
          <w:sz w:val="19"/>
          <w:szCs w:val="19"/>
          <w:b w:val="1"/>
          <w:bCs w:val="1"/>
          <w:u w:val="single" w:color="auto"/>
          <w:color w:val="auto"/>
        </w:rPr>
        <w:t>Jurisdiction.</w:t>
      </w:r>
    </w:p>
    <w:p>
      <w:pPr>
        <w:spacing w:after="0" w:line="23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44"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b w:val="1"/>
          <w:bCs w:val="1"/>
          <w:color w:val="auto"/>
        </w:rPr>
        <w:t>Section 13.11</w:t>
      </w:r>
      <w:r>
        <w:rPr>
          <w:sz w:val="20"/>
          <w:szCs w:val="20"/>
          <w:color w:val="auto"/>
        </w:rPr>
        <w:tab/>
      </w:r>
      <w:r>
        <w:rPr>
          <w:rFonts w:ascii="Arial" w:cs="Arial" w:eastAsia="Arial" w:hAnsi="Arial"/>
          <w:sz w:val="22"/>
          <w:szCs w:val="22"/>
          <w:b w:val="1"/>
          <w:bCs w:val="1"/>
          <w:u w:val="single" w:color="auto"/>
          <w:color w:val="auto"/>
        </w:rPr>
        <w:t>LIMITATION ON LIABILITY.</w:t>
      </w:r>
    </w:p>
    <w:p>
      <w:pPr>
        <w:spacing w:after="0" w:line="23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NO DAMAGES SHALL BE MADE BY ANY PARTY HERETO OR ANY OF ITS AFFILIATES, DIRECTORS, EMPLOYEES, ATTORNEYS OR AGENTS AGAINST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TO THE EXTENT A BREACH RESULTS IN THE LOSS, DISALLOWANCE OR REDUCTION OF ITCS, THE VALUE OF SUCH LOST, DISALLOWED OR REDUCED ITCS TO THE EXTENT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SHALL NOT CONSTITUTE SPECIAL, INCIDENTAL, CONSEQUENTIAL, PUNITIVE, OR EXEMPLARY DAMAGES.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20"/>
          </w:cols>
          <w:pgMar w:left="240" w:top="132" w:right="239" w:bottom="0" w:gutter="0" w:footer="0" w:header="0"/>
          <w:type w:val="continuous"/>
        </w:sectPr>
      </w:pPr>
    </w:p>
    <w:bookmarkStart w:id="276" w:name="page277"/>
    <w:bookmarkEnd w:id="276"/>
    <w:p>
      <w:pPr>
        <w:ind w:left="100"/>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60"/>
          </w:cols>
          <w:pgMar w:left="1440" w:top="60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B MEMBER</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RENEW DG HOLDINGS LLC</w:t>
      </w:r>
    </w:p>
    <w:p>
      <w:pPr>
        <w:spacing w:after="0" w:line="38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3455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Cornelius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(760) 710-2187</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(760) 918-6780</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jennifer.hein@nrg.com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9560"/>
          </w:cols>
          <w:pgMar w:left="1440" w:top="604" w:right="899" w:bottom="1440" w:gutter="0" w:footer="0" w:header="0"/>
          <w:type w:val="continuous"/>
        </w:sectPr>
      </w:pPr>
    </w:p>
    <w:bookmarkStart w:id="277" w:name="page278"/>
    <w:bookmarkEnd w:id="277"/>
    <w:p>
      <w:pPr>
        <w:ind w:left="2700"/>
        <w:spacing w:after="0"/>
        <w:rPr>
          <w:sz w:val="20"/>
          <w:szCs w:val="20"/>
          <w:color w:val="auto"/>
        </w:rPr>
      </w:pPr>
      <w:r>
        <w:rPr>
          <w:rFonts w:ascii="Arial" w:cs="Arial" w:eastAsia="Arial" w:hAnsi="Arial"/>
          <w:sz w:val="22"/>
          <w:szCs w:val="22"/>
          <w:u w:val="single" w:color="auto"/>
          <w:color w:val="auto"/>
        </w:rPr>
        <w:t>CLASS A MEMBER</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YIELD DGPV HOLDING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5970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5">
                      <a:extLst>
                        <a:ext uri="{28A0092B-C50C-407E-A947-70E740481C1C}"/>
                      </a:extLst>
                    </a:blip>
                    <a:srcRect/>
                    <a:stretch>
                      <a:fillRect/>
                    </a:stretch>
                  </pic:blipFill>
                  <pic:spPr bwMode="auto">
                    <a:xfrm>
                      <a:off x="0" y="0"/>
                      <a:ext cx="159702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Sotos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&amp; Chief Executive Officer</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804 Carnegie Center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Princeton, NJ 08540</w:t>
      </w:r>
    </w:p>
    <w:p>
      <w:pPr>
        <w:spacing w:after="0" w:line="202"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5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19"/>
          <w:szCs w:val="19"/>
          <w:color w:val="auto"/>
        </w:rPr>
        <w:t>609-524-4500</w:t>
      </w:r>
    </w:p>
    <w:p>
      <w:pPr>
        <w:spacing w:after="0" w:line="4" w:lineRule="exact"/>
        <w:rPr>
          <w:sz w:val="20"/>
          <w:szCs w:val="20"/>
          <w:color w:val="auto"/>
        </w:rPr>
      </w:pPr>
    </w:p>
    <w:p>
      <w:pPr>
        <w:ind w:left="2700"/>
        <w:spacing w:after="0"/>
        <w:tabs>
          <w:tab w:leader="none" w:pos="32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609-524-4501</w:t>
      </w:r>
    </w:p>
    <w:p>
      <w:pPr>
        <w:spacing w:after="0" w:line="4" w:lineRule="exact"/>
        <w:rPr>
          <w:sz w:val="20"/>
          <w:szCs w:val="20"/>
          <w:color w:val="auto"/>
        </w:rPr>
      </w:pPr>
    </w:p>
    <w:p>
      <w:pPr>
        <w:ind w:left="2700"/>
        <w:spacing w:after="0"/>
        <w:tabs>
          <w:tab w:leader="none" w:pos="3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ogc@nrgyield.com</w:t>
      </w: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340"/>
          </w:cols>
          <w:pgMar w:left="1440" w:top="1077" w:right="1119" w:bottom="1440" w:gutter="0" w:footer="0" w:header="0"/>
        </w:sectPr>
      </w:pPr>
    </w:p>
    <w:bookmarkStart w:id="278" w:name="page279"/>
    <w:bookmarkEnd w:id="278"/>
    <w:p>
      <w:pPr>
        <w:ind w:left="2700"/>
        <w:spacing w:after="0"/>
        <w:rPr>
          <w:sz w:val="20"/>
          <w:szCs w:val="20"/>
          <w:color w:val="auto"/>
        </w:rPr>
      </w:pPr>
      <w:r>
        <w:rPr>
          <w:rFonts w:ascii="Arial" w:cs="Arial" w:eastAsia="Arial" w:hAnsi="Arial"/>
          <w:sz w:val="22"/>
          <w:szCs w:val="22"/>
          <w:u w:val="single" w:color="auto"/>
          <w:color w:val="auto"/>
        </w:rPr>
        <w:t>SOLELY FOR PURPOSES OF ARTICLE XI</w:t>
      </w:r>
      <w:r>
        <w:rPr>
          <w:rFonts w:ascii="Arial" w:cs="Arial" w:eastAsia="Arial" w:hAnsi="Arial"/>
          <w:sz w:val="22"/>
          <w:szCs w:val="22"/>
          <w:color w:val="auto"/>
        </w:rPr>
        <w: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RENEW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-17780</wp:posOffset>
            </wp:positionV>
            <wp:extent cx="1345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Cornelius</w:t>
      </w:r>
    </w:p>
    <w:p>
      <w:pPr>
        <w:spacing w:after="0" w:line="4"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15"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(760) 710-2187</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(760) 918-6780</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jennifer.hein@nrg.com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9340"/>
          </w:cols>
          <w:pgMar w:left="1440" w:top="861" w:right="1119" w:bottom="1440" w:gutter="0" w:footer="0" w:header="0"/>
        </w:sectPr>
      </w:pPr>
    </w:p>
    <w:bookmarkStart w:id="279" w:name="page280"/>
    <w:bookmarkEnd w:id="279"/>
    <w:p>
      <w:pPr>
        <w:ind w:left="2700"/>
        <w:spacing w:after="0"/>
        <w:rPr>
          <w:sz w:val="20"/>
          <w:szCs w:val="20"/>
          <w:color w:val="auto"/>
        </w:rPr>
      </w:pPr>
      <w:r>
        <w:rPr>
          <w:rFonts w:ascii="Arial" w:cs="Arial" w:eastAsia="Arial" w:hAnsi="Arial"/>
          <w:sz w:val="22"/>
          <w:szCs w:val="22"/>
          <w:i w:val="1"/>
          <w:iCs w:val="1"/>
          <w:color w:val="auto"/>
        </w:rPr>
        <w:t>Copies of notices to the Class B Member shall also be sent to:</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NRG DGPV HOLDCO 3 LLC</w:t>
      </w:r>
    </w:p>
    <w:p>
      <w:pPr>
        <w:spacing w:after="0" w:line="233" w:lineRule="exact"/>
        <w:rPr>
          <w:sz w:val="20"/>
          <w:szCs w:val="20"/>
          <w:color w:val="auto"/>
        </w:rPr>
      </w:pPr>
    </w:p>
    <w:p>
      <w:pPr>
        <w:ind w:left="2700"/>
        <w:spacing w:after="0"/>
        <w:tabs>
          <w:tab w:leader="none" w:pos="36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5790 Fleet Street, Suite 200,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Carlsbad, CA 92008</w:t>
      </w:r>
    </w:p>
    <w:p>
      <w:pPr>
        <w:spacing w:after="0" w:line="256" w:lineRule="exact"/>
        <w:rPr>
          <w:sz w:val="20"/>
          <w:szCs w:val="20"/>
          <w:color w:val="auto"/>
        </w:rPr>
      </w:pPr>
    </w:p>
    <w:p>
      <w:pPr>
        <w:ind w:left="2700"/>
        <w:spacing w:after="0"/>
        <w:tabs>
          <w:tab w:leader="none" w:pos="37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Office of the General Counsel</w:t>
      </w:r>
    </w:p>
    <w:p>
      <w:pPr>
        <w:spacing w:after="0" w:line="22" w:lineRule="exact"/>
        <w:rPr>
          <w:sz w:val="20"/>
          <w:szCs w:val="20"/>
          <w:color w:val="auto"/>
        </w:rPr>
      </w:pPr>
    </w:p>
    <w:p>
      <w:pPr>
        <w:ind w:left="2700"/>
        <w:spacing w:after="0"/>
        <w:tabs>
          <w:tab w:leader="none" w:pos="3900" w:val="left"/>
        </w:tabs>
        <w:rPr>
          <w:sz w:val="20"/>
          <w:szCs w:val="20"/>
          <w:color w:val="auto"/>
        </w:rPr>
      </w:pPr>
      <w:r>
        <w:rPr>
          <w:rFonts w:ascii="Arial" w:cs="Arial" w:eastAsia="Arial" w:hAnsi="Arial"/>
          <w:sz w:val="22"/>
          <w:szCs w:val="22"/>
          <w:color w:val="auto"/>
        </w:rPr>
        <w:t>Telephone:</w:t>
        <w:tab/>
        <w:t>609-524-4500</w:t>
      </w:r>
    </w:p>
    <w:p>
      <w:pPr>
        <w:spacing w:after="0" w:line="4" w:lineRule="exact"/>
        <w:rPr>
          <w:sz w:val="20"/>
          <w:szCs w:val="20"/>
          <w:color w:val="auto"/>
        </w:rPr>
      </w:pPr>
    </w:p>
    <w:p>
      <w:pPr>
        <w:ind w:left="2700"/>
        <w:spacing w:after="0"/>
        <w:tabs>
          <w:tab w:leader="none" w:pos="3840" w:val="left"/>
        </w:tabs>
        <w:rPr>
          <w:sz w:val="20"/>
          <w:szCs w:val="20"/>
          <w:color w:val="auto"/>
        </w:rPr>
      </w:pPr>
      <w:r>
        <w:rPr>
          <w:rFonts w:ascii="Arial" w:cs="Arial" w:eastAsia="Arial" w:hAnsi="Arial"/>
          <w:sz w:val="22"/>
          <w:szCs w:val="22"/>
          <w:color w:val="auto"/>
        </w:rPr>
        <w:t>Facsimile:</w:t>
        <w:tab/>
        <w:t>609-524-4501</w:t>
      </w:r>
    </w:p>
    <w:p>
      <w:pPr>
        <w:spacing w:after="0" w:line="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Email:</w:t>
        <w:tab/>
        <w:t>ogc@nrg.com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A&amp;R Limited Liability Company Agreement of NRG DGPV Holdco 3 LLC</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S-4</w:t>
      </w:r>
    </w:p>
    <w:p>
      <w:pPr>
        <w:sectPr>
          <w:pgSz w:w="11900" w:h="16838" w:orient="portrait"/>
          <w:cols w:equalWidth="0" w:num="1">
            <w:col w:w="9340"/>
          </w:cols>
          <w:pgMar w:left="1440" w:top="861" w:right="1119" w:bottom="1440" w:gutter="0" w:footer="0" w:header="0"/>
        </w:sectPr>
      </w:pPr>
    </w:p>
    <w:bookmarkStart w:id="280" w:name="page281"/>
    <w:bookmarkEnd w:id="280"/>
    <w:p>
      <w:pPr>
        <w:jc w:val="center"/>
        <w:ind w:right="20"/>
        <w:spacing w:after="0"/>
        <w:rPr>
          <w:sz w:val="20"/>
          <w:szCs w:val="20"/>
          <w:color w:val="auto"/>
        </w:rPr>
      </w:pPr>
      <w:r>
        <w:rPr>
          <w:rFonts w:ascii="Arial" w:cs="Arial" w:eastAsia="Arial" w:hAnsi="Arial"/>
          <w:sz w:val="22"/>
          <w:szCs w:val="22"/>
          <w:b w:val="1"/>
          <w:bCs w:val="1"/>
          <w:u w:val="single" w:color="auto"/>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Members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00000A"/>
              <w:left w:val="single" w:sz="8" w:color="00000A"/>
              <w:right w:val="single" w:sz="8" w:color="00000A"/>
            </w:tcBorders>
          </w:tcPr>
          <w:p>
            <w:pPr>
              <w:spacing w:after="0"/>
              <w:rPr>
                <w:sz w:val="20"/>
                <w:szCs w:val="20"/>
                <w:color w:val="auto"/>
              </w:rPr>
            </w:pPr>
          </w:p>
        </w:tc>
        <w:tc>
          <w:tcPr>
            <w:tcW w:w="4700" w:type="dxa"/>
            <w:vAlign w:val="bottom"/>
            <w:tcBorders>
              <w:top w:val="single" w:sz="8" w:color="00000A"/>
              <w:right w:val="single" w:sz="8" w:color="00000A"/>
            </w:tcBorders>
          </w:tcPr>
          <w:p>
            <w:pPr>
              <w:spacing w:after="0"/>
              <w:rPr>
                <w:sz w:val="20"/>
                <w:szCs w:val="20"/>
                <w:color w:val="auto"/>
              </w:rPr>
            </w:pP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8"/>
              </w:rPr>
              <w:t>Initial Capital</w:t>
            </w: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Capital Account</w:t>
            </w:r>
          </w:p>
        </w:tc>
        <w:tc>
          <w:tcPr>
            <w:tcW w:w="1240" w:type="dxa"/>
            <w:vAlign w:val="bottom"/>
            <w:tcBorders>
              <w:top w:val="single" w:sz="8" w:color="00000A"/>
              <w:right w:val="single" w:sz="8" w:color="00000A"/>
            </w:tcBorders>
          </w:tcPr>
          <w:p>
            <w:pPr>
              <w:ind w:left="120"/>
              <w:spacing w:after="0"/>
              <w:rPr>
                <w:sz w:val="20"/>
                <w:szCs w:val="20"/>
                <w:color w:val="auto"/>
              </w:rPr>
            </w:pPr>
            <w:r>
              <w:rPr>
                <w:rFonts w:ascii="Arial" w:cs="Arial" w:eastAsia="Arial" w:hAnsi="Arial"/>
                <w:sz w:val="18"/>
                <w:szCs w:val="18"/>
                <w:b w:val="1"/>
                <w:bCs w:val="1"/>
                <w:color w:val="auto"/>
              </w:rPr>
              <w:t>Number and</w:t>
            </w:r>
          </w:p>
        </w:tc>
      </w:tr>
      <w:tr>
        <w:trPr>
          <w:trHeight w:val="234"/>
        </w:trPr>
        <w:tc>
          <w:tcPr>
            <w:tcW w:w="1860" w:type="dxa"/>
            <w:vAlign w:val="bottom"/>
            <w:tcBorders>
              <w:left w:val="single" w:sz="8" w:color="00000A"/>
              <w:right w:val="single" w:sz="8" w:color="00000A"/>
            </w:tcBorders>
          </w:tcPr>
          <w:p>
            <w:pPr>
              <w:ind w:left="360"/>
              <w:spacing w:after="0"/>
              <w:rPr>
                <w:sz w:val="20"/>
                <w:szCs w:val="20"/>
                <w:color w:val="auto"/>
              </w:rPr>
            </w:pPr>
            <w:r>
              <w:rPr>
                <w:rFonts w:ascii="Arial" w:cs="Arial" w:eastAsia="Arial" w:hAnsi="Arial"/>
                <w:sz w:val="18"/>
                <w:szCs w:val="18"/>
                <w:b w:val="1"/>
                <w:bCs w:val="1"/>
                <w:color w:val="auto"/>
              </w:rPr>
              <w:t>Member Name</w:t>
            </w:r>
          </w:p>
        </w:tc>
        <w:tc>
          <w:tcPr>
            <w:tcW w:w="4700" w:type="dxa"/>
            <w:vAlign w:val="bottom"/>
            <w:tcBorders>
              <w:right w:val="single" w:sz="8" w:color="00000A"/>
            </w:tcBorders>
          </w:tcPr>
          <w:p>
            <w:pPr>
              <w:ind w:left="1580"/>
              <w:spacing w:after="0"/>
              <w:rPr>
                <w:sz w:val="20"/>
                <w:szCs w:val="20"/>
                <w:color w:val="auto"/>
              </w:rPr>
            </w:pPr>
            <w:r>
              <w:rPr>
                <w:rFonts w:ascii="Arial" w:cs="Arial" w:eastAsia="Arial" w:hAnsi="Arial"/>
                <w:sz w:val="18"/>
                <w:szCs w:val="18"/>
                <w:b w:val="1"/>
                <w:bCs w:val="1"/>
                <w:color w:val="auto"/>
              </w:rPr>
              <w:t>Address for Notices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4"/>
              </w:rPr>
              <w:t>Contribution</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240" w:type="dxa"/>
            <w:vAlign w:val="bottom"/>
            <w:tcBorders>
              <w:right w:val="single" w:sz="8" w:color="00000A"/>
            </w:tcBorders>
          </w:tcPr>
          <w:p>
            <w:pPr>
              <w:ind w:left="80"/>
              <w:spacing w:after="0"/>
              <w:rPr>
                <w:sz w:val="20"/>
                <w:szCs w:val="20"/>
                <w:color w:val="auto"/>
              </w:rPr>
            </w:pPr>
            <w:r>
              <w:rPr>
                <w:rFonts w:ascii="Arial" w:cs="Arial" w:eastAsia="Arial" w:hAnsi="Arial"/>
                <w:sz w:val="18"/>
                <w:szCs w:val="18"/>
                <w:b w:val="1"/>
                <w:bCs w:val="1"/>
                <w:color w:val="auto"/>
                <w:w w:val="93"/>
              </w:rPr>
              <w:t>Class of Units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NRG Yield DGPV</w:t>
            </w: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804 Carnegie Center Blvd.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 USD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 USD</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1000 Class A</w:t>
            </w:r>
          </w:p>
        </w:tc>
      </w:tr>
      <w:tr>
        <w:trPr>
          <w:trHeight w:val="216"/>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Holding LLC</w:t>
            </w: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Princeton, NJ 08540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Units</w:t>
            </w: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Attention: Office of the General Counsel</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Telephone: 609-524-4500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Facsimile: 609-524-4501</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30"/>
        </w:trPr>
        <w:tc>
          <w:tcPr>
            <w:tcW w:w="1860" w:type="dxa"/>
            <w:vAlign w:val="bottom"/>
            <w:tcBorders>
              <w:left w:val="single" w:sz="8" w:color="00000A"/>
              <w:right w:val="single" w:sz="8" w:color="00000A"/>
            </w:tcBorders>
          </w:tcPr>
          <w:p>
            <w:pPr>
              <w:spacing w:after="0"/>
              <w:rPr>
                <w:sz w:val="20"/>
                <w:szCs w:val="20"/>
                <w:color w:val="auto"/>
              </w:rPr>
            </w:pPr>
          </w:p>
        </w:tc>
        <w:tc>
          <w:tcPr>
            <w:tcW w:w="4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Email: ogc@nrgyield.com</w:t>
            </w:r>
          </w:p>
        </w:tc>
        <w:tc>
          <w:tcPr>
            <w:tcW w:w="1820" w:type="dxa"/>
            <w:vAlign w:val="bottom"/>
            <w:tcBorders>
              <w:right w:val="single" w:sz="8" w:color="00000A"/>
            </w:tcBorders>
          </w:tcPr>
          <w:p>
            <w:pPr>
              <w:spacing w:after="0"/>
              <w:rPr>
                <w:sz w:val="20"/>
                <w:szCs w:val="20"/>
                <w:color w:val="auto"/>
              </w:rPr>
            </w:pPr>
          </w:p>
        </w:tc>
        <w:tc>
          <w:tcPr>
            <w:tcW w:w="182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NRG Renew DG</w:t>
            </w: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5790 Fleet Street, Suite 200</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15,627,024 USD</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15,627,024 USD</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1000 Class B</w:t>
            </w:r>
          </w:p>
        </w:tc>
      </w:tr>
      <w:tr>
        <w:trPr>
          <w:trHeight w:val="216"/>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Holdings LLC</w:t>
            </w: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Carlsbad, CA 92008</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Units</w:t>
            </w: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Attention: Office of the General Counsel</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Telephone: 609-524-4500</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Facsimile: 609-524-4501</w:t>
            </w:r>
          </w:p>
        </w:tc>
        <w:tc>
          <w:tcPr>
            <w:tcW w:w="182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r>
      <w:tr>
        <w:trPr>
          <w:trHeight w:val="230"/>
        </w:trPr>
        <w:tc>
          <w:tcPr>
            <w:tcW w:w="1860" w:type="dxa"/>
            <w:vAlign w:val="bottom"/>
            <w:tcBorders>
              <w:left w:val="single" w:sz="8" w:color="00000A"/>
              <w:right w:val="single" w:sz="8" w:color="00000A"/>
            </w:tcBorders>
          </w:tcPr>
          <w:p>
            <w:pPr>
              <w:spacing w:after="0"/>
              <w:rPr>
                <w:sz w:val="20"/>
                <w:szCs w:val="20"/>
                <w:color w:val="auto"/>
              </w:rPr>
            </w:pPr>
          </w:p>
        </w:tc>
        <w:tc>
          <w:tcPr>
            <w:tcW w:w="4700" w:type="dxa"/>
            <w:vAlign w:val="bottom"/>
            <w:tcBorders>
              <w:right w:val="single" w:sz="8" w:color="00000A"/>
            </w:tcBorders>
          </w:tcPr>
          <w:p>
            <w:pPr>
              <w:ind w:left="60"/>
              <w:spacing w:after="0"/>
              <w:rPr>
                <w:sz w:val="20"/>
                <w:szCs w:val="20"/>
                <w:color w:val="auto"/>
              </w:rPr>
            </w:pPr>
            <w:r>
              <w:rPr>
                <w:rFonts w:ascii="Arial" w:cs="Arial" w:eastAsia="Arial" w:hAnsi="Arial"/>
                <w:sz w:val="18"/>
                <w:szCs w:val="18"/>
                <w:color w:val="auto"/>
              </w:rPr>
              <w:t>Email: ogc@nrg.com</w:t>
            </w:r>
          </w:p>
        </w:tc>
        <w:tc>
          <w:tcPr>
            <w:tcW w:w="1820" w:type="dxa"/>
            <w:vAlign w:val="bottom"/>
            <w:tcBorders>
              <w:right w:val="single" w:sz="8" w:color="00000A"/>
            </w:tcBorders>
          </w:tcPr>
          <w:p>
            <w:pPr>
              <w:spacing w:after="0"/>
              <w:rPr>
                <w:sz w:val="20"/>
                <w:szCs w:val="20"/>
                <w:color w:val="auto"/>
              </w:rPr>
            </w:pPr>
          </w:p>
        </w:tc>
        <w:tc>
          <w:tcPr>
            <w:tcW w:w="182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4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598" w:right="21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b w:val="1"/>
          <w:bCs w:val="1"/>
          <w:color w:val="auto"/>
        </w:rPr>
        <w:t>Exhibit 10.32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196"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INFORMATION IN THIS EXHIBIT IDENTIFIED BY THE MARK “[***]” IS CONFIDENTIAL AND HAS BEEN EXCLUDED PURSUANT TO ITEM 601(B)(10)(IV) OF REGULATION S-K BECAUSE IT (I) IS NOT MATERIAL AND (II) WOULD LIKELY CAUSE COMPETITIVE HARM TO THE REGISTRANT IF PUBLICLY DISCLOSED.</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DGPV HOLDCO 3 LLC</w:t>
      </w:r>
    </w:p>
    <w:p>
      <w:pPr>
        <w:spacing w:after="0" w:line="209"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FIRST AMENDMENT TO AMENDED AND RESTATED LIMITED LIABILITY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dated as of December 26, 2018 (this “</w:t>
      </w:r>
      <w:r>
        <w:rPr>
          <w:rFonts w:ascii="Arial" w:cs="Arial" w:eastAsia="Arial" w:hAnsi="Arial"/>
          <w:sz w:val="19"/>
          <w:szCs w:val="19"/>
          <w:b w:val="1"/>
          <w:bCs w:val="1"/>
          <w:color w:val="auto"/>
        </w:rPr>
        <w:t>Amendment</w:t>
      </w:r>
      <w:r>
        <w:rPr>
          <w:rFonts w:ascii="Arial" w:cs="Arial" w:eastAsia="Arial" w:hAnsi="Arial"/>
          <w:sz w:val="19"/>
          <w:szCs w:val="19"/>
          <w:color w:val="auto"/>
        </w:rPr>
        <w:t>”), is made and entered into by and among DGPV Holding</w:t>
      </w:r>
      <w:r>
        <w:rPr>
          <w:rFonts w:ascii="Arial" w:cs="Arial" w:eastAsia="Arial" w:hAnsi="Arial"/>
          <w:sz w:val="19"/>
          <w:szCs w:val="19"/>
          <w:b w:val="1"/>
          <w:bCs w:val="1"/>
          <w:color w:val="auto"/>
        </w:rPr>
        <w:t xml:space="preserve"> </w:t>
      </w:r>
      <w:r>
        <w:rPr>
          <w:rFonts w:ascii="Arial" w:cs="Arial" w:eastAsia="Arial" w:hAnsi="Arial"/>
          <w:sz w:val="19"/>
          <w:szCs w:val="19"/>
          <w:color w:val="auto"/>
        </w:rPr>
        <w:t>LLC (f/k/a NRG Yield DGPV Holding LLC), a Delaware limited liability company (the “</w:t>
      </w:r>
      <w:r>
        <w:rPr>
          <w:rFonts w:ascii="Arial" w:cs="Arial" w:eastAsia="Arial" w:hAnsi="Arial"/>
          <w:sz w:val="19"/>
          <w:szCs w:val="19"/>
          <w:b w:val="1"/>
          <w:bCs w:val="1"/>
          <w:color w:val="auto"/>
        </w:rPr>
        <w:t>Class A Member</w:t>
      </w:r>
      <w:r>
        <w:rPr>
          <w:rFonts w:ascii="Arial" w:cs="Arial" w:eastAsia="Arial" w:hAnsi="Arial"/>
          <w:sz w:val="19"/>
          <w:szCs w:val="19"/>
          <w:color w:val="auto"/>
        </w:rPr>
        <w:t>”) and Renew DG Holdings LLC (f/k/a NRG Renew DG Holdings LLC), a Delaware limited liability company (the “</w:t>
      </w:r>
      <w:r>
        <w:rPr>
          <w:rFonts w:ascii="Arial" w:cs="Arial" w:eastAsia="Arial" w:hAnsi="Arial"/>
          <w:sz w:val="19"/>
          <w:szCs w:val="19"/>
          <w:b w:val="1"/>
          <w:bCs w:val="1"/>
          <w:color w:val="auto"/>
        </w:rPr>
        <w:t>Class B Member</w:t>
      </w:r>
      <w:r>
        <w:rPr>
          <w:rFonts w:ascii="Arial" w:cs="Arial" w:eastAsia="Arial" w:hAnsi="Arial"/>
          <w:sz w:val="19"/>
          <w:szCs w:val="19"/>
          <w:color w:val="auto"/>
        </w:rPr>
        <w:t>”). The Class A Member and Class B Member are each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Capitalized terms used but not defined herein shall have the meaning ascribed to such terms in the LLC Agreement (as defined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firstLine="1305"/>
        <w:spacing w:after="0" w:line="287" w:lineRule="auto"/>
        <w:tabs>
          <w:tab w:leader="none" w:pos="1728" w:val="left"/>
        </w:tabs>
        <w:numPr>
          <w:ilvl w:val="0"/>
          <w:numId w:val="195"/>
        </w:numPr>
        <w:rPr>
          <w:rFonts w:ascii="Arial" w:cs="Arial" w:eastAsia="Arial" w:hAnsi="Arial"/>
          <w:sz w:val="21"/>
          <w:szCs w:val="21"/>
          <w:color w:val="auto"/>
        </w:rPr>
      </w:pPr>
      <w:r>
        <w:rPr>
          <w:rFonts w:ascii="Arial" w:cs="Arial" w:eastAsia="Arial" w:hAnsi="Arial"/>
          <w:sz w:val="21"/>
          <w:szCs w:val="21"/>
          <w:color w:val="auto"/>
        </w:rPr>
        <w:t>On September 26, 2017, the Parties entered into that certain Amended and Restated Limited Liability Company Agreement (the “</w:t>
      </w:r>
      <w:r>
        <w:rPr>
          <w:rFonts w:ascii="Arial" w:cs="Arial" w:eastAsia="Arial" w:hAnsi="Arial"/>
          <w:sz w:val="21"/>
          <w:szCs w:val="21"/>
          <w:b w:val="1"/>
          <w:bCs w:val="1"/>
          <w:color w:val="auto"/>
        </w:rPr>
        <w:t>LLC Agreement</w:t>
      </w:r>
      <w:r>
        <w:rPr>
          <w:rFonts w:ascii="Arial" w:cs="Arial" w:eastAsia="Arial" w:hAnsi="Arial"/>
          <w:sz w:val="21"/>
          <w:szCs w:val="21"/>
          <w:color w:val="auto"/>
        </w:rPr>
        <w:t>”) of DGPV Holdco 3 LLC (f/k/a NRG DGPV Holdco 3 LLC)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right="20" w:firstLine="1305"/>
        <w:spacing w:after="0" w:line="263" w:lineRule="auto"/>
        <w:tabs>
          <w:tab w:leader="none" w:pos="172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Parties constitute all of the Members of the Company, and Section 13.7 of the LLC Agreement permits the Members to amend the LLC Agreement by written instrument executed by all Members.</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Parties now desire to amend the LLC Agreement as set forth herein.</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NOW, THEREFORE, in consideration of the premises and the mutual undertakings contained herein, and for other good and valuable consideration, the receipt and sufficiency of which are acknowledged, and intending to be legally bound hereby, the Parties hereby agree as follows:</w:t>
      </w:r>
    </w:p>
    <w:p>
      <w:pPr>
        <w:spacing w:after="0" w:line="14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010000"/>
        </w:rPr>
        <w:t>Article I</w:t>
      </w: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2" w:lineRule="exact"/>
        <w:rPr>
          <w:sz w:val="20"/>
          <w:szCs w:val="20"/>
          <w:color w:val="auto"/>
        </w:rPr>
      </w:pPr>
    </w:p>
    <w:p>
      <w:pPr>
        <w:ind w:left="660" w:hanging="652"/>
        <w:spacing w:after="0" w:line="269" w:lineRule="auto"/>
        <w:tabs>
          <w:tab w:leader="none" w:pos="660" w:val="left"/>
        </w:tabs>
        <w:numPr>
          <w:ilvl w:val="0"/>
          <w:numId w:val="196"/>
        </w:numPr>
        <w:rPr>
          <w:rFonts w:ascii="Arial" w:cs="Arial" w:eastAsia="Arial" w:hAnsi="Arial"/>
          <w:sz w:val="22"/>
          <w:szCs w:val="22"/>
          <w:color w:val="010000"/>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and the amendments to the LLC Agreement made herein, shall be effective on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hereof.</w:t>
      </w:r>
    </w:p>
    <w:p>
      <w:pPr>
        <w:spacing w:after="0" w:line="162" w:lineRule="exact"/>
        <w:rPr>
          <w:rFonts w:ascii="Arial" w:cs="Arial" w:eastAsia="Arial" w:hAnsi="Arial"/>
          <w:sz w:val="22"/>
          <w:szCs w:val="22"/>
          <w:color w:val="010000"/>
        </w:rPr>
      </w:pPr>
    </w:p>
    <w:p>
      <w:pPr>
        <w:ind w:left="660" w:hanging="652"/>
        <w:spacing w:after="0"/>
        <w:tabs>
          <w:tab w:leader="none" w:pos="660" w:val="left"/>
        </w:tabs>
        <w:numPr>
          <w:ilvl w:val="0"/>
          <w:numId w:val="196"/>
        </w:numPr>
        <w:rPr>
          <w:rFonts w:ascii="Arial" w:cs="Arial" w:eastAsia="Arial" w:hAnsi="Arial"/>
          <w:sz w:val="22"/>
          <w:szCs w:val="22"/>
          <w:color w:val="010000"/>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The LLC Agreement is hereby amended as follows:</w:t>
      </w:r>
    </w:p>
    <w:p>
      <w:pPr>
        <w:spacing w:after="0" w:line="225" w:lineRule="exact"/>
        <w:rPr>
          <w:rFonts w:ascii="Arial" w:cs="Arial" w:eastAsia="Arial" w:hAnsi="Arial"/>
          <w:sz w:val="22"/>
          <w:szCs w:val="22"/>
          <w:color w:val="010000"/>
        </w:rPr>
      </w:pPr>
    </w:p>
    <w:p>
      <w:pPr>
        <w:ind w:left="1300" w:hanging="644"/>
        <w:spacing w:after="0" w:line="287" w:lineRule="auto"/>
        <w:tabs>
          <w:tab w:leader="none" w:pos="1300" w:val="left"/>
        </w:tabs>
        <w:numPr>
          <w:ilvl w:val="1"/>
          <w:numId w:val="196"/>
        </w:numPr>
        <w:rPr>
          <w:rFonts w:ascii="Arial" w:cs="Arial" w:eastAsia="Arial" w:hAnsi="Arial"/>
          <w:sz w:val="21"/>
          <w:szCs w:val="21"/>
          <w:color w:val="010000"/>
        </w:rPr>
      </w:pPr>
      <w:r>
        <w:rPr>
          <w:rFonts w:ascii="Arial" w:cs="Arial" w:eastAsia="Arial" w:hAnsi="Arial"/>
          <w:sz w:val="21"/>
          <w:szCs w:val="21"/>
          <w:color w:val="auto"/>
        </w:rPr>
        <w:t>The definition of “Class A Member Capital Contribution Commitment” in Section 1.1 of the LLC Agreement is hereby amended by deleting the dollar amount “$50,000,000” therein and replacing it with “$70,000,000”.</w:t>
      </w:r>
    </w:p>
    <w:p>
      <w:pPr>
        <w:sectPr>
          <w:pgSz w:w="11900" w:h="16838" w:orient="portrait"/>
          <w:cols w:equalWidth="0" w:num="1">
            <w:col w:w="11420"/>
          </w:cols>
          <w:pgMar w:left="240" w:top="125" w:right="239" w:bottom="1440" w:gutter="0" w:footer="0" w:header="0"/>
        </w:sectPr>
      </w:pPr>
    </w:p>
    <w:bookmarkStart w:id="282" w:name="page283"/>
    <w:bookmarkEnd w:id="282"/>
    <w:p>
      <w:pPr>
        <w:ind w:left="644" w:right="20" w:hanging="644"/>
        <w:spacing w:after="0" w:line="263" w:lineRule="auto"/>
        <w:tabs>
          <w:tab w:leader="none" w:pos="644"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Section 1.1 of the LLC Agreement is hereby amended by inserting, in appropriate alphabetic order, the following new definition:</w:t>
      </w:r>
    </w:p>
    <w:p>
      <w:pPr>
        <w:spacing w:after="0" w:line="168" w:lineRule="exact"/>
        <w:rPr>
          <w:rFonts w:ascii="Arial" w:cs="Arial" w:eastAsia="Arial" w:hAnsi="Arial"/>
          <w:sz w:val="22"/>
          <w:szCs w:val="22"/>
          <w:color w:val="010000"/>
        </w:rPr>
      </w:pPr>
    </w:p>
    <w:p>
      <w:pPr>
        <w:ind w:left="644"/>
        <w:spacing w:after="0" w:line="269" w:lineRule="auto"/>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CS4 Project</w:t>
      </w:r>
      <w:r>
        <w:rPr>
          <w:rFonts w:ascii="Arial" w:cs="Arial" w:eastAsia="Arial" w:hAnsi="Arial"/>
          <w:sz w:val="22"/>
          <w:szCs w:val="22"/>
          <w:color w:val="auto"/>
        </w:rPr>
        <w:t>” means, so long as Renew Solar CS4 Fund LLC (and its successors) is an Intermediate Company held by Company, any Project owned, directly or indirectly, by Renew Solar CS4 Fund LLC.</w:t>
      </w:r>
    </w:p>
    <w:p>
      <w:pPr>
        <w:spacing w:after="0" w:line="168" w:lineRule="exact"/>
        <w:rPr>
          <w:rFonts w:ascii="Arial" w:cs="Arial" w:eastAsia="Arial" w:hAnsi="Arial"/>
          <w:sz w:val="22"/>
          <w:szCs w:val="22"/>
          <w:color w:val="010000"/>
        </w:rPr>
      </w:pPr>
    </w:p>
    <w:p>
      <w:pPr>
        <w:ind w:left="644" w:hanging="644"/>
        <w:spacing w:after="0" w:line="263" w:lineRule="auto"/>
        <w:tabs>
          <w:tab w:leader="none" w:pos="644"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The definition of “Investment Period” in Section 1.1 of the LLC Agreement is hereby amended by deleting the date “December 31, 2018” therein and replacing it with “December 31, 2019”.</w:t>
      </w:r>
    </w:p>
    <w:p>
      <w:pPr>
        <w:spacing w:after="0" w:line="174" w:lineRule="exact"/>
        <w:rPr>
          <w:rFonts w:ascii="Arial" w:cs="Arial" w:eastAsia="Arial" w:hAnsi="Arial"/>
          <w:sz w:val="22"/>
          <w:szCs w:val="22"/>
          <w:color w:val="010000"/>
        </w:rPr>
      </w:pPr>
    </w:p>
    <w:p>
      <w:pPr>
        <w:ind w:left="644" w:hanging="644"/>
        <w:spacing w:after="0" w:line="263" w:lineRule="auto"/>
        <w:tabs>
          <w:tab w:leader="none" w:pos="644"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The definition of “Extended Investment Period Date” in Section 1.1 of the LLC Agreement is hereby amended by deleting the date “June 30, 2019” therein and replacing it with “June 30, 2020”.</w:t>
      </w:r>
    </w:p>
    <w:p>
      <w:pPr>
        <w:spacing w:after="0" w:line="174" w:lineRule="exact"/>
        <w:rPr>
          <w:rFonts w:ascii="Arial" w:cs="Arial" w:eastAsia="Arial" w:hAnsi="Arial"/>
          <w:sz w:val="22"/>
          <w:szCs w:val="22"/>
          <w:color w:val="010000"/>
        </w:rPr>
      </w:pPr>
    </w:p>
    <w:p>
      <w:pPr>
        <w:ind w:left="644" w:right="20" w:hanging="644"/>
        <w:spacing w:after="0" w:line="263" w:lineRule="auto"/>
        <w:tabs>
          <w:tab w:leader="none" w:pos="644"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Section 3.3(c) of the LLC Agreement is hereby amended by deleting the first proviso therein and replacing it with the following:</w:t>
      </w:r>
    </w:p>
    <w:p>
      <w:pPr>
        <w:spacing w:after="0" w:line="175" w:lineRule="exact"/>
        <w:rPr>
          <w:sz w:val="20"/>
          <w:szCs w:val="20"/>
          <w:color w:val="auto"/>
        </w:rPr>
      </w:pPr>
    </w:p>
    <w:p>
      <w:pPr>
        <w:ind w:left="964"/>
        <w:spacing w:after="0" w:line="26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that, such Capital Contribution shall be sized so that the Class A Members are projected to achieve a per annum yield, calculated on an After</w:t>
      </w:r>
      <w:r>
        <w:rPr>
          <w:rFonts w:ascii="MS PGothic" w:cs="MS PGothic" w:eastAsia="MS PGothic" w:hAnsi="MS PGothic"/>
          <w:sz w:val="19"/>
          <w:szCs w:val="19"/>
          <w:color w:val="auto"/>
        </w:rPr>
        <w:t>‑</w:t>
      </w:r>
      <w:r>
        <w:rPr>
          <w:rFonts w:ascii="Arial" w:cs="Arial" w:eastAsia="Arial" w:hAnsi="Arial"/>
          <w:sz w:val="19"/>
          <w:szCs w:val="19"/>
          <w:color w:val="auto"/>
        </w:rPr>
        <w:t>Tax Basis, based on Available Cash Flow (“</w:t>
      </w:r>
      <w:r>
        <w:rPr>
          <w:rFonts w:ascii="Arial" w:cs="Arial" w:eastAsia="Arial" w:hAnsi="Arial"/>
          <w:sz w:val="19"/>
          <w:szCs w:val="19"/>
          <w:b w:val="1"/>
          <w:bCs w:val="1"/>
          <w:color w:val="auto"/>
        </w:rPr>
        <w:t>CAFD Yield</w:t>
      </w:r>
      <w:r>
        <w:rPr>
          <w:rFonts w:ascii="Arial" w:cs="Arial" w:eastAsia="Arial" w:hAnsi="Arial"/>
          <w:sz w:val="19"/>
          <w:szCs w:val="19"/>
          <w:color w:val="auto"/>
        </w:rPr>
        <w:t>”) which will</w:t>
      </w:r>
    </w:p>
    <w:p>
      <w:pPr>
        <w:spacing w:after="0" w:line="1" w:lineRule="exact"/>
        <w:rPr>
          <w:sz w:val="20"/>
          <w:szCs w:val="20"/>
          <w:color w:val="auto"/>
        </w:rPr>
      </w:pPr>
    </w:p>
    <w:p>
      <w:pPr>
        <w:jc w:val="both"/>
        <w:ind w:left="964" w:firstLine="9"/>
        <w:spacing w:after="0" w:line="256" w:lineRule="auto"/>
        <w:tabs>
          <w:tab w:leader="none" w:pos="1245" w:val="left"/>
        </w:tabs>
        <w:numPr>
          <w:ilvl w:val="1"/>
          <w:numId w:val="198"/>
        </w:numPr>
        <w:rPr>
          <w:rFonts w:ascii="Arial" w:cs="Arial" w:eastAsia="Arial" w:hAnsi="Arial"/>
          <w:sz w:val="21"/>
          <w:szCs w:val="21"/>
          <w:color w:val="auto"/>
        </w:rPr>
      </w:pPr>
      <w:r>
        <w:rPr>
          <w:rFonts w:ascii="Arial" w:cs="Arial" w:eastAsia="Arial" w:hAnsi="Arial"/>
          <w:sz w:val="21"/>
          <w:szCs w:val="21"/>
          <w:color w:val="auto"/>
        </w:rPr>
        <w:t>average no less than [***]% over the first ten (10) years following the date on which the Class A Capital Contribution Amount has been made, (ii) never be below [***] percent ([***]%) in any of the first nine (9) years following the date on which the Class A Capital Contribution Amount has been made, (iii) only be below [***] percent ([***]%) for no more than four (4) calendar years commencing with the tenth (10th) calendar year following the date on which the Class A Capital Contribution Amount has been made, (iv) never be below negative [***] percent (-[***]%) in any calendar year (such Capital Contribution, a “</w:t>
      </w:r>
      <w:r>
        <w:rPr>
          <w:rFonts w:ascii="Arial" w:cs="Arial" w:eastAsia="Arial" w:hAnsi="Arial"/>
          <w:sz w:val="21"/>
          <w:szCs w:val="21"/>
          <w:b w:val="1"/>
          <w:bCs w:val="1"/>
          <w:color w:val="auto"/>
        </w:rPr>
        <w:t>Class A Capital</w:t>
      </w:r>
      <w:r>
        <w:rPr>
          <w:rFonts w:ascii="Arial" w:cs="Arial" w:eastAsia="Arial" w:hAnsi="Arial"/>
          <w:sz w:val="21"/>
          <w:szCs w:val="21"/>
          <w:color w:val="auto"/>
        </w:rPr>
        <w:t xml:space="preserve"> </w:t>
      </w:r>
      <w:r>
        <w:rPr>
          <w:rFonts w:ascii="Arial" w:cs="Arial" w:eastAsia="Arial" w:hAnsi="Arial"/>
          <w:sz w:val="21"/>
          <w:szCs w:val="21"/>
          <w:b w:val="1"/>
          <w:bCs w:val="1"/>
          <w:color w:val="auto"/>
        </w:rPr>
        <w:t>Contribution Amount</w:t>
      </w:r>
      <w:r>
        <w:rPr>
          <w:rFonts w:ascii="Arial" w:cs="Arial" w:eastAsia="Arial" w:hAnsi="Arial"/>
          <w:sz w:val="21"/>
          <w:szCs w:val="21"/>
          <w:color w:val="auto"/>
        </w:rPr>
        <w:t>”), and (v) for Capital Contribution Requests in respect of one or more CS4 Projects,</w:t>
      </w:r>
      <w:r>
        <w:rPr>
          <w:rFonts w:ascii="Arial" w:cs="Arial" w:eastAsia="Arial" w:hAnsi="Arial"/>
          <w:sz w:val="21"/>
          <w:szCs w:val="21"/>
          <w:b w:val="1"/>
          <w:bCs w:val="1"/>
          <w:color w:val="auto"/>
        </w:rPr>
        <w:t xml:space="preserve"> </w:t>
      </w:r>
      <w:r>
        <w:rPr>
          <w:rFonts w:ascii="Arial" w:cs="Arial" w:eastAsia="Arial" w:hAnsi="Arial"/>
          <w:sz w:val="21"/>
          <w:szCs w:val="21"/>
          <w:color w:val="auto"/>
        </w:rPr>
        <w:t>average no less than [***]% over the first five (5) years following the date on which the Class A Capital Contribution Amount has been made, all as determined pursuant to the Cumulative Base Case Model included in the Capital Contribution Request;”.</w:t>
      </w:r>
    </w:p>
    <w:p>
      <w:pPr>
        <w:spacing w:after="0" w:line="188" w:lineRule="exact"/>
        <w:rPr>
          <w:rFonts w:ascii="Arial" w:cs="Arial" w:eastAsia="Arial" w:hAnsi="Arial"/>
          <w:sz w:val="21"/>
          <w:szCs w:val="21"/>
          <w:color w:val="auto"/>
        </w:rPr>
      </w:pPr>
    </w:p>
    <w:p>
      <w:pPr>
        <w:jc w:val="both"/>
        <w:ind w:left="644" w:hanging="644"/>
        <w:spacing w:after="0" w:line="250" w:lineRule="auto"/>
        <w:tabs>
          <w:tab w:leader="none" w:pos="644" w:val="left"/>
        </w:tabs>
        <w:numPr>
          <w:ilvl w:val="0"/>
          <w:numId w:val="199"/>
        </w:numPr>
        <w:rPr>
          <w:rFonts w:ascii="Arial" w:cs="Arial" w:eastAsia="Arial" w:hAnsi="Arial"/>
          <w:sz w:val="22"/>
          <w:szCs w:val="22"/>
          <w:color w:val="010000"/>
        </w:rPr>
      </w:pPr>
      <w:r>
        <w:rPr>
          <w:rFonts w:ascii="Arial" w:cs="Arial" w:eastAsia="Arial" w:hAnsi="Arial"/>
          <w:sz w:val="22"/>
          <w:szCs w:val="22"/>
          <w:color w:val="auto"/>
        </w:rPr>
        <w:t>Annex II (Underwriting Assumptions) to the LLC Agreement is hereby deleted in its entirety and replaced with the amended Annex II (Underwriting Assumptions) attached as Exhibit A hereto. For clarity, Annex II (Underwriting Assumptions) as updated by this Amendment shall be effective with respect to all Fund Companies presented to the Members before and following the date hereof.</w:t>
      </w:r>
    </w:p>
    <w:p>
      <w:pPr>
        <w:spacing w:after="0" w:line="188" w:lineRule="exact"/>
        <w:rPr>
          <w:rFonts w:ascii="Arial" w:cs="Arial" w:eastAsia="Arial" w:hAnsi="Arial"/>
          <w:sz w:val="22"/>
          <w:szCs w:val="22"/>
          <w:color w:val="010000"/>
        </w:rPr>
      </w:pPr>
    </w:p>
    <w:p>
      <w:pPr>
        <w:jc w:val="both"/>
        <w:ind w:left="644" w:hanging="644"/>
        <w:spacing w:after="0" w:line="271" w:lineRule="auto"/>
        <w:tabs>
          <w:tab w:leader="none" w:pos="644" w:val="left"/>
        </w:tabs>
        <w:numPr>
          <w:ilvl w:val="0"/>
          <w:numId w:val="199"/>
        </w:numPr>
        <w:rPr>
          <w:rFonts w:ascii="Arial" w:cs="Arial" w:eastAsia="Arial" w:hAnsi="Arial"/>
          <w:sz w:val="21"/>
          <w:szCs w:val="21"/>
          <w:color w:val="010000"/>
        </w:rPr>
      </w:pPr>
      <w:r>
        <w:rPr>
          <w:rFonts w:ascii="Arial" w:cs="Arial" w:eastAsia="Arial" w:hAnsi="Arial"/>
          <w:sz w:val="21"/>
          <w:szCs w:val="21"/>
          <w:color w:val="auto"/>
        </w:rPr>
        <w:t>Exhibit E (Form of Officer’s Certificate) to the Form of Fund Addendum attached as Exhibit A to the LLC Agreement is hereby amended by inserting the words “, calculated on an After-Tax Basis,” into numbered paragraph 2 therein between the words “a per annum yield” and “based on Available Cash Flow”.</w:t>
      </w:r>
    </w:p>
    <w:p>
      <w:pPr>
        <w:sectPr>
          <w:pgSz w:w="11900" w:h="16838" w:orient="portrait"/>
          <w:cols w:equalWidth="0" w:num="1">
            <w:col w:w="10764"/>
          </w:cols>
          <w:pgMar w:left="896" w:top="605" w:right="239" w:bottom="1440" w:gutter="0" w:footer="0" w:header="0"/>
        </w:sectPr>
      </w:pPr>
    </w:p>
    <w:bookmarkStart w:id="283" w:name="page284"/>
    <w:bookmarkEnd w:id="283"/>
    <w:p>
      <w:pPr>
        <w:jc w:val="both"/>
        <w:ind w:left="660" w:hanging="652"/>
        <w:spacing w:after="0" w:line="252" w:lineRule="auto"/>
        <w:tabs>
          <w:tab w:leader="none" w:pos="660" w:val="left"/>
        </w:tabs>
        <w:numPr>
          <w:ilvl w:val="0"/>
          <w:numId w:val="200"/>
        </w:numPr>
        <w:rPr>
          <w:rFonts w:ascii="Arial" w:cs="Arial" w:eastAsia="Arial" w:hAnsi="Arial"/>
          <w:sz w:val="22"/>
          <w:szCs w:val="22"/>
          <w:color w:val="010000"/>
        </w:rPr>
      </w:pPr>
      <w:r>
        <w:rPr>
          <w:rFonts w:ascii="Arial" w:cs="Arial" w:eastAsia="Arial" w:hAnsi="Arial"/>
          <w:sz w:val="22"/>
          <w:szCs w:val="22"/>
          <w:b w:val="1"/>
          <w:bCs w:val="1"/>
          <w:u w:val="single" w:color="auto"/>
          <w:color w:val="auto"/>
        </w:rPr>
        <w:t>Investment Period Extension Payment</w:t>
      </w:r>
      <w:r>
        <w:rPr>
          <w:rFonts w:ascii="Arial" w:cs="Arial" w:eastAsia="Arial" w:hAnsi="Arial"/>
          <w:sz w:val="22"/>
          <w:szCs w:val="22"/>
          <w:color w:val="auto"/>
        </w:rPr>
        <w:t>. In connection with, and as consideration for, extending the Investment Period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of this Amendment, the Class B Member shall make a payment equal to $622,447 to the Class A Member by wire transfer of immediately available funds within thirty (30) Business Days following the effective date of this Amendment.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jc w:val="both"/>
        <w:ind w:left="660" w:hanging="652"/>
        <w:spacing w:after="0" w:line="267" w:lineRule="auto"/>
        <w:tabs>
          <w:tab w:leader="none" w:pos="660" w:val="left"/>
        </w:tabs>
        <w:numPr>
          <w:ilvl w:val="0"/>
          <w:numId w:val="201"/>
        </w:numPr>
        <w:rPr>
          <w:rFonts w:ascii="Arial" w:cs="Arial" w:eastAsia="Arial" w:hAnsi="Arial"/>
          <w:sz w:val="21"/>
          <w:szCs w:val="21"/>
          <w:color w:val="010000"/>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Amendment, including all annexes, schedules and exhibits hereto, constitutes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Parties with respect to the subject matter hereof and supersedes all prior and contemporaneous agreements, statements, understandings and representations, whether oral or written, among the Parties with respect to such subject matter. The LLC Agreement, as amended hereby, shall remain in full force and effect.</w:t>
      </w:r>
    </w:p>
    <w:p>
      <w:pPr>
        <w:spacing w:after="0" w:line="167" w:lineRule="exact"/>
        <w:rPr>
          <w:rFonts w:ascii="Arial" w:cs="Arial" w:eastAsia="Arial" w:hAnsi="Arial"/>
          <w:sz w:val="21"/>
          <w:szCs w:val="21"/>
          <w:color w:val="010000"/>
        </w:rPr>
      </w:pPr>
    </w:p>
    <w:p>
      <w:pPr>
        <w:jc w:val="both"/>
        <w:ind w:left="660" w:hanging="652"/>
        <w:spacing w:after="0" w:line="315" w:lineRule="auto"/>
        <w:tabs>
          <w:tab w:leader="none" w:pos="660" w:val="left"/>
        </w:tabs>
        <w:numPr>
          <w:ilvl w:val="0"/>
          <w:numId w:val="201"/>
        </w:numPr>
        <w:rPr>
          <w:rFonts w:ascii="Arial" w:cs="Arial" w:eastAsia="Arial" w:hAnsi="Arial"/>
          <w:sz w:val="19"/>
          <w:szCs w:val="19"/>
          <w:color w:val="010000"/>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Amendment shall be construed, interpreted and enforced in accordance with the internal laws and</w:t>
      </w:r>
      <w:r>
        <w:rPr>
          <w:rFonts w:ascii="Arial" w:cs="Arial" w:eastAsia="Arial" w:hAnsi="Arial"/>
          <w:sz w:val="19"/>
          <w:szCs w:val="19"/>
          <w:b w:val="1"/>
          <w:bCs w:val="1"/>
          <w:color w:val="auto"/>
        </w:rPr>
        <w:t xml:space="preserve"> </w:t>
      </w:r>
      <w:r>
        <w:rPr>
          <w:rFonts w:ascii="Arial" w:cs="Arial" w:eastAsia="Arial" w:hAnsi="Arial"/>
          <w:sz w:val="19"/>
          <w:szCs w:val="19"/>
          <w:color w:val="auto"/>
        </w:rPr>
        <w:t>decisions of the State of Delaware without giving effect to any choice of law or conflict of law rules or provisions of any other state or jurisdiction that would cause the application of the laws of any jurisdiction other than the State of Delaware.</w:t>
      </w:r>
    </w:p>
    <w:p>
      <w:pPr>
        <w:spacing w:after="0" w:line="125" w:lineRule="exact"/>
        <w:rPr>
          <w:rFonts w:ascii="Arial" w:cs="Arial" w:eastAsia="Arial" w:hAnsi="Arial"/>
          <w:sz w:val="19"/>
          <w:szCs w:val="19"/>
          <w:color w:val="010000"/>
        </w:rPr>
      </w:pPr>
    </w:p>
    <w:p>
      <w:pPr>
        <w:jc w:val="both"/>
        <w:ind w:left="660" w:hanging="652"/>
        <w:spacing w:after="0" w:line="252" w:lineRule="auto"/>
        <w:tabs>
          <w:tab w:leader="none" w:pos="660" w:val="left"/>
        </w:tabs>
        <w:numPr>
          <w:ilvl w:val="0"/>
          <w:numId w:val="201"/>
        </w:numPr>
        <w:rPr>
          <w:rFonts w:ascii="Arial" w:cs="Arial" w:eastAsia="Arial" w:hAnsi="Arial"/>
          <w:sz w:val="22"/>
          <w:szCs w:val="22"/>
          <w:color w:val="010000"/>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one or more counterparts, each bearing the signatures of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Amendment.</w:t>
      </w:r>
    </w:p>
    <w:p>
      <w:pPr>
        <w:spacing w:after="0" w:line="180" w:lineRule="exact"/>
        <w:rPr>
          <w:rFonts w:ascii="Arial" w:cs="Arial" w:eastAsia="Arial" w:hAnsi="Arial"/>
          <w:sz w:val="22"/>
          <w:szCs w:val="22"/>
          <w:color w:val="010000"/>
        </w:rPr>
      </w:pPr>
    </w:p>
    <w:p>
      <w:pPr>
        <w:ind w:left="660" w:hanging="652"/>
        <w:spacing w:after="0" w:line="269" w:lineRule="auto"/>
        <w:tabs>
          <w:tab w:leader="none" w:pos="660" w:val="left"/>
        </w:tabs>
        <w:numPr>
          <w:ilvl w:val="0"/>
          <w:numId w:val="201"/>
        </w:numPr>
        <w:rPr>
          <w:rFonts w:ascii="Arial" w:cs="Arial" w:eastAsia="Arial" w:hAnsi="Arial"/>
          <w:sz w:val="22"/>
          <w:szCs w:val="22"/>
          <w:color w:val="010000"/>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contained in this Amendment are for reference purposes only and shall not affect in any way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and interpretation of this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w:t>
      </w:r>
    </w:p>
    <w:p>
      <w:pPr>
        <w:sectPr>
          <w:pgSz w:w="11900" w:h="16838" w:orient="portrait"/>
          <w:cols w:equalWidth="0" w:num="1">
            <w:col w:w="11420"/>
          </w:cols>
          <w:pgMar w:left="240" w:top="598" w:right="239" w:bottom="1440" w:gutter="0" w:footer="0" w:header="0"/>
        </w:sectPr>
      </w:pPr>
    </w:p>
    <w:bookmarkStart w:id="284" w:name="page285"/>
    <w:bookmarkEnd w:id="284"/>
    <w:p>
      <w:pPr>
        <w:ind w:left="100"/>
        <w:spacing w:after="0"/>
        <w:rPr>
          <w:sz w:val="20"/>
          <w:szCs w:val="20"/>
          <w:color w:val="auto"/>
        </w:rPr>
      </w:pPr>
      <w:r>
        <w:rPr>
          <w:rFonts w:ascii="Arial" w:cs="Arial" w:eastAsia="Arial" w:hAnsi="Arial"/>
          <w:sz w:val="19"/>
          <w:szCs w:val="19"/>
          <w:color w:val="auto"/>
        </w:rPr>
        <w:t>IN WITNESS WHEREOF, the Parties hereto have executed this Amendment as of the date first written above.</w:t>
      </w:r>
    </w:p>
    <w:p>
      <w:pPr>
        <w:sectPr>
          <w:pgSz w:w="11900" w:h="16838" w:orient="portrait"/>
          <w:cols w:equalWidth="0" w:num="1">
            <w:col w:w="9680"/>
          </w:cols>
          <w:pgMar w:left="1440" w:top="604" w:right="779" w:bottom="1440" w:gutter="0" w:footer="0" w:header="0"/>
        </w:sect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B MEMBER: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RENEW DG HOLDINGS LLC</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48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7">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Craig Cornelius</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CLASS A MEMBER: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DGPV HOLDING LLC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84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8">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Sotos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[First Amendment to A&amp;R LLC Agreement of DGPV Holdco 3 LLC]</w:t>
      </w:r>
    </w:p>
    <w:p>
      <w:pPr>
        <w:sectPr>
          <w:pgSz w:w="11900" w:h="16838" w:orient="portrait"/>
          <w:cols w:equalWidth="0" w:num="1">
            <w:col w:w="9680"/>
          </w:cols>
          <w:pgMar w:left="1440" w:top="604" w:right="779" w:bottom="1440" w:gutter="0" w:footer="0" w:header="0"/>
          <w:type w:val="continuous"/>
        </w:sectPr>
      </w:pPr>
    </w:p>
    <w:bookmarkStart w:id="285" w:name="page286"/>
    <w:bookmarkEnd w:id="285"/>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2011 Finance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AC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Borrower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Agua Caliente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Interconnection Management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Realty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Realty Investments,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Vista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1-5 Holding Company,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Asset Management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Asset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X-XI TE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Apple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Arapahoe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Avenal Park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Avenal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Bashaw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Big Lake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Cat Road Solar,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86" w:name="page287"/>
    <w:bookmarkEnd w:id="286"/>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Start Battery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Start Battery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Bluestone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Brook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Solar Portfolio,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Westex,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Buffalo Bear,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Oklahoma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Bullock Road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BWC Swan Pond River,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Energy Center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Energy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Holdco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CBAD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Center St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Central CA Fuel Cell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Chestnut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Fund Sub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Chisago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Clara City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 View Acres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&amp; EFS Distributed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&amp; EFS Distributed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AC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Chestnut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DG Lakeland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Energy Operating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Solar Star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Thermal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Walnut Creek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West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CMR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Colorado Shared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Colorado Springs Solar Garden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Continental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Crosswind Transmission,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87" w:name="page288"/>
    <w:bookmarkEnd w:id="287"/>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CVSR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CVSR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CWEN Pinnacle Repowering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Cy-Hawk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Denver Community Solar Garden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Denver Community Solar Garden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250,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300,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Investment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Berkeley Rec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Berkeley Village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Central East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Central West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Contra Costa Operations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Contra Costa Waste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Crystal Spring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Dighton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Foxborough Elm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Foxborough Landfill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Grantland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Haverhill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Imperial Admin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Imperial Building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Lathrop Louise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Lincoln Middle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Marathon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Rosedale Elementary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Rosedale Middle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San Joaquin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SREC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Holdings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Tufts Knoll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Tufts Science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Washington Middle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Webster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4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4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88" w:name="page289"/>
    <w:bookmarkEnd w:id="288"/>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HoldCo 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HoldCo 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4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4 Sub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HoldCo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HoldCo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HoldCo 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Dodge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Eagle View Acres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Eastman Street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 Mirage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 Segundo Energy Center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Elbow Creek Repowering Tax Equity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Elbow Creek Wind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Electricity Sales Princeton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 Lake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Elkhorn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Elkhorn Ridge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Baltimore Medical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Cajuhu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Dover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Harrisburg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HCEC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Minneapolis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Omaha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Omaha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Paxton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Phoenix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Pittsburgh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Princeton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89" w:name="page290"/>
    <w:bookmarkEnd w:id="289"/>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San Diego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San Francisco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Smyrna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Tucson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Enterprise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Escalante Solar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ETCAP NES CS MN 02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ETCAP NES CS MN 06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Farmington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Federal Road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Forest Lake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Forward WindPower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Four Brothers Capital,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Four Brothers Portfolio,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Frontenac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Fuel Cell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FUSD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GCE Holding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GenConn Devon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GenConn Middletown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Goat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Golden Puma Fund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Golden Puma Revolve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Grabinski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Solar East,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Solar West,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Green Prairie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Greene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Hardin Hilltop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Hardin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Harrisburg Cooling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High Plains Ranch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Highland Township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HLE Solar Holdings,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90" w:name="page291"/>
    <w:bookmarkEnd w:id="290"/>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HSD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Huntington Beach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Hwy 14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Portfolio,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Lanikuhana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Hawaii</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Laredo Ridge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Lenape II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Lindberg Field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Lindberg Field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Longhorn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Lookout WindPower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Mapleton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Marsh Landing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Marsh Landing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MC1 Solar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North Carolina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Minisink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Minisink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Iowa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Minnesota Wind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Laredo,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New Mexico,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Oklahoma,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One,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PA Three,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Two,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Pennsylvania,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Utah,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Monster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Montevideo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Mount Hope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Natural Gas Repowering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New Munich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Northfield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NS Smith,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Renewables,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91" w:name="page292"/>
    <w:bookmarkEnd w:id="291"/>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Oahu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 Solar 2010,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Odin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Old Westminster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Old Westminster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Olinda Trail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Osakis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Eight,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Five,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Four,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One,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Seven,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Six,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Three,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Two,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Palo Alto County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Partridgeville Road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PC Dinuba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PESD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Pikes Peak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Pine Island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Partnership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Repowering Partnership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Tax Equity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PM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Pond Road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Portfolio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Poverty Ridge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Puma Class 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Redbrook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Canal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Borrower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Class 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Fund Sub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Seller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Spark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Repowering Partnership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Repowering Partnership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Rollingstone Holdco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92" w:name="page293"/>
    <w:bookmarkEnd w:id="292"/>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Rounseville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Fund 11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Fund 12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Fund 13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HoldCo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Holding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Juan Mesa Investments,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San Juan Mesa Wind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Sand Drag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Sartell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SCDA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SCWFD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Silver Lake Acres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SJA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Sleeping Bear,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Alpine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Apple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AV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Avra Valley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Blythe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Blythe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Borrego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Borrego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Community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Community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CVSR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Flagstaff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Iguana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Kansas South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Kansas South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Las Vegas MB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Mayfair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Mule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Oasis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Roadrunner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Roadrunner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Tabernacle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Warren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Wauwinet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93" w:name="page294"/>
    <w:bookmarkEnd w:id="293"/>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West Shaft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South Trent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Spanish Fork Wind Park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Utah</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Asset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Lease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P-IV Master Lessee,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Energy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Energy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Class B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Expansion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Interconnection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Stafford St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Statoil Energy Power/Pennsylvania, Inc.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Pennsylvania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Stearns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Steel Bridge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 City Project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Sunrise View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Sunset View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Sutton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 - High Desert,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Taloga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Oklahoma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Tapestry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Equities 1 Inc.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British Columbia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Canada Infrastructure 1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Infrastructure Development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Topeka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2,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71" w:right="219" w:bottom="1440" w:gutter="0" w:footer="0" w:header="0"/>
        </w:sectPr>
      </w:pPr>
    </w:p>
    <w:bookmarkStart w:id="294" w:name="page295"/>
    <w:bookmarkEnd w:id="294"/>
    <w:p>
      <w:pPr>
        <w:ind w:left="10100"/>
        <w:spacing w:after="0"/>
        <w:rPr>
          <w:sz w:val="20"/>
          <w:szCs w:val="20"/>
          <w:color w:val="auto"/>
        </w:rPr>
      </w:pPr>
      <w:r>
        <w:rPr>
          <w:rFonts w:ascii="Arial" w:cs="Arial" w:eastAsia="Arial" w:hAnsi="Arial"/>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left w:val="single" w:sz="8" w:color="auto"/>
              <w:bottom w:val="single" w:sz="8" w:color="828282"/>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60" w:type="dxa"/>
            <w:vAlign w:val="bottom"/>
            <w:tcBorders>
              <w:bottom w:val="single" w:sz="8" w:color="828282"/>
              <w:right w:val="single" w:sz="8" w:color="auto"/>
            </w:tcBorders>
            <w:shd w:val="clear" w:color="auto" w:fill="828282"/>
          </w:tcPr>
          <w:p>
            <w:pPr>
              <w:spacing w:after="0"/>
              <w:rPr>
                <w:sz w:val="24"/>
                <w:szCs w:val="24"/>
                <w:color w:val="auto"/>
              </w:rPr>
            </w:pPr>
          </w:p>
        </w:tc>
        <w:tc>
          <w:tcPr>
            <w:tcW w:w="3720" w:type="dxa"/>
            <w:vAlign w:val="bottom"/>
            <w:tcBorders>
              <w:bottom w:val="single" w:sz="8" w:color="828282"/>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4,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5,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Tully Farms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UB Fuel Cell,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Underhill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Viento Funding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Viento Funding,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Virgin Lake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Solar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Waipio PV,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Walnut Creek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Walnut Creek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Waterford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WCEP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Webster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Wildcat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Wildorado Interconnect,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Repowering Tax Equity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Wildorado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Wilmarth Lane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Wind Family Turbine,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Wind TE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Winona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Winona Solar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WSD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Zephyr Kawailoa Partnership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Zephyr Oahu Partnership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54"/>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Zontos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
        </w:trPr>
        <w:tc>
          <w:tcPr>
            <w:tcW w:w="728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320" w:top="171" w:right="21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319" w:lineRule="exact"/>
        <w:rPr>
          <w:sz w:val="20"/>
          <w:szCs w:val="20"/>
          <w:color w:val="auto"/>
        </w:rPr>
      </w:pPr>
    </w:p>
    <w:p>
      <w:pPr>
        <w:ind w:right="140"/>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 Numbers 333</w:t>
      </w:r>
      <w:r>
        <w:rPr>
          <w:rFonts w:ascii="MS PGothic" w:cs="MS PGothic" w:eastAsia="MS PGothic" w:hAnsi="MS PGothic"/>
          <w:sz w:val="18"/>
          <w:szCs w:val="18"/>
          <w:color w:val="auto"/>
        </w:rPr>
        <w:t>‑</w:t>
      </w:r>
      <w:r>
        <w:rPr>
          <w:rFonts w:ascii="Arial" w:cs="Arial" w:eastAsia="Arial" w:hAnsi="Arial"/>
          <w:sz w:val="18"/>
          <w:szCs w:val="18"/>
          <w:color w:val="auto"/>
        </w:rPr>
        <w:t>206061 and 333-190071 on Form S-8, and Numbers 333-224684, 333-212096, 333-205140, and 333-204589 on Form S-3 of Clearway Energy, Inc. of our reports dated March 2, 2020, with respect to the consolidated balance sheets of Clearway Energy, Inc. as of December 31, 2019 and 2018, the related consolidated statements of operations, comprehensive (loss) income, stockholders’ equity, and cash flows for each of the years in the three-year period ended December 31, 2019, and the related notes and financial statement schedules “Schedule I - Condensed Financial Information of Registrant” and “Schedule II - Valuation and Qualifying Accounts”, and the effectiveness of internal control over financial reporting as of December 31, 2019, which reports appear in the December 31,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Clearway Energy, Inc.</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Our report dated March 2, 2020 refers to changes in accounting principle, the Company’s adoption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67" w:right="239" w:bottom="1440" w:gutter="0" w:footer="0" w:header="0"/>
        </w:sectPr>
      </w:pPr>
    </w:p>
    <w:bookmarkStart w:id="296" w:name="page297"/>
    <w:bookmarkEnd w:id="296"/>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28213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635" w:right="239" w:bottom="1440" w:gutter="0" w:footer="0" w:header="0"/>
        </w:sectPr>
      </w:pPr>
    </w:p>
    <w:bookmarkStart w:id="297" w:name="page298"/>
    <w:bookmarkEnd w:id="297"/>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634" w:right="239" w:bottom="1440" w:gutter="0" w:footer="0" w:header="0"/>
        </w:sectPr>
      </w:pPr>
    </w:p>
    <w:bookmarkStart w:id="298" w:name="page299"/>
    <w:bookmarkEnd w:id="298"/>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ectPr>
          <w:pgSz w:w="11900" w:h="16838" w:orient="portrait"/>
          <w:cols w:equalWidth="0" w:num="1">
            <w:col w:w="11420"/>
          </w:cols>
          <w:pgMar w:left="240" w:top="554"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Annual Report of Clearway Energy, Inc. on Form 10-K for the year ended December 31, 2019,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1)"/>
      <w:numFmt w:val="lowerLetter"/>
      <w:start w:val="1"/>
    </w:lvl>
  </w:abstractNum>
  <w:abstractNum w:abstractNumId="3">
    <w:nsid w:val="71C91298"/>
    <w:multiLevelType w:val="hybridMultilevel"/>
    <w:lvl w:ilvl="0">
      <w:lvlJc w:val="left"/>
      <w:lvlText w:val="(%1)"/>
      <w:numFmt w:val="lowerLetter"/>
      <w:start w:val="1"/>
    </w:lvl>
  </w:abstractNum>
  <w:abstractNum w:abstractNumId="4">
    <w:nsid w:val="9DAF632"/>
    <w:multiLevelType w:val="hybridMultilevel"/>
    <w:lvl w:ilvl="0">
      <w:lvlJc w:val="left"/>
      <w:lvlText w:val="•"/>
      <w:numFmt w:val="bullet"/>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1)"/>
      <w:numFmt w:val="lowerLetter"/>
      <w:start w:val="1"/>
    </w:lvl>
  </w:abstractNum>
  <w:abstractNum w:abstractNumId="10">
    <w:nsid w:val="288F1A34"/>
    <w:multiLevelType w:val="hybridMultilevel"/>
    <w:lvl w:ilvl="0">
      <w:lvlJc w:val="left"/>
      <w:lvlText w:val="(%1)"/>
      <w:numFmt w:val="lowerLetter"/>
      <w:start w:val="1"/>
    </w:lvl>
  </w:abstractNum>
  <w:abstractNum w:abstractNumId="11">
    <w:nsid w:val="2A155DBC"/>
    <w:multiLevelType w:val="hybridMultilevel"/>
    <w:lvl w:ilvl="0">
      <w:lvlJc w:val="left"/>
      <w:lvlText w:val="(%1)"/>
      <w:numFmt w:val="lowerLetter"/>
      <w:start w:val="1"/>
    </w:lvl>
  </w:abstractNum>
  <w:abstractNum w:abstractNumId="12">
    <w:nsid w:val="1D9F6E5F"/>
    <w:multiLevelType w:val="hybridMultilevel"/>
    <w:lvl w:ilvl="0">
      <w:lvlJc w:val="left"/>
      <w:lvlText w:val="(%1)"/>
      <w:numFmt w:val="lowerLetter"/>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
      <w:numFmt w:val="bullet"/>
      <w:start w:val="1"/>
    </w:lvl>
  </w:abstractNum>
  <w:abstractNum w:abstractNumId="26">
    <w:nsid w:val="39B7AAA2"/>
    <w:multiLevelType w:val="hybridMultilevel"/>
    <w:lvl w:ilvl="0">
      <w:lvlJc w:val="left"/>
      <w:lvlText w:val="•"/>
      <w:numFmt w:val="bullet"/>
      <w:start w:val="1"/>
    </w:lvl>
  </w:abstractNum>
  <w:abstractNum w:abstractNumId="27">
    <w:nsid w:val="2B0D8DBE"/>
    <w:multiLevelType w:val="hybridMultilevel"/>
    <w:lvl w:ilvl="0">
      <w:lvlJc w:val="left"/>
      <w:lvlText w:val="(%1)"/>
      <w:numFmt w:val="lowerLetter"/>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1)"/>
      <w:numFmt w:val="lowerLetter"/>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
      <w:numFmt w:val="bullet"/>
      <w:start w:val="1"/>
    </w:lvl>
  </w:abstractNum>
  <w:abstractNum w:abstractNumId="35">
    <w:nsid w:val="5675FF36"/>
    <w:multiLevelType w:val="hybridMultilevel"/>
    <w:lvl w:ilvl="0">
      <w:lvlJc w:val="left"/>
      <w:lvlText w:val="(%1)"/>
      <w:numFmt w:val="lowerLetter"/>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1."/>
      <w:numFmt w:val="decimal"/>
      <w:start w:val="1"/>
    </w:lvl>
  </w:abstractNum>
  <w:abstractNum w:abstractNumId="38">
    <w:nsid w:val="2708C9AF"/>
    <w:multiLevelType w:val="hybridMultilevel"/>
    <w:lvl w:ilvl="0">
      <w:lvlJc w:val="left"/>
      <w:lvlText w:val="(%1)"/>
      <w:numFmt w:val="decimal"/>
      <w:start w:val="1"/>
    </w:lvl>
  </w:abstractNum>
  <w:abstractNum w:abstractNumId="39">
    <w:nsid w:val="5B25ACE2"/>
    <w:multiLevelType w:val="hybridMultilevel"/>
    <w:lvl w:ilvl="0">
      <w:lvlJc w:val="left"/>
      <w:lvlText w:val="(%1)"/>
      <w:numFmt w:val="lowerLetter"/>
      <w:start w:val="2"/>
    </w:lvl>
  </w:abstractNum>
  <w:abstractNum w:abstractNumId="40">
    <w:nsid w:val="175DFCF0"/>
    <w:multiLevelType w:val="hybridMultilevel"/>
    <w:lvl w:ilvl="0">
      <w:lvlJc w:val="left"/>
      <w:lvlText w:val="(%1)"/>
      <w:numFmt w:val="lowerLetter"/>
      <w:start w:val="1"/>
    </w:lvl>
  </w:abstractNum>
  <w:abstractNum w:abstractNumId="41">
    <w:nsid w:val="4F97E3E4"/>
    <w:multiLevelType w:val="hybridMultilevel"/>
    <w:lvl w:ilvl="0">
      <w:lvlJc w:val="left"/>
      <w:lvlText w:val="(%1)"/>
      <w:numFmt w:val="lowerLetter"/>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1)"/>
      <w:numFmt w:val="lowerLetter"/>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1)"/>
      <w:numFmt w:val="lowerLetter"/>
      <w:start w:val="1"/>
    </w:lvl>
  </w:abstractNum>
  <w:abstractNum w:abstractNumId="47">
    <w:nsid w:val="2C6E4AFD"/>
    <w:multiLevelType w:val="hybridMultilevel"/>
    <w:lvl w:ilvl="0">
      <w:lvlJc w:val="left"/>
      <w:lvlText w:val="(%1)"/>
      <w:numFmt w:val="lowerLetter"/>
      <w:start w:val="1"/>
    </w:lvl>
  </w:abstractNum>
  <w:abstractNum w:abstractNumId="48">
    <w:nsid w:val="17A1B582"/>
    <w:multiLevelType w:val="hybridMultilevel"/>
    <w:lvl w:ilvl="0">
      <w:lvlJc w:val="left"/>
      <w:lvlText w:val="(%1)"/>
      <w:numFmt w:val="lowerLetter"/>
      <w:start w:val="1"/>
    </w:lvl>
  </w:abstractNum>
  <w:abstractNum w:abstractNumId="49">
    <w:nsid w:val="4DF72E4E"/>
    <w:multiLevelType w:val="hybridMultilevel"/>
    <w:lvl w:ilvl="0">
      <w:lvlJc w:val="left"/>
      <w:lvlText w:val="(%1)"/>
      <w:numFmt w:val="lowerLetter"/>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1)"/>
      <w:numFmt w:val="lowerLetter"/>
      <w:start w:val="1"/>
    </w:lvl>
  </w:abstractNum>
  <w:abstractNum w:abstractNumId="52">
    <w:nsid w:val="2A082C70"/>
    <w:multiLevelType w:val="hybridMultilevel"/>
    <w:lvl w:ilvl="0">
      <w:lvlJc w:val="left"/>
      <w:lvlText w:val="(%1)"/>
      <w:numFmt w:val="lowerLetter"/>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1)"/>
      <w:numFmt w:val="lowerLetter"/>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1)"/>
      <w:numFmt w:val="lowerLetter"/>
      <w:start w:val="1"/>
    </w:lvl>
  </w:abstractNum>
  <w:abstractNum w:abstractNumId="58">
    <w:nsid w:val="20EE1348"/>
    <w:multiLevelType w:val="hybridMultilevel"/>
    <w:lvl w:ilvl="0">
      <w:lvlJc w:val="left"/>
      <w:lvlText w:val="(%1)"/>
      <w:numFmt w:val="lowerLetter"/>
      <w:start w:val="1"/>
    </w:lvl>
  </w:abstractNum>
  <w:abstractNum w:abstractNumId="59">
    <w:nsid w:val="4427069A"/>
    <w:multiLevelType w:val="hybridMultilevel"/>
    <w:lvl w:ilvl="0">
      <w:lvlJc w:val="left"/>
      <w:lvlText w:val="(%1)"/>
      <w:numFmt w:val="lowerLetter"/>
      <w:start w:val="1"/>
    </w:lvl>
  </w:abstractNum>
  <w:abstractNum w:abstractNumId="60">
    <w:nsid w:val="B37E80A"/>
    <w:multiLevelType w:val="hybridMultilevel"/>
    <w:lvl w:ilvl="0">
      <w:lvlJc w:val="left"/>
      <w:lvlText w:val="(%1)"/>
      <w:numFmt w:val="lowerLetter"/>
      <w:start w:val="1"/>
    </w:lvl>
  </w:abstractNum>
  <w:abstractNum w:abstractNumId="61">
    <w:nsid w:val="2157F6BC"/>
    <w:multiLevelType w:val="hybridMultilevel"/>
    <w:lvl w:ilvl="0">
      <w:lvlJc w:val="left"/>
      <w:lvlText w:val="(%1)"/>
      <w:numFmt w:val="decimal"/>
      <w:start w:val="72"/>
    </w:lvl>
  </w:abstractNum>
  <w:abstractNum w:abstractNumId="62">
    <w:nsid w:val="704E1DD5"/>
    <w:multiLevelType w:val="hybridMultilevel"/>
    <w:lvl w:ilvl="0">
      <w:lvlJc w:val="left"/>
      <w:lvlText w:val="(%1)"/>
      <w:numFmt w:val="decimal"/>
      <w:start w:val="15"/>
    </w:lvl>
  </w:abstractNum>
  <w:abstractNum w:abstractNumId="63">
    <w:nsid w:val="57D2F10E"/>
    <w:multiLevelType w:val="hybridMultilevel"/>
    <w:lvl w:ilvl="0">
      <w:lvlJc w:val="left"/>
      <w:lvlText w:val="%1"/>
      <w:numFmt w:val="decimal"/>
      <w:start w:val="104"/>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
      <w:numFmt w:val="bullet"/>
      <w:start w:val="1"/>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1)"/>
      <w:numFmt w:val="lowerRoman"/>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
      <w:numFmt w:val="bullet"/>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1)"/>
      <w:numFmt w:val="lowerLetter"/>
      <w:start w:val="1"/>
    </w:lvl>
  </w:abstractNum>
  <w:abstractNum w:abstractNumId="73">
    <w:nsid w:val="2A31B62D"/>
    <w:multiLevelType w:val="hybridMultilevel"/>
    <w:lvl w:ilvl="0">
      <w:lvlJc w:val="left"/>
      <w:lvlText w:val="(%1)"/>
      <w:numFmt w:val="lowerLetter"/>
      <w:start w:val="1"/>
    </w:lvl>
  </w:abstractNum>
  <w:abstractNum w:abstractNumId="74">
    <w:nsid w:val="1849C29B"/>
    <w:multiLevelType w:val="hybridMultilevel"/>
    <w:lvl w:ilvl="0">
      <w:lvlJc w:val="left"/>
      <w:lvlText w:val="(%1)"/>
      <w:numFmt w:val="lowerLetter"/>
      <w:start w:val="1"/>
    </w:lvl>
  </w:abstractNum>
  <w:abstractNum w:abstractNumId="75">
    <w:nsid w:val="7DFF9D09"/>
    <w:multiLevelType w:val="hybridMultilevel"/>
    <w:lvl w:ilvl="0">
      <w:lvlJc w:val="left"/>
      <w:lvlText w:val="(%1)"/>
      <w:numFmt w:val="lowerLetter"/>
      <w:start w:val="1"/>
    </w:lvl>
  </w:abstractNum>
  <w:abstractNum w:abstractNumId="76">
    <w:nsid w:val="754342"/>
    <w:multiLevelType w:val="hybridMultilevel"/>
    <w:lvl w:ilvl="0">
      <w:lvlJc w:val="left"/>
      <w:lvlText w:val="(%1)"/>
      <w:numFmt w:val="lowerLetter"/>
      <w:start w:val="1"/>
    </w:lvl>
  </w:abstractNum>
  <w:abstractNum w:abstractNumId="77">
    <w:nsid w:val="69E7F3E5"/>
    <w:multiLevelType w:val="hybridMultilevel"/>
    <w:lvl w:ilvl="0">
      <w:lvlJc w:val="left"/>
      <w:lvlText w:val="(%1)"/>
      <w:numFmt w:val="lowerLetter"/>
      <w:start w:val="1"/>
    </w:lvl>
  </w:abstractNum>
  <w:abstractNum w:abstractNumId="78">
    <w:nsid w:val="2A6DE806"/>
    <w:multiLevelType w:val="hybridMultilevel"/>
    <w:lvl w:ilvl="0">
      <w:lvlJc w:val="left"/>
      <w:lvlText w:val="(%1)"/>
      <w:numFmt w:val="lowerLetter"/>
      <w:start w:val="2"/>
    </w:lvl>
  </w:abstractNum>
  <w:abstractNum w:abstractNumId="79">
    <w:nsid w:val="1816F8C4"/>
    <w:multiLevelType w:val="hybridMultilevel"/>
    <w:lvl w:ilvl="0">
      <w:lvlJc w:val="left"/>
      <w:lvlText w:val="(%1)"/>
      <w:numFmt w:val="decimal"/>
      <w:start w:val="2"/>
    </w:lvl>
  </w:abstractNum>
  <w:abstractNum w:abstractNumId="80">
    <w:nsid w:val="37DF2233"/>
    <w:multiLevelType w:val="hybridMultilevel"/>
    <w:lvl w:ilvl="0">
      <w:lvlJc w:val="left"/>
      <w:lvlText w:val="(%1)"/>
      <w:numFmt w:val="lowerLetter"/>
      <w:start w:val="2"/>
    </w:lvl>
  </w:abstractNum>
  <w:abstractNum w:abstractNumId="81">
    <w:nsid w:val="7AB49DAF"/>
    <w:multiLevelType w:val="hybridMultilevel"/>
    <w:lvl w:ilvl="0">
      <w:lvlJc w:val="left"/>
      <w:lvlText w:val="(%1)"/>
      <w:numFmt w:val="lowerRoman"/>
      <w:start w:val="1"/>
    </w:lvl>
  </w:abstractNum>
  <w:abstractNum w:abstractNumId="82">
    <w:nsid w:val="759F82CD"/>
    <w:multiLevelType w:val="hybridMultilevel"/>
    <w:lvl w:ilvl="0">
      <w:lvlJc w:val="left"/>
      <w:lvlText w:val="(%1)"/>
      <w:numFmt w:val="lowerRoman"/>
      <w:start w:val="4"/>
    </w:lvl>
  </w:abstractNum>
  <w:abstractNum w:abstractNumId="83">
    <w:nsid w:val="61E74EA3"/>
    <w:multiLevelType w:val="hybridMultilevel"/>
    <w:lvl w:ilvl="0">
      <w:lvlJc w:val="left"/>
      <w:lvlText w:val="(%1)"/>
      <w:numFmt w:val="lowerRoman"/>
      <w:start w:val="6"/>
    </w:lvl>
  </w:abstractNum>
  <w:abstractNum w:abstractNumId="84">
    <w:nsid w:val="597B4D84"/>
    <w:multiLevelType w:val="hybridMultilevel"/>
    <w:lvl w:ilvl="0">
      <w:lvlJc w:val="left"/>
      <w:lvlText w:val="(%1)"/>
      <w:numFmt w:val="upperLetter"/>
      <w:start w:val="1"/>
    </w:lvl>
  </w:abstractNum>
  <w:abstractNum w:abstractNumId="85">
    <w:nsid w:val="F819E7F"/>
    <w:multiLevelType w:val="hybridMultilevel"/>
    <w:lvl w:ilvl="0">
      <w:lvlJc w:val="left"/>
      <w:lvlText w:val="%1"/>
      <w:numFmt w:val="lowerLetter"/>
      <w:start w:val="1"/>
    </w:lvl>
    <w:lvl w:ilvl="1">
      <w:lvlJc w:val="left"/>
      <w:lvlText w:val="(%2)"/>
      <w:numFmt w:val="lowerRoman"/>
      <w:start w:val="4"/>
    </w:lvl>
  </w:abstractNum>
  <w:abstractNum w:abstractNumId="86">
    <w:nsid w:val="57C7D42D"/>
    <w:multiLevelType w:val="hybridMultilevel"/>
    <w:lvl w:ilvl="0">
      <w:lvlJc w:val="left"/>
      <w:lvlText w:val="(%1)"/>
      <w:numFmt w:val="lowerLetter"/>
      <w:start w:val="9"/>
    </w:lvl>
    <w:lvl w:ilvl="1">
      <w:lvlJc w:val="left"/>
      <w:lvlText w:val="%2"/>
      <w:numFmt w:val="lowerRoman"/>
      <w:start w:val="1"/>
    </w:lvl>
  </w:abstractNum>
  <w:abstractNum w:abstractNumId="87">
    <w:nsid w:val="312167AD"/>
    <w:multiLevelType w:val="hybridMultilevel"/>
    <w:lvl w:ilvl="0">
      <w:lvlJc w:val="left"/>
      <w:lvlText w:val="(%1)"/>
      <w:numFmt w:val="lowerLetter"/>
      <w:start w:val="12"/>
    </w:lvl>
  </w:abstractNum>
  <w:abstractNum w:abstractNumId="88">
    <w:nsid w:val="631B64D4"/>
    <w:multiLevelType w:val="hybridMultilevel"/>
    <w:lvl w:ilvl="0">
      <w:lvlJc w:val="left"/>
      <w:lvlText w:val="(%1)"/>
      <w:numFmt w:val="lowerLetter"/>
      <w:start w:val="20"/>
    </w:lvl>
  </w:abstractNum>
  <w:abstractNum w:abstractNumId="89">
    <w:nsid w:val="78B5E776"/>
    <w:multiLevelType w:val="hybridMultilevel"/>
    <w:lvl w:ilvl="0">
      <w:lvlJc w:val="left"/>
      <w:lvlText w:val="(%1)"/>
      <w:numFmt w:val="lowerRoman"/>
      <w:start w:val="1"/>
    </w:lvl>
  </w:abstractNum>
  <w:abstractNum w:abstractNumId="90">
    <w:nsid w:val="75486E47"/>
    <w:multiLevelType w:val="hybridMultilevel"/>
    <w:lvl w:ilvl="0">
      <w:lvlJc w:val="left"/>
      <w:lvlText w:val="(%1)"/>
      <w:numFmt w:val="lowerRoman"/>
      <w:start w:val="4"/>
    </w:lvl>
  </w:abstractNum>
  <w:abstractNum w:abstractNumId="91">
    <w:nsid w:val="6E534CDE"/>
    <w:multiLevelType w:val="hybridMultilevel"/>
    <w:lvl w:ilvl="0">
      <w:lvlJc w:val="left"/>
      <w:lvlText w:val="(%1)"/>
      <w:numFmt w:val="lowerLetter"/>
      <w:start w:val="23"/>
    </w:lvl>
  </w:abstractNum>
  <w:abstractNum w:abstractNumId="92">
    <w:nsid w:val="1A0DDE32"/>
    <w:multiLevelType w:val="hybridMultilevel"/>
    <w:lvl w:ilvl="0">
      <w:lvlJc w:val="left"/>
      <w:lvlText w:val="(%1)"/>
      <w:numFmt w:val="lowerRoman"/>
      <w:start w:val="1"/>
    </w:lvl>
  </w:abstractNum>
  <w:abstractNum w:abstractNumId="93">
    <w:nsid w:val="65968C1C"/>
    <w:multiLevelType w:val="hybridMultilevel"/>
    <w:lvl w:ilvl="0">
      <w:lvlJc w:val="left"/>
      <w:lvlText w:val="(%1)"/>
      <w:numFmt w:val="lowerLetter"/>
      <w:start w:val="32"/>
    </w:lvl>
  </w:abstractNum>
  <w:abstractNum w:abstractNumId="94">
    <w:nsid w:val="46263DEC"/>
    <w:multiLevelType w:val="hybridMultilevel"/>
    <w:lvl w:ilvl="0">
      <w:lvlJc w:val="left"/>
      <w:lvlText w:val="(%1)"/>
      <w:numFmt w:val="lowerLetter"/>
      <w:start w:val="1"/>
    </w:lvl>
    <w:lvl w:ilvl="1">
      <w:lvlJc w:val="left"/>
      <w:lvlText w:val="(%2)"/>
      <w:numFmt w:val="lowerLetter"/>
      <w:start w:val="9"/>
    </w:lvl>
  </w:abstractNum>
  <w:abstractNum w:abstractNumId="95">
    <w:nsid w:val="260D8C4A"/>
    <w:multiLevelType w:val="hybridMultilevel"/>
    <w:lvl w:ilvl="0">
      <w:lvlJc w:val="left"/>
      <w:lvlText w:val="(%1)"/>
      <w:numFmt w:val="lowerRoman"/>
      <w:start w:val="4"/>
    </w:lvl>
  </w:abstractNum>
  <w:abstractNum w:abstractNumId="96">
    <w:nsid w:val="73D4D3C4"/>
    <w:multiLevelType w:val="hybridMultilevel"/>
    <w:lvl w:ilvl="0">
      <w:lvlJc w:val="left"/>
      <w:lvlText w:val="%1"/>
      <w:numFmt w:val="lowerLetter"/>
      <w:start w:val="1"/>
    </w:lvl>
    <w:lvl w:ilvl="1">
      <w:lvlJc w:val="left"/>
      <w:lvlText w:val="(%2)"/>
      <w:numFmt w:val="lowerRoman"/>
      <w:start w:val="6"/>
    </w:lvl>
  </w:abstractNum>
  <w:abstractNum w:abstractNumId="97">
    <w:nsid w:val="746F2E30"/>
    <w:multiLevelType w:val="hybridMultilevel"/>
    <w:lvl w:ilvl="0">
      <w:lvlJc w:val="left"/>
      <w:lvlText w:val="(%1)"/>
      <w:numFmt w:val="lowerLetter"/>
      <w:start w:val="7"/>
    </w:lvl>
    <w:lvl w:ilvl="1">
      <w:lvlJc w:val="left"/>
      <w:lvlText w:val="(%2)"/>
      <w:numFmt w:val="lowerRoman"/>
      <w:start w:val="1"/>
    </w:lvl>
  </w:abstractNum>
  <w:abstractNum w:abstractNumId="98">
    <w:nsid w:val="6FDE8AF6"/>
    <w:multiLevelType w:val="hybridMultilevel"/>
    <w:lvl w:ilvl="0">
      <w:lvlJc w:val="left"/>
      <w:lvlText w:val="%1"/>
      <w:numFmt w:val="lowerLetter"/>
      <w:start w:val="1"/>
    </w:lvl>
    <w:lvl w:ilvl="1">
      <w:lvlJc w:val="left"/>
      <w:lvlText w:val="(%2)"/>
      <w:numFmt w:val="lowerRoman"/>
      <w:start w:val="3"/>
    </w:lvl>
  </w:abstractNum>
  <w:abstractNum w:abstractNumId="99">
    <w:nsid w:val="3FC32E20"/>
    <w:multiLevelType w:val="hybridMultilevel"/>
    <w:lvl w:ilvl="0">
      <w:lvlJc w:val="left"/>
      <w:lvlText w:val="(%1)"/>
      <w:numFmt w:val="lowerLetter"/>
      <w:start w:val="9"/>
    </w:lvl>
    <w:lvl w:ilvl="1">
      <w:lvlJc w:val="left"/>
      <w:lvlText w:val="%2"/>
      <w:numFmt w:val="lowerRoman"/>
      <w:start w:val="1"/>
    </w:lvl>
  </w:abstractNum>
  <w:abstractNum w:abstractNumId="100">
    <w:nsid w:val="49C0E823"/>
    <w:multiLevelType w:val="hybridMultilevel"/>
    <w:lvl w:ilvl="0">
      <w:lvlJc w:val="left"/>
      <w:lvlText w:val="(%1)"/>
      <w:numFmt w:val="lowerLetter"/>
      <w:start w:val="14"/>
    </w:lvl>
    <w:lvl w:ilvl="1">
      <w:lvlJc w:val="left"/>
      <w:lvlText w:val="(%2)"/>
      <w:numFmt w:val="lowerRoman"/>
      <w:start w:val="1"/>
    </w:lvl>
  </w:abstractNum>
  <w:abstractNum w:abstractNumId="101">
    <w:nsid w:val="14D53685"/>
    <w:multiLevelType w:val="hybridMultilevel"/>
    <w:lvl w:ilvl="0">
      <w:lvlJc w:val="left"/>
      <w:lvlText w:val="(%1)"/>
      <w:numFmt w:val="lowerLetter"/>
      <w:start w:val="21"/>
    </w:lvl>
  </w:abstractNum>
  <w:abstractNum w:abstractNumId="102">
    <w:nsid w:val="230F856C"/>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03">
    <w:nsid w:val="6EAA85FB"/>
    <w:multiLevelType w:val="hybridMultilevel"/>
    <w:lvl w:ilvl="0">
      <w:lvlJc w:val="left"/>
      <w:lvlText w:val="(%1)"/>
      <w:numFmt w:val="lowerLetter"/>
      <w:start w:val="27"/>
    </w:lvl>
  </w:abstractNum>
  <w:abstractNum w:abstractNumId="104">
    <w:nsid w:val="3F06ECB2"/>
    <w:multiLevelType w:val="hybridMultilevel"/>
    <w:lvl w:ilvl="0">
      <w:lvlJc w:val="left"/>
      <w:lvlText w:val="(%1)"/>
      <w:numFmt w:val="lowerLetter"/>
      <w:start w:val="32"/>
    </w:lvl>
  </w:abstractNum>
  <w:abstractNum w:abstractNumId="105">
    <w:nsid w:val="3B594807"/>
    <w:multiLevelType w:val="hybridMultilevel"/>
    <w:lvl w:ilvl="0">
      <w:lvlJc w:val="left"/>
      <w:lvlText w:val="(%1)"/>
      <w:numFmt w:val="lowerLetter"/>
      <w:start w:val="1"/>
    </w:lvl>
  </w:abstractNum>
  <w:abstractNum w:abstractNumId="106">
    <w:nsid w:val="6CAA2304"/>
    <w:multiLevelType w:val="hybridMultilevel"/>
    <w:lvl w:ilvl="0">
      <w:lvlJc w:val="left"/>
      <w:lvlText w:val="(%1)"/>
      <w:numFmt w:val="lowerLetter"/>
      <w:start w:val="3"/>
    </w:lvl>
  </w:abstractNum>
  <w:abstractNum w:abstractNumId="107">
    <w:nsid w:val="3F7C2FF4"/>
    <w:multiLevelType w:val="hybridMultilevel"/>
    <w:lvl w:ilvl="0">
      <w:lvlJc w:val="left"/>
      <w:lvlText w:val="(%1)"/>
      <w:numFmt w:val="lowerLetter"/>
      <w:start w:val="1"/>
    </w:lvl>
  </w:abstractNum>
  <w:abstractNum w:abstractNumId="108">
    <w:nsid w:val="25413BEC"/>
    <w:multiLevelType w:val="hybridMultilevel"/>
    <w:lvl w:ilvl="0">
      <w:lvlJc w:val="left"/>
      <w:lvlText w:val="(%1)"/>
      <w:numFmt w:val="lowerLetter"/>
      <w:start w:val="1"/>
    </w:lvl>
  </w:abstractNum>
  <w:abstractNum w:abstractNumId="109">
    <w:nsid w:val="17180B0B"/>
    <w:multiLevelType w:val="hybridMultilevel"/>
    <w:lvl w:ilvl="0">
      <w:lvlJc w:val="left"/>
      <w:lvlText w:val="(%1)"/>
      <w:numFmt w:val="lowerLetter"/>
      <w:start w:val="1"/>
    </w:lvl>
  </w:abstractNum>
  <w:abstractNum w:abstractNumId="110">
    <w:nsid w:val="579328B9"/>
    <w:multiLevelType w:val="hybridMultilevel"/>
    <w:lvl w:ilvl="0">
      <w:lvlJc w:val="left"/>
      <w:lvlText w:val="(%1)"/>
      <w:numFmt w:val="lowerLetter"/>
      <w:start w:val="1"/>
    </w:lvl>
  </w:abstractNum>
  <w:abstractNum w:abstractNumId="111">
    <w:nsid w:val="5D205E20"/>
    <w:multiLevelType w:val="hybridMultilevel"/>
    <w:lvl w:ilvl="0">
      <w:lvlJc w:val="left"/>
      <w:lvlText w:val="(%1)"/>
      <w:numFmt w:val="lowerLetter"/>
      <w:start w:val="2"/>
    </w:lvl>
  </w:abstractNum>
  <w:abstractNum w:abstractNumId="112">
    <w:nsid w:val="11CCA8BA"/>
    <w:multiLevelType w:val="hybridMultilevel"/>
    <w:lvl w:ilvl="0">
      <w:lvlJc w:val="left"/>
      <w:lvlText w:val="(%1)"/>
      <w:numFmt w:val="lowerLetter"/>
      <w:start w:val="3"/>
    </w:lvl>
  </w:abstractNum>
  <w:abstractNum w:abstractNumId="113">
    <w:nsid w:val="4D32AB86"/>
    <w:multiLevelType w:val="hybridMultilevel"/>
    <w:lvl w:ilvl="0">
      <w:lvlJc w:val="left"/>
      <w:lvlText w:val="(%1)"/>
      <w:numFmt w:val="lowerLetter"/>
      <w:start w:val="6"/>
    </w:lvl>
  </w:abstractNum>
  <w:abstractNum w:abstractNumId="114">
    <w:nsid w:val="3F07ACC3"/>
    <w:multiLevelType w:val="hybridMultilevel"/>
    <w:lvl w:ilvl="0">
      <w:lvlJc w:val="left"/>
      <w:lvlText w:val="(%1)"/>
      <w:numFmt w:val="lowerLetter"/>
      <w:start w:val="1"/>
    </w:lvl>
  </w:abstractNum>
  <w:abstractNum w:abstractNumId="115">
    <w:nsid w:val="6B47F63E"/>
    <w:multiLevelType w:val="hybridMultilevel"/>
    <w:lvl w:ilvl="0">
      <w:lvlJc w:val="left"/>
      <w:lvlText w:val="(%1)"/>
      <w:numFmt w:val="lowerLetter"/>
      <w:start w:val="2"/>
    </w:lvl>
  </w:abstractNum>
  <w:abstractNum w:abstractNumId="116">
    <w:nsid w:val="5CB44A05"/>
    <w:multiLevelType w:val="hybridMultilevel"/>
    <w:lvl w:ilvl="0">
      <w:lvlJc w:val="left"/>
      <w:lvlText w:val="%1."/>
      <w:numFmt w:val="upperLetter"/>
      <w:start w:val="1"/>
    </w:lvl>
  </w:abstractNum>
  <w:abstractNum w:abstractNumId="117">
    <w:nsid w:val="16CF80F1"/>
    <w:multiLevelType w:val="hybridMultilevel"/>
    <w:lvl w:ilvl="0">
      <w:lvlJc w:val="left"/>
      <w:lvlText w:val="%1."/>
      <w:numFmt w:val="upperLetter"/>
      <w:start w:val="6"/>
    </w:lvl>
  </w:abstractNum>
  <w:abstractNum w:abstractNumId="118">
    <w:nsid w:val="1C695DEC"/>
    <w:multiLevelType w:val="hybridMultilevel"/>
    <w:lvl w:ilvl="0">
      <w:lvlJc w:val="left"/>
      <w:lvlText w:val="(%1)"/>
      <w:numFmt w:val="lowerLetter"/>
      <w:start w:val="1"/>
    </w:lvl>
  </w:abstractNum>
  <w:abstractNum w:abstractNumId="119">
    <w:nsid w:val="3FCFAED9"/>
    <w:multiLevelType w:val="hybridMultilevel"/>
    <w:lvl w:ilvl="0">
      <w:lvlJc w:val="left"/>
      <w:lvlText w:val="(%1)"/>
      <w:numFmt w:val="lowerLetter"/>
      <w:start w:val="2"/>
    </w:lvl>
  </w:abstractNum>
  <w:abstractNum w:abstractNumId="120">
    <w:nsid w:val="F856867"/>
    <w:multiLevelType w:val="hybridMultilevel"/>
    <w:lvl w:ilvl="0">
      <w:lvlJc w:val="left"/>
      <w:lvlText w:val="(%1)"/>
      <w:numFmt w:val="decimal"/>
      <w:start w:val="3"/>
    </w:lvl>
  </w:abstractNum>
  <w:abstractNum w:abstractNumId="121">
    <w:nsid w:val="11B1CC33"/>
    <w:multiLevelType w:val="hybridMultilevel"/>
    <w:lvl w:ilvl="0">
      <w:lvlJc w:val="left"/>
      <w:lvlText w:val="(%1)"/>
      <w:numFmt w:val="lowerLetter"/>
      <w:start w:val="2"/>
    </w:lvl>
  </w:abstractNum>
  <w:abstractNum w:abstractNumId="122">
    <w:nsid w:val="2E22FBB7"/>
    <w:multiLevelType w:val="hybridMultilevel"/>
    <w:lvl w:ilvl="0">
      <w:lvlJc w:val="left"/>
      <w:lvlText w:val="(%1)"/>
      <w:numFmt w:val="lowerLetter"/>
      <w:start w:val="1"/>
    </w:lvl>
  </w:abstractNum>
  <w:abstractNum w:abstractNumId="123">
    <w:nsid w:val="29934699"/>
    <w:multiLevelType w:val="hybridMultilevel"/>
    <w:lvl w:ilvl="0">
      <w:lvlJc w:val="left"/>
      <w:lvlText w:val="(%1)"/>
      <w:numFmt w:val="lowerLetter"/>
      <w:start w:val="2"/>
    </w:lvl>
  </w:abstractNum>
  <w:abstractNum w:abstractNumId="124">
    <w:nsid w:val="77485850"/>
    <w:multiLevelType w:val="hybridMultilevel"/>
    <w:lvl w:ilvl="0">
      <w:lvlJc w:val="left"/>
      <w:lvlText w:val="(%1)"/>
      <w:numFmt w:val="lowerLetter"/>
      <w:start w:val="3"/>
    </w:lvl>
  </w:abstractNum>
  <w:abstractNum w:abstractNumId="125">
    <w:nsid w:val="744939A3"/>
    <w:multiLevelType w:val="hybridMultilevel"/>
    <w:lvl w:ilvl="0">
      <w:lvlJc w:val="left"/>
      <w:lvlText w:val="(%1)"/>
      <w:numFmt w:val="lowerLetter"/>
      <w:start w:val="1"/>
    </w:lvl>
  </w:abstractNum>
  <w:abstractNum w:abstractNumId="126">
    <w:nsid w:val="4FA0D2E3"/>
    <w:multiLevelType w:val="hybridMultilevel"/>
    <w:lvl w:ilvl="0">
      <w:lvlJc w:val="left"/>
      <w:lvlText w:val="[***]"/>
      <w:numFmt w:val="bullet"/>
      <w:start w:val="1"/>
    </w:lvl>
    <w:lvl w:ilvl="1">
      <w:lvlJc w:val="left"/>
      <w:lvlText w:val="(%2)"/>
      <w:numFmt w:val="lowerLetter"/>
      <w:start w:val="1"/>
    </w:lvl>
  </w:abstractNum>
  <w:abstractNum w:abstractNumId="127">
    <w:nsid w:val="6B1D2C14"/>
    <w:multiLevelType w:val="hybridMultilevel"/>
    <w:lvl w:ilvl="0">
      <w:lvlJc w:val="left"/>
      <w:lvlText w:val="[***]"/>
      <w:numFmt w:val="bullet"/>
      <w:start w:val="1"/>
    </w:lvl>
    <w:lvl w:ilvl="1">
      <w:lvlJc w:val="left"/>
      <w:lvlText w:val="(%2)"/>
      <w:numFmt w:val="lowerLetter"/>
      <w:start w:val="4"/>
    </w:lvl>
  </w:abstractNum>
  <w:abstractNum w:abstractNumId="128">
    <w:nsid w:val="68B867D3"/>
    <w:multiLevelType w:val="hybridMultilevel"/>
    <w:lvl w:ilvl="0">
      <w:lvlJc w:val="left"/>
      <w:lvlText w:val="(%1)"/>
      <w:numFmt w:val="lowerLetter"/>
      <w:start w:val="7"/>
    </w:lvl>
  </w:abstractNum>
  <w:abstractNum w:abstractNumId="129">
    <w:nsid w:val="3F7F5DD9"/>
    <w:multiLevelType w:val="hybridMultilevel"/>
    <w:lvl w:ilvl="0">
      <w:lvlJc w:val="left"/>
      <w:lvlText w:val="(%1)"/>
      <w:numFmt w:val="lowerLetter"/>
      <w:start w:val="1"/>
    </w:lvl>
  </w:abstractNum>
  <w:abstractNum w:abstractNumId="130">
    <w:nsid w:val="2AE05A34"/>
    <w:multiLevelType w:val="hybridMultilevel"/>
    <w:lvl w:ilvl="0">
      <w:lvlJc w:val="left"/>
      <w:lvlText w:val="(%1)"/>
      <w:numFmt w:val="lowerLetter"/>
      <w:start w:val="1"/>
    </w:lvl>
  </w:abstractNum>
  <w:abstractNum w:abstractNumId="131">
    <w:nsid w:val="32794FF7"/>
    <w:multiLevelType w:val="hybridMultilevel"/>
    <w:lvl w:ilvl="0">
      <w:lvlJc w:val="left"/>
      <w:lvlText w:val="(%1)"/>
      <w:numFmt w:val="lowerLetter"/>
      <w:start w:val="3"/>
    </w:lvl>
  </w:abstractNum>
  <w:abstractNum w:abstractNumId="132">
    <w:nsid w:val="5454945E"/>
    <w:multiLevelType w:val="hybridMultilevel"/>
    <w:lvl w:ilvl="0">
      <w:lvlJc w:val="left"/>
      <w:lvlText w:val="(%1)"/>
      <w:numFmt w:val="lowerLetter"/>
      <w:start w:val="1"/>
    </w:lvl>
  </w:abstractNum>
  <w:abstractNum w:abstractNumId="133">
    <w:nsid w:val="4DEFDFA0"/>
    <w:multiLevelType w:val="hybridMultilevel"/>
    <w:lvl w:ilvl="0">
      <w:lvlJc w:val="left"/>
      <w:lvlText w:val="(%1)"/>
      <w:numFmt w:val="lowerLetter"/>
      <w:start w:val="1"/>
    </w:lvl>
  </w:abstractNum>
  <w:abstractNum w:abstractNumId="134">
    <w:nsid w:val="2123D5F2"/>
    <w:multiLevelType w:val="hybridMultilevel"/>
    <w:lvl w:ilvl="0">
      <w:lvlJc w:val="left"/>
      <w:lvlText w:val="(%1)"/>
      <w:numFmt w:val="lowerLetter"/>
      <w:start w:val="4"/>
    </w:lvl>
  </w:abstractNum>
  <w:abstractNum w:abstractNumId="135">
    <w:nsid w:val="135B8110"/>
    <w:multiLevelType w:val="hybridMultilevel"/>
    <w:lvl w:ilvl="0">
      <w:lvlJc w:val="left"/>
      <w:lvlText w:val="(%1)"/>
      <w:numFmt w:val="lowerLetter"/>
      <w:start w:val="1"/>
    </w:lvl>
  </w:abstractNum>
  <w:abstractNum w:abstractNumId="136">
    <w:nsid w:val="94927A8"/>
    <w:multiLevelType w:val="hybridMultilevel"/>
    <w:lvl w:ilvl="0">
      <w:lvlJc w:val="left"/>
      <w:lvlText w:val="(%1)"/>
      <w:numFmt w:val="lowerLetter"/>
      <w:start w:val="1"/>
    </w:lvl>
  </w:abstractNum>
  <w:abstractNum w:abstractNumId="137">
    <w:nsid w:val="DCDF8F6"/>
    <w:multiLevelType w:val="hybridMultilevel"/>
    <w:lvl w:ilvl="0">
      <w:lvlJc w:val="left"/>
      <w:lvlText w:val="(%1)"/>
      <w:numFmt w:val="lowerLetter"/>
      <w:start w:val="1"/>
    </w:lvl>
  </w:abstractNum>
  <w:abstractNum w:abstractNumId="138">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2E8A6394"/>
    <w:multiLevelType w:val="hybridMultilevel"/>
    <w:lvl w:ilvl="0">
      <w:lvlJc w:val="left"/>
      <w:lvlText w:val="%1"/>
      <w:numFmt w:val="lowerRoman"/>
      <w:start w:val="1"/>
    </w:lvl>
    <w:lvl w:ilvl="1">
      <w:lvlJc w:val="left"/>
      <w:lvlText w:val="(%2)"/>
      <w:numFmt w:val="upperLetter"/>
      <w:start w:val="2"/>
    </w:lvl>
  </w:abstractNum>
  <w:abstractNum w:abstractNumId="140">
    <w:nsid w:val="24E60401"/>
    <w:multiLevelType w:val="hybridMultilevel"/>
    <w:lvl w:ilvl="0">
      <w:lvlJc w:val="left"/>
      <w:lvlText w:val="(%1)"/>
      <w:numFmt w:val="lowerRoman"/>
      <w:start w:val="2"/>
    </w:lvl>
    <w:lvl w:ilvl="1">
      <w:lvlJc w:val="left"/>
      <w:lvlText w:val="(%2)"/>
      <w:numFmt w:val="upperLetter"/>
      <w:start w:val="1"/>
    </w:lvl>
  </w:abstractNum>
  <w:abstractNum w:abstractNumId="141">
    <w:nsid w:val="2A6AD9BE"/>
    <w:multiLevelType w:val="hybridMultilevel"/>
    <w:lvl w:ilvl="0">
      <w:lvlJc w:val="left"/>
      <w:lvlText w:val="(%1)"/>
      <w:numFmt w:val="lowerRoman"/>
      <w:start w:val="4"/>
    </w:lvl>
    <w:lvl w:ilvl="1">
      <w:lvlJc w:val="left"/>
      <w:lvlText w:val="(%2)"/>
      <w:numFmt w:val="upperLetter"/>
      <w:start w:val="1"/>
    </w:lvl>
  </w:abstractNum>
  <w:abstractNum w:abstractNumId="142">
    <w:nsid w:val="BAAC1B4"/>
    <w:multiLevelType w:val="hybridMultilevel"/>
    <w:lvl w:ilvl="0">
      <w:lvlJc w:val="left"/>
      <w:lvlText w:val="(%1)"/>
      <w:numFmt w:val="lowerLetter"/>
      <w:start w:val="3"/>
    </w:lvl>
  </w:abstractNum>
  <w:abstractNum w:abstractNumId="143">
    <w:nsid w:val="36B2ACBC"/>
    <w:multiLevelType w:val="hybridMultilevel"/>
    <w:lvl w:ilvl="0">
      <w:lvlJc w:val="left"/>
      <w:lvlText w:val="(%1)"/>
      <w:numFmt w:val="lowerLetter"/>
      <w:start w:val="1"/>
    </w:lvl>
  </w:abstractNum>
  <w:abstractNum w:abstractNumId="144">
    <w:nsid w:val="779D8544"/>
    <w:multiLevelType w:val="hybridMultilevel"/>
    <w:lvl w:ilvl="0">
      <w:lvlJc w:val="left"/>
      <w:lvlText w:val="%1"/>
      <w:numFmt w:val="upperLetter"/>
      <w:start w:val="1"/>
    </w:lvl>
    <w:lvl w:ilvl="1">
      <w:lvlJc w:val="left"/>
      <w:lvlText w:val="(%2)"/>
      <w:numFmt w:val="lowerRoman"/>
      <w:start w:val="1"/>
    </w:lvl>
  </w:abstractNum>
  <w:abstractNum w:abstractNumId="145">
    <w:nsid w:val="4AB26E78"/>
    <w:multiLevelType w:val="hybridMultilevel"/>
    <w:lvl w:ilvl="0">
      <w:lvlJc w:val="left"/>
      <w:lvlText w:val="(%1)"/>
      <w:numFmt w:val="upperLetter"/>
      <w:start w:val="2"/>
    </w:lvl>
    <w:lvl w:ilvl="1">
      <w:lvlJc w:val="left"/>
      <w:lvlText w:val="(%2)"/>
      <w:numFmt w:val="lowerRoman"/>
      <w:start w:val="13"/>
    </w:lvl>
  </w:abstractNum>
  <w:abstractNum w:abstractNumId="146">
    <w:nsid w:val="21FAA2FA"/>
    <w:multiLevelType w:val="hybridMultilevel"/>
    <w:lvl w:ilvl="0">
      <w:lvlJc w:val="left"/>
      <w:lvlText w:val="(%1)"/>
      <w:numFmt w:val="lowerRoman"/>
      <w:start w:val="14"/>
    </w:lvl>
  </w:abstractNum>
  <w:abstractNum w:abstractNumId="147">
    <w:nsid w:val="5451CF49"/>
    <w:multiLevelType w:val="hybridMultilevel"/>
    <w:lvl w:ilvl="0">
      <w:lvlJc w:val="left"/>
      <w:lvlText w:val="%1"/>
      <w:numFmt w:val="lowerLetter"/>
      <w:start w:val="1"/>
    </w:lvl>
    <w:lvl w:ilvl="1">
      <w:lvlJc w:val="left"/>
      <w:lvlText w:val="(%2)"/>
      <w:numFmt w:val="lowerRoman"/>
      <w:start w:val="26"/>
    </w:lvl>
  </w:abstractNum>
  <w:abstractNum w:abstractNumId="148">
    <w:nsid w:val="6181EF69"/>
    <w:multiLevelType w:val="hybridMultilevel"/>
    <w:lvl w:ilvl="0">
      <w:lvlJc w:val="left"/>
      <w:lvlText w:val="(%1)"/>
      <w:numFmt w:val="lowerLetter"/>
      <w:start w:val="3"/>
    </w:lvl>
    <w:lvl w:ilvl="1">
      <w:lvlJc w:val="left"/>
      <w:lvlText w:val="%2"/>
      <w:numFmt w:val="lowerRoman"/>
      <w:start w:val="1"/>
    </w:lvl>
  </w:abstractNum>
  <w:abstractNum w:abstractNumId="149">
    <w:nsid w:val="3E6400E6"/>
    <w:multiLevelType w:val="hybridMultilevel"/>
    <w:lvl w:ilvl="0">
      <w:lvlJc w:val="left"/>
      <w:lvlText w:val="%1"/>
      <w:numFmt w:val="decimal"/>
      <w:start w:val="1"/>
    </w:lvl>
    <w:lvl w:ilvl="1">
      <w:lvlJc w:val="left"/>
      <w:lvlText w:val="(%2)"/>
      <w:numFmt w:val="lowerLetter"/>
      <w:start w:val="1"/>
    </w:lvl>
  </w:abstractNum>
  <w:abstractNum w:abstractNumId="150">
    <w:nsid w:val="14217E23"/>
    <w:multiLevelType w:val="hybridMultilevel"/>
    <w:lvl w:ilvl="0">
      <w:lvlJc w:val="left"/>
      <w:lvlText w:val="(%1)"/>
      <w:numFmt w:val="decimal"/>
      <w:start w:val="3"/>
    </w:lvl>
    <w:lvl w:ilvl="1">
      <w:lvlJc w:val="left"/>
      <w:lvlText w:val="%2"/>
      <w:numFmt w:val="lowerLetter"/>
      <w:start w:val="1"/>
    </w:lvl>
  </w:abstractNum>
  <w:abstractNum w:abstractNumId="151">
    <w:nsid w:val="710757D0"/>
    <w:multiLevelType w:val="hybridMultilevel"/>
    <w:lvl w:ilvl="0">
      <w:lvlJc w:val="left"/>
      <w:lvlText w:val="%1"/>
      <w:numFmt w:val="lowerLetter"/>
      <w:start w:val="1"/>
    </w:lvl>
    <w:lvl w:ilvl="1">
      <w:lvlJc w:val="left"/>
      <w:lvlText w:val="(%2)"/>
      <w:numFmt w:val="lowerLetter"/>
      <w:start w:val="1"/>
    </w:lvl>
  </w:abstractNum>
  <w:abstractNum w:abstractNumId="152">
    <w:nsid w:val="5015CD1A"/>
    <w:multiLevelType w:val="hybridMultilevel"/>
    <w:lvl w:ilvl="0">
      <w:lvlJc w:val="left"/>
      <w:lvlText w:val="(%1)"/>
      <w:numFmt w:val="lowerLetter"/>
      <w:start w:val="9"/>
    </w:lvl>
    <w:lvl w:ilvl="1">
      <w:lvlJc w:val="left"/>
      <w:lvlText w:val="(%2)"/>
      <w:numFmt w:val="lowerLetter"/>
      <w:start w:val="3"/>
    </w:lvl>
  </w:abstractNum>
  <w:abstractNum w:abstractNumId="153">
    <w:nsid w:val="424479DA"/>
    <w:multiLevelType w:val="hybridMultilevel"/>
    <w:lvl w:ilvl="0">
      <w:lvlJc w:val="left"/>
      <w:lvlText w:val="(%1)"/>
      <w:numFmt w:val="lowerLetter"/>
      <w:start w:val="1"/>
    </w:lvl>
  </w:abstractNum>
  <w:abstractNum w:abstractNumId="154">
    <w:nsid w:val="1A9A9E69"/>
    <w:multiLevelType w:val="hybridMultilevel"/>
    <w:lvl w:ilvl="0">
      <w:lvlJc w:val="left"/>
      <w:lvlText w:val="%1"/>
      <w:numFmt w:val="decimal"/>
      <w:start w:val="1"/>
    </w:lvl>
    <w:lvl w:ilvl="1">
      <w:lvlJc w:val="left"/>
      <w:lvlText w:val="(%2)"/>
      <w:numFmt w:val="lowerLetter"/>
      <w:start w:val="1"/>
    </w:lvl>
  </w:abstractNum>
  <w:abstractNum w:abstractNumId="155">
    <w:nsid w:val="475E256A"/>
    <w:multiLevelType w:val="hybridMultilevel"/>
    <w:lvl w:ilvl="0">
      <w:lvlJc w:val="left"/>
      <w:lvlText w:val="(%1)"/>
      <w:numFmt w:val="decimal"/>
      <w:start w:val="2"/>
    </w:lvl>
    <w:lvl w:ilvl="1">
      <w:lvlJc w:val="left"/>
      <w:lvlText w:val="(%2)"/>
      <w:numFmt w:val="lowerLetter"/>
      <w:start w:val="2"/>
    </w:lvl>
  </w:abstractNum>
  <w:abstractNum w:abstractNumId="156">
    <w:nsid w:val="368DB37E"/>
    <w:multiLevelType w:val="hybridMultilevel"/>
    <w:lvl w:ilvl="0">
      <w:lvlJc w:val="left"/>
      <w:lvlText w:val="(%1)"/>
      <w:numFmt w:val="lowerLetter"/>
      <w:start w:val="3"/>
    </w:lvl>
  </w:abstractNum>
  <w:abstractNum w:abstractNumId="157">
    <w:nsid w:val="6A3B714C"/>
    <w:multiLevelType w:val="hybridMultilevel"/>
    <w:lvl w:ilvl="0">
      <w:lvlJc w:val="left"/>
      <w:lvlText w:val="(%1)"/>
      <w:numFmt w:val="lowerLetter"/>
      <w:start w:val="1"/>
    </w:lvl>
  </w:abstractNum>
  <w:abstractNum w:abstractNumId="158">
    <w:nsid w:val="327B517E"/>
    <w:multiLevelType w:val="hybridMultilevel"/>
    <w:lvl w:ilvl="0">
      <w:lvlJc w:val="left"/>
      <w:lvlText w:val="%1"/>
      <w:numFmt w:val="decimal"/>
      <w:start w:val="1"/>
    </w:lvl>
    <w:lvl w:ilvl="1">
      <w:lvlJc w:val="left"/>
      <w:lvlText w:val="(%2)"/>
      <w:numFmt w:val="lowerLetter"/>
      <w:start w:val="1"/>
    </w:lvl>
  </w:abstractNum>
  <w:abstractNum w:abstractNumId="159">
    <w:nsid w:val="1F461B51"/>
    <w:multiLevelType w:val="hybridMultilevel"/>
    <w:lvl w:ilvl="0">
      <w:lvlJc w:val="left"/>
      <w:lvlText w:val="(%1)"/>
      <w:numFmt w:val="decimal"/>
      <w:start w:val="1"/>
    </w:lvl>
    <w:lvl w:ilvl="1">
      <w:lvlJc w:val="left"/>
      <w:lvlText w:val="(%2)"/>
      <w:numFmt w:val="lowerLetter"/>
      <w:start w:val="2"/>
    </w:lvl>
  </w:abstractNum>
  <w:abstractNum w:abstractNumId="160">
    <w:nsid w:val="29BACF25"/>
    <w:multiLevelType w:val="hybridMultilevel"/>
    <w:lvl w:ilvl="0">
      <w:lvlJc w:val="left"/>
      <w:lvlText w:val="(%1)"/>
      <w:numFmt w:val="lowerLetter"/>
      <w:start w:val="3"/>
    </w:lvl>
  </w:abstractNum>
  <w:abstractNum w:abstractNumId="161">
    <w:nsid w:val="5D5BABB3"/>
    <w:multiLevelType w:val="hybridMultilevel"/>
    <w:lvl w:ilvl="0">
      <w:lvlJc w:val="left"/>
      <w:lvlText w:val="(%1)"/>
      <w:numFmt w:val="lowerLetter"/>
      <w:start w:val="1"/>
    </w:lvl>
    <w:lvl w:ilvl="1">
      <w:lvlJc w:val="left"/>
      <w:lvlText w:val="(%2)"/>
      <w:numFmt w:val="lowerRoman"/>
      <w:start w:val="1"/>
    </w:lvl>
  </w:abstractNum>
  <w:abstractNum w:abstractNumId="162">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63">
    <w:nsid w:val="7E0F638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7"/>
    </w:lvl>
  </w:abstractNum>
  <w:abstractNum w:abstractNumId="164">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5">
    <w:nsid w:val="72E3413A"/>
    <w:multiLevelType w:val="hybridMultilevel"/>
    <w:lvl w:ilvl="0">
      <w:lvlJc w:val="left"/>
      <w:lvlText w:val="(%1)"/>
      <w:numFmt w:val="lowerLetter"/>
      <w:start w:val="1"/>
    </w:lvl>
  </w:abstractNum>
  <w:abstractNum w:abstractNumId="166">
    <w:nsid w:val="116AE4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7">
    <w:nsid w:val="3494B2FB"/>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6"/>
    </w:lvl>
  </w:abstractNum>
  <w:abstractNum w:abstractNumId="168">
    <w:nsid w:val="B13A31"/>
    <w:multiLevelType w:val="hybridMultilevel"/>
    <w:lvl w:ilvl="0">
      <w:lvlJc w:val="left"/>
      <w:lvlText w:val="(%1)"/>
      <w:numFmt w:val="lowerLetter"/>
      <w:start w:val="1"/>
    </w:lvl>
    <w:lvl w:ilvl="1">
      <w:lvlJc w:val="left"/>
      <w:lvlText w:val="(%2)"/>
      <w:numFmt w:val="lowerLetter"/>
      <w:start w:val="9"/>
    </w:lvl>
  </w:abstractNum>
  <w:abstractNum w:abstractNumId="169">
    <w:nsid w:val="64429599"/>
    <w:multiLevelType w:val="hybridMultilevel"/>
    <w:lvl w:ilvl="0">
      <w:lvlJc w:val="left"/>
      <w:lvlText w:val="(%1)"/>
      <w:numFmt w:val="lowerRoman"/>
      <w:start w:val="2"/>
    </w:lvl>
  </w:abstractNum>
  <w:abstractNum w:abstractNumId="170">
    <w:nsid w:val="631F1690"/>
    <w:multiLevelType w:val="hybridMultilevel"/>
    <w:lvl w:ilvl="0">
      <w:lvlJc w:val="left"/>
      <w:lvlText w:val="%1"/>
      <w:numFmt w:val="decimal"/>
      <w:start w:val="1"/>
    </w:lvl>
    <w:lvl w:ilvl="1">
      <w:lvlJc w:val="left"/>
      <w:lvlText w:val="(%2)"/>
      <w:numFmt w:val="lowerLetter"/>
      <w:start w:val="1"/>
    </w:lvl>
  </w:abstractNum>
  <w:abstractNum w:abstractNumId="171">
    <w:nsid w:val="25973E32"/>
    <w:multiLevelType w:val="hybridMultilevel"/>
    <w:lvl w:ilvl="0">
      <w:lvlJc w:val="left"/>
      <w:lvlText w:val="(%1)"/>
      <w:numFmt w:val="decimal"/>
      <w:start w:val="8"/>
    </w:lvl>
    <w:lvl w:ilvl="1">
      <w:lvlJc w:val="left"/>
      <w:lvlText w:val="(%2)"/>
      <w:numFmt w:val="lowerLetter"/>
      <w:start w:val="2"/>
    </w:lvl>
  </w:abstractNum>
  <w:abstractNum w:abstractNumId="172">
    <w:nsid w:val="EAD6F57"/>
    <w:multiLevelType w:val="hybridMultilevel"/>
    <w:lvl w:ilvl="0">
      <w:lvlJc w:val="left"/>
      <w:lvlText w:val="(%1)"/>
      <w:numFmt w:val="lowerLetter"/>
      <w:start w:val="3"/>
    </w:lvl>
    <w:lvl w:ilvl="1">
      <w:lvlJc w:val="left"/>
      <w:lvlText w:val="(%2)"/>
      <w:numFmt w:val="lowerRoman"/>
      <w:start w:val="1"/>
    </w:lvl>
  </w:abstractNum>
  <w:abstractNum w:abstractNumId="173">
    <w:nsid w:val="6EC9D844"/>
    <w:multiLevelType w:val="hybridMultilevel"/>
    <w:lvl w:ilvl="0">
      <w:lvlJc w:val="left"/>
      <w:lvlText w:val="%1"/>
      <w:numFmt w:val="lowerLetter"/>
      <w:start w:val="1"/>
    </w:lvl>
    <w:lvl w:ilvl="1">
      <w:lvlJc w:val="left"/>
      <w:lvlText w:val="(%2)"/>
      <w:numFmt w:val="lowerRoman"/>
      <w:start w:val="2"/>
    </w:lvl>
  </w:abstractNum>
  <w:abstractNum w:abstractNumId="174">
    <w:nsid w:val="5C49EAEE"/>
    <w:multiLevelType w:val="hybridMultilevel"/>
    <w:lvl w:ilvl="0">
      <w:lvlJc w:val="left"/>
      <w:lvlText w:val="(%1)"/>
      <w:numFmt w:val="lowerLetter"/>
      <w:start w:val="5"/>
    </w:lvl>
    <w:lvl w:ilvl="1">
      <w:lvlJc w:val="left"/>
      <w:lvlText w:val="(%2)"/>
      <w:numFmt w:val="lowerRoman"/>
      <w:start w:val="1"/>
    </w:lvl>
  </w:abstractNum>
  <w:abstractNum w:abstractNumId="175">
    <w:nsid w:val="64AF49B"/>
    <w:multiLevelType w:val="hybridMultilevel"/>
    <w:lvl w:ilvl="0">
      <w:lvlJc w:val="left"/>
      <w:lvlText w:val="(%1)"/>
      <w:numFmt w:val="lowerLetter"/>
      <w:start w:val="1"/>
    </w:lvl>
  </w:abstractNum>
  <w:abstractNum w:abstractNumId="176">
    <w:nsid w:val="397C46BC"/>
    <w:multiLevelType w:val="hybridMultilevel"/>
    <w:lvl w:ilvl="0">
      <w:lvlJc w:val="left"/>
      <w:lvlText w:val="(%1)"/>
      <w:numFmt w:val="lowerLetter"/>
      <w:start w:val="2"/>
    </w:lvl>
  </w:abstractNum>
  <w:abstractNum w:abstractNumId="177">
    <w:nsid w:val="7E448DE9"/>
    <w:multiLevelType w:val="hybridMultilevel"/>
    <w:lvl w:ilvl="0">
      <w:lvlJc w:val="left"/>
      <w:lvlText w:val="(%1)"/>
      <w:numFmt w:val="lowerLetter"/>
      <w:start w:val="2"/>
    </w:lvl>
  </w:abstractNum>
  <w:abstractNum w:abstractNumId="178">
    <w:nsid w:val="5A9CC3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9">
    <w:nsid w:val="1AFE3625"/>
    <w:multiLevelType w:val="hybridMultilevel"/>
    <w:lvl w:ilvl="0">
      <w:lvlJc w:val="left"/>
      <w:lvlText w:val="(%1)"/>
      <w:numFmt w:val="upperLetter"/>
      <w:start w:val="6"/>
    </w:lvl>
    <w:lvl w:ilvl="1">
      <w:lvlJc w:val="left"/>
      <w:lvlText w:val="(%2)"/>
      <w:numFmt w:val="lowerLetter"/>
      <w:start w:val="2"/>
    </w:lvl>
    <w:lvl w:ilvl="2">
      <w:lvlJc w:val="left"/>
      <w:lvlText w:val="(%3)"/>
      <w:numFmt w:val="lowerRoman"/>
      <w:start w:val="1"/>
    </w:lvl>
  </w:abstractNum>
  <w:abstractNum w:abstractNumId="180">
    <w:nsid w:val="3CA88ECF"/>
    <w:multiLevelType w:val="hybridMultilevel"/>
    <w:lvl w:ilvl="0">
      <w:lvlJc w:val="left"/>
      <w:lvlText w:val="(%1)"/>
      <w:numFmt w:val="lowerLetter"/>
      <w:start w:val="6"/>
    </w:lvl>
  </w:abstractNum>
  <w:abstractNum w:abstractNumId="181">
    <w:nsid w:val="6EBE4208"/>
    <w:multiLevelType w:val="hybridMultilevel"/>
    <w:lvl w:ilvl="0">
      <w:lvlJc w:val="left"/>
      <w:lvlText w:val="(%1)"/>
      <w:numFmt w:val="lowerLetter"/>
      <w:start w:val="1"/>
    </w:lvl>
  </w:abstractNum>
  <w:abstractNum w:abstractNumId="182">
    <w:nsid w:val="C058DF5"/>
    <w:multiLevelType w:val="hybridMultilevel"/>
    <w:lvl w:ilvl="0">
      <w:lvlJc w:val="left"/>
      <w:lvlText w:val="(%1)"/>
      <w:numFmt w:val="lowerLetter"/>
      <w:start w:val="3"/>
    </w:lvl>
  </w:abstractNum>
  <w:abstractNum w:abstractNumId="183">
    <w:nsid w:val="CBE5BE9"/>
    <w:multiLevelType w:val="hybridMultilevel"/>
    <w:lvl w:ilvl="0">
      <w:lvlJc w:val="left"/>
      <w:lvlText w:val="(%1)"/>
      <w:numFmt w:val="lowerLetter"/>
      <w:start w:val="1"/>
    </w:lvl>
  </w:abstractNum>
  <w:abstractNum w:abstractNumId="184">
    <w:nsid w:val="3102BBE2"/>
    <w:multiLevelType w:val="hybridMultilevel"/>
    <w:lvl w:ilvl="0">
      <w:lvlJc w:val="left"/>
      <w:lvlText w:val="(%1)"/>
      <w:numFmt w:val="lowerLetter"/>
      <w:start w:val="1"/>
    </w:lvl>
  </w:abstractNum>
  <w:abstractNum w:abstractNumId="185">
    <w:nsid w:val="26A02C5E"/>
    <w:multiLevelType w:val="hybridMultilevel"/>
    <w:lvl w:ilvl="0">
      <w:lvlJc w:val="left"/>
      <w:lvlText w:val="(%1)"/>
      <w:numFmt w:val="decimal"/>
      <w:start w:val="10"/>
    </w:lvl>
  </w:abstractNum>
  <w:abstractNum w:abstractNumId="186">
    <w:nsid w:val="541C8153"/>
    <w:multiLevelType w:val="hybridMultilevel"/>
    <w:lvl w:ilvl="0">
      <w:lvlJc w:val="left"/>
      <w:lvlText w:val="(%1)"/>
      <w:numFmt w:val="lowerLetter"/>
      <w:start w:val="1"/>
    </w:lvl>
  </w:abstractNum>
  <w:abstractNum w:abstractNumId="187">
    <w:nsid w:val="67906F60"/>
    <w:multiLevelType w:val="hybridMultilevel"/>
    <w:lvl w:ilvl="0">
      <w:lvlJc w:val="left"/>
      <w:lvlText w:val="(%1)"/>
      <w:numFmt w:val="lowerLetter"/>
      <w:start w:val="2"/>
    </w:lvl>
  </w:abstractNum>
  <w:abstractNum w:abstractNumId="188">
    <w:nsid w:val="10DB9DAA"/>
    <w:multiLevelType w:val="hybridMultilevel"/>
    <w:lvl w:ilvl="0">
      <w:lvlJc w:val="left"/>
      <w:lvlText w:val="(%1)"/>
      <w:numFmt w:val="lowerLetter"/>
      <w:start w:val="1"/>
    </w:lvl>
  </w:abstractNum>
  <w:abstractNum w:abstractNumId="189">
    <w:nsid w:val="697D2D2"/>
    <w:multiLevelType w:val="hybridMultilevel"/>
    <w:lvl w:ilvl="0">
      <w:lvlJc w:val="left"/>
      <w:lvlText w:val="(%1)"/>
      <w:numFmt w:val="lowerLetter"/>
      <w:start w:val="4"/>
    </w:lvl>
  </w:abstractNum>
  <w:abstractNum w:abstractNumId="190">
    <w:nsid w:val="6D68AB2"/>
    <w:multiLevelType w:val="hybridMultilevel"/>
    <w:lvl w:ilvl="0">
      <w:lvlJc w:val="left"/>
      <w:lvlText w:val="(%1)"/>
      <w:numFmt w:val="lowerLetter"/>
      <w:start w:val="1"/>
    </w:lvl>
    <w:lvl w:ilvl="1">
      <w:lvlJc w:val="left"/>
      <w:lvlText w:val="(%2)"/>
      <w:numFmt w:val="lowerRoman"/>
      <w:start w:val="1"/>
    </w:lvl>
  </w:abstractNum>
  <w:abstractNum w:abstractNumId="191">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2">
    <w:nsid w:val="63F37E85"/>
    <w:multiLevelType w:val="hybridMultilevel"/>
    <w:lvl w:ilvl="0">
      <w:lvlJc w:val="left"/>
      <w:lvlText w:val="%1"/>
      <w:numFmt w:val="decimal"/>
      <w:start w:val="1"/>
    </w:lvl>
    <w:lvl w:ilvl="1">
      <w:lvlJc w:val="left"/>
      <w:lvlText w:val="(%2)"/>
      <w:numFmt w:val="lowerLetter"/>
      <w:start w:val="1"/>
    </w:lvl>
  </w:abstractNum>
  <w:abstractNum w:abstractNumId="193">
    <w:nsid w:val="5895F5FA"/>
    <w:multiLevelType w:val="hybridMultilevel"/>
    <w:lvl w:ilvl="0">
      <w:lvlJc w:val="left"/>
      <w:lvlText w:val="(%1)"/>
      <w:numFmt w:val="decimal"/>
      <w:start w:val="1"/>
    </w:lvl>
    <w:lvl w:ilvl="1">
      <w:lvlJc w:val="left"/>
      <w:lvlText w:val="%2"/>
      <w:numFmt w:val="lowerLetter"/>
      <w:start w:val="1"/>
    </w:lvl>
  </w:abstractNum>
  <w:abstractNum w:abstractNumId="194">
    <w:nsid w:val="38A5D054"/>
    <w:multiLevelType w:val="hybridMultilevel"/>
    <w:lvl w:ilvl="0">
      <w:lvlJc w:val="left"/>
      <w:lvlText w:val="%1."/>
      <w:numFmt w:val="upperLetter"/>
      <w:start w:val="1"/>
    </w:lvl>
  </w:abstractNum>
  <w:abstractNum w:abstractNumId="195">
    <w:nsid w:val="F3F09D8"/>
    <w:multiLevelType w:val="hybridMultilevel"/>
    <w:lvl w:ilvl="0">
      <w:lvlJc w:val="left"/>
      <w:lvlText w:val="%1."/>
      <w:numFmt w:val="decimal"/>
      <w:start w:val="1"/>
    </w:lvl>
    <w:lvl w:ilvl="1">
      <w:lvlJc w:val="left"/>
      <w:lvlText w:val="%2."/>
      <w:numFmt w:val="lowerLetter"/>
      <w:start w:val="1"/>
    </w:lvl>
  </w:abstractNum>
  <w:abstractNum w:abstractNumId="196">
    <w:nsid w:val="4B793735"/>
    <w:multiLevelType w:val="hybridMultilevel"/>
    <w:lvl w:ilvl="0">
      <w:lvlJc w:val="left"/>
      <w:lvlText w:val="%1."/>
      <w:numFmt w:val="lowerLetter"/>
      <w:start w:val="2"/>
    </w:lvl>
  </w:abstractNum>
  <w:abstractNum w:abstractNumId="197">
    <w:nsid w:val="4A10B4E8"/>
    <w:multiLevelType w:val="hybridMultilevel"/>
    <w:lvl w:ilvl="0">
      <w:lvlJc w:val="left"/>
      <w:lvlText w:val="%1"/>
      <w:numFmt w:val="lowerLetter"/>
      <w:start w:val="1"/>
    </w:lvl>
    <w:lvl w:ilvl="1">
      <w:lvlJc w:val="left"/>
      <w:lvlText w:val="(%2)"/>
      <w:numFmt w:val="lowerRoman"/>
      <w:start w:val="1"/>
    </w:lvl>
  </w:abstractNum>
  <w:abstractNum w:abstractNumId="198">
    <w:nsid w:val="43D3BCD4"/>
    <w:multiLevelType w:val="hybridMultilevel"/>
    <w:lvl w:ilvl="0">
      <w:lvlJc w:val="left"/>
      <w:lvlText w:val="%1."/>
      <w:numFmt w:val="lowerLetter"/>
      <w:start w:val="6"/>
    </w:lvl>
    <w:lvl w:ilvl="1">
      <w:lvlJc w:val="left"/>
      <w:lvlText w:val="%2"/>
      <w:numFmt w:val="lowerRoman"/>
      <w:start w:val="1"/>
    </w:lvl>
  </w:abstractNum>
  <w:abstractNum w:abstractNumId="199">
    <w:nsid w:val="4C2A7166"/>
    <w:multiLevelType w:val="hybridMultilevel"/>
    <w:lvl w:ilvl="0">
      <w:lvlJc w:val="left"/>
      <w:lvlText w:val="%1."/>
      <w:numFmt w:val="decimal"/>
      <w:start w:val="3"/>
    </w:lvl>
  </w:abstractNum>
  <w:abstractNum w:abstractNumId="200">
    <w:nsid w:val="2E534A82"/>
    <w:multiLevelType w:val="hybridMultilevel"/>
    <w:lvl w:ilvl="0">
      <w:lvlJc w:val="left"/>
      <w:lvlText w:val="%1."/>
      <w:numFmt w:val="decimal"/>
      <w:start w:val="1"/>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decimal"/>
      <w:start w:val="1"/>
    </w:lvl>
    <w:lvl w:ilvl="1">
      <w:lvlJc w:val="left"/>
      <w:lvlText w:val="(%2)"/>
      <w:numFmt w:val="lowerLetter"/>
      <w:start w:val="1"/>
    </w:lvl>
  </w:abstractNum>
  <w:abstractNum w:abstractNumId="203">
    <w:nsid w:val="3D00B9D9"/>
    <w:multiLevelType w:val="hybridMultilevel"/>
    <w:lvl w:ilvl="0">
      <w:lvlJc w:val="left"/>
      <w:lvlText w:val="%1."/>
      <w:numFmt w:val="decimal"/>
      <w:start w:val="1"/>
    </w:lvl>
    <w:lvl w:ilvl="1">
      <w:lvlJc w:val="left"/>
      <w:lvlText w:val="(%2)"/>
      <w:numFmt w:val="lowerLetter"/>
      <w:start w:val="1"/>
    </w:lvl>
  </w:abstractNum>
  <w:abstractNum w:abstractNumId="204">
    <w:nsid w:val="15BCAB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167" Type="http://schemas.openxmlformats.org/officeDocument/2006/relationships/image" Target="media/image66.png"/><Relationship Id="rId168" Type="http://schemas.openxmlformats.org/officeDocument/2006/relationships/image" Target="media/image67.png"/><Relationship Id="rId169" Type="http://schemas.openxmlformats.org/officeDocument/2006/relationships/image" Target="media/image68.png"/><Relationship Id="rId170" Type="http://schemas.openxmlformats.org/officeDocument/2006/relationships/image" Target="media/image69.png"/><Relationship Id="rId171" Type="http://schemas.openxmlformats.org/officeDocument/2006/relationships/image" Target="media/image70.png"/><Relationship Id="rId172" Type="http://schemas.openxmlformats.org/officeDocument/2006/relationships/image" Target="media/image71.png"/><Relationship Id="rId173" Type="http://schemas.openxmlformats.org/officeDocument/2006/relationships/image" Target="media/image72.png"/><Relationship Id="rId174" Type="http://schemas.openxmlformats.org/officeDocument/2006/relationships/image" Target="media/image73.png"/><Relationship Id="rId175" Type="http://schemas.openxmlformats.org/officeDocument/2006/relationships/image" Target="media/image74.png"/><Relationship Id="rId176" Type="http://schemas.openxmlformats.org/officeDocument/2006/relationships/image" Target="media/image75.png"/><Relationship Id="rId177" Type="http://schemas.openxmlformats.org/officeDocument/2006/relationships/image" Target="media/image76.png"/><Relationship Id="rId178" Type="http://schemas.openxmlformats.org/officeDocument/2006/relationships/image" Target="media/image77.png"/><Relationship Id="rId179" Type="http://schemas.openxmlformats.org/officeDocument/2006/relationships/image" Target="media/image78.png"/><Relationship Id="rId180" Type="http://schemas.openxmlformats.org/officeDocument/2006/relationships/image" Target="media/image79.png"/><Relationship Id="rId181" Type="http://schemas.openxmlformats.org/officeDocument/2006/relationships/image" Target="media/image80.png"/><Relationship Id="rId182" Type="http://schemas.openxmlformats.org/officeDocument/2006/relationships/image" Target="media/image81.png"/><Relationship Id="rId183" Type="http://schemas.openxmlformats.org/officeDocument/2006/relationships/image" Target="media/image82.png"/><Relationship Id="rId184" Type="http://schemas.openxmlformats.org/officeDocument/2006/relationships/image" Target="media/image83.png"/><Relationship Id="rId185" Type="http://schemas.openxmlformats.org/officeDocument/2006/relationships/image" Target="media/image84.png"/><Relationship Id="rId186" Type="http://schemas.openxmlformats.org/officeDocument/2006/relationships/image" Target="media/image85.png"/><Relationship Id="rId187" Type="http://schemas.openxmlformats.org/officeDocument/2006/relationships/image" Target="media/image86.png"/><Relationship Id="rId188" Type="http://schemas.openxmlformats.org/officeDocument/2006/relationships/image" Target="media/image87.png"/><Relationship Id="rId189" Type="http://schemas.openxmlformats.org/officeDocument/2006/relationships/image" Target="media/image88.png"/><Relationship Id="rId190" Type="http://schemas.openxmlformats.org/officeDocument/2006/relationships/image" Target="media/image89.png"/><Relationship Id="rId191" Type="http://schemas.openxmlformats.org/officeDocument/2006/relationships/image" Target="media/image90.png"/><Relationship Id="rId192" Type="http://schemas.openxmlformats.org/officeDocument/2006/relationships/image" Target="media/image91.png"/><Relationship Id="rId193" Type="http://schemas.openxmlformats.org/officeDocument/2006/relationships/image" Target="media/image92.png"/><Relationship Id="rId194" Type="http://schemas.openxmlformats.org/officeDocument/2006/relationships/image" Target="media/image93.png"/><Relationship Id="rId73" Type="http://schemas.openxmlformats.org/officeDocument/2006/relationships/hyperlink" Target="http://www.sec.gov/Archives/edgar/data/1567683/000110465914037090/a14-12466_1ex2d1.htm" TargetMode="External"/><Relationship Id="rId74" Type="http://schemas.openxmlformats.org/officeDocument/2006/relationships/hyperlink" Target="http://www.sec.gov/Archives/edgar/data/1567683/000110465914037090/a14-12466_1ex2d2.htm" TargetMode="External"/><Relationship Id="rId75" Type="http://schemas.openxmlformats.org/officeDocument/2006/relationships/hyperlink" Target="http://www.sec.gov/Archives/edgar/data/1567683/000110465914037090/a14-12466_1ex2d3.htm" TargetMode="External"/><Relationship Id="rId76" Type="http://schemas.openxmlformats.org/officeDocument/2006/relationships/hyperlink" Target="http://www.sec.gov/Archives/edgar/data/1567683/000110465914044820/a14-14976_1ex10d1.htm" TargetMode="External"/><Relationship Id="rId77" Type="http://schemas.openxmlformats.org/officeDocument/2006/relationships/hyperlink" Target="http://www.sec.gov/Archives/edgar/data/1567683/000156768314000020/exhibit21.htm" TargetMode="External"/><Relationship Id="rId78" Type="http://schemas.openxmlformats.org/officeDocument/2006/relationships/hyperlink" Target="http://www.sec.gov/Archives/edgar/data/1567683/000156768314000020/exhibit22.htm" TargetMode="External"/><Relationship Id="rId79" Type="http://schemas.openxmlformats.org/officeDocument/2006/relationships/hyperlink" Target="http://www.sec.gov/Archives/edgar/data/1567683/000156768315000022/yieldincex212015q2dspsaexh.htm" TargetMode="External"/><Relationship Id="rId80" Type="http://schemas.openxmlformats.org/officeDocument/2006/relationships/hyperlink" Target="http://www.sec.gov/Archives/edgar/data/1567683/000110465915066291/a15-19906_1ex2d1.htm" TargetMode="External"/><Relationship Id="rId81" Type="http://schemas.openxmlformats.org/officeDocument/2006/relationships/hyperlink" Target="http://www.sec.gov/Archives/edgar/data/1567683/000110465916138087/a16-16348_1ex2d1.htm" TargetMode="External"/><Relationship Id="rId82" Type="http://schemas.openxmlformats.org/officeDocument/2006/relationships/hyperlink" Target="http://www.sec.gov/Archives/edgar/data/1567683/000156768318000008/yieldincex210201710-k.htm" TargetMode="External"/><Relationship Id="rId83" Type="http://schemas.openxmlformats.org/officeDocument/2006/relationships/hyperlink" Target="http://www.sec.gov/Archives/edgar/data/1567683/000110465919070990/tm1924690d1_ex2-1.htm" TargetMode="External"/><Relationship Id="rId84" Type="http://schemas.openxmlformats.org/officeDocument/2006/relationships/hyperlink" Target="http://www.sec.gov/Archives/edgar/data/1567683/000156768316000043/yieldincex312016q1.htm" TargetMode="External"/><Relationship Id="rId85" Type="http://schemas.openxmlformats.org/officeDocument/2006/relationships/hyperlink" Target="http://www.sec.gov/Archives/edgar/data/1567683/000110465918055334/a18-24111_1ex3d1.htm" TargetMode="External"/><Relationship Id="rId86" Type="http://schemas.openxmlformats.org/officeDocument/2006/relationships/hyperlink" Target="http://www.sec.gov/Archives/edgar/data/1567683/000110465918055334/a18-24111_1ex3d2.htm#Exhibit3_2_042157" TargetMode="External"/><Relationship Id="rId87" Type="http://schemas.openxmlformats.org/officeDocument/2006/relationships/hyperlink" Target="http://www.sec.gov/Archives/edgar/data/1567683/000110465918055334/a18-24111_1ex10d6.htm#Exhibit10_6_052216" TargetMode="External"/><Relationship Id="rId88" Type="http://schemas.openxmlformats.org/officeDocument/2006/relationships/hyperlink" Target="http://www.sec.gov/Archives/edgar/data/1567683/000110465914008496/a14-4771_3ex4d1.htm" TargetMode="External"/><Relationship Id="rId89" Type="http://schemas.openxmlformats.org/officeDocument/2006/relationships/hyperlink" Target="http://www.sec.gov/Archives/edgar/data/1567683/000110465914056777/a14-18411_1ex4d1.htm" TargetMode="External"/><Relationship Id="rId90" Type="http://schemas.openxmlformats.org/officeDocument/2006/relationships/hyperlink" Target="http://www.sec.gov/Archives/edgar/data/1567683/000110465914056777/a14-18411_1ex4d3.htm" TargetMode="External"/><Relationship Id="rId91" Type="http://schemas.openxmlformats.org/officeDocument/2006/relationships/hyperlink" Target="http://www.sec.gov/Archives/edgar/data/1567683/000110465914080390/a14-24401_1ex4d1.htm" TargetMode="External"/><Relationship Id="rId92" Type="http://schemas.openxmlformats.org/officeDocument/2006/relationships/hyperlink" Target="http://www.sec.gov/Archives/edgar/data/1567683/000110465915015282/a15-5420_1ex4d1.htm" TargetMode="External"/><Relationship Id="rId93" Type="http://schemas.openxmlformats.org/officeDocument/2006/relationships/hyperlink" Target="http://www.sec.gov/Archives/edgar/data/1567683/000110465915027995/a15-9326_1ex4d1.htm" TargetMode="External"/><Relationship Id="rId94" Type="http://schemas.openxmlformats.org/officeDocument/2006/relationships/hyperlink" Target="http://www.sec.gov/Archives/edgar/data/1567683/000110465915036232/a15-11016_2ex4d1.htm" TargetMode="External"/><Relationship Id="rId95" Type="http://schemas.openxmlformats.org/officeDocument/2006/relationships/hyperlink" Target="http://www.sec.gov/Archives/edgar/data/1567683/000110465915048473/a15-14936_1ex4d1.htm" TargetMode="External"/><Relationship Id="rId96" Type="http://schemas.openxmlformats.org/officeDocument/2006/relationships/hyperlink" Target="http://www.sec.gov/Archives/edgar/data/1567683/000156768319000014/exhibit_1.htm" TargetMode="External"/><Relationship Id="rId97" Type="http://schemas.openxmlformats.org/officeDocument/2006/relationships/hyperlink" Target="http://www.sec.gov/Archives/edgar/data/1567683/000156768319000014/exhibit_2.htm" TargetMode="External"/><Relationship Id="rId98" Type="http://schemas.openxmlformats.org/officeDocument/2006/relationships/hyperlink" Target="http://www.sec.gov/Archives/edgar/data/1567683/000110465916140473/a16-16967_1ex4d1.htm" TargetMode="External"/><Relationship Id="rId99" Type="http://schemas.openxmlformats.org/officeDocument/2006/relationships/hyperlink" Target="http://www.sec.gov/Archives/edgar/data/1567683/000110465916140473/a16-16967_1ex4d3.htm" TargetMode="External"/><Relationship Id="rId100" Type="http://schemas.openxmlformats.org/officeDocument/2006/relationships/hyperlink" Target="http://www.sec.gov/Archives/edgar/data/1637757/000110465918005466/a18-5088_1ex4d1.htm#Exhibit4_1_091658" TargetMode="External"/><Relationship Id="rId101" Type="http://schemas.openxmlformats.org/officeDocument/2006/relationships/hyperlink" Target="http://www.sec.gov/Archives/edgar/data/1637757/000110465918005466/a18-5088_1ex4d2.htm#Exhibit4_2_091723" TargetMode="External"/><Relationship Id="rId102" Type="http://schemas.openxmlformats.org/officeDocument/2006/relationships/hyperlink" Target="http://www.sec.gov/Archives/edgar/data/1567683/000110465918039601/a18-15261_1ex4d1.htm#Exhibit4_1_110220" TargetMode="External"/><Relationship Id="rId103" Type="http://schemas.openxmlformats.org/officeDocument/2006/relationships/hyperlink" Target="http://www.sec.gov/Archives/edgar/data/1567683/000110465918039601/a18-15261_1ex4d2.htm#Exhibit4_2_111650" TargetMode="External"/><Relationship Id="rId104" Type="http://schemas.openxmlformats.org/officeDocument/2006/relationships/hyperlink" Target="http://www.sec.gov/Archives/edgar/data/1567683/000156768318000028/yieldincex432018q2.htm" TargetMode="External"/><Relationship Id="rId105" Type="http://schemas.openxmlformats.org/officeDocument/2006/relationships/hyperlink" Target="http://www.sec.gov/Archives/edgar/data/1567683/000156768318000028/yieldincex442018q2.htm" TargetMode="External"/><Relationship Id="rId106" Type="http://schemas.openxmlformats.org/officeDocument/2006/relationships/hyperlink" Target="http://www.sec.gov/Archives/edgar/data/1567683/000110465918055585/a18-27020_1ex4d1.htm#Exhibit4_1_065610" TargetMode="External"/><Relationship Id="rId107" Type="http://schemas.openxmlformats.org/officeDocument/2006/relationships/hyperlink" Target="http://www.sec.gov/Archives/edgar/data/1567683/000110465918055585/a18-27020_1ex4d2.htm" TargetMode="External"/><Relationship Id="rId108" Type="http://schemas.openxmlformats.org/officeDocument/2006/relationships/hyperlink" Target="http://www.sec.gov/Archives/edgar/data/1567683/000110465918060026/a18-36222_1ex4d1.htm#Exhibit4_1_070903" TargetMode="External"/><Relationship Id="rId109" Type="http://schemas.openxmlformats.org/officeDocument/2006/relationships/hyperlink" Target="http://www.sec.gov/Archives/edgar/data/1567683/000110465918060026/a18-36222_1ex4d1.htm" TargetMode="External"/><Relationship Id="rId110" Type="http://schemas.openxmlformats.org/officeDocument/2006/relationships/hyperlink" Target="http://www.sec.gov/Archives/edgar/data/1567683/000110465918060026/a18-36222_1ex4d3.htm#Exhibit4_3_105106" TargetMode="External"/><Relationship Id="rId111" Type="http://schemas.openxmlformats.org/officeDocument/2006/relationships/hyperlink" Target="http://www.sec.gov/Archives/edgar/data/1567683/000110465918065131/a18-38184_1ex4d1.htm#Exhibit4_1_084653" TargetMode="External"/><Relationship Id="rId112" Type="http://schemas.openxmlformats.org/officeDocument/2006/relationships/hyperlink" Target="http://www.sec.gov/Archives/edgar/data/1567683/000110465918065131/a18-38184_1ex4d2.htm#Exhibit4_2_085140" TargetMode="External"/><Relationship Id="rId113" Type="http://schemas.openxmlformats.org/officeDocument/2006/relationships/hyperlink" Target="http://www.sec.gov/Archives/edgar/data/1567683/000110465918065131/a18-38184_1ex4d3.htm#Exhibit4_3_084706" TargetMode="External"/><Relationship Id="rId114" Type="http://schemas.openxmlformats.org/officeDocument/2006/relationships/hyperlink" Target="http://www.sec.gov/Archives/edgar/data/1567683/000110465918072575/a18-41414_1ex4d1.htm#Exhibit4_1_123152" TargetMode="External"/><Relationship Id="rId115" Type="http://schemas.openxmlformats.org/officeDocument/2006/relationships/hyperlink" Target="http://www.sec.gov/Archives/edgar/data/1567683/000110465918072575/a18-41414_1ex4d2.htm#Exhibit4_2_124619" TargetMode="External"/><Relationship Id="rId116" Type="http://schemas.openxmlformats.org/officeDocument/2006/relationships/hyperlink" Target="http://www.sec.gov/Archives/edgar/data/1567683/000110465918072575/a18-41414_1ex4d3.htm#Exhibit4_3_125432" TargetMode="External"/><Relationship Id="rId117" Type="http://schemas.openxmlformats.org/officeDocument/2006/relationships/hyperlink" Target="http://www.sec.gov/Archives/edgar/data/1567683/000141057819001211/tv529122_ex4-1.htm" TargetMode="External"/><Relationship Id="rId118" Type="http://schemas.openxmlformats.org/officeDocument/2006/relationships/hyperlink" Target="http://www.sec.gov/Archives/edgar/data/1567683/000141057819001211/tv529122_ex4-2.htm" TargetMode="External"/><Relationship Id="rId119" Type="http://schemas.openxmlformats.org/officeDocument/2006/relationships/hyperlink" Target="http://www.sec.gov/Archives/edgar/data/1567683/000141057819001211/tv529122_ex4-3.htm" TargetMode="External"/><Relationship Id="rId120" Type="http://schemas.openxmlformats.org/officeDocument/2006/relationships/hyperlink" Target="http://www.sec.gov/Archives/edgar/data/1567683/000110465919066637/tm1923656d1_ex4-1.htm" TargetMode="External"/><Relationship Id="rId121" Type="http://schemas.openxmlformats.org/officeDocument/2006/relationships/hyperlink" Target="http://www.sec.gov/Archives/edgar/data/1567683/000110465919066637/tm1923656d1_ex4-2.htm" TargetMode="External"/><Relationship Id="rId122" Type="http://schemas.openxmlformats.org/officeDocument/2006/relationships/hyperlink" Target="http://www.sec.gov/Archives/edgar/data/1567683/000110465919066637/tm1923656d1_ex4-3.htm" TargetMode="External"/><Relationship Id="rId123" Type="http://schemas.openxmlformats.org/officeDocument/2006/relationships/hyperlink" Target="http://www.sec.gov/Archives/edgar/data/1567683/000110465919072217/tm1925069d1_ex4-1.htm" TargetMode="External"/><Relationship Id="rId124" Type="http://schemas.openxmlformats.org/officeDocument/2006/relationships/hyperlink" Target="http://www.sec.gov/Archives/edgar/data/1567683/000110465918055334/a18-24111_1ex10d1.htm#Exhibit10_1_072506" TargetMode="External"/><Relationship Id="rId125" Type="http://schemas.openxmlformats.org/officeDocument/2006/relationships/hyperlink" Target="http://www.sec.gov/Archives/edgar/data/1567683/000110465918055334/a18-24111_1ex10d2.htm#Exhibit10_2_072636" TargetMode="External"/><Relationship Id="rId126" Type="http://schemas.openxmlformats.org/officeDocument/2006/relationships/hyperlink" Target="http://www.sec.gov/Archives/edgar/data/1567683/000110465918055334/a18-24111_1ex10d3.htm" TargetMode="External"/><Relationship Id="rId127" Type="http://schemas.openxmlformats.org/officeDocument/2006/relationships/hyperlink" Target="http://www.sec.gov/Archives/edgar/data/1567683/000110465919008742/a19-4739_1ex10d1.htm#Exhibit99_1_09271" TargetMode="External"/><Relationship Id="rId128" Type="http://schemas.openxmlformats.org/officeDocument/2006/relationships/hyperlink" Target="http://www.sec.gov/Archives/edgar/data/1567683/000156768319000039/clearwayincex1012019q2.htm" TargetMode="External"/><Relationship Id="rId129" Type="http://schemas.openxmlformats.org/officeDocument/2006/relationships/hyperlink" Target="http://www.sec.gov/Archives/edgar/data/1567683/000110465919070990/tm1924690d1_ex10-1.htm" TargetMode="External"/><Relationship Id="rId130" Type="http://schemas.openxmlformats.org/officeDocument/2006/relationships/hyperlink" Target="http://www.sec.gov/Archives/edgar/data/1567683/000110465918055334/a18-24111_1ex10d4.htm#Exhibit10_4_041820" TargetMode="External"/><Relationship Id="rId131" Type="http://schemas.openxmlformats.org/officeDocument/2006/relationships/hyperlink" Target="http://www.sec.gov/Archives/edgar/data/1567683/000110465918055334/a18-24111_1ex10d5.htm#EXHIBIT10_5_051412" TargetMode="External"/><Relationship Id="rId132" Type="http://schemas.openxmlformats.org/officeDocument/2006/relationships/hyperlink" Target="http://www.sec.gov/Archives/edgar/data/1567683/000110465918055334/a18-24111_1ex10d7.htm#Exhibit10_7_114008" TargetMode="External"/><Relationship Id="rId133" Type="http://schemas.openxmlformats.org/officeDocument/2006/relationships/hyperlink" Target="http://www.sec.gov/Archives/edgar/data/1567683/000110465918055334/a18-24111_1ex10d9.htm" TargetMode="External"/><Relationship Id="rId134" Type="http://schemas.openxmlformats.org/officeDocument/2006/relationships/hyperlink" Target="http://www.sec.gov/Archives/edgar/data/1567683/000091205713000038/filename3.htm" TargetMode="External"/><Relationship Id="rId135" Type="http://schemas.openxmlformats.org/officeDocument/2006/relationships/hyperlink" Target="http://www.sec.gov/Archives/edgar/data/1567683/000156768319000014/clearwayincex109201810-k.htm" TargetMode="External"/><Relationship Id="rId136" Type="http://schemas.openxmlformats.org/officeDocument/2006/relationships/hyperlink" Target="http://www.sec.gov/Archives/edgar/data/1567683/000156768319000014/clearwayincex1010201810-k.htm" TargetMode="External"/><Relationship Id="rId137" Type="http://schemas.openxmlformats.org/officeDocument/2006/relationships/hyperlink" Target="http://www.sec.gov/Archives/edgar/data/1567683/000110465914031308/a14-11252_1ex10d1.htm" TargetMode="External"/><Relationship Id="rId138" Type="http://schemas.openxmlformats.org/officeDocument/2006/relationships/hyperlink" Target="http://www.sec.gov/Archives/edgar/data/1567683/000156768315000022/yieldincex1092015q2opllcam.htm" TargetMode="External"/><Relationship Id="rId139" Type="http://schemas.openxmlformats.org/officeDocument/2006/relationships/hyperlink" Target="http://www.sec.gov/Archives/edgar/data/1567683/000110465918008195/a18-5849_1ex10d1.htm#Exhibit10_1_093100" TargetMode="External"/><Relationship Id="rId140" Type="http://schemas.openxmlformats.org/officeDocument/2006/relationships/hyperlink" Target="http://www.sec.gov/Archives/edgar/data/1567683/000156768318000021/a101.htm" TargetMode="External"/><Relationship Id="rId141" Type="http://schemas.openxmlformats.org/officeDocument/2006/relationships/hyperlink" Target="http://www.sec.gov/Archives/edgar/data/1567683/000110465918071712/a18-41171_1ex10d1.htm#Exhibit10_1_112713" TargetMode="External"/><Relationship Id="rId142" Type="http://schemas.openxmlformats.org/officeDocument/2006/relationships/hyperlink" Target="http://www.sec.gov/Archives/edgar/data/1567683/000110465919075298/tm1926822d1_ex10-1.htm" TargetMode="External"/><Relationship Id="rId143" Type="http://schemas.openxmlformats.org/officeDocument/2006/relationships/hyperlink" Target="http://www.sec.gov/Archives/edgar/data/1567683/000156768314000015/yieldcoex102q214.htm" TargetMode="External"/><Relationship Id="rId144" Type="http://schemas.openxmlformats.org/officeDocument/2006/relationships/hyperlink" Target="http://www.sec.gov/Archives/edgar/data/1567683/000156768314000015/yieldcoex103q214.htm" TargetMode="External"/><Relationship Id="rId145" Type="http://schemas.openxmlformats.org/officeDocument/2006/relationships/hyperlink" Target="http://www.sec.gov/Archives/edgar/data/1567683/000156768314000015/yieldcoex104q214.htm" TargetMode="External"/><Relationship Id="rId146" Type="http://schemas.openxmlformats.org/officeDocument/2006/relationships/hyperlink" Target="http://www.sec.gov/Archives/edgar/data/1567683/000156768315000022/yieldincex1062015q2esecame.htm" TargetMode="External"/><Relationship Id="rId147" Type="http://schemas.openxmlformats.org/officeDocument/2006/relationships/hyperlink" Target="http://www.sec.gov/Archives/edgar/data/1567683/000156768315000022/yieldincex1072015q2esecame.htm" TargetMode="External"/><Relationship Id="rId148" Type="http://schemas.openxmlformats.org/officeDocument/2006/relationships/hyperlink" Target="http://www.sec.gov/Archives/edgar/data/1567683/000156768315000022/yieldincex1082015q2esecame.htm" TargetMode="External"/><Relationship Id="rId149" Type="http://schemas.openxmlformats.org/officeDocument/2006/relationships/hyperlink" Target="http://www.sec.gov/Archives/edgar/data/1567683/000156768314000015/yieldcoex105q22014.htm" TargetMode="External"/><Relationship Id="rId150" Type="http://schemas.openxmlformats.org/officeDocument/2006/relationships/hyperlink" Target="http://www.sec.gov/Archives/edgar/data/1567683/000156768314000015/yieldcoex106q22014.htm" TargetMode="External"/><Relationship Id="rId151" Type="http://schemas.openxmlformats.org/officeDocument/2006/relationships/hyperlink" Target="http://www.sec.gov/Archives/edgar/data/1567683/000156768315000022/yieldincex1012015q2rpv.htm" TargetMode="External"/><Relationship Id="rId152" Type="http://schemas.openxmlformats.org/officeDocument/2006/relationships/hyperlink" Target="http://www.sec.gov/Archives/edgar/data/1567683/000156768315000022/yieldincex1022015q2dgpv.htm" TargetMode="External"/><Relationship Id="rId153" Type="http://schemas.openxmlformats.org/officeDocument/2006/relationships/hyperlink" Target="http://www.sec.gov/Archives/edgar/data/1567683/000156768316000043/yieldincex1012016q1.htm" TargetMode="External"/><Relationship Id="rId154" Type="http://schemas.openxmlformats.org/officeDocument/2006/relationships/hyperlink" Target="http://www.sec.gov/Archives/edgar/data/1567683/000156768316000043/yieldincex1022016q1.htm" TargetMode="External"/><Relationship Id="rId155" Type="http://schemas.openxmlformats.org/officeDocument/2006/relationships/hyperlink" Target="http://www.sec.gov/Archives/edgar/data/1567683/000156768316000043/yieldincex1032016q1.htm" TargetMode="External"/><Relationship Id="rId156" Type="http://schemas.openxmlformats.org/officeDocument/2006/relationships/hyperlink" Target="http://www.sec.gov/Archives/edgar/data/1567683/000156768316000055/yieldincex1012016q2-rpvame.htm" TargetMode="External"/><Relationship Id="rId157" Type="http://schemas.openxmlformats.org/officeDocument/2006/relationships/hyperlink" Target="http://www.sec.gov/Archives/edgar/data/1567683/000110465916138081/a16-16348_2ex10d1.htm" TargetMode="External"/><Relationship Id="rId158" Type="http://schemas.openxmlformats.org/officeDocument/2006/relationships/hyperlink" Target="http://www.sec.gov/Archives/edgar/data/1567683/000156768318000008/yieldincex1028201710-k.htm" TargetMode="External"/><Relationship Id="rId159" Type="http://schemas.openxmlformats.org/officeDocument/2006/relationships/hyperlink" Target="http://www.sec.gov/Archives/edgar/data/1567683/000156768319000014/clearwayincex1022201810-k.htm" TargetMode="External"/><Relationship Id="rId160" Type="http://schemas.openxmlformats.org/officeDocument/2006/relationships/hyperlink" Target="http://www.sec.gov/Archives/edgar/data/1567683/000156768319000014/clearwayincex1023201810-k.htm" TargetMode="External"/><Relationship Id="rId161" Type="http://schemas.openxmlformats.org/officeDocument/2006/relationships/hyperlink" Target="http://www.sec.gov/Archives/edgar/data/1567683/000156768319000014/clearwayincex1024201810-k.htm" TargetMode="External"/><Relationship Id="rId162" Type="http://schemas.openxmlformats.org/officeDocument/2006/relationships/hyperlink" Target="http://www.sec.gov/Archives/edgar/data/1567683/000156768319000014/clearwayincex1025201810-k.htm" TargetMode="External"/><Relationship Id="rId163" Type="http://schemas.openxmlformats.org/officeDocument/2006/relationships/hyperlink" Target="http://www.sec.gov/Archives/edgar/data/1567683/000156768318000008/yieldincex1034201710-k.htm" TargetMode="External"/><Relationship Id="rId164" Type="http://schemas.openxmlformats.org/officeDocument/2006/relationships/hyperlink" Target="http://www.sec.gov/Archives/edgar/data/1567683/000156768319000014/clearwayincex1030201810-k.htm" TargetMode="External"/><Relationship Id="rId165" Type="http://schemas.openxmlformats.org/officeDocument/2006/relationships/hyperlink" Target="http://www.sec.gov/Archives/edgar/data/1567683/000110465915038447/a15-11446_1ex10d1.htm" TargetMode="External"/><Relationship Id="rId166" Type="http://schemas.openxmlformats.org/officeDocument/2006/relationships/hyperlink" Target="http://www.sec.gov/Archives/edgar/data/1567683/000110465915038447/a15-11446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2020-03-02T11:01:31Z</dcterms:created>
  <dcterms:modified xsi:type="dcterms:W3CDTF">2020-03-02T11:01:31Z</dcterms:modified>
</cp:coreProperties>
</file>