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 SECURITIES AND EXCHANGE COMMISSION</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75" w:lineRule="exact"/>
        <w:rPr>
          <w:sz w:val="24"/>
          <w:szCs w:val="24"/>
          <w:color w:val="auto"/>
        </w:rPr>
      </w:pPr>
    </w:p>
    <w:p>
      <w:pPr>
        <w:ind w:left="620" w:hanging="369"/>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36" w:lineRule="exact"/>
        <w:rPr>
          <w:sz w:val="24"/>
          <w:szCs w:val="24"/>
          <w:color w:val="auto"/>
        </w:rPr>
      </w:pPr>
    </w:p>
    <w:p>
      <w:pPr>
        <w:ind w:left="820" w:hanging="346"/>
        <w:spacing w:after="0"/>
        <w:tabs>
          <w:tab w:leader="none" w:pos="8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333-203369</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Clearway Energy LLC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407" w:right="339" w:bottom="1440" w:gutter="0" w:footer="0" w:header="0"/>
        </w:sectPr>
      </w:pPr>
    </w:p>
    <w:p>
      <w:pPr>
        <w:spacing w:after="0" w:line="26" w:lineRule="exact"/>
        <w:rPr>
          <w:sz w:val="24"/>
          <w:szCs w:val="24"/>
          <w:color w:val="auto"/>
        </w:rPr>
      </w:pPr>
    </w:p>
    <w:p>
      <w:pPr>
        <w:jc w:val="center"/>
        <w:ind w:right="40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9" w:lineRule="exact"/>
        <w:rPr>
          <w:sz w:val="24"/>
          <w:szCs w:val="24"/>
          <w:color w:val="auto"/>
        </w:rPr>
      </w:pPr>
    </w:p>
    <w:p>
      <w:pPr>
        <w:jc w:val="center"/>
        <w:ind w:right="40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32-0407370</w:t>
      </w:r>
    </w:p>
    <w:p>
      <w:pPr>
        <w:spacing w:after="0" w:line="29"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14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64" w:lineRule="exact"/>
        <w:rPr>
          <w:sz w:val="24"/>
          <w:szCs w:val="24"/>
          <w:color w:val="auto"/>
        </w:rPr>
      </w:pPr>
    </w:p>
    <w:p>
      <w:pPr>
        <w:sectPr>
          <w:pgSz w:w="11900" w:h="16838" w:orient="portrait"/>
          <w:cols w:equalWidth="0" w:num="2">
            <w:col w:w="7760" w:space="720"/>
            <w:col w:w="2760"/>
          </w:cols>
          <w:pgMar w:left="320" w:top="1407" w:right="33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7"/>
          <w:szCs w:val="17"/>
          <w:b w:val="1"/>
          <w:bCs w:val="1"/>
          <w:color w:val="auto"/>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Princeton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New Jersey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08540</w:t>
      </w:r>
    </w:p>
    <w:p>
      <w:pPr>
        <w:spacing w:after="0" w:line="43" w:lineRule="exact"/>
        <w:rPr>
          <w:sz w:val="24"/>
          <w:szCs w:val="24"/>
          <w:color w:val="auto"/>
        </w:rPr>
      </w:pPr>
    </w:p>
    <w:p>
      <w:pPr>
        <w:sectPr>
          <w:pgSz w:w="11900" w:h="16838" w:orient="portrait"/>
          <w:cols w:equalWidth="0" w:num="4">
            <w:col w:w="3460" w:space="720"/>
            <w:col w:w="940" w:space="720"/>
            <w:col w:w="2360" w:space="720"/>
            <w:col w:w="2320"/>
          </w:cols>
          <w:pgMar w:left="320" w:top="1407" w:right="339" w:bottom="1440" w:gutter="0" w:footer="0" w:header="0"/>
          <w:type w:val="continuous"/>
        </w:sectPr>
      </w:pPr>
    </w:p>
    <w:p>
      <w:pPr>
        <w:ind w:left="21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8020" w:space="720"/>
            <w:col w:w="2500"/>
          </w:cols>
          <w:pgMar w:left="320" w:top="1407" w:right="339" w:bottom="1440" w:gutter="0" w:footer="0" w:header="0"/>
          <w:type w:val="continuous"/>
        </w:sectPr>
      </w:pP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108" w:lineRule="exact"/>
        <w:rPr>
          <w:sz w:val="24"/>
          <w:szCs w:val="24"/>
          <w:color w:val="auto"/>
        </w:rPr>
      </w:pPr>
    </w:p>
    <w:p>
      <w:pPr>
        <w:jc w:val="both"/>
        <w:ind w:firstLine="283"/>
        <w:spacing w:after="0" w:line="245"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4" w:lineRule="exact"/>
        <w:rPr>
          <w:sz w:val="24"/>
          <w:szCs w:val="24"/>
          <w:color w:val="auto"/>
        </w:rPr>
      </w:pPr>
    </w:p>
    <w:p>
      <w:pPr>
        <w:jc w:val="center"/>
        <w:ind w:right="-299"/>
        <w:spacing w:after="0"/>
        <w:tabs>
          <w:tab w:leader="none" w:pos="18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b w:val="1"/>
          <w:bCs w:val="1"/>
          <w:color w:val="auto"/>
        </w:rPr>
        <w:tab/>
        <w:t xml:space="preserve">No </w:t>
      </w:r>
      <w:r>
        <w:rPr>
          <w:rFonts w:ascii="Wingdings" w:cs="Wingdings" w:eastAsia="Wingdings" w:hAnsi="Wingdings"/>
          <w:sz w:val="16"/>
          <w:szCs w:val="16"/>
          <w:b w:val="1"/>
          <w:bCs w:val="1"/>
          <w:color w:val="auto"/>
        </w:rPr>
        <w:t>o</w:t>
      </w:r>
    </w:p>
    <w:p>
      <w:pPr>
        <w:spacing w:after="0" w:line="88" w:lineRule="exact"/>
        <w:rPr>
          <w:sz w:val="24"/>
          <w:szCs w:val="24"/>
          <w:color w:val="auto"/>
        </w:rPr>
      </w:pPr>
    </w:p>
    <w:p>
      <w:pPr>
        <w:jc w:val="both"/>
        <w:ind w:firstLine="283"/>
        <w:spacing w:after="0" w:line="245"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54" w:lineRule="exact"/>
        <w:rPr>
          <w:sz w:val="24"/>
          <w:szCs w:val="24"/>
          <w:color w:val="auto"/>
        </w:rPr>
      </w:pPr>
    </w:p>
    <w:p>
      <w:pPr>
        <w:jc w:val="center"/>
        <w:ind w:right="-279"/>
        <w:spacing w:after="0"/>
        <w:tabs>
          <w:tab w:leader="none" w:pos="22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b w:val="1"/>
          <w:bCs w:val="1"/>
          <w:color w:val="auto"/>
        </w:rPr>
        <w:tab/>
        <w:t xml:space="preserve">No </w:t>
      </w:r>
      <w:r>
        <w:rPr>
          <w:rFonts w:ascii="Wingdings" w:cs="Wingdings" w:eastAsia="Wingdings" w:hAnsi="Wingdings"/>
          <w:sz w:val="16"/>
          <w:szCs w:val="16"/>
          <w:b w:val="1"/>
          <w:bCs w:val="1"/>
          <w:color w:val="auto"/>
        </w:rPr>
        <w:t>o</w:t>
      </w:r>
    </w:p>
    <w:p>
      <w:pPr>
        <w:spacing w:after="0" w:line="88" w:lineRule="exact"/>
        <w:rPr>
          <w:sz w:val="24"/>
          <w:szCs w:val="24"/>
          <w:color w:val="auto"/>
        </w:rPr>
      </w:pPr>
    </w:p>
    <w:p>
      <w:pPr>
        <w:jc w:val="both"/>
        <w:ind w:firstLine="283"/>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1340" w:type="dxa"/>
        <w:tblCellMar>
          <w:top w:w="0" w:type="dxa"/>
          <w:left w:w="0" w:type="dxa"/>
          <w:bottom w:w="0" w:type="dxa"/>
          <w:right w:w="0" w:type="dxa"/>
        </w:tblCellMar>
      </w:tblPr>
      <w:tr>
        <w:trPr>
          <w:trHeight w:val="25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4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4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34" w:lineRule="exact"/>
        <w:rPr>
          <w:sz w:val="24"/>
          <w:szCs w:val="24"/>
          <w:color w:val="auto"/>
        </w:rPr>
      </w:pPr>
    </w:p>
    <w:p>
      <w:pPr>
        <w:ind w:firstLine="324"/>
        <w:spacing w:after="0" w:line="245"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56"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54" w:lineRule="exact"/>
        <w:rPr>
          <w:sz w:val="24"/>
          <w:szCs w:val="24"/>
          <w:color w:val="auto"/>
        </w:rPr>
      </w:pPr>
    </w:p>
    <w:p>
      <w:pPr>
        <w:ind w:left="5060"/>
        <w:spacing w:after="0" w:line="196" w:lineRule="exact"/>
        <w:tabs>
          <w:tab w:leader="none" w:pos="576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5"/>
          <w:szCs w:val="15"/>
          <w:b w:val="1"/>
          <w:bCs w:val="1"/>
          <w:color w:val="auto"/>
        </w:rPr>
        <w:t xml:space="preserve">No </w:t>
      </w:r>
      <w:r>
        <w:rPr>
          <w:rFonts w:ascii="Wingdings" w:cs="Wingdings" w:eastAsia="Wingdings" w:hAnsi="Wingdings"/>
          <w:sz w:val="15"/>
          <w:szCs w:val="15"/>
          <w:b w:val="1"/>
          <w:bCs w:val="1"/>
          <w:color w:val="auto"/>
        </w:rPr>
        <w:t>x</w:t>
      </w:r>
    </w:p>
    <w:p>
      <w:pPr>
        <w:spacing w:after="0" w:line="160" w:lineRule="exact"/>
        <w:rPr>
          <w:sz w:val="24"/>
          <w:szCs w:val="24"/>
          <w:color w:val="auto"/>
        </w:rPr>
      </w:pPr>
    </w:p>
    <w:p>
      <w:pPr>
        <w:ind w:firstLine="283"/>
        <w:spacing w:after="0" w:line="245" w:lineRule="auto"/>
        <w:rPr>
          <w:sz w:val="20"/>
          <w:szCs w:val="20"/>
          <w:color w:val="auto"/>
        </w:rPr>
      </w:pPr>
      <w:r>
        <w:rPr>
          <w:rFonts w:ascii="Times New Roman" w:cs="Times New Roman" w:eastAsia="Times New Roman" w:hAnsi="Times New Roman"/>
          <w:sz w:val="16"/>
          <w:szCs w:val="16"/>
          <w:color w:val="auto"/>
        </w:rPr>
        <w:t>As of April 25, 2025, there were 34,613,853 Class A units outstanding, 42,738,750 Class B units outstanding, 83,257,149 Class C units outstanding, and 41,576,142 Class D units outstanding. There is no public market for the registrant's outstanding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CAUTIONARY STATEMENT REGARDING FORWARD LOOKING INFORMATION</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GLOSSARY OF TERMS</w:t>
            </w:r>
          </w:p>
        </w:tc>
        <w:tc>
          <w:tcPr>
            <w:tcW w:w="3100" w:type="dxa"/>
            <w:vAlign w:val="bottom"/>
            <w:gridSpan w:val="4"/>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40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ITEM 1 — FINANCIAL STATEMENTS AND NOTES</w:t>
            </w:r>
          </w:p>
        </w:tc>
        <w:tc>
          <w:tcPr>
            <w:tcW w:w="5640" w:type="dxa"/>
            <w:vAlign w:val="bottom"/>
            <w:gridSpan w:val="5"/>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97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 MANAGEMENT’S DISCUSSION AND ANALYSIS OF FINANCIAL CONDITION AND RESULTS OF</w:t>
            </w: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7560" w:type="dxa"/>
            <w:vAlign w:val="bottom"/>
            <w:tcBorders>
              <w:top w:val="single" w:sz="8" w:color="0000FF"/>
            </w:tcBorders>
            <w:gridSpan w:val="16"/>
          </w:tcPr>
          <w:p>
            <w:pPr>
              <w:spacing w:after="0" w:line="142" w:lineRule="exact"/>
              <w:rPr>
                <w:sz w:val="20"/>
                <w:szCs w:val="20"/>
                <w:color w:val="auto"/>
              </w:rPr>
            </w:pPr>
            <w:r>
              <w:rPr>
                <w:rFonts w:ascii="Times New Roman" w:cs="Times New Roman" w:eastAsia="Times New Roman" w:hAnsi="Times New Roman"/>
                <w:sz w:val="16"/>
                <w:szCs w:val="16"/>
                <w:color w:val="0000FF"/>
              </w:rPr>
              <w:t>OPERATIONS</w:t>
            </w:r>
          </w:p>
        </w:tc>
        <w:tc>
          <w:tcPr>
            <w:tcW w:w="1080" w:type="dxa"/>
            <w:vAlign w:val="bottom"/>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560" w:type="dxa"/>
            <w:vAlign w:val="bottom"/>
            <w:gridSpan w:val="3"/>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7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97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3 — QUANTITATIVE AND QUALITATIVE DISCLOSURES ABOUT MARKET RISK</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98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ITEM 4 — CONTROLS AND PROCEDURES</w:t>
            </w:r>
          </w:p>
        </w:tc>
        <w:tc>
          <w:tcPr>
            <w:tcW w:w="272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6940" w:type="dxa"/>
            <w:vAlign w:val="bottom"/>
            <w:gridSpan w:val="9"/>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97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 — LEGAL PROCEEDINGS</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27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1A — RISK FACTORS</w:t>
            </w:r>
          </w:p>
        </w:tc>
        <w:tc>
          <w:tcPr>
            <w:tcW w:w="6980" w:type="dxa"/>
            <w:vAlign w:val="bottom"/>
            <w:gridSpan w:val="11"/>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69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ITEM 2 — UNREGISTERED SALES OF EQUITY SECURITIES AND USE OF PROCEEDS</w:t>
            </w:r>
          </w:p>
        </w:tc>
        <w:tc>
          <w:tcPr>
            <w:tcW w:w="2780" w:type="dxa"/>
            <w:vAlign w:val="bottom"/>
            <w:gridSpan w:val="3"/>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3</w:t>
            </w:r>
          </w:p>
        </w:tc>
        <w:tc>
          <w:tcPr>
            <w:tcW w:w="3460" w:type="dxa"/>
            <w:vAlign w:val="bottom"/>
            <w:tcBorders>
              <w:bottom w:val="single" w:sz="8" w:color="0000FF"/>
            </w:tcBorders>
            <w:gridSpan w:val="13"/>
          </w:tcPr>
          <w:p>
            <w:pPr>
              <w:ind w:left="20"/>
              <w:spacing w:after="0"/>
              <w:rPr>
                <w:sz w:val="20"/>
                <w:szCs w:val="20"/>
                <w:color w:val="auto"/>
              </w:rPr>
            </w:pPr>
            <w:r>
              <w:rPr>
                <w:rFonts w:ascii="Times New Roman" w:cs="Times New Roman" w:eastAsia="Times New Roman" w:hAnsi="Times New Roman"/>
                <w:sz w:val="18"/>
                <w:szCs w:val="18"/>
                <w:color w:val="0000FF"/>
                <w:w w:val="98"/>
              </w:rPr>
              <w:t>— DEFAULTS UPON SENIOR SECURITIES</w:t>
            </w:r>
          </w:p>
        </w:tc>
        <w:tc>
          <w:tcPr>
            <w:tcW w:w="5640" w:type="dxa"/>
            <w:vAlign w:val="bottom"/>
            <w:gridSpan w:val="5"/>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rPr>
              <w:t>ITEM 4</w:t>
            </w:r>
          </w:p>
        </w:tc>
        <w:tc>
          <w:tcPr>
            <w:tcW w:w="91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 MINE SAFETY DISCLOSURES</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5</w:t>
            </w:r>
          </w:p>
        </w:tc>
        <w:tc>
          <w:tcPr>
            <w:tcW w:w="2140" w:type="dxa"/>
            <w:vAlign w:val="bottom"/>
            <w:tcBorders>
              <w:top w:val="single" w:sz="8" w:color="0000FF"/>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8"/>
              </w:rPr>
              <w:t>— OTHER INFORMATION</w:t>
            </w:r>
          </w:p>
        </w:tc>
        <w:tc>
          <w:tcPr>
            <w:tcW w:w="540" w:type="dxa"/>
            <w:vAlign w:val="bottom"/>
            <w:tcBorders>
              <w:top w:val="single" w:sz="8" w:color="0000FF"/>
            </w:tcBorders>
            <w:gridSpan w:val="3"/>
          </w:tcPr>
          <w:p>
            <w:pPr>
              <w:spacing w:after="0"/>
              <w:rPr>
                <w:sz w:val="18"/>
                <w:szCs w:val="18"/>
                <w:color w:val="auto"/>
              </w:rPr>
            </w:pPr>
          </w:p>
        </w:tc>
        <w:tc>
          <w:tcPr>
            <w:tcW w:w="6420" w:type="dxa"/>
            <w:vAlign w:val="bottom"/>
            <w:gridSpan w:val="7"/>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rPr>
              <w:t>ITEM 6</w:t>
            </w:r>
          </w:p>
        </w:tc>
        <w:tc>
          <w:tcPr>
            <w:tcW w:w="91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 EXHIBITS</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1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7"/>
              </w:rPr>
              <w:t>SIGNATURES</w:t>
            </w:r>
          </w:p>
        </w:tc>
        <w:tc>
          <w:tcPr>
            <w:tcW w:w="500" w:type="dxa"/>
            <w:vAlign w:val="bottom"/>
            <w:tcBorders>
              <w:top w:val="single" w:sz="8" w:color="0000FF"/>
            </w:tcBorders>
          </w:tcPr>
          <w:p>
            <w:pPr>
              <w:spacing w:after="0"/>
              <w:rPr>
                <w:sz w:val="18"/>
                <w:szCs w:val="18"/>
                <w:color w:val="auto"/>
              </w:rPr>
            </w:pPr>
          </w:p>
        </w:tc>
        <w:tc>
          <w:tcPr>
            <w:tcW w:w="8040" w:type="dxa"/>
            <w:vAlign w:val="bottom"/>
            <w:gridSpan w:val="15"/>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211"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This Quarterly Report on Form 10-Q of Clearway Energy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Part I of the Company’s Annual Report on Form 10-K for the year ended December 31, 2024, as well as the following:</w:t>
      </w:r>
    </w:p>
    <w:p>
      <w:pPr>
        <w:spacing w:after="0" w:line="8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and grow its quarterly distributions;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the Company's relationships with CEG and its owners;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identify, evaluate and consummate investment opportunities, as well as acquisitions from, and dispositions to, third parties;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acquire assets from CEG;</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including judicial decisions;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and ability of counterparties to the Company’s offtake agreements to fulfill their obligations under such agreements;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enter into contracts to sell power and procure fuel on acceptable terms and prices;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compliance with regulatory requirements and changes in market rules, rates, tariffs and environmental laws;</w:t>
      </w:r>
    </w:p>
    <w:p>
      <w:pPr>
        <w:spacing w:after="0" w:line="63"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restrictions placed on the Company that are contained in the facility-level debt facilities and other agreements of certain subsidiaries and facility-level subsidiaries generally, in the Clearway Energy Operating LLC amended and restated revolving credit facility and in the indentures governing the Senior Notes; and</w:t>
      </w:r>
    </w:p>
    <w:p>
      <w:pPr>
        <w:spacing w:after="0" w:line="1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5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p>
        </w:tc>
        <w:tc>
          <w:tcPr>
            <w:tcW w:w="852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GLOSSARY OF TERMS</w:t>
            </w:r>
          </w:p>
        </w:tc>
      </w:tr>
      <w:tr>
        <w:trPr>
          <w:trHeight w:val="378"/>
        </w:trPr>
        <w:tc>
          <w:tcPr>
            <w:tcW w:w="11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When the following terms and abbreviations appear in the text of this report, they have the meanings indicated below:</w:t>
            </w:r>
          </w:p>
        </w:tc>
      </w:tr>
      <w:tr>
        <w:trPr>
          <w:trHeight w:val="202"/>
        </w:trPr>
        <w:tc>
          <w:tcPr>
            <w:tcW w:w="27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2024 Form 10-K</w:t>
            </w:r>
          </w:p>
        </w:tc>
        <w:tc>
          <w:tcPr>
            <w:tcW w:w="8520" w:type="dxa"/>
            <w:vAlign w:val="bottom"/>
          </w:tcPr>
          <w:p>
            <w:pPr>
              <w:ind w:left="260"/>
              <w:spacing w:after="0" w:line="202" w:lineRule="exact"/>
              <w:rPr>
                <w:sz w:val="20"/>
                <w:szCs w:val="20"/>
                <w:color w:val="auto"/>
              </w:rPr>
            </w:pPr>
            <w:r>
              <w:rPr>
                <w:rFonts w:ascii="Times New Roman" w:cs="Times New Roman" w:eastAsia="Times New Roman" w:hAnsi="Times New Roman"/>
                <w:sz w:val="18"/>
                <w:szCs w:val="18"/>
                <w:color w:val="auto"/>
              </w:rPr>
              <w:t>The Company’s Annual Report on Form 10-K for the year ended December 31, 2024, as filed with the SEC on</w:t>
            </w:r>
          </w:p>
        </w:tc>
      </w:tr>
      <w:tr>
        <w:trPr>
          <w:trHeight w:val="234"/>
        </w:trPr>
        <w:tc>
          <w:tcPr>
            <w:tcW w:w="2720" w:type="dxa"/>
            <w:vAlign w:val="bottom"/>
          </w:tcPr>
          <w:p>
            <w:pPr>
              <w:spacing w:after="0"/>
              <w:rPr>
                <w:sz w:val="20"/>
                <w:szCs w:val="20"/>
                <w:color w:val="auto"/>
              </w:rPr>
            </w:pPr>
          </w:p>
        </w:tc>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184"/>
        </w:trPr>
        <w:tc>
          <w:tcPr>
            <w:tcW w:w="27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2028 Senior Notes</w:t>
            </w:r>
          </w:p>
        </w:tc>
        <w:tc>
          <w:tcPr>
            <w:tcW w:w="852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$850 million aggregate principal amount of 4.75% unsecured senior notes due 2028, issued by Clearway Energy</w:t>
            </w:r>
          </w:p>
        </w:tc>
      </w:tr>
      <w:tr>
        <w:trPr>
          <w:trHeight w:val="234"/>
        </w:trPr>
        <w:tc>
          <w:tcPr>
            <w:tcW w:w="2720" w:type="dxa"/>
            <w:vAlign w:val="bottom"/>
          </w:tcPr>
          <w:p>
            <w:pPr>
              <w:spacing w:after="0"/>
              <w:rPr>
                <w:sz w:val="20"/>
                <w:szCs w:val="20"/>
                <w:color w:val="auto"/>
              </w:rPr>
            </w:pPr>
          </w:p>
        </w:tc>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LLC</w:t>
            </w:r>
          </w:p>
        </w:tc>
      </w:tr>
      <w:tr>
        <w:trPr>
          <w:trHeight w:val="184"/>
        </w:trPr>
        <w:tc>
          <w:tcPr>
            <w:tcW w:w="27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2031 Senior Notes</w:t>
            </w:r>
          </w:p>
        </w:tc>
        <w:tc>
          <w:tcPr>
            <w:tcW w:w="852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$925 million aggregate principal amount of 3.75% unsecured senior notes due 2031, issued by Clearway Energy</w:t>
            </w:r>
          </w:p>
        </w:tc>
      </w:tr>
      <w:tr>
        <w:trPr>
          <w:trHeight w:val="234"/>
        </w:trPr>
        <w:tc>
          <w:tcPr>
            <w:tcW w:w="2720" w:type="dxa"/>
            <w:vAlign w:val="bottom"/>
          </w:tcPr>
          <w:p>
            <w:pPr>
              <w:spacing w:after="0"/>
              <w:rPr>
                <w:sz w:val="20"/>
                <w:szCs w:val="20"/>
                <w:color w:val="auto"/>
              </w:rPr>
            </w:pPr>
          </w:p>
        </w:tc>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LLC</w:t>
            </w:r>
          </w:p>
        </w:tc>
      </w:tr>
      <w:tr>
        <w:trPr>
          <w:trHeight w:val="184"/>
        </w:trPr>
        <w:tc>
          <w:tcPr>
            <w:tcW w:w="27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2032 Senior Notes</w:t>
            </w:r>
          </w:p>
        </w:tc>
        <w:tc>
          <w:tcPr>
            <w:tcW w:w="852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$350 million aggregate principal amount of 3.75% unsecured senior notes due 2032, issued by Clearway Energy</w:t>
            </w:r>
          </w:p>
        </w:tc>
      </w:tr>
      <w:tr>
        <w:trPr>
          <w:trHeight w:val="234"/>
        </w:trPr>
        <w:tc>
          <w:tcPr>
            <w:tcW w:w="2720" w:type="dxa"/>
            <w:vAlign w:val="bottom"/>
          </w:tcPr>
          <w:p>
            <w:pPr>
              <w:spacing w:after="0"/>
              <w:rPr>
                <w:sz w:val="20"/>
                <w:szCs w:val="20"/>
                <w:color w:val="auto"/>
              </w:rPr>
            </w:pPr>
          </w:p>
        </w:tc>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LLC</w:t>
            </w:r>
          </w:p>
        </w:tc>
      </w:tr>
      <w:tr>
        <w:trPr>
          <w:trHeight w:val="22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non-GAAP measure, represents earnings before interest (including loss on debt extinguishment), tax,</w:t>
            </w:r>
          </w:p>
        </w:tc>
      </w:tr>
      <w:tr>
        <w:trPr>
          <w:trHeight w:val="216"/>
        </w:trPr>
        <w:tc>
          <w:tcPr>
            <w:tcW w:w="2720" w:type="dxa"/>
            <w:vAlign w:val="bottom"/>
          </w:tcPr>
          <w:p>
            <w:pPr>
              <w:spacing w:after="0"/>
              <w:rPr>
                <w:sz w:val="18"/>
                <w:szCs w:val="18"/>
                <w:color w:val="auto"/>
              </w:rPr>
            </w:pPr>
          </w:p>
        </w:tc>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 adjusted for mark-to-market gains or losses, asset write offs and impairments; and</w:t>
            </w:r>
          </w:p>
        </w:tc>
      </w:tr>
      <w:tr>
        <w:trPr>
          <w:trHeight w:val="234"/>
        </w:trPr>
        <w:tc>
          <w:tcPr>
            <w:tcW w:w="2720" w:type="dxa"/>
            <w:vAlign w:val="bottom"/>
          </w:tcPr>
          <w:p>
            <w:pPr>
              <w:spacing w:after="0"/>
              <w:rPr>
                <w:sz w:val="20"/>
                <w:szCs w:val="20"/>
                <w:color w:val="auto"/>
              </w:rPr>
            </w:pPr>
          </w:p>
        </w:tc>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factors which the Company does not consider indicative of future operating performance</w:t>
            </w:r>
          </w:p>
        </w:tc>
      </w:tr>
      <w:tr>
        <w:trPr>
          <w:trHeight w:val="23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FASB Accounting Standards Codification, which the FASB established as the source of authoritative GAAP</w:t>
            </w: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ATM Program</w:t>
            </w:r>
          </w:p>
        </w:tc>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At-The-Market Equity Offering Program</w:t>
            </w: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BESS</w:t>
            </w:r>
          </w:p>
        </w:tc>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Battery energy storage system</w:t>
            </w: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BlackRock</w:t>
            </w:r>
          </w:p>
        </w:tc>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BlackRock, Inc., a publicly-traded global investment management firm</w:t>
            </w:r>
          </w:p>
        </w:tc>
      </w:tr>
      <w:tr>
        <w:trPr>
          <w:trHeight w:val="180"/>
        </w:trPr>
        <w:tc>
          <w:tcPr>
            <w:tcW w:w="27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CAFD</w:t>
            </w:r>
          </w:p>
        </w:tc>
        <w:tc>
          <w:tcPr>
            <w:tcW w:w="8520" w:type="dxa"/>
            <w:vAlign w:val="bottom"/>
          </w:tcPr>
          <w:p>
            <w:pPr>
              <w:ind w:left="260"/>
              <w:spacing w:after="0" w:line="181" w:lineRule="exact"/>
              <w:rPr>
                <w:sz w:val="20"/>
                <w:szCs w:val="20"/>
                <w:color w:val="auto"/>
              </w:rPr>
            </w:pPr>
            <w:r>
              <w:rPr>
                <w:rFonts w:ascii="Times New Roman" w:cs="Times New Roman" w:eastAsia="Times New Roman" w:hAnsi="Times New Roman"/>
                <w:sz w:val="18"/>
                <w:szCs w:val="18"/>
                <w:color w:val="auto"/>
              </w:rPr>
              <w:t>A non-GAAP measure, Cash Available for Distribution is defined as of March 31, 2025 as Adjusted EBITDA</w:t>
            </w:r>
          </w:p>
        </w:tc>
      </w:tr>
      <w:tr>
        <w:trPr>
          <w:trHeight w:val="184"/>
        </w:trPr>
        <w:tc>
          <w:tcPr>
            <w:tcW w:w="2720" w:type="dxa"/>
            <w:vAlign w:val="bottom"/>
          </w:tcPr>
          <w:p>
            <w:pPr>
              <w:spacing w:after="0"/>
              <w:rPr>
                <w:sz w:val="16"/>
                <w:szCs w:val="16"/>
                <w:color w:val="auto"/>
              </w:rPr>
            </w:pPr>
          </w:p>
        </w:tc>
        <w:tc>
          <w:tcPr>
            <w:tcW w:w="852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plus cash distributions/return of investment from unconsolidated affiliates, cash receipts from notes receivable,</w:t>
            </w:r>
          </w:p>
        </w:tc>
      </w:tr>
      <w:tr>
        <w:trPr>
          <w:trHeight w:val="180"/>
        </w:trPr>
        <w:tc>
          <w:tcPr>
            <w:tcW w:w="2720" w:type="dxa"/>
            <w:vAlign w:val="bottom"/>
          </w:tcPr>
          <w:p>
            <w:pPr>
              <w:spacing w:after="0"/>
              <w:rPr>
                <w:sz w:val="15"/>
                <w:szCs w:val="15"/>
                <w:color w:val="auto"/>
              </w:rPr>
            </w:pPr>
          </w:p>
        </w:tc>
        <w:tc>
          <w:tcPr>
            <w:tcW w:w="8520" w:type="dxa"/>
            <w:vAlign w:val="bottom"/>
          </w:tcPr>
          <w:p>
            <w:pPr>
              <w:ind w:left="260"/>
              <w:spacing w:after="0" w:line="181" w:lineRule="exact"/>
              <w:rPr>
                <w:sz w:val="20"/>
                <w:szCs w:val="20"/>
                <w:color w:val="auto"/>
              </w:rPr>
            </w:pPr>
            <w:r>
              <w:rPr>
                <w:rFonts w:ascii="Times New Roman" w:cs="Times New Roman" w:eastAsia="Times New Roman" w:hAnsi="Times New Roman"/>
                <w:sz w:val="18"/>
                <w:szCs w:val="18"/>
                <w:color w:val="auto"/>
              </w:rPr>
              <w:t>cash distributions from noncontrolling interests, adjustments to reflect sales-type lease cash payments and</w:t>
            </w:r>
          </w:p>
        </w:tc>
      </w:tr>
      <w:tr>
        <w:trPr>
          <w:trHeight w:val="175"/>
        </w:trPr>
        <w:tc>
          <w:tcPr>
            <w:tcW w:w="2720" w:type="dxa"/>
            <w:vAlign w:val="bottom"/>
          </w:tcPr>
          <w:p>
            <w:pPr>
              <w:spacing w:after="0"/>
              <w:rPr>
                <w:sz w:val="15"/>
                <w:szCs w:val="15"/>
                <w:color w:val="auto"/>
              </w:rPr>
            </w:pPr>
          </w:p>
        </w:tc>
        <w:tc>
          <w:tcPr>
            <w:tcW w:w="852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payments for lease expenses, less cash distributions to noncontrolling interests, maintenance capital expenditures,</w:t>
            </w:r>
          </w:p>
        </w:tc>
      </w:tr>
      <w:tr>
        <w:trPr>
          <w:trHeight w:val="184"/>
        </w:trPr>
        <w:tc>
          <w:tcPr>
            <w:tcW w:w="2720" w:type="dxa"/>
            <w:vAlign w:val="bottom"/>
          </w:tcPr>
          <w:p>
            <w:pPr>
              <w:spacing w:after="0"/>
              <w:rPr>
                <w:sz w:val="16"/>
                <w:szCs w:val="16"/>
                <w:color w:val="auto"/>
              </w:rPr>
            </w:pPr>
          </w:p>
        </w:tc>
        <w:tc>
          <w:tcPr>
            <w:tcW w:w="852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pro-rata Adjusted EBITDA from unconsolidated affiliates, cash interest paid, income taxes paid, principal</w:t>
            </w:r>
          </w:p>
        </w:tc>
      </w:tr>
      <w:tr>
        <w:trPr>
          <w:trHeight w:val="180"/>
        </w:trPr>
        <w:tc>
          <w:tcPr>
            <w:tcW w:w="2720" w:type="dxa"/>
            <w:vAlign w:val="bottom"/>
          </w:tcPr>
          <w:p>
            <w:pPr>
              <w:spacing w:after="0"/>
              <w:rPr>
                <w:sz w:val="15"/>
                <w:szCs w:val="15"/>
                <w:color w:val="auto"/>
              </w:rPr>
            </w:pPr>
          </w:p>
        </w:tc>
        <w:tc>
          <w:tcPr>
            <w:tcW w:w="8520" w:type="dxa"/>
            <w:vAlign w:val="bottom"/>
          </w:tcPr>
          <w:p>
            <w:pPr>
              <w:ind w:left="260"/>
              <w:spacing w:after="0" w:line="181" w:lineRule="exact"/>
              <w:rPr>
                <w:sz w:val="20"/>
                <w:szCs w:val="20"/>
                <w:color w:val="auto"/>
              </w:rPr>
            </w:pPr>
            <w:r>
              <w:rPr>
                <w:rFonts w:ascii="Times New Roman" w:cs="Times New Roman" w:eastAsia="Times New Roman" w:hAnsi="Times New Roman"/>
                <w:sz w:val="18"/>
                <w:szCs w:val="18"/>
                <w:color w:val="auto"/>
              </w:rPr>
              <w:t>amortization of indebtedness, changes in prepaid and accrued capacity payments and adjusted for development</w:t>
            </w:r>
          </w:p>
        </w:tc>
      </w:tr>
      <w:tr>
        <w:trPr>
          <w:trHeight w:val="225"/>
        </w:trPr>
        <w:tc>
          <w:tcPr>
            <w:tcW w:w="2720" w:type="dxa"/>
            <w:vAlign w:val="bottom"/>
          </w:tcPr>
          <w:p>
            <w:pPr>
              <w:spacing w:after="0"/>
              <w:rPr>
                <w:sz w:val="19"/>
                <w:szCs w:val="19"/>
                <w:color w:val="auto"/>
              </w:rPr>
            </w:pPr>
          </w:p>
        </w:tc>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expenses</w:t>
            </w:r>
          </w:p>
        </w:tc>
      </w:tr>
      <w:tr>
        <w:trPr>
          <w:trHeight w:val="180"/>
        </w:trPr>
        <w:tc>
          <w:tcPr>
            <w:tcW w:w="27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Capistrano Portfolio Holdco LLC</w:t>
            </w:r>
          </w:p>
        </w:tc>
        <w:tc>
          <w:tcPr>
            <w:tcW w:w="8520" w:type="dxa"/>
            <w:vAlign w:val="bottom"/>
          </w:tcPr>
          <w:p>
            <w:pPr>
              <w:ind w:left="260"/>
              <w:spacing w:after="0" w:line="181" w:lineRule="exact"/>
              <w:rPr>
                <w:sz w:val="20"/>
                <w:szCs w:val="20"/>
                <w:color w:val="auto"/>
              </w:rPr>
            </w:pPr>
            <w:r>
              <w:rPr>
                <w:rFonts w:ascii="Times New Roman" w:cs="Times New Roman" w:eastAsia="Times New Roman" w:hAnsi="Times New Roman"/>
                <w:sz w:val="18"/>
                <w:szCs w:val="18"/>
                <w:color w:val="auto"/>
              </w:rPr>
              <w:t>The holding company that owns four wind facilities representing 263 MW of capacity, which includes Broken</w:t>
            </w:r>
          </w:p>
        </w:tc>
      </w:tr>
      <w:tr>
        <w:trPr>
          <w:trHeight w:val="234"/>
        </w:trPr>
        <w:tc>
          <w:tcPr>
            <w:tcW w:w="2720" w:type="dxa"/>
            <w:vAlign w:val="bottom"/>
          </w:tcPr>
          <w:p>
            <w:pPr>
              <w:spacing w:after="0"/>
              <w:rPr>
                <w:sz w:val="20"/>
                <w:szCs w:val="20"/>
                <w:color w:val="auto"/>
              </w:rPr>
            </w:pPr>
          </w:p>
        </w:tc>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Bow, Crofton Bluffs, Mountain Wind 1 and Mountain Wind 2</w:t>
            </w:r>
          </w:p>
        </w:tc>
      </w:tr>
      <w:tr>
        <w:trPr>
          <w:trHeight w:val="23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CEG</w:t>
            </w:r>
          </w:p>
        </w:tc>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Clearway Energy Group LLC (formerly Zephyr Renewables LLC)</w:t>
            </w:r>
          </w:p>
        </w:tc>
      </w:tr>
      <w:tr>
        <w:trPr>
          <w:trHeight w:val="180"/>
        </w:trPr>
        <w:tc>
          <w:tcPr>
            <w:tcW w:w="27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CEG Master Services Agreement</w:t>
            </w:r>
          </w:p>
        </w:tc>
        <w:tc>
          <w:tcPr>
            <w:tcW w:w="8520" w:type="dxa"/>
            <w:vAlign w:val="bottom"/>
          </w:tcPr>
          <w:p>
            <w:pPr>
              <w:ind w:left="260"/>
              <w:spacing w:after="0" w:line="181" w:lineRule="exact"/>
              <w:rPr>
                <w:sz w:val="20"/>
                <w:szCs w:val="20"/>
                <w:color w:val="auto"/>
              </w:rPr>
            </w:pPr>
            <w:r>
              <w:rPr>
                <w:rFonts w:ascii="Times New Roman" w:cs="Times New Roman" w:eastAsia="Times New Roman" w:hAnsi="Times New Roman"/>
                <w:sz w:val="18"/>
                <w:szCs w:val="18"/>
                <w:color w:val="auto"/>
              </w:rPr>
              <w:t>Amended and Restated Master Services Agreement and Payroll Sharing Agreement, effective as of January 1,</w:t>
            </w:r>
          </w:p>
        </w:tc>
      </w:tr>
      <w:tr>
        <w:trPr>
          <w:trHeight w:val="184"/>
        </w:trPr>
        <w:tc>
          <w:tcPr>
            <w:tcW w:w="2720" w:type="dxa"/>
            <w:vAlign w:val="bottom"/>
          </w:tcPr>
          <w:p>
            <w:pPr>
              <w:spacing w:after="0"/>
              <w:rPr>
                <w:sz w:val="16"/>
                <w:szCs w:val="16"/>
                <w:color w:val="auto"/>
              </w:rPr>
            </w:pPr>
          </w:p>
        </w:tc>
        <w:tc>
          <w:tcPr>
            <w:tcW w:w="852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2025, among the Company, Clearway, Inc., Clearway Energy Finance Inc., Clearway Energy Operating LLC and</w:t>
            </w:r>
          </w:p>
        </w:tc>
      </w:tr>
      <w:tr>
        <w:trPr>
          <w:trHeight w:val="229"/>
        </w:trPr>
        <w:tc>
          <w:tcPr>
            <w:tcW w:w="2720" w:type="dxa"/>
            <w:vAlign w:val="bottom"/>
          </w:tcPr>
          <w:p>
            <w:pPr>
              <w:spacing w:after="0"/>
              <w:rPr>
                <w:sz w:val="19"/>
                <w:szCs w:val="19"/>
                <w:color w:val="auto"/>
              </w:rPr>
            </w:pPr>
          </w:p>
        </w:tc>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CEG</w:t>
            </w: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Clearway, Inc.</w:t>
            </w:r>
          </w:p>
        </w:tc>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Clearway Energy, Inc., the holder of the Company’s Class A and Class C units</w:t>
            </w:r>
          </w:p>
        </w:tc>
      </w:tr>
      <w:tr>
        <w:trPr>
          <w:trHeight w:val="180"/>
        </w:trPr>
        <w:tc>
          <w:tcPr>
            <w:tcW w:w="27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Clearway Energy Group LLC</w:t>
            </w:r>
          </w:p>
        </w:tc>
        <w:tc>
          <w:tcPr>
            <w:tcW w:w="8520" w:type="dxa"/>
            <w:vAlign w:val="bottom"/>
          </w:tcPr>
          <w:p>
            <w:pPr>
              <w:ind w:left="260"/>
              <w:spacing w:after="0" w:line="181" w:lineRule="exact"/>
              <w:rPr>
                <w:sz w:val="20"/>
                <w:szCs w:val="20"/>
                <w:color w:val="auto"/>
              </w:rPr>
            </w:pPr>
            <w:r>
              <w:rPr>
                <w:rFonts w:ascii="Times New Roman" w:cs="Times New Roman" w:eastAsia="Times New Roman" w:hAnsi="Times New Roman"/>
                <w:sz w:val="18"/>
                <w:szCs w:val="18"/>
                <w:color w:val="auto"/>
              </w:rPr>
              <w:t>The holder of all shares of Clearway, Inc.’s Class B and Class D common stock and the Company’s Class B and</w:t>
            </w:r>
          </w:p>
        </w:tc>
      </w:tr>
      <w:tr>
        <w:trPr>
          <w:trHeight w:val="184"/>
        </w:trPr>
        <w:tc>
          <w:tcPr>
            <w:tcW w:w="2720" w:type="dxa"/>
            <w:vAlign w:val="bottom"/>
          </w:tcPr>
          <w:p>
            <w:pPr>
              <w:spacing w:after="0"/>
              <w:rPr>
                <w:sz w:val="16"/>
                <w:szCs w:val="16"/>
                <w:color w:val="auto"/>
              </w:rPr>
            </w:pPr>
          </w:p>
        </w:tc>
        <w:tc>
          <w:tcPr>
            <w:tcW w:w="852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Class D units and, from time to time, possibly shares of Clearway, Inc.’s Class A and/or Class C common stock.</w:t>
            </w:r>
          </w:p>
        </w:tc>
      </w:tr>
      <w:tr>
        <w:trPr>
          <w:trHeight w:val="180"/>
        </w:trPr>
        <w:tc>
          <w:tcPr>
            <w:tcW w:w="2720" w:type="dxa"/>
            <w:vAlign w:val="bottom"/>
          </w:tcPr>
          <w:p>
            <w:pPr>
              <w:spacing w:after="0"/>
              <w:rPr>
                <w:sz w:val="15"/>
                <w:szCs w:val="15"/>
                <w:color w:val="auto"/>
              </w:rPr>
            </w:pPr>
          </w:p>
        </w:tc>
        <w:tc>
          <w:tcPr>
            <w:tcW w:w="8520" w:type="dxa"/>
            <w:vAlign w:val="bottom"/>
          </w:tcPr>
          <w:p>
            <w:pPr>
              <w:ind w:left="260"/>
              <w:spacing w:after="0" w:line="181" w:lineRule="exact"/>
              <w:rPr>
                <w:sz w:val="20"/>
                <w:szCs w:val="20"/>
                <w:color w:val="auto"/>
              </w:rPr>
            </w:pPr>
            <w:r>
              <w:rPr>
                <w:rFonts w:ascii="Times New Roman" w:cs="Times New Roman" w:eastAsia="Times New Roman" w:hAnsi="Times New Roman"/>
                <w:sz w:val="18"/>
                <w:szCs w:val="18"/>
                <w:color w:val="auto"/>
              </w:rPr>
              <w:t>Clearway Energy Group LLC is a leading developer of renewable energy, energy storage and power infrastructure</w:t>
            </w:r>
          </w:p>
        </w:tc>
      </w:tr>
      <w:tr>
        <w:trPr>
          <w:trHeight w:val="225"/>
        </w:trPr>
        <w:tc>
          <w:tcPr>
            <w:tcW w:w="2720" w:type="dxa"/>
            <w:vAlign w:val="bottom"/>
          </w:tcPr>
          <w:p>
            <w:pPr>
              <w:spacing w:after="0"/>
              <w:rPr>
                <w:sz w:val="19"/>
                <w:szCs w:val="19"/>
                <w:color w:val="auto"/>
              </w:rPr>
            </w:pPr>
          </w:p>
        </w:tc>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the U.S.</w:t>
            </w: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Clearway Energy Operating LLC</w:t>
            </w:r>
          </w:p>
        </w:tc>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holder of facilities that are owned by the Company</w:t>
            </w: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Clearway Renew</w:t>
            </w:r>
          </w:p>
        </w:tc>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Clearway Renew LLC, a subsidiary of CEG, and its wholly-owned subsidiaries</w:t>
            </w: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Clearway Energy LLC, together with its consolidated subsidiaries</w:t>
            </w: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CVSR</w:t>
            </w:r>
          </w:p>
        </w:tc>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California Valley Solar Ranch</w:t>
            </w: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CVSR Holdco</w:t>
            </w:r>
          </w:p>
        </w:tc>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CVSR Holdco LLC, the indirect owner of CVSR</w:t>
            </w: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Daggett 1 Class B</w:t>
            </w:r>
          </w:p>
        </w:tc>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Daggett 1 Class B Member LLC</w:t>
            </w:r>
          </w:p>
        </w:tc>
      </w:tr>
      <w:tr>
        <w:trPr>
          <w:trHeight w:val="180"/>
        </w:trPr>
        <w:tc>
          <w:tcPr>
            <w:tcW w:w="27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Distributed Solar</w:t>
            </w:r>
          </w:p>
        </w:tc>
        <w:tc>
          <w:tcPr>
            <w:tcW w:w="8520" w:type="dxa"/>
            <w:vAlign w:val="bottom"/>
          </w:tcPr>
          <w:p>
            <w:pPr>
              <w:ind w:left="260"/>
              <w:spacing w:after="0" w:line="181" w:lineRule="exact"/>
              <w:rPr>
                <w:sz w:val="20"/>
                <w:szCs w:val="20"/>
                <w:color w:val="auto"/>
              </w:rPr>
            </w:pPr>
            <w:r>
              <w:rPr>
                <w:rFonts w:ascii="Times New Roman" w:cs="Times New Roman" w:eastAsia="Times New Roman" w:hAnsi="Times New Roman"/>
                <w:sz w:val="18"/>
                <w:szCs w:val="18"/>
                <w:color w:val="auto"/>
              </w:rPr>
              <w:t>Solar power facilities, typically less than 20 MW in size (on an alternating current, or AC, basis), that primarily</w:t>
            </w:r>
          </w:p>
        </w:tc>
      </w:tr>
      <w:tr>
        <w:trPr>
          <w:trHeight w:val="184"/>
        </w:trPr>
        <w:tc>
          <w:tcPr>
            <w:tcW w:w="2720" w:type="dxa"/>
            <w:vAlign w:val="bottom"/>
          </w:tcPr>
          <w:p>
            <w:pPr>
              <w:spacing w:after="0"/>
              <w:rPr>
                <w:sz w:val="16"/>
                <w:szCs w:val="16"/>
                <w:color w:val="auto"/>
              </w:rPr>
            </w:pPr>
          </w:p>
        </w:tc>
        <w:tc>
          <w:tcPr>
            <w:tcW w:w="852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sell power produced to customers for usage on site, or are interconnected to sell power into the local distribution</w:t>
            </w:r>
          </w:p>
        </w:tc>
      </w:tr>
      <w:tr>
        <w:trPr>
          <w:trHeight w:val="230"/>
        </w:trPr>
        <w:tc>
          <w:tcPr>
            <w:tcW w:w="2720" w:type="dxa"/>
            <w:vAlign w:val="bottom"/>
          </w:tcPr>
          <w:p>
            <w:pPr>
              <w:spacing w:after="0"/>
              <w:rPr>
                <w:sz w:val="19"/>
                <w:szCs w:val="19"/>
                <w:color w:val="auto"/>
              </w:rPr>
            </w:pPr>
          </w:p>
        </w:tc>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grid</w:t>
            </w: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Drop Down Assets</w:t>
            </w:r>
          </w:p>
        </w:tc>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Assets under common control acquired by the Company from CEG</w:t>
            </w:r>
          </w:p>
        </w:tc>
      </w:tr>
      <w:tr>
        <w:trPr>
          <w:trHeight w:val="180"/>
        </w:trPr>
        <w:tc>
          <w:tcPr>
            <w:tcW w:w="27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ERCOT</w:t>
            </w:r>
          </w:p>
        </w:tc>
        <w:tc>
          <w:tcPr>
            <w:tcW w:w="8520" w:type="dxa"/>
            <w:vAlign w:val="bottom"/>
          </w:tcPr>
          <w:p>
            <w:pPr>
              <w:ind w:left="260"/>
              <w:spacing w:after="0" w:line="181" w:lineRule="exact"/>
              <w:rPr>
                <w:sz w:val="20"/>
                <w:szCs w:val="20"/>
                <w:color w:val="auto"/>
              </w:rPr>
            </w:pPr>
            <w:r>
              <w:rPr>
                <w:rFonts w:ascii="Times New Roman" w:cs="Times New Roman" w:eastAsia="Times New Roman" w:hAnsi="Times New Roman"/>
                <w:sz w:val="18"/>
                <w:szCs w:val="18"/>
                <w:color w:val="auto"/>
              </w:rPr>
              <w:t>Electric Reliability Council of Texas, the ISO and the regional reliability coordinator of the various electricity</w:t>
            </w:r>
          </w:p>
        </w:tc>
      </w:tr>
      <w:tr>
        <w:trPr>
          <w:trHeight w:val="234"/>
        </w:trPr>
        <w:tc>
          <w:tcPr>
            <w:tcW w:w="2720" w:type="dxa"/>
            <w:vAlign w:val="bottom"/>
          </w:tcPr>
          <w:p>
            <w:pPr>
              <w:spacing w:after="0"/>
              <w:rPr>
                <w:sz w:val="20"/>
                <w:szCs w:val="20"/>
                <w:color w:val="auto"/>
              </w:rPr>
            </w:pPr>
          </w:p>
        </w:tc>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systems within Texas</w:t>
            </w:r>
          </w:p>
        </w:tc>
      </w:tr>
      <w:tr>
        <w:trPr>
          <w:trHeight w:val="23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Flexible Generation</w:t>
            </w:r>
          </w:p>
        </w:tc>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Formerly the Conventional Generation segment</w:t>
            </w:r>
          </w:p>
        </w:tc>
      </w:tr>
      <w:tr>
        <w:trPr>
          <w:trHeight w:val="234"/>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Accounting principles generally accepted in the U.S.</w:t>
            </w:r>
          </w:p>
        </w:tc>
      </w:tr>
      <w:tr>
        <w:trPr>
          <w:trHeight w:val="864"/>
        </w:trPr>
        <w:tc>
          <w:tcPr>
            <w:tcW w:w="2720" w:type="dxa"/>
            <w:vAlign w:val="bottom"/>
          </w:tcPr>
          <w:p>
            <w:pPr>
              <w:spacing w:after="0"/>
              <w:rPr>
                <w:sz w:val="24"/>
                <w:szCs w:val="24"/>
                <w:color w:val="auto"/>
              </w:rPr>
            </w:pPr>
          </w:p>
        </w:tc>
        <w:tc>
          <w:tcPr>
            <w:tcW w:w="852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4</w:t>
            </w:r>
          </w:p>
        </w:tc>
      </w:tr>
      <w:tr>
        <w:trPr>
          <w:trHeight w:val="115"/>
        </w:trPr>
        <w:tc>
          <w:tcPr>
            <w:tcW w:w="2720" w:type="dxa"/>
            <w:vAlign w:val="bottom"/>
            <w:tcBorders>
              <w:bottom w:val="single" w:sz="8" w:color="9A9A9A"/>
            </w:tcBorders>
          </w:tcPr>
          <w:p>
            <w:pPr>
              <w:spacing w:after="0"/>
              <w:rPr>
                <w:sz w:val="10"/>
                <w:szCs w:val="10"/>
                <w:color w:val="auto"/>
              </w:rPr>
            </w:pPr>
          </w:p>
        </w:tc>
        <w:tc>
          <w:tcPr>
            <w:tcW w:w="8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GenConn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GenConn Energy LLC</w:t>
      </w:r>
    </w:p>
    <w:p>
      <w:pPr>
        <w:spacing w:after="0" w:line="38" w:lineRule="exact"/>
        <w:rPr>
          <w:sz w:val="20"/>
          <w:szCs w:val="20"/>
          <w:color w:val="auto"/>
        </w:rPr>
      </w:pPr>
    </w:p>
    <w:p>
      <w:pPr>
        <w:sectPr>
          <w:pgSz w:w="11900" w:h="16838" w:orient="portrait"/>
          <w:cols w:equalWidth="0" w:num="2">
            <w:col w:w="2240" w:space="720"/>
            <w:col w:w="8240"/>
          </w:cols>
          <w:pgMar w:left="340" w:top="931" w:right="35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GIM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Global Infrastructure Management, LLC, the manager of GIP and an indirect subsidiary of BlackRock</w:t>
      </w:r>
    </w:p>
    <w:p>
      <w:pPr>
        <w:spacing w:after="0" w:line="23"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GIP</w:t>
      </w:r>
    </w:p>
    <w:p>
      <w:pPr>
        <w:spacing w:after="0" w:line="20" w:lineRule="exact"/>
        <w:rPr>
          <w:sz w:val="20"/>
          <w:szCs w:val="20"/>
          <w:color w:val="auto"/>
        </w:rPr>
      </w:pPr>
      <w:r>
        <w:rPr>
          <w:sz w:val="20"/>
          <w:szCs w:val="20"/>
          <w:color w:val="auto"/>
        </w:rPr>
        <w:br w:type="column"/>
      </w:r>
    </w:p>
    <w:p>
      <w:pPr>
        <w:spacing w:after="0" w:line="234" w:lineRule="auto"/>
        <w:rPr>
          <w:sz w:val="20"/>
          <w:szCs w:val="20"/>
          <w:color w:val="auto"/>
        </w:rPr>
      </w:pPr>
      <w:r>
        <w:rPr>
          <w:rFonts w:ascii="Times New Roman" w:cs="Times New Roman" w:eastAsia="Times New Roman" w:hAnsi="Times New Roman"/>
          <w:sz w:val="18"/>
          <w:szCs w:val="18"/>
          <w:color w:val="auto"/>
        </w:rPr>
        <w:t>Global Infrastructure Partners, an infrastructure fund manager managed by GIM that makes equity and debt investments in infrastructure assets and businesses. GIM is an indirect subsidiary of BlackRock.</w:t>
      </w:r>
    </w:p>
    <w:p>
      <w:pPr>
        <w:spacing w:after="0" w:line="10"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GW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Gigawatt</w:t>
      </w:r>
    </w:p>
    <w:p>
      <w:pPr>
        <w:spacing w:after="0" w:line="27"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HLBV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Hypothetical Liquidation at Book Value</w:t>
      </w:r>
    </w:p>
    <w:p>
      <w:pPr>
        <w:spacing w:after="0" w:line="34"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ISO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Independent System Operator, also referred to as an RTO</w:t>
      </w:r>
    </w:p>
    <w:p>
      <w:pPr>
        <w:spacing w:after="0" w:line="34"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Luna Valley Class 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Luna Valley Class B Member LLC</w:t>
      </w:r>
    </w:p>
    <w:p>
      <w:pPr>
        <w:spacing w:after="0" w:line="34"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Mesquite Star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Mesquite Star Special LLC</w:t>
      </w:r>
    </w:p>
    <w:p>
      <w:pPr>
        <w:spacing w:after="0" w:line="34"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MMBtu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Million British Thermal Units</w:t>
      </w:r>
    </w:p>
    <w:p>
      <w:pPr>
        <w:spacing w:after="0" w:line="34"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Mt. Storm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NedPower Mount Storm LLC</w:t>
      </w:r>
    </w:p>
    <w:p>
      <w:pPr>
        <w:spacing w:after="0" w:line="23"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MW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Megawatt</w:t>
      </w:r>
    </w:p>
    <w:p>
      <w:pPr>
        <w:spacing w:after="0" w:line="23"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MWh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Saleable megawatt hours, net of internal/parasitic load megawatt-hours</w:t>
      </w:r>
    </w:p>
    <w:p>
      <w:pPr>
        <w:spacing w:after="0" w:line="23"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Natural Gas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Natural Gas CA Holdco LLC</w:t>
      </w:r>
    </w:p>
    <w:p>
      <w:pPr>
        <w:spacing w:after="0" w:line="34"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Net Exposure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Counterparty credit exposure to Clearway Energy LLC, net of collateral</w:t>
      </w:r>
    </w:p>
    <w:p>
      <w:pPr>
        <w:spacing w:after="0" w:line="34"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OCI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Other comprehensive income</w:t>
      </w:r>
    </w:p>
    <w:p>
      <w:pPr>
        <w:spacing w:after="0" w:line="34"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O&amp;M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Operations and Maintenance</w:t>
      </w:r>
    </w:p>
    <w:p>
      <w:pPr>
        <w:spacing w:after="0" w:line="23"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PG&amp;E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Pacific Gas and Electric Company</w:t>
      </w:r>
    </w:p>
    <w:p>
      <w:pPr>
        <w:spacing w:after="0" w:line="34"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PJM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PJM Interconnection, LLC</w:t>
      </w:r>
    </w:p>
    <w:p>
      <w:pPr>
        <w:spacing w:after="0" w:line="23"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Power Purchase Agreement</w:t>
      </w:r>
    </w:p>
    <w:p>
      <w:pPr>
        <w:spacing w:after="0" w:line="23"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Resource adequacy</w:t>
      </w:r>
    </w:p>
    <w:p>
      <w:pPr>
        <w:spacing w:after="0" w:line="23"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Renewables &amp; Storage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Formerly the Renewables segment</w:t>
      </w:r>
    </w:p>
    <w:p>
      <w:pPr>
        <w:spacing w:after="0" w:line="23"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RENOM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Clearway Renewable Operation &amp; Maintenance LLC, a wholly-owned subsidiary of CEG</w:t>
      </w:r>
    </w:p>
    <w:p>
      <w:pPr>
        <w:spacing w:after="0" w:line="34"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Rosie South TargetCo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Rosie South TargetCo LLC, a partnership and indirect owner of Rosamond South I</w:t>
      </w:r>
    </w:p>
    <w:p>
      <w:pPr>
        <w:spacing w:after="0" w:line="34"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Regional Transmission Organization</w:t>
      </w:r>
    </w:p>
    <w:p>
      <w:pPr>
        <w:spacing w:after="0" w:line="34"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Southern California Edison</w:t>
      </w:r>
    </w:p>
    <w:p>
      <w:pPr>
        <w:spacing w:after="0" w:line="23"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SDG&amp;E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San Diego Gas &amp; Electric</w:t>
      </w:r>
    </w:p>
    <w:p>
      <w:pPr>
        <w:spacing w:after="0" w:line="23"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3"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Senior Notes</w:t>
      </w:r>
    </w:p>
    <w:p>
      <w:pPr>
        <w:spacing w:after="0" w:line="20" w:lineRule="exact"/>
        <w:rPr>
          <w:sz w:val="20"/>
          <w:szCs w:val="20"/>
          <w:color w:val="auto"/>
        </w:rPr>
      </w:pPr>
      <w:r>
        <w:rPr>
          <w:sz w:val="20"/>
          <w:szCs w:val="20"/>
          <w:color w:val="auto"/>
        </w:rPr>
        <w:br w:type="column"/>
      </w:r>
    </w:p>
    <w:p>
      <w:pPr>
        <w:jc w:val="center"/>
        <w:ind w:right="2020"/>
        <w:spacing w:after="0"/>
        <w:rPr>
          <w:sz w:val="20"/>
          <w:szCs w:val="20"/>
          <w:color w:val="auto"/>
        </w:rPr>
      </w:pPr>
      <w:r>
        <w:rPr>
          <w:rFonts w:ascii="Times New Roman" w:cs="Times New Roman" w:eastAsia="Times New Roman" w:hAnsi="Times New Roman"/>
          <w:sz w:val="17"/>
          <w:szCs w:val="17"/>
          <w:color w:val="auto"/>
        </w:rPr>
        <w:t>Collectively, the 2028 Senior Notes, the 2031 Senior Notes and the 2032 Senior Notes</w:t>
      </w:r>
    </w:p>
    <w:p>
      <w:pPr>
        <w:spacing w:after="0" w:line="34"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SOFR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Secured Overnight Financing Rate</w:t>
      </w:r>
    </w:p>
    <w:p>
      <w:pPr>
        <w:spacing w:after="0" w:line="23"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Solar Power Partners</w:t>
      </w:r>
    </w:p>
    <w:p>
      <w:pPr>
        <w:spacing w:after="0" w:line="34"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SREC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Solar Renewable Energy Credit</w:t>
      </w:r>
    </w:p>
    <w:p>
      <w:pPr>
        <w:spacing w:after="0" w:line="34"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TotalEnergies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TotalEnergies SE, a global multi-energy company</w:t>
      </w:r>
    </w:p>
    <w:p>
      <w:pPr>
        <w:spacing w:after="0" w:line="34"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United States of America</w:t>
      </w:r>
    </w:p>
    <w:p>
      <w:pPr>
        <w:spacing w:after="0" w:line="34"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Utah Solar Portfolio</w:t>
      </w:r>
    </w:p>
    <w:p>
      <w:pPr>
        <w:spacing w:after="0" w:line="20" w:lineRule="exact"/>
        <w:rPr>
          <w:sz w:val="20"/>
          <w:szCs w:val="20"/>
          <w:color w:val="auto"/>
        </w:rPr>
      </w:pPr>
      <w:r>
        <w:rPr>
          <w:sz w:val="20"/>
          <w:szCs w:val="20"/>
          <w:color w:val="auto"/>
        </w:rPr>
        <w:br w:type="column"/>
      </w:r>
    </w:p>
    <w:p>
      <w:pPr>
        <w:spacing w:after="0" w:line="234" w:lineRule="auto"/>
        <w:rPr>
          <w:sz w:val="20"/>
          <w:szCs w:val="20"/>
          <w:color w:val="auto"/>
        </w:rPr>
      </w:pPr>
      <w:r>
        <w:rPr>
          <w:rFonts w:ascii="Times New Roman" w:cs="Times New Roman" w:eastAsia="Times New Roman" w:hAnsi="Times New Roman"/>
          <w:sz w:val="18"/>
          <w:szCs w:val="18"/>
          <w:color w:val="auto"/>
        </w:rPr>
        <w:t>Seven utility-scale solar farms located in Utah, representing 530 MW of capacity, which includes Enterprise, Escalante I, Escalante II, Escalante III, Granite Mountain East, Granite Mountain West and Iron Springs</w:t>
      </w:r>
    </w:p>
    <w:p>
      <w:pPr>
        <w:spacing w:after="0" w:line="10"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Utility Scale Solar</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Times New Roman" w:cs="Times New Roman" w:eastAsia="Times New Roman" w:hAnsi="Times New Roman"/>
          <w:sz w:val="18"/>
          <w:szCs w:val="18"/>
          <w:color w:val="auto"/>
        </w:rPr>
        <w:t>Solar power facilities, typically 20 MW or greater in size (on an alternating current, or AC, basis), that are interconnected into the transmission or distribution grid to sell power at a wholesale level</w:t>
      </w:r>
    </w:p>
    <w:p>
      <w:pPr>
        <w:spacing w:after="0" w:line="10"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Variable Interest Entity</w:t>
      </w:r>
    </w:p>
    <w:p>
      <w:pPr>
        <w:spacing w:after="0" w:line="211" w:lineRule="exact"/>
        <w:rPr>
          <w:sz w:val="20"/>
          <w:szCs w:val="20"/>
          <w:color w:val="auto"/>
        </w:rPr>
      </w:pPr>
    </w:p>
    <w:p>
      <w:pPr>
        <w:sectPr>
          <w:pgSz w:w="11900" w:h="16838" w:orient="portrait"/>
          <w:cols w:equalWidth="0" w:num="2">
            <w:col w:w="2240" w:space="720"/>
            <w:col w:w="8240"/>
          </w:cols>
          <w:pgMar w:left="340" w:top="93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31" w:right="359" w:bottom="1440" w:gutter="0" w:footer="0" w:header="0"/>
          <w:type w:val="continuous"/>
        </w:sectPr>
      </w:pPr>
    </w:p>
    <w:bookmarkStart w:id="5" w:name="page6"/>
    <w:bookmarkEnd w:id="5"/>
    <w:p>
      <w:pPr>
        <w:ind w:left="400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17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operations, exclusive of depreciation, amortization and accretion shown separately below</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9"/>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loss attributable to noncontrolling interests and redeemable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Clearway Energy LLC</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 on derivatives and changes in accumulated OCI</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interests and redeemable noncontrolling interests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Clearway Energy LLC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2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20"/>
                <w:szCs w:val="20"/>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790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9"/>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29"/>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 trade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7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9,944</w:t>
            </w:r>
          </w:p>
        </w:tc>
      </w:tr>
      <w:tr>
        <w:trPr>
          <w:trHeight w:val="20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9"/>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investments in affiliates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30"/>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for power purchase agreements, net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r>
      <w:tr>
        <w:trPr>
          <w:trHeight w:val="229"/>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9"/>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net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29"/>
        </w:trPr>
        <w:tc>
          <w:tcPr>
            <w:tcW w:w="7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3"/>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14,320</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6"/>
        </w:trPr>
        <w:tc>
          <w:tcPr>
            <w:tcW w:w="7900" w:type="dxa"/>
            <w:vAlign w:val="bottom"/>
            <w:shd w:val="clear" w:color="auto" w:fill="CCEEFF"/>
          </w:tcPr>
          <w:p>
            <w:pPr>
              <w:ind w:left="228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30"/>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 affiliates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expense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7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1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w:t>
            </w:r>
          </w:p>
        </w:tc>
      </w:tr>
      <w:tr>
        <w:trPr>
          <w:trHeight w:val="229"/>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30"/>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3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3"/>
        </w:trPr>
        <w:tc>
          <w:tcPr>
            <w:tcW w:w="7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liabilities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7,957</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8,679</w:t>
            </w:r>
          </w:p>
        </w:tc>
      </w:tr>
      <w:tr>
        <w:trPr>
          <w:trHeight w:val="21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Members’ Equity</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Contributed capital</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r>
      <w:tr>
        <w:trPr>
          <w:trHeight w:val="23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30"/>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w:t>
            </w:r>
          </w:p>
        </w:tc>
      </w:tr>
      <w:tr>
        <w:trPr>
          <w:trHeight w:val="22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Members’ Equity</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5,641</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Members’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180"/>
          </w:cols>
          <w:pgMar w:left="320" w:top="887" w:right="39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type w:val="continuous"/>
        </w:sectPr>
      </w:pPr>
    </w:p>
    <w:bookmarkStart w:id="8" w:name="page9"/>
    <w:bookmarkEnd w:id="8"/>
    <w:p>
      <w:pPr>
        <w:ind w:left="482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6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0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financing costs and debt discounts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Reduction in carrying amount of right-of-use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derivative instruments and amortization of accumulated OCI</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Changes in other working capital</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Drop Down Assets, net of cash acquired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9"/>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Return of investment from unconsolidated affiliates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Contributions from noncontrolling interests, net of distributions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9"/>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Distributions to CEG, net of contributions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of distributions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the issuance of long-term debt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for long-term debt</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MEMBERS’ EQUITY</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Contributed</w:t>
            </w:r>
          </w:p>
        </w:tc>
        <w:tc>
          <w:tcPr>
            <w:tcW w:w="1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Members’</w:t>
            </w:r>
          </w:p>
        </w:tc>
        <w:tc>
          <w:tcPr>
            <w:tcW w:w="0" w:type="dxa"/>
            <w:vAlign w:val="bottom"/>
          </w:tcPr>
          <w:p>
            <w:pPr>
              <w:spacing w:after="0"/>
              <w:rPr>
                <w:sz w:val="1"/>
                <w:szCs w:val="1"/>
                <w:color w:val="auto"/>
              </w:rPr>
            </w:pPr>
          </w:p>
        </w:tc>
      </w:tr>
      <w:tr>
        <w:trPr>
          <w:trHeight w:val="198"/>
        </w:trPr>
        <w:tc>
          <w:tcPr>
            <w:tcW w:w="49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7"/>
                <w:szCs w:val="17"/>
                <w:color w:val="auto"/>
              </w:rPr>
            </w:pPr>
          </w:p>
        </w:tc>
        <w:tc>
          <w:tcPr>
            <w:tcW w:w="8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5"/>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5,641</w:t>
            </w:r>
          </w:p>
        </w:tc>
        <w:tc>
          <w:tcPr>
            <w:tcW w:w="0" w:type="dxa"/>
            <w:vAlign w:val="bottom"/>
          </w:tcPr>
          <w:p>
            <w:pPr>
              <w:spacing w:after="0"/>
              <w:rPr>
                <w:sz w:val="1"/>
                <w:szCs w:val="1"/>
                <w:color w:val="auto"/>
              </w:rPr>
            </w:pPr>
          </w:p>
        </w:tc>
      </w:tr>
      <w:tr>
        <w:trPr>
          <w:trHeight w:val="213"/>
        </w:trPr>
        <w:tc>
          <w:tcPr>
            <w:tcW w:w="4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Unrealized loss on derivatives and changes in accumulated OCI</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4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Distributions to CEG, net of contributions, cash</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Contributions from noncontrolling interests, net of distributions, cash</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3"/>
        </w:trPr>
        <w:tc>
          <w:tcPr>
            <w:tcW w:w="4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Distributions to noncontrolling interests, non-cash</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Transfers of assets under common control</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4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Distributions paid to Clearway, Inc.</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Distributions paid to CEG Class B and Class D unit holders</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3"/>
        </w:trPr>
        <w:tc>
          <w:tcPr>
            <w:tcW w:w="4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5,479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7400" w:type="dxa"/>
            <w:vAlign w:val="bottom"/>
            <w:gridSpan w:val="8"/>
          </w:tcPr>
          <w:p>
            <w:pPr>
              <w:jc w:val="center"/>
              <w:ind w:left="3777"/>
              <w:spacing w:after="0"/>
              <w:rPr>
                <w:sz w:val="20"/>
                <w:szCs w:val="20"/>
                <w:color w:val="auto"/>
              </w:rPr>
            </w:pPr>
            <w:r>
              <w:rPr>
                <w:rFonts w:ascii="Times New Roman" w:cs="Times New Roman" w:eastAsia="Times New Roman" w:hAnsi="Times New Roman"/>
                <w:sz w:val="18"/>
                <w:szCs w:val="18"/>
                <w:b w:val="1"/>
                <w:bCs w:val="1"/>
                <w:color w:val="auto"/>
                <w:w w:val="98"/>
              </w:rPr>
              <w:t>CLEARWAY ENERGY LLC</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840" w:type="dxa"/>
            <w:vAlign w:val="bottom"/>
            <w:gridSpan w:val="11"/>
          </w:tcPr>
          <w:p>
            <w:pPr>
              <w:jc w:val="center"/>
              <w:ind w:left="2337"/>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MEMBERS’ EQUITY</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gridSpan w:val="8"/>
          </w:tcPr>
          <w:p>
            <w:pPr>
              <w:jc w:val="center"/>
              <w:ind w:left="3757"/>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 2024</w:t>
            </w: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3"/>
                <w:szCs w:val="23"/>
                <w:color w:val="auto"/>
              </w:rPr>
            </w:pPr>
          </w:p>
        </w:tc>
        <w:tc>
          <w:tcPr>
            <w:tcW w:w="13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4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vMerge w:val="restart"/>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Contributed</w:t>
            </w:r>
          </w:p>
        </w:tc>
        <w:tc>
          <w:tcPr>
            <w:tcW w:w="1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Members’</w:t>
            </w:r>
          </w:p>
        </w:tc>
        <w:tc>
          <w:tcPr>
            <w:tcW w:w="0" w:type="dxa"/>
            <w:vAlign w:val="bottom"/>
          </w:tcPr>
          <w:p>
            <w:pPr>
              <w:spacing w:after="0"/>
              <w:rPr>
                <w:sz w:val="1"/>
                <w:szCs w:val="1"/>
                <w:color w:val="auto"/>
              </w:rPr>
            </w:pPr>
          </w:p>
        </w:tc>
      </w:tr>
      <w:tr>
        <w:trPr>
          <w:trHeight w:val="196"/>
        </w:trPr>
        <w:tc>
          <w:tcPr>
            <w:tcW w:w="49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7"/>
                <w:szCs w:val="17"/>
                <w:color w:val="auto"/>
              </w:rPr>
            </w:pPr>
          </w:p>
        </w:tc>
        <w:tc>
          <w:tcPr>
            <w:tcW w:w="8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5,105</w:t>
            </w:r>
          </w:p>
        </w:tc>
        <w:tc>
          <w:tcPr>
            <w:tcW w:w="0" w:type="dxa"/>
            <w:vAlign w:val="bottom"/>
          </w:tcPr>
          <w:p>
            <w:pPr>
              <w:spacing w:after="0"/>
              <w:rPr>
                <w:sz w:val="1"/>
                <w:szCs w:val="1"/>
                <w:color w:val="auto"/>
              </w:rPr>
            </w:pPr>
          </w:p>
        </w:tc>
      </w:tr>
      <w:tr>
        <w:trPr>
          <w:trHeight w:val="213"/>
        </w:trPr>
        <w:tc>
          <w:tcPr>
            <w:tcW w:w="4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Unrealized (loss) gain on derivatives and changes in accumulated OCI</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4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Distributions to CEG, net of contributions, cash</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Contributions from noncontrolling interests, net of distributions, cash</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13"/>
        </w:trPr>
        <w:tc>
          <w:tcPr>
            <w:tcW w:w="4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Transfers of assets under common control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Distributions paid to Clearway, Inc.</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3"/>
        </w:trPr>
        <w:tc>
          <w:tcPr>
            <w:tcW w:w="4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Distributions paid to CEG Class B and Class D unit holders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2024</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5,138</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w:t>
      </w:r>
      <w:r>
        <w:rPr>
          <w:rFonts w:ascii="Times New Roman" w:cs="Times New Roman" w:eastAsia="Times New Roman" w:hAnsi="Times New Roman"/>
          <w:sz w:val="18"/>
          <w:szCs w:val="18"/>
          <w:b w:val="1"/>
          <w:bCs w:val="1"/>
          <w:i w:val="1"/>
          <w:iCs w:val="1"/>
          <w:color w:val="auto"/>
        </w:rPr>
        <w:t>Nature of Business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Clearway Energy Group LLC, or CEG, which is equally owned by GIP and TotalEnergies.</w:t>
      </w:r>
    </w:p>
    <w:p>
      <w:pPr>
        <w:spacing w:after="0" w:line="12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The Company is one of the largest owners of clean energy generation assets in the U.S. The Company’s portfolio comprises approximately 11.8 GW of gross capacity in 26 states, including approximately 9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investors with stable and growing dividend income. </w:t>
      </w:r>
      <w:r>
        <w:rPr>
          <w:rFonts w:ascii="Times New Roman" w:cs="Times New Roman" w:eastAsia="Times New Roman" w:hAnsi="Times New Roman"/>
          <w:sz w:val="18"/>
          <w:szCs w:val="18"/>
          <w:color w:val="231F20"/>
        </w:rPr>
        <w:t>The majority</w:t>
      </w:r>
      <w:r>
        <w:rPr>
          <w:rFonts w:ascii="Times New Roman" w:cs="Times New Roman" w:eastAsia="Times New Roman" w:hAnsi="Times New Roman"/>
          <w:sz w:val="18"/>
          <w:szCs w:val="18"/>
          <w:color w:val="auto"/>
        </w:rPr>
        <w:t xml:space="preserve"> of the Company’s revenues are derived from long-term contractual arrangements for the output or capacity from these assets.</w:t>
      </w:r>
    </w:p>
    <w:p>
      <w:pPr>
        <w:spacing w:after="0" w:line="13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Clearway Energy, Inc., or Clearway, Inc., consolidates the results of the Company through its controlling interest, with CEG’s interest shown as contributed capital in the Company’s consolidated financial statements. The holders of Clearway, Inc.’s outstanding shares of Class A and Class C common stock are entitled to dividends as declared. CEG receives its distributions from the Company through its ownership of the Company’s Class B and Class D units.</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March 31, 2025, Clearway, Inc. owned 58.29% of the economic interests of the Company, with CEG owning 41.71% of the economic interests of the Company.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 w:name="page12"/>
    <w:bookmarkEnd w:id="11"/>
    <w:p>
      <w:pPr>
        <w:ind w:left="420"/>
        <w:spacing w:after="0"/>
        <w:rPr>
          <w:sz w:val="20"/>
          <w:szCs w:val="20"/>
          <w:color w:val="auto"/>
        </w:rPr>
      </w:pPr>
      <w:r>
        <w:rPr>
          <w:rFonts w:ascii="Times New Roman" w:cs="Times New Roman" w:eastAsia="Times New Roman" w:hAnsi="Times New Roman"/>
          <w:sz w:val="18"/>
          <w:szCs w:val="18"/>
          <w:color w:val="auto"/>
        </w:rPr>
        <w:t>The following table represents a summarized structure of the Company as of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5606415" cy="4105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06415" cy="4105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2024 Form 10-K. Interim results are not necessarily indicative of results for a full year.</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consolidated financial statements contain all material adjustments consisting of normal and recurring accruals necessary for a fair statement of the Company’s consolidated financial position as of March 31, 2025, and results of operations, comprehensive income (loss) and cash flows for the three months ended March 31, 2025 and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highly liquid investments with an original maturity of three months or less at the time of purchase. Cash and cash equivalents held at subsidiary facilities was $207 million and $194 million as of March 31, 2025 and December 31, 2024, respectively.</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1"/>
        </w:trPr>
        <w:tc>
          <w:tcPr>
            <w:tcW w:w="7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40" w:type="dxa"/>
            <w:vAlign w:val="bottom"/>
            <w:gridSpan w:val="3"/>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920" w:type="dxa"/>
            <w:vAlign w:val="bottom"/>
          </w:tcPr>
          <w:p>
            <w:pPr>
              <w:spacing w:after="0"/>
              <w:rPr>
                <w:sz w:val="18"/>
                <w:szCs w:val="18"/>
                <w:color w:val="auto"/>
              </w:rPr>
            </w:pPr>
          </w:p>
        </w:tc>
      </w:tr>
      <w:tr>
        <w:trPr>
          <w:trHeight w:val="231"/>
        </w:trPr>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shd w:val="clear" w:color="auto" w:fill="CCEEFF"/>
          </w:tcPr>
          <w:p>
            <w:pPr>
              <w:jc w:val="right"/>
              <w:ind w:right="127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9"/>
        </w:trPr>
        <w:tc>
          <w:tcPr>
            <w:tcW w:w="74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14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48"/>
        </w:trPr>
        <w:tc>
          <w:tcPr>
            <w:tcW w:w="7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 shown in the consolidated statements of cash flows</w:t>
            </w:r>
          </w:p>
        </w:tc>
        <w:tc>
          <w:tcPr>
            <w:tcW w:w="1480" w:type="dxa"/>
            <w:vAlign w:val="bottom"/>
            <w:tcBorders>
              <w:bottom w:val="single" w:sz="8" w:color="auto"/>
            </w:tcBorders>
            <w:shd w:val="clear" w:color="auto" w:fill="CCEEFF"/>
          </w:tcPr>
          <w:p>
            <w:pPr>
              <w:jc w:val="right"/>
              <w:ind w:right="127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Restricted cash consists primarily of funds held to satisfy the requirements of certain debt agreements and funds held within the Company’s facilities that are restricted in their use. As of March 31, 2025, these restricted funds were comprised of $166 million designated to fund operating expenses, $133 million designated for current debt service payments and $83 million restricted for reserves including debt service, performance obligations and other reserves as well as capital expenditures. The remaining $32 million is held in distributions reserve accounts.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Depreciation and Accumulated Amortization</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accumulated depreciation included in property, plant and equipment, net, and accumulated amortization included in intangible assets, net: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1"/>
        </w:trPr>
        <w:tc>
          <w:tcPr>
            <w:tcW w:w="7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gridSpan w:val="3"/>
          </w:tcPr>
          <w:p>
            <w:pPr>
              <w:jc w:val="right"/>
              <w:ind w:right="1413"/>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3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Accumulated Depreciation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4,242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w:t>
            </w:r>
          </w:p>
        </w:tc>
      </w:tr>
      <w:tr>
        <w:trPr>
          <w:trHeight w:val="234"/>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Accumulated Amortization</w:t>
            </w:r>
          </w:p>
        </w:tc>
        <w:tc>
          <w:tcPr>
            <w:tcW w:w="260" w:type="dxa"/>
            <w:vAlign w:val="bottom"/>
          </w:tcPr>
          <w:p>
            <w:pPr>
              <w:spacing w:after="0"/>
              <w:rPr>
                <w:sz w:val="20"/>
                <w:szCs w:val="20"/>
                <w:color w:val="auto"/>
              </w:rPr>
            </w:pPr>
          </w:p>
        </w:tc>
        <w:tc>
          <w:tcPr>
            <w:tcW w:w="16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1,237</w:t>
            </w: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lists distributions paid on the Company's Class A, B, C and D units during the three months ended March 31, 2025:</w:t>
      </w:r>
    </w:p>
    <w:p>
      <w:pPr>
        <w:spacing w:after="0" w:line="97"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4"/>
          <w:szCs w:val="14"/>
          <w:b w:val="1"/>
          <w:bCs w:val="1"/>
          <w:color w:val="auto"/>
        </w:rPr>
        <w:t>First Quarter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9880" w:val="left"/>
          <w:tab w:leader="none" w:pos="10660" w:val="left"/>
        </w:tabs>
        <w:rPr>
          <w:sz w:val="20"/>
          <w:szCs w:val="20"/>
          <w:color w:val="auto"/>
        </w:rPr>
      </w:pPr>
      <w:r>
        <w:rPr>
          <w:rFonts w:ascii="Times New Roman" w:cs="Times New Roman" w:eastAsia="Times New Roman" w:hAnsi="Times New Roman"/>
          <w:sz w:val="18"/>
          <w:szCs w:val="18"/>
          <w:color w:val="auto"/>
        </w:rPr>
        <w:t>Distributions per Class A, B, C and D unit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0.4312</w:t>
      </w:r>
    </w:p>
    <w:p>
      <w:pPr>
        <w:spacing w:after="0" w:line="26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On April 29, 2025, the Company declared a distribution on its Class A, Class B, Class C and Class D units of $0.4384 per unit payable on June 16, 2025 to unit holders of record as of June 2, 2025.</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173"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Company’s disaggregation of revenue from contracts with customers along with the reportable segment for each category:</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gridSpan w:val="6"/>
          </w:tcPr>
          <w:p>
            <w:pPr>
              <w:jc w:val="center"/>
              <w:ind w:left="893"/>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Renewables &amp; Storage</w:t>
            </w:r>
          </w:p>
        </w:tc>
        <w:tc>
          <w:tcPr>
            <w:tcW w:w="440" w:type="dxa"/>
            <w:vAlign w:val="bottom"/>
          </w:tcPr>
          <w:p>
            <w:pPr>
              <w:spacing w:after="0"/>
              <w:rPr>
                <w:sz w:val="16"/>
                <w:szCs w:val="16"/>
                <w:color w:val="auto"/>
              </w:rPr>
            </w:pPr>
          </w:p>
        </w:tc>
        <w:tc>
          <w:tcPr>
            <w:tcW w:w="110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97"/>
        </w:trPr>
        <w:tc>
          <w:tcPr>
            <w:tcW w:w="6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 revenue</w:t>
            </w:r>
            <w:r>
              <w:rPr>
                <w:rFonts w:ascii="Times New Roman" w:cs="Times New Roman" w:eastAsia="Times New Roman" w:hAnsi="Times New Roman"/>
                <w:sz w:val="23"/>
                <w:szCs w:val="23"/>
                <w:color w:val="auto"/>
                <w:vertAlign w:val="superscript"/>
              </w:rPr>
              <w:t>(a)</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333333"/>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248</w:t>
            </w:r>
          </w:p>
        </w:tc>
        <w:tc>
          <w:tcPr>
            <w:tcW w:w="0" w:type="dxa"/>
            <w:vAlign w:val="bottom"/>
          </w:tcPr>
          <w:p>
            <w:pPr>
              <w:spacing w:after="0"/>
              <w:rPr>
                <w:sz w:val="1"/>
                <w:szCs w:val="1"/>
                <w:color w:val="auto"/>
              </w:rPr>
            </w:pPr>
          </w:p>
        </w:tc>
      </w:tr>
      <w:tr>
        <w:trPr>
          <w:trHeight w:val="311"/>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Capacity revenue</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85</w:t>
            </w:r>
          </w:p>
        </w:tc>
        <w:tc>
          <w:tcPr>
            <w:tcW w:w="0" w:type="dxa"/>
            <w:vAlign w:val="bottom"/>
          </w:tcPr>
          <w:p>
            <w:pPr>
              <w:spacing w:after="0"/>
              <w:rPr>
                <w:sz w:val="1"/>
                <w:szCs w:val="1"/>
                <w:color w:val="auto"/>
              </w:rPr>
            </w:pPr>
          </w:p>
        </w:tc>
      </w:tr>
      <w:tr>
        <w:trPr>
          <w:trHeight w:val="22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20</w:t>
            </w:r>
          </w:p>
        </w:tc>
        <w:tc>
          <w:tcPr>
            <w:tcW w:w="0" w:type="dxa"/>
            <w:vAlign w:val="bottom"/>
          </w:tcPr>
          <w:p>
            <w:pPr>
              <w:spacing w:after="0"/>
              <w:rPr>
                <w:sz w:val="1"/>
                <w:szCs w:val="1"/>
                <w:color w:val="auto"/>
              </w:rPr>
            </w:pP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amortization</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(44)</w:t>
            </w:r>
          </w:p>
        </w:tc>
        <w:tc>
          <w:tcPr>
            <w:tcW w:w="0" w:type="dxa"/>
            <w:vAlign w:val="bottom"/>
          </w:tcPr>
          <w:p>
            <w:pPr>
              <w:spacing w:after="0"/>
              <w:rPr>
                <w:sz w:val="1"/>
                <w:szCs w:val="1"/>
                <w:color w:val="auto"/>
              </w:rPr>
            </w:pPr>
          </w:p>
        </w:tc>
      </w:tr>
      <w:tr>
        <w:trPr>
          <w:trHeight w:val="22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(11)</w:t>
            </w:r>
          </w:p>
        </w:tc>
        <w:tc>
          <w:tcPr>
            <w:tcW w:w="0" w:type="dxa"/>
            <w:vAlign w:val="bottom"/>
          </w:tcPr>
          <w:p>
            <w:pPr>
              <w:spacing w:after="0"/>
              <w:rPr>
                <w:sz w:val="1"/>
                <w:szCs w:val="1"/>
                <w:color w:val="auto"/>
              </w:rPr>
            </w:pPr>
          </w:p>
        </w:tc>
      </w:tr>
      <w:tr>
        <w:trPr>
          <w:trHeight w:val="223"/>
        </w:trPr>
        <w:tc>
          <w:tcPr>
            <w:tcW w:w="6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revenue</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68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298</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44</w:t>
            </w:r>
          </w:p>
        </w:tc>
        <w:tc>
          <w:tcPr>
            <w:tcW w:w="0" w:type="dxa"/>
            <w:vAlign w:val="bottom"/>
          </w:tcPr>
          <w:p>
            <w:pPr>
              <w:spacing w:after="0"/>
              <w:rPr>
                <w:sz w:val="1"/>
                <w:szCs w:val="1"/>
                <w:color w:val="auto"/>
              </w:rPr>
            </w:pPr>
          </w:p>
        </w:tc>
      </w:tr>
      <w:tr>
        <w:trPr>
          <w:trHeight w:val="229"/>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Mark-to-market for economic hedges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11</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Lease revenue</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(210)</w:t>
            </w:r>
          </w:p>
        </w:tc>
        <w:tc>
          <w:tcPr>
            <w:tcW w:w="0" w:type="dxa"/>
            <w:vAlign w:val="bottom"/>
          </w:tcPr>
          <w:p>
            <w:pPr>
              <w:spacing w:after="0"/>
              <w:rPr>
                <w:sz w:val="1"/>
                <w:szCs w:val="1"/>
                <w:color w:val="auto"/>
              </w:rPr>
            </w:pPr>
          </w:p>
        </w:tc>
      </w:tr>
      <w:tr>
        <w:trPr>
          <w:trHeight w:val="223"/>
        </w:trPr>
        <w:tc>
          <w:tcPr>
            <w:tcW w:w="6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42</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33333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101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333333"/>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143</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240" w:hanging="151"/>
        <w:spacing w:after="0"/>
        <w:tabs>
          <w:tab w:leader="none" w:pos="240"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following amounts of energy and capacity revenues relate to leases and are accounted for under ASC 842:</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7"/>
                <w:szCs w:val="17"/>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Renewables &amp; Storage</w:t>
            </w:r>
          </w:p>
        </w:tc>
        <w:tc>
          <w:tcPr>
            <w:tcW w:w="420" w:type="dxa"/>
            <w:vAlign w:val="bottom"/>
          </w:tcPr>
          <w:p>
            <w:pPr>
              <w:spacing w:after="0"/>
              <w:rPr>
                <w:sz w:val="17"/>
                <w:szCs w:val="17"/>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6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6"/>
              </w:rPr>
              <w:t>169</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Capacity revenue</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6"/>
              </w:rPr>
              <w:t>210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1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gridSpan w:val="6"/>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640" w:type="dxa"/>
            <w:vAlign w:val="bottom"/>
            <w:gridSpan w:val="3"/>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40" w:type="dxa"/>
            <w:vAlign w:val="bottom"/>
            <w:gridSpan w:val="2"/>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640" w:type="dxa"/>
            <w:vAlign w:val="bottom"/>
            <w:tcBorders>
              <w:top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Renewables &amp; Storage</w:t>
            </w:r>
          </w:p>
        </w:tc>
        <w:tc>
          <w:tcPr>
            <w:tcW w:w="4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6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Energy revenue </w:t>
            </w:r>
            <w:r>
              <w:rPr>
                <w:rFonts w:ascii="Times New Roman" w:cs="Times New Roman" w:eastAsia="Times New Roman" w:hAnsi="Times New Roman"/>
                <w:sz w:val="23"/>
                <w:szCs w:val="23"/>
                <w:color w:val="auto"/>
                <w:vertAlign w:val="superscript"/>
              </w:rPr>
              <w:t>(a)</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22</w:t>
            </w:r>
          </w:p>
        </w:tc>
        <w:tc>
          <w:tcPr>
            <w:tcW w:w="10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33333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221</w:t>
            </w:r>
          </w:p>
        </w:tc>
        <w:tc>
          <w:tcPr>
            <w:tcW w:w="10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Capacity revenue </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amortization</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w w:val="99"/>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9"/>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revenue</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Mark-to-market for economic hedges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Lease revenue</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240" w:hanging="151"/>
        <w:spacing w:after="0"/>
        <w:tabs>
          <w:tab w:leader="none" w:pos="240"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following amounts of energy and capacity revenues relate to leases and are accounted for under ASC 842:</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7"/>
                <w:szCs w:val="17"/>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Renewables &amp; Storage</w:t>
            </w:r>
          </w:p>
        </w:tc>
        <w:tc>
          <w:tcPr>
            <w:tcW w:w="360" w:type="dxa"/>
            <w:vAlign w:val="bottom"/>
          </w:tcPr>
          <w:p>
            <w:pPr>
              <w:spacing w:after="0"/>
              <w:rPr>
                <w:sz w:val="17"/>
                <w:szCs w:val="17"/>
                <w:color w:val="auto"/>
              </w:rPr>
            </w:pPr>
          </w:p>
        </w:tc>
        <w:tc>
          <w:tcPr>
            <w:tcW w:w="118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30"/>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Capacity revenue</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8"/>
        </w:trPr>
        <w:tc>
          <w:tcPr>
            <w:tcW w:w="6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p>
      <w:pPr>
        <w:ind w:left="42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reflects the contract assets included on the Company’s consolidated balance sheets: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1"/>
        </w:trPr>
        <w:tc>
          <w:tcPr>
            <w:tcW w:w="7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40" w:type="dxa"/>
            <w:vAlign w:val="bottom"/>
            <w:gridSpan w:val="3"/>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920" w:type="dxa"/>
            <w:vAlign w:val="bottom"/>
          </w:tcPr>
          <w:p>
            <w:pPr>
              <w:spacing w:after="0"/>
              <w:rPr>
                <w:sz w:val="18"/>
                <w:szCs w:val="18"/>
                <w:color w:val="auto"/>
              </w:rPr>
            </w:pPr>
          </w:p>
        </w:tc>
      </w:tr>
      <w:tr>
        <w:trPr>
          <w:trHeight w:val="23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 Contracts with customers</w:t>
            </w:r>
          </w:p>
        </w:tc>
        <w:tc>
          <w:tcPr>
            <w:tcW w:w="1480" w:type="dxa"/>
            <w:vAlign w:val="bottom"/>
            <w:shd w:val="clear" w:color="auto" w:fill="CCEEFF"/>
          </w:tcPr>
          <w:p>
            <w:pPr>
              <w:jc w:val="right"/>
              <w:ind w:right="127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Accounts receivable, net - Leases</w:t>
            </w:r>
          </w:p>
        </w:tc>
        <w:tc>
          <w:tcPr>
            <w:tcW w:w="14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8"/>
        </w:trPr>
        <w:tc>
          <w:tcPr>
            <w:tcW w:w="7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480" w:type="dxa"/>
            <w:vAlign w:val="bottom"/>
            <w:tcBorders>
              <w:bottom w:val="single" w:sz="8" w:color="auto"/>
            </w:tcBorders>
            <w:shd w:val="clear" w:color="auto" w:fill="CCEEFF"/>
          </w:tcPr>
          <w:p>
            <w:pPr>
              <w:jc w:val="right"/>
              <w:ind w:right="127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 </w:t>
      </w:r>
      <w:r>
        <w:rPr>
          <w:rFonts w:ascii="Times New Roman" w:cs="Times New Roman" w:eastAsia="Times New Roman" w:hAnsi="Times New Roman"/>
          <w:sz w:val="18"/>
          <w:szCs w:val="18"/>
          <w:b w:val="1"/>
          <w:bCs w:val="1"/>
          <w:i w:val="1"/>
          <w:iCs w:val="1"/>
          <w:color w:val="auto"/>
        </w:rPr>
        <w:t>Acquisitions</w:t>
      </w:r>
    </w:p>
    <w:p>
      <w:pPr>
        <w:spacing w:after="0" w:line="17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Tuolumne Wind Acquisition — </w:t>
      </w:r>
      <w:r>
        <w:rPr>
          <w:rFonts w:ascii="Times New Roman" w:cs="Times New Roman" w:eastAsia="Times New Roman" w:hAnsi="Times New Roman"/>
          <w:sz w:val="18"/>
          <w:szCs w:val="18"/>
          <w:color w:val="auto"/>
        </w:rPr>
        <w:t>On April 29, 2025, the Company acquired Tuolumne, a 137 MW wind facility located in Klickitat County,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Washington, from an investment-grade regulated entity for approximately $207 million, subject to working capital adjustments. Tuolumne reached commercial operations in 2009. In connection with the acquisition, the Company entered into a 15-year PPA with an investment-grade regulated entity that commenced in April 2025. Also in connection with the acquisition, the Company entered into a financing agreement, which included the issuance of a $163 million term loan, as well as $22 million in letters of credit in support of debt service and facility obligations, supported by the Company’s interests in the Tuolumne wind facility. The Company utilized a portion of the proceeds from the term loan to pay $4 million in related financing costs. The term loan bears interest at a rate of SOFR plus 1.625% per annum and matures on April 28, 2030. The acquisition was funded with the borrowings under the new non-recourse facility-level debt, as well as existing sources of liquidity. The Company estimates that its total capital investment in Tuolumne will be $61 million, which includes estimated transaction expenses.</w:t>
      </w:r>
    </w:p>
    <w:p>
      <w:pPr>
        <w:spacing w:after="0" w:line="13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Luna Valley Drop Down </w:t>
      </w:r>
      <w:r>
        <w:rPr>
          <w:rFonts w:ascii="Times New Roman" w:cs="Times New Roman" w:eastAsia="Times New Roman" w:hAnsi="Times New Roman"/>
          <w:sz w:val="18"/>
          <w:szCs w:val="18"/>
          <w:color w:val="auto"/>
        </w:rPr>
        <w:t>— On April 29, 2025, the Company, through its indirect subsidiary, LV-Daggett Parent Holdco LLC, acquired Luna Valley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B Member LLC, or Luna Valley Class B, the indirect owner of Luna Valley, a 200 MW solar facility that is currently under construction in Fresno County, California, from Clearway Renew for initial cash consideration of $18 million. At substantial completion, which is expected to occur in the second half of 2025, the Company estimates it will pay an additional $72 million to Clearway Renew. Luna Valley Class B consolidates as primary beneficiary, Luna Valley TE Holdco LLC, a tax equity fund that owns the Luna Valley solar facility. Also on April 29, 2025, a tax equity investor contributed $29 million to acquire the Class A membership interests in Luna Valley TE Holdco LLC. Luna Valley has PPAs with investment-grade counterparties that have a 17-year weighted average contract duration that commence when the underlying operating assets reach commercial operations, which is expected to occur in the second half of 2025. The acquisition was funded with existing sources of liquidity. The Company estimates that its total capital investment in Luna Valley Class B will be $90 million, excluding the impact of any closing adjustments noted in the purchase agreement.</w:t>
      </w:r>
    </w:p>
    <w:p>
      <w:pPr>
        <w:spacing w:after="0" w:line="13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Daggett 1 Drop Down </w:t>
      </w:r>
      <w:r>
        <w:rPr>
          <w:rFonts w:ascii="Times New Roman" w:cs="Times New Roman" w:eastAsia="Times New Roman" w:hAnsi="Times New Roman"/>
          <w:sz w:val="18"/>
          <w:szCs w:val="18"/>
          <w:color w:val="auto"/>
        </w:rPr>
        <w:t>— On April 29, 2025, the Company, through its indirect subsidiary, LV-Daggett Parent Holdco LLC, acquired Daggett 1 Class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 Member LLC, or Daggett 1 Class B, the indirect owner of Daggett 1, a 114 MW BESS facility that is currently under construction in San Bernardino County, California, from Clearway Renew for initial cash consideration of $11 million. At substantial completion, which is expected to occur in the second half of 2025, the Company estimates it will pay an additional $42 million to Clearway Renew. Daggett 1 Class B consolidates as primary beneficiary, Daggett 1 TE Holdco LLC, a tax equity fund that owns the Daggett 1 BESS facility. Also on April 29, 2025, a tax equity investor contributed $27 million to acquire the Class A membership interests in Daggett 1 TE Holdco LLC. Daggett 1 has a PPA for capacity with an investment-grade counterparty for a contract duration of 15 years that commences when the facility reaches commercial operations, which is expected to occur in the second half of 2025. The acquisition was funded with existing sources of liquidity. The Company estimates that its total capital investment in Daggett 1 Class B will be $53 million, excluding the impact of any closing adjustments noted in the purchase agreement.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5" w:name="page16"/>
    <w:bookmarkEnd w:id="15"/>
    <w:p>
      <w:pPr>
        <w:jc w:val="both"/>
        <w:ind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Rosamond South I Drop Down </w:t>
      </w:r>
      <w:r>
        <w:rPr>
          <w:rFonts w:ascii="Times New Roman" w:cs="Times New Roman" w:eastAsia="Times New Roman" w:hAnsi="Times New Roman"/>
          <w:sz w:val="18"/>
          <w:szCs w:val="18"/>
          <w:color w:val="auto"/>
        </w:rPr>
        <w:t>— On March 20, 2025, the Company, through its indirect subsidiary, Rosamond South Investment LLC, acquired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Class A membership interests in Rosie South TargetCo LLC, or Rosie South TargetCo, a partnership and the indirect owner of Rosamond South I, a 140 MW solar facility that is paired with a 117 MW BESS facility, which are both currently under construction in Rosamond, California, from Clearway Renew for initial cash consideration of $4 million. Simultaneously, a third-party cash equity investor acquired the Class B membership interests in Rosie South TargetCo from Clearway Renew for initial cash consideration of $10 million. At substantial completion, which is expected to occur in the second half of 2025, the Company estimates it will pay an additional $17 million to Clearway Renew and the third-party cash equity investor will contribute an additional $41 million. Rosie South TargetCo consolidates as primary beneficiary, Rosie South TE Holdco LLC, a tax equity fund that owns the Rosamond South I solar and BESS facility, as further described in Note 4,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Rosamond South I has PPAs with investment-grade counterparties that have a 15-year weighted average contract duration that commence when the underlying operating assets reach commercial operations, which is expected to occur in the second half of 2025. The Rosamond South I operations are reflected in the Company’s Renewables &amp; Storage segment and the acquisition was funded with existing sources of liquidity. The acquisition was determined to be an asset acquisition and the Company consolidates Rosamond South I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8"/>
          <w:szCs w:val="18"/>
          <w:i w:val="1"/>
          <w:iCs w:val="1"/>
          <w:color w:val="auto"/>
        </w:rPr>
        <w:t>Business Combinations -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Issues</w:t>
      </w:r>
      <w:r>
        <w:rPr>
          <w:rFonts w:ascii="Times New Roman" w:cs="Times New Roman" w:eastAsia="Times New Roman" w:hAnsi="Times New Roman"/>
          <w:sz w:val="18"/>
          <w:szCs w:val="18"/>
          <w:color w:val="auto"/>
        </w:rPr>
        <w:t>. The sum of the initial cash consideration of $4 million and the historical cost of the Company’s net liabilities assumed of $3 million was recorded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adjustment to contributed capital. In addition, the Company reflected the entire $4 million of the Company’s initial purchase price, which was contributed back to the Company by CEG to pay down the acquired long-term debt, in the line item distributions to CEG, net of contributions in the consolidated statements of members’ equity. The Company estimates that its total capital investment in Rosie South TargetCo will be $21 million, excluding the impact of any closing adjustments noted in the purchase agreement.</w:t>
      </w:r>
    </w:p>
    <w:p>
      <w:pPr>
        <w:spacing w:after="0" w:line="1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assets and liabilities transferred in connection with the acquisition as of March 20, 2025: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Rosamond South I</w:t>
            </w:r>
          </w:p>
        </w:tc>
      </w:tr>
      <w:tr>
        <w:trPr>
          <w:trHeight w:val="226"/>
        </w:trPr>
        <w:tc>
          <w:tcPr>
            <w:tcW w:w="9140" w:type="dxa"/>
            <w:vAlign w:val="bottom"/>
            <w:gridSpan w:val="2"/>
            <w:shd w:val="clear" w:color="auto" w:fill="CCEEFF"/>
          </w:tcPr>
          <w:p>
            <w:pPr>
              <w:ind w:left="140"/>
              <w:spacing w:after="0" w:line="226" w:lineRule="exact"/>
              <w:rPr>
                <w:sz w:val="20"/>
                <w:szCs w:val="20"/>
                <w:color w:val="auto"/>
              </w:rPr>
            </w:pPr>
            <w:r>
              <w:rPr>
                <w:rFonts w:ascii="Times New Roman" w:cs="Times New Roman" w:eastAsia="Times New Roman" w:hAnsi="Times New Roman"/>
                <w:sz w:val="18"/>
                <w:szCs w:val="18"/>
                <w:color w:val="auto"/>
              </w:rPr>
              <w:t xml:space="preserve">Property, plant and equipment </w:t>
            </w:r>
            <w:r>
              <w:rPr>
                <w:rFonts w:ascii="Times New Roman" w:cs="Times New Roman" w:eastAsia="Times New Roman" w:hAnsi="Times New Roman"/>
                <w:sz w:val="21"/>
                <w:szCs w:val="21"/>
                <w:color w:val="auto"/>
                <w:vertAlign w:val="superscript"/>
              </w:rPr>
              <w:t>(a)</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29"/>
        </w:trPr>
        <w:tc>
          <w:tcPr>
            <w:tcW w:w="914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Right-of-use assets, net </w:t>
            </w:r>
            <w:r>
              <w:rPr>
                <w:rFonts w:ascii="Times New Roman" w:cs="Times New Roman" w:eastAsia="Times New Roman" w:hAnsi="Times New Roman"/>
                <w:sz w:val="21"/>
                <w:szCs w:val="21"/>
                <w:color w:val="auto"/>
                <w:vertAlign w:val="superscript"/>
              </w:rPr>
              <w:t>(b)</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9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9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assets acquired</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70"/>
        </w:trPr>
        <w:tc>
          <w:tcPr>
            <w:tcW w:w="2180" w:type="dxa"/>
            <w:vAlign w:val="bottom"/>
            <w:shd w:val="clear" w:color="auto" w:fill="CCEEFF"/>
          </w:tcPr>
          <w:p>
            <w:pPr>
              <w:spacing w:after="0"/>
              <w:rPr>
                <w:sz w:val="23"/>
                <w:szCs w:val="23"/>
                <w:color w:val="auto"/>
              </w:rPr>
            </w:pPr>
          </w:p>
        </w:tc>
        <w:tc>
          <w:tcPr>
            <w:tcW w:w="6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r>
      <w:tr>
        <w:trPr>
          <w:trHeight w:val="229"/>
        </w:trPr>
        <w:tc>
          <w:tcPr>
            <w:tcW w:w="914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1"/>
                <w:szCs w:val="21"/>
                <w:color w:val="auto"/>
                <w:vertAlign w:val="superscript"/>
              </w:rPr>
              <w:t>(c)</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30"/>
        </w:trPr>
        <w:tc>
          <w:tcPr>
            <w:tcW w:w="914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Long-term lease liabilities </w:t>
            </w:r>
            <w:r>
              <w:rPr>
                <w:rFonts w:ascii="Times New Roman" w:cs="Times New Roman" w:eastAsia="Times New Roman" w:hAnsi="Times New Roman"/>
                <w:sz w:val="21"/>
                <w:szCs w:val="21"/>
                <w:color w:val="auto"/>
                <w:vertAlign w:val="superscript"/>
              </w:rPr>
              <w:t>(b)</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9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liabilities</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9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914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23"/>
        </w:trPr>
        <w:tc>
          <w:tcPr>
            <w:tcW w:w="9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9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Net liabilities assumed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1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55"/>
        </w:trPr>
        <w:tc>
          <w:tcPr>
            <w:tcW w:w="2180" w:type="dxa"/>
            <w:vAlign w:val="bottom"/>
            <w:tcBorders>
              <w:bottom w:val="single" w:sz="8" w:color="auto"/>
            </w:tcBorders>
          </w:tcPr>
          <w:p>
            <w:pPr>
              <w:spacing w:after="0"/>
              <w:rPr>
                <w:sz w:val="13"/>
                <w:szCs w:val="13"/>
                <w:color w:val="auto"/>
              </w:rPr>
            </w:pPr>
          </w:p>
        </w:tc>
        <w:tc>
          <w:tcPr>
            <w:tcW w:w="6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40" w:type="dxa"/>
            <w:vAlign w:val="bottom"/>
          </w:tcPr>
          <w:p>
            <w:pPr>
              <w:spacing w:after="0"/>
              <w:rPr>
                <w:sz w:val="13"/>
                <w:szCs w:val="13"/>
                <w:color w:val="auto"/>
              </w:rPr>
            </w:pPr>
          </w:p>
        </w:tc>
      </w:tr>
    </w:tbl>
    <w:p>
      <w:pPr>
        <w:spacing w:after="0" w:line="84" w:lineRule="exact"/>
        <w:rPr>
          <w:sz w:val="20"/>
          <w:szCs w:val="20"/>
          <w:color w:val="auto"/>
        </w:rPr>
      </w:pPr>
    </w:p>
    <w:p>
      <w:pPr>
        <w:ind w:left="240" w:hanging="151"/>
        <w:spacing w:after="0"/>
        <w:tabs>
          <w:tab w:leader="none" w:pos="24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Includes Construction in progress of $495 million.</w:t>
      </w:r>
    </w:p>
    <w:p>
      <w:pPr>
        <w:spacing w:after="0" w:line="57" w:lineRule="exact"/>
        <w:rPr>
          <w:rFonts w:ascii="Times New Roman" w:cs="Times New Roman" w:eastAsia="Times New Roman" w:hAnsi="Times New Roman"/>
          <w:sz w:val="20"/>
          <w:szCs w:val="20"/>
          <w:color w:val="auto"/>
          <w:vertAlign w:val="superscript"/>
        </w:rPr>
      </w:pPr>
    </w:p>
    <w:p>
      <w:pPr>
        <w:ind w:left="240" w:hanging="151"/>
        <w:spacing w:after="0" w:line="189" w:lineRule="auto"/>
        <w:tabs>
          <w:tab w:leader="none" w:pos="24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Balances primarily relate to a land lease agreement with a wholly-owned subsidiary of CEG, which expires on September 30, 2058.</w:t>
      </w:r>
    </w:p>
    <w:p>
      <w:pPr>
        <w:spacing w:after="0" w:line="57" w:lineRule="exact"/>
        <w:rPr>
          <w:rFonts w:ascii="Times New Roman" w:cs="Times New Roman" w:eastAsia="Times New Roman" w:hAnsi="Times New Roman"/>
          <w:sz w:val="19"/>
          <w:szCs w:val="19"/>
          <w:color w:val="auto"/>
          <w:vertAlign w:val="superscript"/>
        </w:rPr>
      </w:pPr>
    </w:p>
    <w:p>
      <w:pPr>
        <w:ind w:left="80" w:firstLine="9"/>
        <w:spacing w:after="0" w:line="217" w:lineRule="auto"/>
        <w:tabs>
          <w:tab w:leader="none" w:pos="233"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 xml:space="preserve">Includes a $179 million construction loan, a $6 million cash equity bridge loan and a $284 million tax equity bridge loan, offset by $1 million in unamortized debt issuance costs. See Note 7, </w:t>
      </w:r>
      <w:r>
        <w:rPr>
          <w:rFonts w:ascii="Times New Roman" w:cs="Times New Roman" w:eastAsia="Times New Roman" w:hAnsi="Times New Roman"/>
          <w:sz w:val="13"/>
          <w:szCs w:val="13"/>
          <w:i w:val="1"/>
          <w:iCs w:val="1"/>
          <w:color w:val="auto"/>
        </w:rPr>
        <w:t>Long-term Debt</w:t>
      </w:r>
      <w:r>
        <w:rPr>
          <w:rFonts w:ascii="Times New Roman" w:cs="Times New Roman" w:eastAsia="Times New Roman" w:hAnsi="Times New Roman"/>
          <w:sz w:val="13"/>
          <w:szCs w:val="13"/>
          <w:color w:val="auto"/>
        </w:rPr>
        <w:t>, for further discussion of the long-term debt assumed in the acquisition.</w:t>
      </w:r>
    </w:p>
    <w:p>
      <w:pPr>
        <w:spacing w:after="0" w:line="151" w:lineRule="exact"/>
        <w:rPr>
          <w:sz w:val="20"/>
          <w:szCs w:val="20"/>
          <w:color w:val="auto"/>
        </w:rPr>
      </w:pPr>
    </w:p>
    <w:p>
      <w:pPr>
        <w:ind w:right="462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Note 4 — </w:t>
      </w:r>
      <w:r>
        <w:rPr>
          <w:rFonts w:ascii="Times New Roman" w:cs="Times New Roman" w:eastAsia="Times New Roman" w:hAnsi="Times New Roman"/>
          <w:sz w:val="18"/>
          <w:szCs w:val="18"/>
          <w:b w:val="1"/>
          <w:bCs w:val="1"/>
          <w:i w:val="1"/>
          <w:iCs w:val="1"/>
          <w:color w:val="auto"/>
        </w:rPr>
        <w:t>Investments Accounted for by the Equity Method and Variable Interest Entities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Entities that are not Consolidated</w:t>
      </w:r>
    </w:p>
    <w:p>
      <w:pPr>
        <w:spacing w:after="0" w:line="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interests in entities that are considered VIEs under ASC 810, but for which it is not considered the primary beneficiary. The Company accounts for its interests in these entities and entities in which it has a significant investment under the equity method of accounting, as further described under Item 15 — 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the consolidated financial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included in the Company’s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 xml:space="preserve"> Form 10</w:t>
      </w:r>
      <w:r>
        <w:rPr>
          <w:rFonts w:ascii="Times New Roman" w:cs="Times New Roman" w:eastAsia="Times New Roman" w:hAnsi="Times New Roman"/>
          <w:sz w:val="18"/>
          <w:szCs w:val="18"/>
          <w:color w:val="000000"/>
        </w:rPr>
        <w:t>-K.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ind w:left="420"/>
        <w:spacing w:after="0"/>
        <w:rPr>
          <w:sz w:val="20"/>
          <w:szCs w:val="20"/>
          <w:color w:val="auto"/>
        </w:rPr>
      </w:pPr>
      <w:r>
        <w:rPr>
          <w:rFonts w:ascii="Times New Roman" w:cs="Times New Roman" w:eastAsia="Times New Roman" w:hAnsi="Times New Roman"/>
          <w:sz w:val="18"/>
          <w:szCs w:val="18"/>
          <w:color w:val="auto"/>
        </w:rPr>
        <w:t>The following table reflects the Company’s equity investments in unconsolidated affiliates as of March 31, 2025:</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6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Economic Interest</w:t>
            </w:r>
          </w:p>
        </w:tc>
        <w:tc>
          <w:tcPr>
            <w:tcW w:w="180" w:type="dxa"/>
            <w:vAlign w:val="bottom"/>
          </w:tcPr>
          <w:p>
            <w:pPr>
              <w:spacing w:after="0"/>
              <w:rPr>
                <w:sz w:val="22"/>
                <w:szCs w:val="22"/>
                <w:color w:val="auto"/>
              </w:rPr>
            </w:pPr>
          </w:p>
        </w:tc>
        <w:tc>
          <w:tcPr>
            <w:tcW w:w="184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 xml:space="preserve">Investment Balance </w:t>
            </w:r>
            <w:r>
              <w:rPr>
                <w:rFonts w:ascii="Times New Roman" w:cs="Times New Roman" w:eastAsia="Times New Roman" w:hAnsi="Times New Roman"/>
                <w:sz w:val="23"/>
                <w:szCs w:val="23"/>
                <w:b w:val="1"/>
                <w:bCs w:val="1"/>
                <w:color w:val="auto"/>
                <w:vertAlign w:val="superscript"/>
              </w:rPr>
              <w:t>(a)</w:t>
            </w:r>
          </w:p>
        </w:tc>
      </w:tr>
      <w:tr>
        <w:trPr>
          <w:trHeight w:val="208"/>
        </w:trPr>
        <w:tc>
          <w:tcPr>
            <w:tcW w:w="2180" w:type="dxa"/>
            <w:vAlign w:val="bottom"/>
            <w:tcBorders>
              <w:top w:val="single" w:sz="8" w:color="auto"/>
            </w:tcBorders>
          </w:tcPr>
          <w:p>
            <w:pPr>
              <w:spacing w:after="0"/>
              <w:rPr>
                <w:sz w:val="18"/>
                <w:szCs w:val="18"/>
                <w:color w:val="auto"/>
              </w:rPr>
            </w:pPr>
          </w:p>
        </w:tc>
        <w:tc>
          <w:tcPr>
            <w:tcW w:w="5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31"/>
        </w:trPr>
        <w:tc>
          <w:tcPr>
            <w:tcW w:w="7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Avenal</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Desert Sunlight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9"/>
        </w:trPr>
        <w:tc>
          <w:tcPr>
            <w:tcW w:w="7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Elkhorn Ridge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766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GenConn </w:t>
            </w:r>
            <w:r>
              <w:rPr>
                <w:rFonts w:ascii="Times New Roman" w:cs="Times New Roman" w:eastAsia="Times New Roman" w:hAnsi="Times New Roman"/>
                <w:sz w:val="23"/>
                <w:szCs w:val="23"/>
                <w:color w:val="auto"/>
                <w:vertAlign w:val="superscript"/>
              </w:rPr>
              <w:t>(b)</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7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 Juan Mesa</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18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
        </w:trPr>
        <w:tc>
          <w:tcPr>
            <w:tcW w:w="21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69"/>
        </w:trPr>
        <w:tc>
          <w:tcPr>
            <w:tcW w:w="2180" w:type="dxa"/>
            <w:vAlign w:val="bottom"/>
            <w:tcBorders>
              <w:bottom w:val="single" w:sz="8" w:color="auto"/>
            </w:tcBorders>
          </w:tcPr>
          <w:p>
            <w:pPr>
              <w:spacing w:after="0"/>
              <w:rPr>
                <w:sz w:val="14"/>
                <w:szCs w:val="14"/>
                <w:color w:val="auto"/>
              </w:rPr>
            </w:pPr>
          </w:p>
        </w:tc>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Pr>
          <w:p>
            <w:pPr>
              <w:spacing w:after="0"/>
              <w:rPr>
                <w:sz w:val="14"/>
                <w:szCs w:val="14"/>
                <w:color w:val="auto"/>
              </w:rPr>
            </w:pPr>
          </w:p>
        </w:tc>
      </w:tr>
    </w:tbl>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6"/>
          <w:szCs w:val="16"/>
          <w:color w:val="auto"/>
        </w:rPr>
        <w:t xml:space="preserve"> The Company’s maximum exposure to loss is limited to its investment balances.</w:t>
      </w:r>
    </w:p>
    <w:p>
      <w:pPr>
        <w:ind w:left="80"/>
        <w:spacing w:after="0"/>
        <w:rPr>
          <w:sz w:val="20"/>
          <w:szCs w:val="20"/>
          <w:color w:val="auto"/>
        </w:rPr>
      </w:pPr>
      <w:r>
        <w:rPr>
          <w:rFonts w:ascii="Times New Roman" w:cs="Times New Roman" w:eastAsia="Times New Roman" w:hAnsi="Times New Roman"/>
          <w:sz w:val="23"/>
          <w:szCs w:val="23"/>
          <w:color w:val="auto"/>
          <w:vertAlign w:val="superscript"/>
        </w:rPr>
        <w:t>(b)</w:t>
      </w:r>
      <w:r>
        <w:rPr>
          <w:rFonts w:ascii="Times New Roman" w:cs="Times New Roman" w:eastAsia="Times New Roman" w:hAnsi="Times New Roman"/>
          <w:sz w:val="16"/>
          <w:szCs w:val="16"/>
          <w:color w:val="auto"/>
        </w:rPr>
        <w:t xml:space="preserve"> GenConn is a VIE.</w:t>
      </w:r>
    </w:p>
    <w:p>
      <w:pPr>
        <w:spacing w:after="0" w:line="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Entities that are Consolidated</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As further described under Item 15 — 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to the consolidated financial statements included in the Company’s 2024 Form 10-K, the Company has a controlling financial interest in certain entities which have been identified as VIEs under ASC 810, </w:t>
      </w:r>
      <w:r>
        <w:rPr>
          <w:rFonts w:ascii="Times New Roman" w:cs="Times New Roman" w:eastAsia="Times New Roman" w:hAnsi="Times New Roman"/>
          <w:sz w:val="18"/>
          <w:szCs w:val="18"/>
          <w:i w:val="1"/>
          <w:iCs w:val="1"/>
          <w:color w:val="auto"/>
        </w:rPr>
        <w:t>Consolidations</w:t>
      </w:r>
      <w:r>
        <w:rPr>
          <w:rFonts w:ascii="Times New Roman" w:cs="Times New Roman" w:eastAsia="Times New Roman" w:hAnsi="Times New Roman"/>
          <w:sz w:val="18"/>
          <w:szCs w:val="18"/>
          <w:color w:val="auto"/>
        </w:rPr>
        <w:t>, or ASC 810. These arrangements are primarily related to tax equity arrangements entered into with third parties in order to monetize certain tax credits associated with wind, solar and BESS facilities. The Company also has a controlling financial interest in certain partnership arrangements with third-party investors, which also have been identified as VIEs. Under the Company’s arrangements that have been identified as VIEs, the third-party investors are allocated earnings, tax attributes and distributable cash in accordance with the respective limited liability company agreements. Many of these arrangements also provide a mechanism to facilitate achievement of the investor’s specified return by providing incremental cash distributions to the investor at a specified date if the specified return has not yet been achieved.</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significant activity during the three months ended March 31, 2025 related to the Company’s consolidated VIEs:</w:t>
      </w:r>
    </w:p>
    <w:p>
      <w:pPr>
        <w:spacing w:after="0" w:line="167" w:lineRule="exact"/>
        <w:rPr>
          <w:sz w:val="20"/>
          <w:szCs w:val="20"/>
          <w:color w:val="auto"/>
        </w:rPr>
      </w:pPr>
    </w:p>
    <w:p>
      <w:pPr>
        <w:jc w:val="both"/>
        <w:ind w:firstLine="405"/>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Rosie South TargetCo </w:t>
      </w:r>
      <w:r>
        <w:rPr>
          <w:rFonts w:ascii="Times New Roman" w:cs="Times New Roman" w:eastAsia="Times New Roman" w:hAnsi="Times New Roman"/>
          <w:sz w:val="17"/>
          <w:szCs w:val="17"/>
          <w:color w:val="auto"/>
        </w:rPr>
        <w:t>— As described in Note 3,</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Acquisitions</w:t>
      </w:r>
      <w:r>
        <w:rPr>
          <w:rFonts w:ascii="Times New Roman" w:cs="Times New Roman" w:eastAsia="Times New Roman" w:hAnsi="Times New Roman"/>
          <w:sz w:val="17"/>
          <w:szCs w:val="17"/>
          <w:color w:val="auto"/>
        </w:rPr>
        <w:t>, on March 20, 2025, Rosamond South Investment LLC, an indirect subsidiary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acquired the Class A membership interests in Rosie South TargetCo, which is a partnership. The Company consolidates Rosie South TargetCo as a VIE, as the Company is the primary beneficiary. Through its membership interests in Rosie South TargetCo, the Company receives 50% of distributable cash. The Company recorded the third-party cash equity investor’s noncontrolling interest in Rosie South TargetCo at the historical carrying amount, with the offset to contributed capital. Rosie South TargetCo consolidates as primary beneficiary, and through its ownership of the Class B membership interests, Rosie South TE Holdco LLC, a tax equity fund that owns the Rosamond South I solar and BESS facility. The Class A membership interests in Rosie South TE Holdco LLC are held by a tax equity investor and are reflected as noncontrolling interest on the Company’s consolidated balance sheet.</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has updated the following disclosure of assets and liabilities for its consolidated VIEs to present combined totals, and has revised the amounts as of December 31, 2024 to reflect accurate comparative totals for the same relevant entities: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Pr>
          <w:p>
            <w:pPr>
              <w:spacing w:after="0"/>
              <w:rPr>
                <w:sz w:val="18"/>
                <w:szCs w:val="18"/>
                <w:color w:val="auto"/>
              </w:rPr>
            </w:pPr>
          </w:p>
        </w:tc>
        <w:tc>
          <w:tcPr>
            <w:tcW w:w="156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6"/>
        </w:trPr>
        <w:tc>
          <w:tcPr>
            <w:tcW w:w="7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3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5,985</w:t>
            </w:r>
          </w:p>
        </w:tc>
      </w:tr>
      <w:tr>
        <w:trPr>
          <w:trHeight w:val="223"/>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r>
      <w:tr>
        <w:trPr>
          <w:trHeight w:val="234"/>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 xml:space="preserve">Note 5 — </w:t>
      </w:r>
      <w:r>
        <w:rPr>
          <w:rFonts w:ascii="Times New Roman" w:cs="Times New Roman" w:eastAsia="Times New Roman" w:hAnsi="Times New Roman"/>
          <w:sz w:val="18"/>
          <w:szCs w:val="18"/>
          <w:b w:val="1"/>
          <w:bCs w:val="1"/>
          <w:i w:val="1"/>
          <w:iCs w:val="1"/>
          <w:color w:val="auto"/>
        </w:rPr>
        <w:t>Fair Value of Financial Instruments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Accounting under ASC 820</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ASC 820 establishes a fair value hierarchy that prioritizes the inputs to valuation techniques used to measure fair value into three levels as follows:</w:t>
      </w:r>
    </w:p>
    <w:p>
      <w:pPr>
        <w:spacing w:after="0" w:line="63" w:lineRule="exact"/>
        <w:rPr>
          <w:sz w:val="20"/>
          <w:szCs w:val="20"/>
          <w:color w:val="auto"/>
        </w:rPr>
      </w:pPr>
    </w:p>
    <w:p>
      <w:pPr>
        <w:ind w:left="1220" w:hanging="240"/>
        <w:spacing w:after="0" w:line="281" w:lineRule="auto"/>
        <w:tabs>
          <w:tab w:leader="none" w:pos="1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(unadjusted) in active markets for identical assets or liabilities that the Company has the ability to access as of the measurement date.</w:t>
      </w:r>
    </w:p>
    <w:p>
      <w:pPr>
        <w:spacing w:after="0" w:line="1" w:lineRule="exact"/>
        <w:rPr>
          <w:rFonts w:ascii="Times New Roman" w:cs="Times New Roman" w:eastAsia="Times New Roman" w:hAnsi="Times New Roman"/>
          <w:sz w:val="18"/>
          <w:szCs w:val="18"/>
          <w:color w:val="auto"/>
        </w:rPr>
      </w:pPr>
    </w:p>
    <w:p>
      <w:pPr>
        <w:ind w:left="1220" w:hanging="240"/>
        <w:spacing w:after="0" w:line="281" w:lineRule="auto"/>
        <w:tabs>
          <w:tab w:leader="none" w:pos="1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1" w:lineRule="exact"/>
        <w:rPr>
          <w:rFonts w:ascii="Times New Roman" w:cs="Times New Roman" w:eastAsia="Times New Roman" w:hAnsi="Times New Roman"/>
          <w:sz w:val="18"/>
          <w:szCs w:val="18"/>
          <w:color w:val="auto"/>
        </w:rPr>
      </w:pPr>
    </w:p>
    <w:p>
      <w:pPr>
        <w:ind w:left="1220" w:right="20" w:hanging="240"/>
        <w:spacing w:after="0" w:line="282" w:lineRule="auto"/>
        <w:tabs>
          <w:tab w:leader="none" w:pos="1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for the asset or liability only used when there is little, if any, market activity for the asset or liability at the measurement date.</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cash and cash equivalents, restricted cash, accounts receivable — trade, accounts payable — trade, accounts payable — affiliates and accrued expenses and other current liabilities, the carrying amounts approximate fair value because of the short-term maturity of those instruments and are classified as Level 1 within the fair value hierarchy.</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carrying amount and estimated fair value of the Company’s recorded financial instrument not carried at fair market value or that does not approximate fair value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420" w:type="dxa"/>
            <w:vAlign w:val="bottom"/>
          </w:tcPr>
          <w:p>
            <w:pPr>
              <w:spacing w:after="0"/>
              <w:rPr>
                <w:sz w:val="16"/>
                <w:szCs w:val="16"/>
                <w:color w:val="auto"/>
              </w:rPr>
            </w:pPr>
          </w:p>
        </w:tc>
        <w:tc>
          <w:tcPr>
            <w:tcW w:w="2100" w:type="dxa"/>
            <w:vAlign w:val="bottom"/>
            <w:gridSpan w:val="3"/>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3"/>
        </w:trPr>
        <w:tc>
          <w:tcPr>
            <w:tcW w:w="61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6100" w:type="dxa"/>
            <w:vAlign w:val="bottom"/>
          </w:tcPr>
          <w:p>
            <w:pPr>
              <w:spacing w:after="0"/>
              <w:rPr>
                <w:sz w:val="16"/>
                <w:szCs w:val="16"/>
                <w:color w:val="auto"/>
              </w:rPr>
            </w:pPr>
          </w:p>
        </w:tc>
        <w:tc>
          <w:tcPr>
            <w:tcW w:w="126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6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6"/>
        </w:trPr>
        <w:tc>
          <w:tcPr>
            <w:tcW w:w="6100" w:type="dxa"/>
            <w:vAlign w:val="bottom"/>
            <w:shd w:val="clear" w:color="auto" w:fill="CCEEFF"/>
          </w:tcPr>
          <w:p>
            <w:pPr>
              <w:ind w:left="40"/>
              <w:spacing w:after="0" w:line="235" w:lineRule="exact"/>
              <w:rPr>
                <w:sz w:val="20"/>
                <w:szCs w:val="20"/>
                <w:color w:val="auto"/>
              </w:rPr>
            </w:pPr>
            <w:r>
              <w:rPr>
                <w:rFonts w:ascii="Times New Roman" w:cs="Times New Roman" w:eastAsia="Times New Roman" w:hAnsi="Times New Roman"/>
                <w:sz w:val="18"/>
                <w:szCs w:val="18"/>
                <w:color w:val="auto"/>
              </w:rPr>
              <w:t xml:space="preserve">Long-term debt, including current portion </w:t>
            </w:r>
            <w:r>
              <w:rPr>
                <w:rFonts w:ascii="Times New Roman" w:cs="Times New Roman" w:eastAsia="Times New Roman" w:hAnsi="Times New Roman"/>
                <w:sz w:val="23"/>
                <w:szCs w:val="23"/>
                <w:color w:val="auto"/>
                <w:vertAlign w:val="superscript"/>
              </w:rPr>
              <w:t>(a)</w:t>
            </w:r>
          </w:p>
        </w:tc>
        <w:tc>
          <w:tcPr>
            <w:tcW w:w="3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7,677</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7,255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7,237</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798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86" w:lineRule="exact"/>
        <w:rPr>
          <w:sz w:val="20"/>
          <w:szCs w:val="20"/>
          <w:color w:val="auto"/>
        </w:rPr>
      </w:pPr>
    </w:p>
    <w:p>
      <w:pPr>
        <w:ind w:left="240" w:hanging="151"/>
        <w:spacing w:after="0"/>
        <w:tabs>
          <w:tab w:leader="none" w:pos="240"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Excludes net debt issuance costs, which are recorded as a reduction to long-term debt on the Company’s consolidated balance sheets.</w:t>
      </w:r>
    </w:p>
    <w:p>
      <w:pPr>
        <w:spacing w:after="0" w:line="1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360" w:type="dxa"/>
            <w:vAlign w:val="bottom"/>
          </w:tcPr>
          <w:p>
            <w:pPr>
              <w:spacing w:after="0"/>
              <w:rPr>
                <w:sz w:val="16"/>
                <w:szCs w:val="16"/>
                <w:color w:val="auto"/>
              </w:rPr>
            </w:pPr>
          </w:p>
        </w:tc>
        <w:tc>
          <w:tcPr>
            <w:tcW w:w="2160" w:type="dxa"/>
            <w:vAlign w:val="bottom"/>
            <w:gridSpan w:val="3"/>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3"/>
        </w:trPr>
        <w:tc>
          <w:tcPr>
            <w:tcW w:w="6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6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96"/>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1,943</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5,312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1,922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records its derivative assets and liabilities at fair market value on its consolidated balance sheets. The following table presents assets and liabilities measured and recorded at fair value on the Company’s consolidated balance sheets on a recurring basis and their level within the fair value hierarchy:</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280" w:type="dxa"/>
            <w:vAlign w:val="bottom"/>
          </w:tcPr>
          <w:p>
            <w:pPr>
              <w:spacing w:after="0"/>
              <w:rPr>
                <w:sz w:val="16"/>
                <w:szCs w:val="16"/>
                <w:color w:val="auto"/>
              </w:rPr>
            </w:pPr>
          </w:p>
        </w:tc>
        <w:tc>
          <w:tcPr>
            <w:tcW w:w="2980" w:type="dxa"/>
            <w:vAlign w:val="bottom"/>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21"/>
                <w:szCs w:val="21"/>
                <w:b w:val="1"/>
                <w:bCs w:val="1"/>
                <w:color w:val="auto"/>
                <w:vertAlign w:val="superscript"/>
              </w:rPr>
              <w:t>(a)</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3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21"/>
                <w:szCs w:val="21"/>
                <w:b w:val="1"/>
                <w:bCs w:val="1"/>
                <w:color w:val="auto"/>
                <w:vertAlign w:val="superscript"/>
              </w:rPr>
              <w:t>(a)</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7"/>
                <w:szCs w:val="17"/>
                <w:color w:val="auto"/>
              </w:rPr>
            </w:pPr>
          </w:p>
        </w:tc>
        <w:tc>
          <w:tcPr>
            <w:tcW w:w="12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Level 2 </w:t>
            </w:r>
            <w:r>
              <w:rPr>
                <w:rFonts w:ascii="Times New Roman" w:cs="Times New Roman" w:eastAsia="Times New Roman" w:hAnsi="Times New Roman"/>
                <w:sz w:val="21"/>
                <w:szCs w:val="21"/>
                <w:b w:val="1"/>
                <w:bCs w:val="1"/>
                <w:color w:val="auto"/>
                <w:vertAlign w:val="superscript"/>
              </w:rPr>
              <w:t>(b)</w:t>
            </w:r>
          </w:p>
        </w:tc>
        <w:tc>
          <w:tcPr>
            <w:tcW w:w="440" w:type="dxa"/>
            <w:vAlign w:val="bottom"/>
          </w:tcPr>
          <w:p>
            <w:pPr>
              <w:spacing w:after="0"/>
              <w:rPr>
                <w:sz w:val="17"/>
                <w:szCs w:val="17"/>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Level 2 </w:t>
            </w:r>
            <w:r>
              <w:rPr>
                <w:rFonts w:ascii="Times New Roman" w:cs="Times New Roman" w:eastAsia="Times New Roman" w:hAnsi="Times New Roman"/>
                <w:sz w:val="21"/>
                <w:szCs w:val="21"/>
                <w:b w:val="1"/>
                <w:bCs w:val="1"/>
                <w:color w:val="auto"/>
                <w:vertAlign w:val="superscript"/>
              </w:rPr>
              <w:t>(b)</w:t>
            </w:r>
          </w:p>
        </w:tc>
        <w:tc>
          <w:tcPr>
            <w:tcW w:w="480" w:type="dxa"/>
            <w:vAlign w:val="bottom"/>
          </w:tcPr>
          <w:p>
            <w:pPr>
              <w:spacing w:after="0"/>
              <w:rPr>
                <w:sz w:val="17"/>
                <w:szCs w:val="17"/>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Energy-related commodity contracts </w:t>
            </w:r>
            <w:r>
              <w:rPr>
                <w:rFonts w:ascii="Times New Roman" w:cs="Times New Roman" w:eastAsia="Times New Roman" w:hAnsi="Times New Roman"/>
                <w:sz w:val="23"/>
                <w:szCs w:val="23"/>
                <w:color w:val="auto"/>
                <w:vertAlign w:val="superscript"/>
              </w:rPr>
              <w:t>(c)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contracts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Other financial instruments </w:t>
            </w:r>
            <w:r>
              <w:rPr>
                <w:rFonts w:ascii="Times New Roman" w:cs="Times New Roman" w:eastAsia="Times New Roman" w:hAnsi="Times New Roman"/>
                <w:sz w:val="23"/>
                <w:szCs w:val="23"/>
                <w:b w:val="1"/>
                <w:bCs w:val="1"/>
                <w:color w:val="auto"/>
                <w:vertAlign w:val="superscript"/>
              </w:rPr>
              <w:t>(d)</w:t>
            </w: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8"/>
        </w:trPr>
        <w:tc>
          <w:tcPr>
            <w:tcW w:w="49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Energy-related commodity contracts </w:t>
            </w:r>
            <w:r>
              <w:rPr>
                <w:rFonts w:ascii="Times New Roman" w:cs="Times New Roman" w:eastAsia="Times New Roman" w:hAnsi="Times New Roman"/>
                <w:sz w:val="23"/>
                <w:szCs w:val="23"/>
                <w:color w:val="auto"/>
                <w:vertAlign w:val="superscript"/>
              </w:rPr>
              <w:t>(e)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29"/>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contracts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9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78" w:lineRule="exact"/>
        <w:rPr>
          <w:sz w:val="20"/>
          <w:szCs w:val="20"/>
          <w:color w:val="auto"/>
        </w:rPr>
      </w:pPr>
    </w:p>
    <w:p>
      <w:pPr>
        <w:ind w:left="260" w:hanging="171"/>
        <w:spacing w:after="0"/>
        <w:tabs>
          <w:tab w:leader="none" w:pos="26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There were no derivative assets or liabilities classified as Level 1 as of March 31, 2025 and December 31, 2024.</w:t>
      </w:r>
    </w:p>
    <w:p>
      <w:pPr>
        <w:spacing w:after="0" w:line="84" w:lineRule="exact"/>
        <w:rPr>
          <w:rFonts w:ascii="Times New Roman" w:cs="Times New Roman" w:eastAsia="Times New Roman" w:hAnsi="Times New Roman"/>
          <w:sz w:val="23"/>
          <w:szCs w:val="23"/>
          <w:color w:val="auto"/>
          <w:vertAlign w:val="superscript"/>
        </w:rPr>
      </w:pPr>
    </w:p>
    <w:p>
      <w:pPr>
        <w:ind w:left="80" w:right="20" w:firstLine="9"/>
        <w:spacing w:after="0" w:line="213" w:lineRule="auto"/>
        <w:tabs>
          <w:tab w:leader="none" w:pos="257"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The Company’s interest rate swaps are measured at fair value using an income approach, which uses readily observable inputs, such as forward interest rates (e.g., SOFR) and contractual terms to estimate fair value.</w:t>
      </w:r>
    </w:p>
    <w:p>
      <w:pPr>
        <w:ind w:left="260" w:hanging="171"/>
        <w:spacing w:after="0" w:line="232" w:lineRule="auto"/>
        <w:tabs>
          <w:tab w:leader="none" w:pos="26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heat rate call option contracts.</w:t>
      </w:r>
    </w:p>
    <w:p>
      <w:pPr>
        <w:spacing w:after="0" w:line="79" w:lineRule="exact"/>
        <w:rPr>
          <w:rFonts w:ascii="Times New Roman" w:cs="Times New Roman" w:eastAsia="Times New Roman" w:hAnsi="Times New Roman"/>
          <w:sz w:val="23"/>
          <w:szCs w:val="23"/>
          <w:color w:val="auto"/>
          <w:vertAlign w:val="superscript"/>
        </w:rPr>
      </w:pPr>
    </w:p>
    <w:p>
      <w:pPr>
        <w:ind w:left="260" w:hanging="171"/>
        <w:spacing w:after="0" w:line="185" w:lineRule="auto"/>
        <w:tabs>
          <w:tab w:leader="none" w:pos="26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Includes SREC contract.</w:t>
      </w:r>
    </w:p>
    <w:p>
      <w:pPr>
        <w:spacing w:after="0" w:line="71" w:lineRule="exact"/>
        <w:rPr>
          <w:rFonts w:ascii="Times New Roman" w:cs="Times New Roman" w:eastAsia="Times New Roman" w:hAnsi="Times New Roman"/>
          <w:sz w:val="20"/>
          <w:szCs w:val="20"/>
          <w:color w:val="auto"/>
          <w:vertAlign w:val="superscript"/>
        </w:rPr>
      </w:pPr>
    </w:p>
    <w:p>
      <w:pPr>
        <w:ind w:left="80" w:firstLine="9"/>
        <w:spacing w:after="0" w:line="213" w:lineRule="auto"/>
        <w:tabs>
          <w:tab w:leader="none" w:pos="25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Includes $378 million and $366 million related to long-term power commodity contracts as of March 31, 2025 and December 31, 2024, respectively, and $5 million related to heat rate call option contracts as of both March 31, 2025 and December 31, 2024.</w:t>
      </w:r>
    </w:p>
    <w:p>
      <w:pPr>
        <w:spacing w:after="0" w:line="154"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beginning and ending balances for instruments that are recognized at fair value in the consolidated financial statements using significant unobservable inputs: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2945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29450" cy="15430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2945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2945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losses for the period included in earnings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029450" cy="266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29450" cy="266065"/>
                    </a:xfrm>
                    <a:prstGeom prst="rect">
                      <a:avLst/>
                    </a:prstGeom>
                    <a:noFill/>
                  </pic:spPr>
                </pic:pic>
              </a:graphicData>
            </a:graphic>
          </wp:anchor>
        </w:drawing>
      </w:r>
    </w:p>
    <w:p>
      <w:pPr>
        <w:spacing w:after="0" w:line="11" w:lineRule="exact"/>
        <w:rPr>
          <w:sz w:val="20"/>
          <w:szCs w:val="20"/>
          <w:color w:val="auto"/>
        </w:rPr>
      </w:pPr>
    </w:p>
    <w:p>
      <w:pPr>
        <w:ind w:left="300" w:hanging="161"/>
        <w:spacing w:after="0" w:line="234" w:lineRule="auto"/>
        <w:rPr>
          <w:sz w:val="20"/>
          <w:szCs w:val="20"/>
          <w:color w:val="auto"/>
        </w:rPr>
      </w:pPr>
      <w:r>
        <w:rPr>
          <w:rFonts w:ascii="Times New Roman" w:cs="Times New Roman" w:eastAsia="Times New Roman" w:hAnsi="Times New Roman"/>
          <w:sz w:val="18"/>
          <w:szCs w:val="18"/>
          <w:color w:val="auto"/>
        </w:rPr>
        <w:t>Change in unrealized losses included in earnings for derivatives and other financial instruments held as of March 31, 2025</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and Financial Instruments Fair Value Measurements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18173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5" w:lineRule="exact"/>
        <w:rPr>
          <w:sz w:val="20"/>
          <w:szCs w:val="20"/>
          <w:color w:val="auto"/>
        </w:rPr>
      </w:pPr>
    </w:p>
    <w:p>
      <w:pPr>
        <w:ind w:left="540"/>
        <w:spacing w:after="0"/>
        <w:tabs>
          <w:tab w:leader="none" w:pos="20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18173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3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Fair Value Measurement Using Significant</w:t>
      </w:r>
    </w:p>
    <w:p>
      <w:pPr>
        <w:spacing w:after="0" w:line="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Unobservable Inputs (Level 3)</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30"/>
        </w:trPr>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1040" w:hanging="1026"/>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w:t>
      </w:r>
    </w:p>
    <w:p>
      <w:pPr>
        <w:spacing w:after="0" w:line="643" w:lineRule="exact"/>
        <w:rPr>
          <w:sz w:val="20"/>
          <w:szCs w:val="20"/>
          <w:color w:val="auto"/>
        </w:rPr>
      </w:pPr>
    </w:p>
    <w:p>
      <w:pPr>
        <w:sectPr>
          <w:pgSz w:w="11900" w:h="16838" w:orient="portrait"/>
          <w:cols w:equalWidth="0" w:num="2">
            <w:col w:w="7760" w:space="460"/>
            <w:col w:w="3020"/>
          </w:cols>
          <w:pgMar w:left="320" w:top="887" w:right="339" w:bottom="1440" w:gutter="0" w:footer="0" w:header="0"/>
          <w:type w:val="continuous"/>
        </w:sect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contracts are non-exchange-traded and valued using prices provided by external sources. The Company uses quoted observable forward prices to value its energy-related commodity contracts, which includes long-term power commodity contracts and heat rate call option contracts. To the extent that observable forward prices are not available, the quoted prices reflect the average of the forward prices from the prior year, adjusted for inflation. As of March 31, 2025, contracts valued with prices provided by models and other valuation techniques make up 7% of derivative assets, 99% of derivative liabilities and 100% of other financial instruments.</w:t>
      </w:r>
    </w:p>
    <w:p>
      <w:pPr>
        <w:spacing w:after="0" w:line="1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significant positions classified as Level 3 relate to physical and financial energy-related contracts, including long-term power commodity contracts and heat rate call option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9" w:name="page20"/>
    <w:bookmarkEnd w:id="19"/>
    <w:p>
      <w:pPr>
        <w:ind w:left="420"/>
        <w:spacing w:after="0"/>
        <w:rPr>
          <w:sz w:val="20"/>
          <w:szCs w:val="20"/>
          <w:color w:val="auto"/>
        </w:rPr>
      </w:pPr>
      <w:r>
        <w:rPr>
          <w:rFonts w:ascii="Times New Roman" w:cs="Times New Roman" w:eastAsia="Times New Roman" w:hAnsi="Times New Roman"/>
          <w:sz w:val="18"/>
          <w:szCs w:val="18"/>
          <w:color w:val="auto"/>
        </w:rPr>
        <w:t>The following table quantifies the significant unobservable inputs used in developing the fair value of the Company’s Level 3 positions: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Input/Range</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80" w:type="dxa"/>
            <w:vAlign w:val="bottom"/>
            <w:vMerge w:val="restart"/>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Valuation</w:t>
            </w:r>
          </w:p>
        </w:tc>
        <w:tc>
          <w:tcPr>
            <w:tcW w:w="16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240" w:type="dxa"/>
            <w:vAlign w:val="bottom"/>
          </w:tcPr>
          <w:p>
            <w:pPr>
              <w:spacing w:after="0"/>
              <w:rPr>
                <w:sz w:val="14"/>
                <w:szCs w:val="14"/>
                <w:color w:val="auto"/>
              </w:rPr>
            </w:pPr>
          </w:p>
        </w:tc>
        <w:tc>
          <w:tcPr>
            <w:tcW w:w="1040" w:type="dxa"/>
            <w:vAlign w:val="bottom"/>
            <w:vMerge w:val="restart"/>
          </w:tcPr>
          <w:p>
            <w:pPr>
              <w:jc w:val="right"/>
              <w:ind w:right="397"/>
              <w:spacing w:after="0"/>
              <w:rPr>
                <w:sz w:val="20"/>
                <w:szCs w:val="20"/>
                <w:color w:val="auto"/>
              </w:rPr>
            </w:pPr>
            <w:r>
              <w:rPr>
                <w:rFonts w:ascii="Times New Roman" w:cs="Times New Roman" w:eastAsia="Times New Roman" w:hAnsi="Times New Roman"/>
                <w:sz w:val="18"/>
                <w:szCs w:val="18"/>
                <w:b w:val="1"/>
                <w:bCs w:val="1"/>
                <w:color w:val="auto"/>
              </w:rPr>
              <w:t>Low</w:t>
            </w:r>
          </w:p>
        </w:tc>
        <w:tc>
          <w:tcPr>
            <w:tcW w:w="140" w:type="dxa"/>
            <w:vAlign w:val="bottom"/>
          </w:tcPr>
          <w:p>
            <w:pPr>
              <w:spacing w:after="0"/>
              <w:rPr>
                <w:sz w:val="14"/>
                <w:szCs w:val="14"/>
                <w:color w:val="auto"/>
              </w:rPr>
            </w:pPr>
          </w:p>
        </w:tc>
        <w:tc>
          <w:tcPr>
            <w:tcW w:w="1160" w:type="dxa"/>
            <w:vAlign w:val="bottom"/>
            <w:vMerge w:val="restart"/>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rPr>
              <w:t>High</w:t>
            </w:r>
          </w:p>
        </w:tc>
        <w:tc>
          <w:tcPr>
            <w:tcW w:w="200" w:type="dxa"/>
            <w:vAlign w:val="bottom"/>
          </w:tcPr>
          <w:p>
            <w:pPr>
              <w:spacing w:after="0"/>
              <w:rPr>
                <w:sz w:val="14"/>
                <w:szCs w:val="14"/>
                <w:color w:val="auto"/>
              </w:rPr>
            </w:pPr>
          </w:p>
        </w:tc>
        <w:tc>
          <w:tcPr>
            <w:tcW w:w="1100" w:type="dxa"/>
            <w:vAlign w:val="bottom"/>
          </w:tcPr>
          <w:p>
            <w:pPr>
              <w:jc w:val="right"/>
              <w:ind w:right="196"/>
              <w:spacing w:after="0" w:line="169"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Technique</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08"/>
        </w:trPr>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right"/>
              <w:ind w:right="71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2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b w:val="1"/>
                <w:bCs w:val="1"/>
                <w:color w:val="auto"/>
              </w:rPr>
              <w:t>Long-term Power Commodity</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24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6"/>
                <w:szCs w:val="16"/>
                <w:color w:val="auto"/>
              </w:rPr>
              <w:t>Discounted Cash</w:t>
            </w:r>
          </w:p>
        </w:tc>
        <w:tc>
          <w:tcPr>
            <w:tcW w:w="168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6"/>
                <w:szCs w:val="16"/>
                <w:color w:val="auto"/>
              </w:rPr>
              <w:t>Forward Market Price ($</w:t>
            </w: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102.71</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47.51</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20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Flow</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per MWh)</w:t>
            </w:r>
          </w:p>
        </w:tc>
        <w:tc>
          <w:tcPr>
            <w:tcW w:w="2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vMerge w:val="restart"/>
          </w:tcPr>
          <w:p>
            <w:pPr>
              <w:ind w:left="680"/>
              <w:spacing w:after="0"/>
              <w:rPr>
                <w:sz w:val="20"/>
                <w:szCs w:val="20"/>
                <w:color w:val="auto"/>
              </w:rPr>
            </w:pPr>
            <w:r>
              <w:rPr>
                <w:rFonts w:ascii="Times New Roman" w:cs="Times New Roman" w:eastAsia="Times New Roman" w:hAnsi="Times New Roman"/>
                <w:sz w:val="16"/>
                <w:szCs w:val="16"/>
                <w:color w:val="auto"/>
              </w:rPr>
              <w:t>10</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Option Model</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Forward Market Price ($</w:t>
            </w:r>
          </w:p>
        </w:tc>
        <w:tc>
          <w:tcPr>
            <w:tcW w:w="24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14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973.92</w:t>
            </w:r>
          </w:p>
        </w:tc>
        <w:tc>
          <w:tcPr>
            <w:tcW w:w="20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47.50</w:t>
            </w:r>
          </w:p>
        </w:tc>
        <w:tc>
          <w:tcPr>
            <w:tcW w:w="0" w:type="dxa"/>
            <w:vAlign w:val="bottom"/>
          </w:tcPr>
          <w:p>
            <w:pPr>
              <w:spacing w:after="0"/>
              <w:rPr>
                <w:sz w:val="1"/>
                <w:szCs w:val="1"/>
                <w:color w:val="auto"/>
              </w:rPr>
            </w:pPr>
          </w:p>
        </w:tc>
      </w:tr>
      <w:tr>
        <w:trPr>
          <w:trHeight w:val="210"/>
        </w:trPr>
        <w:tc>
          <w:tcPr>
            <w:tcW w:w="2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Heat Rate Call Option</w:t>
            </w: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per MWh)</w:t>
            </w: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2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Commodity Contracts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Forward Market Price ($</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2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Option Model</w:t>
            </w:r>
          </w:p>
        </w:tc>
        <w:tc>
          <w:tcPr>
            <w:tcW w:w="16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140" w:type="dxa"/>
            <w:vAlign w:val="bottom"/>
          </w:tcPr>
          <w:p>
            <w:pPr>
              <w:spacing w:after="0"/>
              <w:rPr>
                <w:sz w:val="8"/>
                <w:szCs w:val="8"/>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200" w:type="dxa"/>
            <w:vAlign w:val="bottom"/>
          </w:tcPr>
          <w:p>
            <w:pPr>
              <w:spacing w:after="0"/>
              <w:rPr>
                <w:sz w:val="8"/>
                <w:szCs w:val="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213"/>
        </w:trPr>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per MMBtu)</w:t>
            </w: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8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rPr>
              <w:t>Forecast annual</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Discounted Cash</w:t>
            </w:r>
          </w:p>
        </w:tc>
        <w:tc>
          <w:tcPr>
            <w:tcW w:w="16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generation levels of</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Financial Instruments</w:t>
            </w: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10</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continue"/>
            <w:shd w:val="clear" w:color="auto" w:fill="CCEEFF"/>
          </w:tcPr>
          <w:p>
            <w:pPr>
              <w:spacing w:after="0"/>
              <w:rPr>
                <w:sz w:val="14"/>
                <w:szCs w:val="14"/>
                <w:color w:val="auto"/>
              </w:rPr>
            </w:pPr>
          </w:p>
        </w:tc>
        <w:tc>
          <w:tcPr>
            <w:tcW w:w="16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certain DG solar</w:t>
            </w:r>
          </w:p>
        </w:tc>
        <w:tc>
          <w:tcPr>
            <w:tcW w:w="2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59,425 MWh</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118,850 MWh</w:t>
            </w:r>
          </w:p>
        </w:tc>
        <w:tc>
          <w:tcPr>
            <w:tcW w:w="2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111,091 MWh</w:t>
            </w:r>
          </w:p>
        </w:tc>
        <w:tc>
          <w:tcPr>
            <w:tcW w:w="0" w:type="dxa"/>
            <w:vAlign w:val="bottom"/>
          </w:tcPr>
          <w:p>
            <w:pPr>
              <w:spacing w:after="0"/>
              <w:rPr>
                <w:sz w:val="1"/>
                <w:szCs w:val="1"/>
                <w:color w:val="auto"/>
              </w:rPr>
            </w:pPr>
          </w:p>
        </w:tc>
      </w:tr>
      <w:tr>
        <w:trPr>
          <w:trHeight w:val="216"/>
        </w:trPr>
        <w:tc>
          <w:tcPr>
            <w:tcW w:w="2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Flow</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facilities</w:t>
            </w:r>
          </w:p>
        </w:tc>
        <w:tc>
          <w:tcPr>
            <w:tcW w:w="2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impact on the fair value measurements to increases/(decreases) in significant unobservable inputs as of March 31, 2025:</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rPr>
              <w:t>Type</w:t>
            </w:r>
          </w:p>
        </w:tc>
        <w:tc>
          <w:tcPr>
            <w:tcW w:w="32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Significant Unobservable Input</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2220" w:type="dxa"/>
            <w:vAlign w:val="bottom"/>
            <w:vMerge w:val="restart"/>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Change In Input</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Impact on Fair Value</w:t>
            </w:r>
          </w:p>
        </w:tc>
        <w:tc>
          <w:tcPr>
            <w:tcW w:w="0" w:type="dxa"/>
            <w:vAlign w:val="bottom"/>
          </w:tcPr>
          <w:p>
            <w:pPr>
              <w:spacing w:after="0"/>
              <w:rPr>
                <w:sz w:val="1"/>
                <w:szCs w:val="1"/>
                <w:color w:val="auto"/>
              </w:rPr>
            </w:pPr>
          </w:p>
        </w:tc>
      </w:tr>
      <w:tr>
        <w:trPr>
          <w:trHeight w:val="243"/>
        </w:trPr>
        <w:tc>
          <w:tcPr>
            <w:tcW w:w="1980" w:type="dxa"/>
            <w:vAlign w:val="bottom"/>
            <w:tcBorders>
              <w:bottom w:val="single" w:sz="8" w:color="auto"/>
            </w:tcBorders>
            <w:vMerge w:val="continue"/>
          </w:tcPr>
          <w:p>
            <w:pPr>
              <w:spacing w:after="0"/>
              <w:rPr>
                <w:sz w:val="21"/>
                <w:szCs w:val="21"/>
                <w:color w:val="auto"/>
              </w:rPr>
            </w:pPr>
          </w:p>
        </w:tc>
        <w:tc>
          <w:tcPr>
            <w:tcW w:w="3260" w:type="dxa"/>
            <w:vAlign w:val="bottom"/>
            <w:tcBorders>
              <w:bottom w:val="single" w:sz="8" w:color="auto"/>
            </w:tcBorders>
            <w:vMerge w:val="continue"/>
          </w:tcPr>
          <w:p>
            <w:pPr>
              <w:spacing w:after="0"/>
              <w:rPr>
                <w:sz w:val="21"/>
                <w:szCs w:val="21"/>
                <w:color w:val="auto"/>
              </w:rPr>
            </w:pPr>
          </w:p>
        </w:tc>
        <w:tc>
          <w:tcPr>
            <w:tcW w:w="1640" w:type="dxa"/>
            <w:vAlign w:val="bottom"/>
            <w:tcBorders>
              <w:bottom w:val="single" w:sz="8" w:color="auto"/>
            </w:tcBorders>
            <w:vMerge w:val="continue"/>
          </w:tcPr>
          <w:p>
            <w:pPr>
              <w:spacing w:after="0"/>
              <w:rPr>
                <w:sz w:val="21"/>
                <w:szCs w:val="21"/>
                <w:color w:val="auto"/>
              </w:rPr>
            </w:pPr>
          </w:p>
        </w:tc>
        <w:tc>
          <w:tcPr>
            <w:tcW w:w="2220" w:type="dxa"/>
            <w:vAlign w:val="bottom"/>
            <w:tcBorders>
              <w:bottom w:val="single" w:sz="8" w:color="auto"/>
            </w:tcBorders>
            <w:vMerge w:val="continue"/>
          </w:tcPr>
          <w:p>
            <w:pPr>
              <w:spacing w:after="0"/>
              <w:rPr>
                <w:sz w:val="21"/>
                <w:szCs w:val="21"/>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Measurement</w:t>
            </w:r>
          </w:p>
        </w:tc>
        <w:tc>
          <w:tcPr>
            <w:tcW w:w="0" w:type="dxa"/>
            <w:vAlign w:val="bottom"/>
          </w:tcPr>
          <w:p>
            <w:pPr>
              <w:spacing w:after="0"/>
              <w:rPr>
                <w:sz w:val="1"/>
                <w:szCs w:val="1"/>
                <w:color w:val="auto"/>
              </w:rPr>
            </w:pPr>
          </w:p>
        </w:tc>
      </w:tr>
      <w:tr>
        <w:trPr>
          <w:trHeight w:val="169"/>
        </w:trPr>
        <w:tc>
          <w:tcPr>
            <w:tcW w:w="19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Energy-Related</w:t>
            </w:r>
          </w:p>
        </w:tc>
        <w:tc>
          <w:tcPr>
            <w:tcW w:w="32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326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Forward Market Price Power</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c>
          <w:tcPr>
            <w:tcW w:w="222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Increase/(Decrease)</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Lower/(Higher)</w:t>
            </w:r>
          </w:p>
        </w:tc>
        <w:tc>
          <w:tcPr>
            <w:tcW w:w="0" w:type="dxa"/>
            <w:vAlign w:val="bottom"/>
          </w:tcPr>
          <w:p>
            <w:pPr>
              <w:spacing w:after="0"/>
              <w:rPr>
                <w:sz w:val="1"/>
                <w:szCs w:val="1"/>
                <w:color w:val="auto"/>
              </w:rPr>
            </w:pPr>
          </w:p>
        </w:tc>
      </w:tr>
      <w:tr>
        <w:trPr>
          <w:trHeight w:val="175"/>
        </w:trPr>
        <w:tc>
          <w:tcPr>
            <w:tcW w:w="19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Energy-Related</w:t>
            </w:r>
          </w:p>
        </w:tc>
        <w:tc>
          <w:tcPr>
            <w:tcW w:w="3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3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Forward Market Price Gas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c>
          <w:tcPr>
            <w:tcW w:w="22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Increase/(Decrease)</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Higher/(Lower)</w:t>
            </w:r>
          </w:p>
        </w:tc>
        <w:tc>
          <w:tcPr>
            <w:tcW w:w="0" w:type="dxa"/>
            <w:vAlign w:val="bottom"/>
          </w:tcPr>
          <w:p>
            <w:pPr>
              <w:spacing w:after="0"/>
              <w:rPr>
                <w:sz w:val="1"/>
                <w:szCs w:val="1"/>
                <w:color w:val="auto"/>
              </w:rPr>
            </w:pPr>
          </w:p>
        </w:tc>
      </w:tr>
      <w:tr>
        <w:trPr>
          <w:trHeight w:val="175"/>
        </w:trPr>
        <w:tc>
          <w:tcPr>
            <w:tcW w:w="19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Financial</w:t>
            </w:r>
          </w:p>
        </w:tc>
        <w:tc>
          <w:tcPr>
            <w:tcW w:w="32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326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Forecast Generation Levels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c>
          <w:tcPr>
            <w:tcW w:w="222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Increase/(Decrease)</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Higher/(Lower)</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March 31, 2025, the non-performance reserve was a $7 million gain recorded primarily to total operating revenues in the consolidated statements of operations. It is possible that future market prices could vary from those used in recording assets and liabilities and such variations could be material.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addition to the credit risk discussion as disclosed under Item 15 —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the</w:t>
      </w:r>
      <w:r>
        <w:rPr>
          <w:rFonts w:ascii="Times New Roman" w:cs="Times New Roman" w:eastAsia="Times New Roman" w:hAnsi="Times New Roman"/>
          <w:sz w:val="18"/>
          <w:szCs w:val="18"/>
          <w:color w:val="auto"/>
        </w:rPr>
        <w:t xml:space="preserve"> consolidated financial statements included in the </w:t>
      </w:r>
      <w:r>
        <w:rPr>
          <w:rFonts w:ascii="Times New Roman" w:cs="Times New Roman" w:eastAsia="Times New Roman" w:hAnsi="Times New Roman"/>
          <w:sz w:val="18"/>
          <w:szCs w:val="18"/>
          <w:color w:val="231F20"/>
        </w:rPr>
        <w:t>Company’s</w:t>
      </w:r>
      <w:r>
        <w:rPr>
          <w:rFonts w:ascii="Times New Roman" w:cs="Times New Roman" w:eastAsia="Times New Roman" w:hAnsi="Times New Roman"/>
          <w:sz w:val="18"/>
          <w:szCs w:val="18"/>
          <w:color w:val="auto"/>
        </w:rPr>
        <w:t xml:space="preserve"> 2024 Form 10-K,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energy-related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 </w:t>
      </w:r>
      <w:r>
        <w:rPr>
          <w:rFonts w:ascii="Times New Roman" w:cs="Times New Roman" w:eastAsia="Times New Roman" w:hAnsi="Times New Roman"/>
          <w:sz w:val="18"/>
          <w:szCs w:val="18"/>
          <w:b w:val="1"/>
          <w:bCs w:val="1"/>
          <w:i w:val="1"/>
          <w:iCs w:val="1"/>
          <w:color w:val="auto"/>
        </w:rPr>
        <w:t>Derivative Instruments and Hedging Activities</w:t>
      </w:r>
    </w:p>
    <w:p>
      <w:pPr>
        <w:spacing w:after="0" w:line="173" w:lineRule="exact"/>
        <w:rPr>
          <w:sz w:val="20"/>
          <w:szCs w:val="20"/>
          <w:color w:val="auto"/>
        </w:rPr>
      </w:pPr>
    </w:p>
    <w:p>
      <w:pPr>
        <w:jc w:val="both"/>
        <w:ind w:right="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This footnote should be read in conjunction with the complete description under Item 15 — Note 7, </w:t>
      </w:r>
      <w:r>
        <w:rPr>
          <w:rFonts w:ascii="Times New Roman" w:cs="Times New Roman" w:eastAsia="Times New Roman" w:hAnsi="Times New Roman"/>
          <w:sz w:val="18"/>
          <w:szCs w:val="18"/>
          <w:i w:val="1"/>
          <w:iCs w:val="1"/>
          <w:color w:val="auto"/>
        </w:rPr>
        <w:t>Accounting for Derivative Instruments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 Activities</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to the consolidated financial statements included in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Form 10-K.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enters into interest rate swap agreements in order to hedge the variability of expected future cash interest payments. As of March 31, 2025, the Company had interest rate derivative instruments on non-recourse debt extending through 2033, a portion of which were designated as cash flow hedges. Under the interest rate swap agreements, the Company pays a fixed rate and the counterparties to the agreements pay a variable interest rate.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Energy-Related Commodity Contracts</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had energy-related derivative instruments extending through 2033. At March 31, 2025, these contracts were not designated as cash flow or fair value hedges.</w:t>
      </w:r>
    </w:p>
    <w:p>
      <w:pPr>
        <w:spacing w:after="0" w:line="10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Volumetric Underlying Derivative Transactions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net notional volume buy/(sell) of the Company’s open derivative transactions broken out by commodity:</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00" w:type="dxa"/>
            <w:vAlign w:val="bottom"/>
            <w:gridSpan w:val="3"/>
          </w:tcPr>
          <w:p>
            <w:pPr>
              <w:jc w:val="right"/>
              <w:ind w:right="1395"/>
              <w:spacing w:after="0"/>
              <w:rPr>
                <w:sz w:val="20"/>
                <w:szCs w:val="20"/>
                <w:color w:val="auto"/>
              </w:rPr>
            </w:pPr>
            <w:r>
              <w:rPr>
                <w:rFonts w:ascii="Times New Roman" w:cs="Times New Roman" w:eastAsia="Times New Roman" w:hAnsi="Times New Roman"/>
                <w:sz w:val="14"/>
                <w:szCs w:val="14"/>
                <w:b w:val="1"/>
                <w:bCs w:val="1"/>
                <w:color w:val="auto"/>
              </w:rPr>
              <w:t>Total Volume</w:t>
            </w:r>
          </w:p>
        </w:tc>
      </w:tr>
      <w:tr>
        <w:trPr>
          <w:trHeight w:val="23"/>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9"/>
        </w:trPr>
        <w:tc>
          <w:tcPr>
            <w:tcW w:w="20" w:type="dxa"/>
            <w:vAlign w:val="bottom"/>
          </w:tcPr>
          <w:p>
            <w:pPr>
              <w:spacing w:after="0"/>
              <w:rPr>
                <w:sz w:val="12"/>
                <w:szCs w:val="12"/>
                <w:color w:val="auto"/>
              </w:rPr>
            </w:pPr>
          </w:p>
        </w:tc>
        <w:tc>
          <w:tcPr>
            <w:tcW w:w="5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Commodity</w:t>
            </w:r>
          </w:p>
        </w:tc>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280" w:type="dxa"/>
            <w:vAlign w:val="bottom"/>
          </w:tcPr>
          <w:p>
            <w:pPr>
              <w:spacing w:after="0"/>
              <w:rPr>
                <w:sz w:val="12"/>
                <w:szCs w:val="12"/>
                <w:color w:val="auto"/>
              </w:rPr>
            </w:pPr>
          </w:p>
        </w:tc>
        <w:tc>
          <w:tcPr>
            <w:tcW w:w="2000" w:type="dxa"/>
            <w:vAlign w:val="bottom"/>
            <w:gridSpan w:val="2"/>
          </w:tcPr>
          <w:p>
            <w:pPr>
              <w:ind w:left="1240"/>
              <w:spacing w:after="0" w:line="14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50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43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MWh</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(27)</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Natural Gas</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MMBtu</w:t>
            </w:r>
          </w:p>
        </w:tc>
        <w:tc>
          <w:tcPr>
            <w:tcW w:w="280" w:type="dxa"/>
            <w:vAlign w:val="bottom"/>
          </w:tcPr>
          <w:p>
            <w:pPr>
              <w:spacing w:after="0"/>
              <w:rPr>
                <w:sz w:val="19"/>
                <w:szCs w:val="19"/>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Dollars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1,798</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Instruments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fair value within the derivative instrument valuation on the consolidated balance sheets: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3"/>
          </w:tcPr>
          <w:p>
            <w:pPr>
              <w:jc w:val="center"/>
              <w:ind w:left="10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
        </w:trPr>
        <w:tc>
          <w:tcPr>
            <w:tcW w:w="4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4"/>
          </w:tcPr>
          <w:p>
            <w:pPr>
              <w:spacing w:after="0"/>
              <w:rPr>
                <w:sz w:val="2"/>
                <w:szCs w:val="2"/>
                <w:color w:val="auto"/>
              </w:rPr>
            </w:pPr>
          </w:p>
        </w:tc>
      </w:tr>
      <w:tr>
        <w:trPr>
          <w:trHeight w:val="190"/>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0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340" w:type="dxa"/>
            <w:vAlign w:val="bottom"/>
          </w:tcPr>
          <w:p>
            <w:pPr>
              <w:spacing w:after="0"/>
              <w:rPr>
                <w:sz w:val="16"/>
                <w:szCs w:val="16"/>
                <w:color w:val="auto"/>
              </w:rPr>
            </w:pPr>
          </w:p>
        </w:tc>
        <w:tc>
          <w:tcPr>
            <w:tcW w:w="2960" w:type="dxa"/>
            <w:vAlign w:val="bottom"/>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r>
      <w:tr>
        <w:trPr>
          <w:trHeight w:val="196"/>
        </w:trPr>
        <w:tc>
          <w:tcPr>
            <w:tcW w:w="46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6"/>
        </w:trPr>
        <w:tc>
          <w:tcPr>
            <w:tcW w:w="4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Hedges:</w:t>
            </w: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contracts current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 long-term</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 Designated as Cash Flow Hedges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Cash Flow Hedges: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contracts current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 long-term</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Energy-related commodity contracts current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Energy-related commodity contracts long-term</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 Not Designated as Cash Flow Hedges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Company has elected to present derivative assets and liabilities on the balance sheet on a trade-by-trade basis and does not offset amounts at the counterparty level. As of March 31, 2025 and December 31, 2024, the amount of outstanding collateral paid or received was immaterial. The following tables summarize the offsetting of derivatives by counterparty:</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40" w:type="dxa"/>
            <w:vAlign w:val="bottom"/>
            <w:gridSpan w:val="6"/>
          </w:tcPr>
          <w:p>
            <w:pPr>
              <w:jc w:val="center"/>
              <w:ind w:left="1076"/>
              <w:spacing w:after="0"/>
              <w:rPr>
                <w:sz w:val="20"/>
                <w:szCs w:val="20"/>
                <w:color w:val="auto"/>
              </w:rPr>
            </w:pPr>
            <w:r>
              <w:rPr>
                <w:rFonts w:ascii="Times New Roman" w:cs="Times New Roman" w:eastAsia="Times New Roman" w:hAnsi="Times New Roman"/>
                <w:sz w:val="14"/>
                <w:szCs w:val="14"/>
                <w:b w:val="1"/>
                <w:bCs w:val="1"/>
                <w:color w:val="auto"/>
              </w:rPr>
              <w:t>Gross Amounts Not Offset in the Statement of Financial Position</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4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200" w:type="dxa"/>
            <w:vAlign w:val="bottom"/>
          </w:tcPr>
          <w:p>
            <w:pPr>
              <w:spacing w:after="0"/>
              <w:rPr>
                <w:sz w:val="11"/>
                <w:szCs w:val="11"/>
                <w:color w:val="auto"/>
              </w:rPr>
            </w:pPr>
          </w:p>
        </w:tc>
        <w:tc>
          <w:tcPr>
            <w:tcW w:w="23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Gross Amounts of Recognized</w:t>
            </w:r>
          </w:p>
        </w:tc>
        <w:tc>
          <w:tcPr>
            <w:tcW w:w="280" w:type="dxa"/>
            <w:vAlign w:val="bottom"/>
          </w:tcPr>
          <w:p>
            <w:pPr>
              <w:spacing w:after="0"/>
              <w:rPr>
                <w:sz w:val="11"/>
                <w:szCs w:val="11"/>
                <w:color w:val="auto"/>
              </w:rPr>
            </w:pPr>
          </w:p>
        </w:tc>
        <w:tc>
          <w:tcPr>
            <w:tcW w:w="2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460" w:type="dxa"/>
            <w:vAlign w:val="bottom"/>
          </w:tcPr>
          <w:p>
            <w:pPr>
              <w:spacing w:after="0"/>
              <w:rPr>
                <w:sz w:val="11"/>
                <w:szCs w:val="11"/>
                <w:color w:val="auto"/>
              </w:rPr>
            </w:pPr>
          </w:p>
        </w:tc>
        <w:tc>
          <w:tcPr>
            <w:tcW w:w="136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203"/>
        </w:trPr>
        <w:tc>
          <w:tcPr>
            <w:tcW w:w="444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2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Energy-related commodity contracts</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energy-related commodity contracts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40" w:type="dxa"/>
            <w:vAlign w:val="bottom"/>
            <w:gridSpan w:val="6"/>
          </w:tcPr>
          <w:p>
            <w:pPr>
              <w:jc w:val="center"/>
              <w:ind w:left="1076"/>
              <w:spacing w:after="0"/>
              <w:rPr>
                <w:sz w:val="20"/>
                <w:szCs w:val="20"/>
                <w:color w:val="auto"/>
              </w:rPr>
            </w:pPr>
            <w:r>
              <w:rPr>
                <w:rFonts w:ascii="Times New Roman" w:cs="Times New Roman" w:eastAsia="Times New Roman" w:hAnsi="Times New Roman"/>
                <w:sz w:val="14"/>
                <w:szCs w:val="14"/>
                <w:b w:val="1"/>
                <w:bCs w:val="1"/>
                <w:color w:val="auto"/>
              </w:rPr>
              <w:t>Gross Amounts Not Offset in the Statement of Financial Position</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00" w:type="dxa"/>
            <w:vAlign w:val="bottom"/>
          </w:tcPr>
          <w:p>
            <w:pPr>
              <w:spacing w:after="0"/>
              <w:rPr>
                <w:sz w:val="11"/>
                <w:szCs w:val="11"/>
                <w:color w:val="auto"/>
              </w:rPr>
            </w:pPr>
          </w:p>
        </w:tc>
        <w:tc>
          <w:tcPr>
            <w:tcW w:w="232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Gross Amounts of Recognized</w:t>
            </w:r>
          </w:p>
        </w:tc>
        <w:tc>
          <w:tcPr>
            <w:tcW w:w="280" w:type="dxa"/>
            <w:vAlign w:val="bottom"/>
          </w:tcPr>
          <w:p>
            <w:pPr>
              <w:spacing w:after="0"/>
              <w:rPr>
                <w:sz w:val="11"/>
                <w:szCs w:val="11"/>
                <w:color w:val="auto"/>
              </w:rPr>
            </w:pPr>
          </w:p>
        </w:tc>
        <w:tc>
          <w:tcPr>
            <w:tcW w:w="2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460" w:type="dxa"/>
            <w:vAlign w:val="bottom"/>
          </w:tcPr>
          <w:p>
            <w:pPr>
              <w:spacing w:after="0"/>
              <w:rPr>
                <w:sz w:val="11"/>
                <w:szCs w:val="11"/>
                <w:color w:val="auto"/>
              </w:rPr>
            </w:pPr>
          </w:p>
        </w:tc>
        <w:tc>
          <w:tcPr>
            <w:tcW w:w="136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200"/>
        </w:trPr>
        <w:tc>
          <w:tcPr>
            <w:tcW w:w="444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2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Energy-related commodity contracts</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energy-related commodity contracts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effects on the Company’s accumulated OCI balance attributable to interest rate swaps designated as cash flow hedge derivatives: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52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40" w:type="dxa"/>
            <w:vAlign w:val="bottom"/>
          </w:tcPr>
          <w:p>
            <w:pPr>
              <w:spacing w:after="0"/>
              <w:rPr>
                <w:sz w:val="16"/>
                <w:szCs w:val="16"/>
                <w:color w:val="auto"/>
              </w:rPr>
            </w:pP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80" w:type="dxa"/>
            <w:vAlign w:val="bottom"/>
            <w:gridSpan w:val="3"/>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OCI beginning balance</w:t>
            </w:r>
          </w:p>
        </w:tc>
        <w:tc>
          <w:tcPr>
            <w:tcW w:w="94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83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Rosamond South I Drop Down </w:t>
            </w:r>
            <w:r>
              <w:rPr>
                <w:rFonts w:ascii="Times New Roman" w:cs="Times New Roman" w:eastAsia="Times New Roman" w:hAnsi="Times New Roman"/>
                <w:sz w:val="23"/>
                <w:szCs w:val="23"/>
                <w:color w:val="auto"/>
                <w:vertAlign w:val="superscript"/>
              </w:rPr>
              <w:t>(a)</w:t>
            </w: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Reclassified from accumulated OCI to income due to realization of previously deferred amounts</w:t>
            </w:r>
          </w:p>
        </w:tc>
        <w:tc>
          <w:tcPr>
            <w:tcW w:w="9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Mark-to-market of cash flow hedge accounting contracts</w:t>
            </w: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OCI ending balance</w:t>
            </w:r>
          </w:p>
        </w:tc>
        <w:tc>
          <w:tcPr>
            <w:tcW w:w="9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OCI attributable to noncontrolling interests</w:t>
            </w: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8"/>
        </w:trPr>
        <w:tc>
          <w:tcPr>
            <w:tcW w:w="8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OCI attributable to Clearway Energy LLC</w:t>
            </w:r>
          </w:p>
        </w:tc>
        <w:tc>
          <w:tcPr>
            <w:tcW w:w="940" w:type="dxa"/>
            <w:vAlign w:val="bottom"/>
            <w:tcBorders>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Gains expected to be realized from OCI during the next 12 months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40" w:type="dxa"/>
            <w:vAlign w:val="bottom"/>
            <w:vMerge w:val="continue"/>
          </w:tcPr>
          <w:p>
            <w:pPr>
              <w:spacing w:after="0"/>
              <w:rPr>
                <w:sz w:val="18"/>
                <w:szCs w:val="18"/>
                <w:color w:val="auto"/>
              </w:rPr>
            </w:pPr>
          </w:p>
        </w:tc>
        <w:tc>
          <w:tcPr>
            <w:tcW w:w="94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13798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4"/>
          <w:szCs w:val="14"/>
          <w:color w:val="auto"/>
        </w:rPr>
        <w:t xml:space="preserve"> Represents $2 million attributable to the Company and $2 million attributable to noncontrolling interests.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reclassified from accumulated OCI into income are recorded to interest expense.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Derivative Instruments on the Consolidated Statements of Operations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Mark-to-market gains/(losses) related to the Company’s derivatives are recorded in the consolidated statements of operations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Pr>
          <w:p>
            <w:pPr>
              <w:spacing w:after="0"/>
              <w:rPr>
                <w:sz w:val="16"/>
                <w:szCs w:val="16"/>
                <w:color w:val="auto"/>
              </w:rPr>
            </w:pPr>
          </w:p>
        </w:tc>
      </w:tr>
      <w:tr>
        <w:trPr>
          <w:trHeight w:val="23"/>
        </w:trPr>
        <w:tc>
          <w:tcPr>
            <w:tcW w:w="83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0"/>
        </w:trPr>
        <w:tc>
          <w:tcPr>
            <w:tcW w:w="8320" w:type="dxa"/>
            <w:vAlign w:val="bottom"/>
          </w:tcPr>
          <w:p>
            <w:pPr>
              <w:spacing w:after="0"/>
              <w:rPr>
                <w:sz w:val="16"/>
                <w:szCs w:val="16"/>
                <w:color w:val="auto"/>
              </w:rPr>
            </w:pPr>
          </w:p>
        </w:tc>
        <w:tc>
          <w:tcPr>
            <w:tcW w:w="9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r>
      <w:tr>
        <w:trPr>
          <w:trHeight w:val="189"/>
        </w:trPr>
        <w:tc>
          <w:tcPr>
            <w:tcW w:w="8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60" w:type="dxa"/>
            <w:vAlign w:val="bottom"/>
            <w:gridSpan w:val="3"/>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6"/>
                <w:szCs w:val="16"/>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 (Interest expense)</w:t>
            </w:r>
          </w:p>
        </w:tc>
        <w:tc>
          <w:tcPr>
            <w:tcW w:w="94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242424"/>
              </w:rPr>
              <w:t>$</w:t>
            </w:r>
          </w:p>
        </w:tc>
        <w:tc>
          <w:tcPr>
            <w:tcW w:w="46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242424"/>
                <w:w w:val="99"/>
              </w:rPr>
              <w:t>(34)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175"/>
        </w:trPr>
        <w:tc>
          <w:tcPr>
            <w:tcW w:w="8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Energy-Related Commodity Contracts (Mark-to-market for economic hedging activities included in Total</w:t>
            </w: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43"/>
        </w:trPr>
        <w:tc>
          <w:tcPr>
            <w:tcW w:w="832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operating revenues) </w:t>
            </w:r>
            <w:r>
              <w:rPr>
                <w:rFonts w:ascii="Times New Roman" w:cs="Times New Roman" w:eastAsia="Times New Roman" w:hAnsi="Times New Roman"/>
                <w:sz w:val="23"/>
                <w:szCs w:val="23"/>
                <w:color w:val="auto"/>
                <w:vertAlign w:val="superscript"/>
              </w:rPr>
              <w:t>(a)</w:t>
            </w:r>
          </w:p>
        </w:tc>
        <w:tc>
          <w:tcPr>
            <w:tcW w:w="940" w:type="dxa"/>
            <w:vAlign w:val="bottom"/>
          </w:tcPr>
          <w:p>
            <w:pPr>
              <w:spacing w:after="0"/>
              <w:rPr>
                <w:sz w:val="21"/>
                <w:szCs w:val="21"/>
                <w:color w:val="auto"/>
              </w:rPr>
            </w:pPr>
          </w:p>
        </w:tc>
        <w:tc>
          <w:tcPr>
            <w:tcW w:w="46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242424"/>
                <w:w w:val="99"/>
              </w:rPr>
              <w:t>(11)</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175"/>
        </w:trPr>
        <w:tc>
          <w:tcPr>
            <w:tcW w:w="8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Energy-Related Commodity Contracts (Mark-to-market for economic hedging activities included in Cost of</w:t>
            </w:r>
          </w:p>
        </w:tc>
        <w:tc>
          <w:tcPr>
            <w:tcW w:w="9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r>
      <w:tr>
        <w:trPr>
          <w:trHeight w:val="243"/>
        </w:trPr>
        <w:tc>
          <w:tcPr>
            <w:tcW w:w="832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operations) </w:t>
            </w:r>
            <w:r>
              <w:rPr>
                <w:rFonts w:ascii="Times New Roman" w:cs="Times New Roman" w:eastAsia="Times New Roman" w:hAnsi="Times New Roman"/>
                <w:sz w:val="23"/>
                <w:szCs w:val="23"/>
                <w:color w:val="auto"/>
                <w:vertAlign w:val="superscript"/>
              </w:rPr>
              <w:t>(b)</w:t>
            </w:r>
          </w:p>
        </w:tc>
        <w:tc>
          <w:tcPr>
            <w:tcW w:w="9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42424"/>
                <w:w w:val="99"/>
              </w:rPr>
              <w:t>—</w:t>
            </w:r>
          </w:p>
        </w:tc>
        <w:tc>
          <w:tcPr>
            <w:tcW w:w="98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27" w:lineRule="exact"/>
        <w:rPr>
          <w:sz w:val="20"/>
          <w:szCs w:val="20"/>
          <w:color w:val="auto"/>
        </w:rPr>
      </w:pPr>
    </w:p>
    <w:p>
      <w:pPr>
        <w:ind w:left="80" w:firstLine="9"/>
        <w:spacing w:after="0" w:line="230" w:lineRule="auto"/>
        <w:tabs>
          <w:tab w:leader="none" w:pos="239"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Relates to long-term energy related commodity contracts at Elbow Creek, Mesquite Star, Mt. Storm, Langford and Mesquite Sky and heat rate call option energy-related commodity contracts at El Segundo, Marsh Landing and Walnut Creek.</w:t>
      </w:r>
    </w:p>
    <w:p>
      <w:pPr>
        <w:ind w:left="260" w:hanging="171"/>
        <w:spacing w:after="0" w:line="228" w:lineRule="auto"/>
        <w:tabs>
          <w:tab w:leader="none" w:pos="26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Relates to long-term backbone transportation service energy-related commodity contracts at El Segundo and Walnut Creek.</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See Note 5,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for a discussion regarding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 xml:space="preserve">Note 7 — </w:t>
      </w:r>
      <w:r>
        <w:rPr>
          <w:rFonts w:ascii="Times New Roman" w:cs="Times New Roman" w:eastAsia="Times New Roman" w:hAnsi="Times New Roman"/>
          <w:sz w:val="18"/>
          <w:szCs w:val="18"/>
          <w:b w:val="1"/>
          <w:bCs w:val="1"/>
          <w:i w:val="1"/>
          <w:iCs w:val="1"/>
          <w:color w:val="auto"/>
        </w:rPr>
        <w:t>Long-term Debt</w:t>
      </w:r>
    </w:p>
    <w:p>
      <w:pPr>
        <w:spacing w:after="0" w:line="173"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This note should be read in conjunction with the complete description under Item 15 —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the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statements included in the Company’s </w:t>
      </w:r>
      <w:r>
        <w:rPr>
          <w:rFonts w:ascii="Times New Roman" w:cs="Times New Roman" w:eastAsia="Times New Roman" w:hAnsi="Times New Roman"/>
          <w:sz w:val="18"/>
          <w:szCs w:val="18"/>
          <w:color w:val="000000"/>
        </w:rPr>
        <w:t>2024 Form 10-K. The Company’s borrowings, including short-term and long-term portions, consisted of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following:</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0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8"/>
                <w:szCs w:val="18"/>
                <w:color w:val="auto"/>
              </w:rPr>
            </w:pPr>
          </w:p>
        </w:tc>
        <w:tc>
          <w:tcPr>
            <w:tcW w:w="14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8"/>
                <w:szCs w:val="18"/>
                <w:color w:val="auto"/>
              </w:rPr>
            </w:pPr>
          </w:p>
        </w:tc>
        <w:tc>
          <w:tcPr>
            <w:tcW w:w="1780" w:type="dxa"/>
            <w:vAlign w:val="bottom"/>
            <w:gridSpan w:val="2"/>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 xml:space="preserve">Interest Rate </w:t>
            </w:r>
            <w:r>
              <w:rPr>
                <w:rFonts w:ascii="Times New Roman" w:cs="Times New Roman" w:eastAsia="Times New Roman" w:hAnsi="Times New Roman"/>
                <w:sz w:val="18"/>
                <w:szCs w:val="18"/>
                <w:b w:val="1"/>
                <w:bCs w:val="1"/>
                <w:color w:val="auto"/>
                <w:vertAlign w:val="superscript"/>
              </w:rPr>
              <w:t>(a)</w:t>
            </w:r>
          </w:p>
        </w:tc>
      </w:tr>
      <w:tr>
        <w:trPr>
          <w:trHeight w:val="210"/>
        </w:trPr>
        <w:tc>
          <w:tcPr>
            <w:tcW w:w="44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020" w:type="dxa"/>
            <w:vAlign w:val="bottom"/>
            <w:tcBorders>
              <w:top w:val="single" w:sz="8" w:color="auto"/>
            </w:tcBorders>
            <w:gridSpan w:val="4"/>
            <w:shd w:val="clear" w:color="auto" w:fill="CCEEFF"/>
          </w:tcPr>
          <w:p>
            <w:pPr>
              <w:jc w:val="right"/>
              <w:ind w:right="11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13"/>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2028-2032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- 4.750%</w:t>
            </w:r>
          </w:p>
        </w:tc>
      </w:tr>
      <w:tr>
        <w:trPr>
          <w:trHeight w:val="21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Non-recourse facility-level debt:</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13"/>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rate</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2031-2040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2.339%</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- 8.000%</w:t>
            </w:r>
          </w:p>
        </w:tc>
      </w:tr>
      <w:tr>
        <w:trPr>
          <w:trHeight w:val="21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rate</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2025-2033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S+1.250%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- 2.775%</w:t>
            </w:r>
          </w:p>
        </w:tc>
      </w:tr>
      <w:tr>
        <w:trPr>
          <w:trHeight w:val="207"/>
        </w:trPr>
        <w:tc>
          <w:tcPr>
            <w:tcW w:w="4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debt</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maturities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13"/>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debt issuance costs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9"/>
        </w:trPr>
        <w:tc>
          <w:tcPr>
            <w:tcW w:w="44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Add premiums </w:t>
            </w:r>
            <w:r>
              <w:rPr>
                <w:rFonts w:ascii="Times New Roman" w:cs="Times New Roman" w:eastAsia="Times New Roman" w:hAnsi="Times New Roman"/>
                <w:sz w:val="21"/>
                <w:szCs w:val="21"/>
                <w:color w:val="auto"/>
                <w:vertAlign w:val="superscript"/>
              </w:rPr>
              <w:t>(b)</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10"/>
        </w:trPr>
        <w:tc>
          <w:tcPr>
            <w:tcW w:w="4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long-term debt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20" w:lineRule="exact"/>
        <w:rPr>
          <w:sz w:val="20"/>
          <w:szCs w:val="20"/>
          <w:color w:val="auto"/>
        </w:rPr>
      </w:pPr>
    </w:p>
    <w:p>
      <w:pPr>
        <w:ind w:left="220" w:hanging="131"/>
        <w:spacing w:after="0"/>
        <w:tabs>
          <w:tab w:leader="none" w:pos="22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As of March 31, 2025, S+ equals SOFR plus x%.</w:t>
      </w:r>
    </w:p>
    <w:p>
      <w:pPr>
        <w:spacing w:after="0" w:line="16" w:lineRule="exact"/>
        <w:rPr>
          <w:rFonts w:ascii="Times New Roman" w:cs="Times New Roman" w:eastAsia="Times New Roman" w:hAnsi="Times New Roman"/>
          <w:sz w:val="17"/>
          <w:szCs w:val="17"/>
          <w:color w:val="auto"/>
          <w:vertAlign w:val="superscript"/>
        </w:rPr>
      </w:pPr>
    </w:p>
    <w:p>
      <w:pPr>
        <w:ind w:left="240" w:hanging="151"/>
        <w:spacing w:after="0" w:line="189" w:lineRule="auto"/>
        <w:tabs>
          <w:tab w:leader="none" w:pos="24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Premiums relate to the 2028 Senior Notes.</w:t>
      </w:r>
    </w:p>
    <w:p>
      <w:pPr>
        <w:spacing w:after="0" w:line="31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At March 31, 2025, the Company had approximately $927 million in letters of credit outstanding, $86 million of which is related to the Company’s revolving credit facility.</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financing arrangements listed above contain certain covenants, including financial covenants that the Company is required to be in compliance with during the term of the respective arrangement. As of March 31, 2025, the Company was in compliance with all of the required covenants.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discussion below describes material changes to or additions of long-term debt for the three months ended March 31,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Facility-level Debt</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Buckthorn Solar</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On April 9, 2025, the Company, through its indirect subsidiary, Buckthorn Solar Portfolio LLC, </w:t>
      </w:r>
      <w:r>
        <w:rPr>
          <w:rFonts w:ascii="Times New Roman" w:cs="Times New Roman" w:eastAsia="Times New Roman" w:hAnsi="Times New Roman"/>
          <w:sz w:val="18"/>
          <w:szCs w:val="18"/>
          <w:color w:val="212529"/>
        </w:rPr>
        <w:t>refinanced its existing credit agreement, which was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scheduled to mature in May 2025, resulting in the issuance of a $104 million term loan facility, as well as $22 million in letters of credit in support of debt service and facility obligations. </w:t>
      </w:r>
      <w:r>
        <w:rPr>
          <w:rFonts w:ascii="Times New Roman" w:cs="Times New Roman" w:eastAsia="Times New Roman" w:hAnsi="Times New Roman"/>
          <w:sz w:val="18"/>
          <w:szCs w:val="18"/>
          <w:color w:val="000000"/>
        </w:rPr>
        <w:t>The term loan bears interest at a rate of SOFR plus 1.625% per annum and matures on April 9, 2031. The obligations under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the new financing arrangement are supported by the Company’s interests in the Buckthorn Solar facility. The Company utilized the proceeds from the term loan and existing sources of liquidity to pay off the existing debt in the amount of $112 million.</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Rosamond South I</w:t>
      </w:r>
    </w:p>
    <w:p>
      <w:pPr>
        <w:spacing w:after="0" w:line="17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On March 20, 2025, as part of the acquisition of Rosamond South I, as further described in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the Company assumed the facility’s financing agreement, which included a $179 million construction loan that converts to a term loan when the facility reaches substantial completion, which is expected to occur in the second half of 2025, a $6 million cash equity bridge loan and a $284 million tax equity bridge loan, offset by $1 million in unamortized debt issuance costs. The cash equity bridge loan was repaid at acquisition date, along with $3 million in associated fees, utilizing $2 million from the third-party cash equity investor, as well as all of the proceeds from the Company, which were contributed back to the Company by CEG, and an additional $3 million contributed by CEG. The tax equity bridge loan will be repaid upon Rosamond South I reaching substantial completion with the final proceeds received from the tax equity investor, as well as the Company’s and the third-party cash equity investor’s additional purchase price, along with the $58 million that was contributed into escrow by the tax equity investor at acquisition date, which is included in restricted cash on the Company’s consolidated balance sheet. Subsequent to the acquisition, the Company borrowed an additional $14 million in construction loans through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 xml:space="preserve">Note 8 — </w:t>
      </w:r>
      <w:r>
        <w:rPr>
          <w:rFonts w:ascii="Times New Roman" w:cs="Times New Roman" w:eastAsia="Times New Roman" w:hAnsi="Times New Roman"/>
          <w:sz w:val="18"/>
          <w:szCs w:val="18"/>
          <w:b w:val="1"/>
          <w:bCs w:val="1"/>
          <w:i w:val="1"/>
          <w:iCs w:val="1"/>
          <w:color w:val="auto"/>
        </w:rPr>
        <w:t>Segment Reporting</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segment structure reflects how management currently operates and allocates resources. The Company’s businesses are segregated based on Flexible Generation and Renewables &amp; Storage businesses, which consist of solar, wind and battery energy storage system, or BESS, facilities. The Corporate segment reflects the Company’s corporate costs and includes eliminating entries. The Company’s chief operating decision maker, its Chief Executive Officer, evaluates the performance of its segments based on net income (loss). The Company’s Chief Executive Officer reviews net income (loss) and its components on a monthly and quarterly basis to evaluate the performance of each segment and to determine how to allocate resources.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Renewables &amp;</w:t>
            </w:r>
          </w:p>
        </w:tc>
        <w:tc>
          <w:tcPr>
            <w:tcW w:w="20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21"/>
                <w:szCs w:val="21"/>
                <w:b w:val="1"/>
                <w:bCs w:val="1"/>
                <w:color w:val="auto"/>
                <w:vertAlign w:val="superscript"/>
              </w:rPr>
              <w:t>(a)</w:t>
            </w:r>
          </w:p>
        </w:tc>
        <w:tc>
          <w:tcPr>
            <w:tcW w:w="300" w:type="dxa"/>
            <w:vAlign w:val="bottom"/>
          </w:tcPr>
          <w:p>
            <w:pPr>
              <w:spacing w:after="0"/>
              <w:rPr>
                <w:sz w:val="11"/>
                <w:szCs w:val="11"/>
                <w:color w:val="auto"/>
              </w:rPr>
            </w:pPr>
          </w:p>
        </w:tc>
        <w:tc>
          <w:tcPr>
            <w:tcW w:w="102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5620" w:type="dxa"/>
            <w:vAlign w:val="bottom"/>
            <w:vMerge w:val="continue"/>
          </w:tcPr>
          <w:p>
            <w:pPr>
              <w:spacing w:after="0"/>
              <w:rPr>
                <w:sz w:val="17"/>
                <w:szCs w:val="17"/>
                <w:color w:val="auto"/>
              </w:rPr>
            </w:pPr>
          </w:p>
        </w:tc>
        <w:tc>
          <w:tcPr>
            <w:tcW w:w="14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480" w:type="dxa"/>
            <w:vAlign w:val="bottom"/>
            <w:tcBorders>
              <w:top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176"/>
        </w:trPr>
        <w:tc>
          <w:tcPr>
            <w:tcW w:w="56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 accretion</w:t>
            </w: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shown separately below</w:t>
            </w: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Clearway Energy LLC</w:t>
            </w:r>
          </w:p>
        </w:tc>
        <w:tc>
          <w:tcPr>
            <w:tcW w:w="4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investments in affiliates</w:t>
            </w:r>
          </w:p>
        </w:tc>
        <w:tc>
          <w:tcPr>
            <w:tcW w:w="4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Capital expenditures </w:t>
            </w:r>
            <w:r>
              <w:rPr>
                <w:rFonts w:ascii="Times New Roman" w:cs="Times New Roman" w:eastAsia="Times New Roman" w:hAnsi="Times New Roman"/>
                <w:sz w:val="21"/>
                <w:szCs w:val="21"/>
                <w:color w:val="auto"/>
                <w:vertAlign w:val="superscript"/>
              </w:rPr>
              <w:t>(b)</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3798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6"/>
          <w:szCs w:val="16"/>
          <w:color w:val="auto"/>
        </w:rPr>
        <w:t xml:space="preserve"> Includes eliminations.</w:t>
      </w:r>
    </w:p>
    <w:p>
      <w:pPr>
        <w:ind w:left="80"/>
        <w:spacing w:after="0"/>
        <w:rPr>
          <w:sz w:val="20"/>
          <w:szCs w:val="20"/>
          <w:color w:val="auto"/>
        </w:rPr>
      </w:pPr>
      <w:r>
        <w:rPr>
          <w:rFonts w:ascii="Times New Roman" w:cs="Times New Roman" w:eastAsia="Times New Roman" w:hAnsi="Times New Roman"/>
          <w:sz w:val="23"/>
          <w:szCs w:val="23"/>
          <w:color w:val="auto"/>
          <w:vertAlign w:val="superscript"/>
        </w:rPr>
        <w:t>(b)</w:t>
      </w:r>
      <w:r>
        <w:rPr>
          <w:rFonts w:ascii="Times New Roman" w:cs="Times New Roman" w:eastAsia="Times New Roman" w:hAnsi="Times New Roman"/>
          <w:sz w:val="16"/>
          <w:szCs w:val="16"/>
          <w:color w:val="auto"/>
        </w:rPr>
        <w:t xml:space="preserve"> Includes accruals.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60" w:type="dxa"/>
            <w:vAlign w:val="bottom"/>
          </w:tcPr>
          <w:p>
            <w:pPr>
              <w:spacing w:after="0"/>
              <w:rPr>
                <w:sz w:val="11"/>
                <w:szCs w:val="11"/>
                <w:color w:val="auto"/>
              </w:rPr>
            </w:pPr>
          </w:p>
        </w:tc>
        <w:tc>
          <w:tcPr>
            <w:tcW w:w="128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Renewables &amp;</w:t>
            </w:r>
          </w:p>
        </w:tc>
        <w:tc>
          <w:tcPr>
            <w:tcW w:w="180" w:type="dxa"/>
            <w:vAlign w:val="bottom"/>
          </w:tcPr>
          <w:p>
            <w:pPr>
              <w:spacing w:after="0"/>
              <w:rPr>
                <w:sz w:val="11"/>
                <w:szCs w:val="11"/>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21"/>
                <w:szCs w:val="21"/>
                <w:b w:val="1"/>
                <w:bCs w:val="1"/>
                <w:color w:val="auto"/>
                <w:vertAlign w:val="superscript"/>
              </w:rPr>
              <w:t>(a)</w:t>
            </w:r>
          </w:p>
        </w:tc>
        <w:tc>
          <w:tcPr>
            <w:tcW w:w="260" w:type="dxa"/>
            <w:vAlign w:val="bottom"/>
          </w:tcPr>
          <w:p>
            <w:pPr>
              <w:spacing w:after="0"/>
              <w:rPr>
                <w:sz w:val="11"/>
                <w:szCs w:val="11"/>
                <w:color w:val="auto"/>
              </w:rPr>
            </w:pPr>
          </w:p>
        </w:tc>
        <w:tc>
          <w:tcPr>
            <w:tcW w:w="94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5640" w:type="dxa"/>
            <w:vAlign w:val="bottom"/>
            <w:vMerge w:val="continue"/>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176"/>
        </w:trPr>
        <w:tc>
          <w:tcPr>
            <w:tcW w:w="56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 accretion</w:t>
            </w: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shown separately below</w:t>
            </w:r>
          </w:p>
        </w:tc>
        <w:tc>
          <w:tcPr>
            <w:tcW w:w="5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9"/>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5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5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5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5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56"/>
        </w:trPr>
        <w:tc>
          <w:tcPr>
            <w:tcW w:w="564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Less: Net loss attributable to noncontrolling interests and redeemable</w:t>
            </w: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58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8"/>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Clearway Energy LLC</w:t>
            </w:r>
          </w:p>
        </w:tc>
        <w:tc>
          <w:tcPr>
            <w:tcW w:w="580" w:type="dxa"/>
            <w:vAlign w:val="bottom"/>
            <w:tcBorders>
              <w:top w:val="single" w:sz="8" w:color="auto"/>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4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investments in affiliates</w:t>
            </w: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94"/>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Capital expenditures </w:t>
            </w:r>
            <w:r>
              <w:rPr>
                <w:rFonts w:ascii="Times New Roman" w:cs="Times New Roman" w:eastAsia="Times New Roman" w:hAnsi="Times New Roman"/>
                <w:sz w:val="21"/>
                <w:szCs w:val="21"/>
                <w:color w:val="auto"/>
                <w:vertAlign w:val="superscript"/>
              </w:rPr>
              <w:t>(b)</w:t>
            </w:r>
          </w:p>
        </w:tc>
        <w:tc>
          <w:tcPr>
            <w:tcW w:w="5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13798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6"/>
          <w:szCs w:val="16"/>
          <w:color w:val="auto"/>
        </w:rPr>
        <w:t xml:space="preserve"> Includes eliminations.</w:t>
      </w:r>
    </w:p>
    <w:p>
      <w:pPr>
        <w:ind w:left="80"/>
        <w:spacing w:after="0"/>
        <w:rPr>
          <w:sz w:val="20"/>
          <w:szCs w:val="20"/>
          <w:color w:val="auto"/>
        </w:rPr>
      </w:pPr>
      <w:r>
        <w:rPr>
          <w:rFonts w:ascii="Times New Roman" w:cs="Times New Roman" w:eastAsia="Times New Roman" w:hAnsi="Times New Roman"/>
          <w:sz w:val="23"/>
          <w:szCs w:val="23"/>
          <w:color w:val="auto"/>
          <w:vertAlign w:val="superscript"/>
        </w:rPr>
        <w:t>(b)</w:t>
      </w:r>
      <w:r>
        <w:rPr>
          <w:rFonts w:ascii="Times New Roman" w:cs="Times New Roman" w:eastAsia="Times New Roman" w:hAnsi="Times New Roman"/>
          <w:sz w:val="16"/>
          <w:szCs w:val="16"/>
          <w:color w:val="auto"/>
        </w:rPr>
        <w:t xml:space="preserve"> Includes accruals.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 </w:t>
      </w:r>
      <w:r>
        <w:rPr>
          <w:rFonts w:ascii="Times New Roman" w:cs="Times New Roman" w:eastAsia="Times New Roman" w:hAnsi="Times New Roman"/>
          <w:sz w:val="18"/>
          <w:szCs w:val="18"/>
          <w:b w:val="1"/>
          <w:bCs w:val="1"/>
          <w:i w:val="1"/>
          <w:iCs w:val="1"/>
          <w:color w:val="auto"/>
        </w:rPr>
        <w:t>Related Party Transactions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addition to the transactions and relationships described elsewhere in the notes to the consolidated financial statements, certain subsidiaries of CEG provide services to the Company and its operating subsidiaries.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 This footnote should be read in conjunction with the complete description under Item 15 — Note 13,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the</w:t>
      </w:r>
      <w:r>
        <w:rPr>
          <w:rFonts w:ascii="Times New Roman" w:cs="Times New Roman" w:eastAsia="Times New Roman" w:hAnsi="Times New Roman"/>
          <w:sz w:val="18"/>
          <w:szCs w:val="18"/>
          <w:color w:val="auto"/>
        </w:rPr>
        <w:t xml:space="preserve"> consolidated financial statements included in the Company’s 2024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O&amp;M Services Agreements by and between the Company and Clearway Renewable Operation &amp; Maintenance LLC</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Various subsidiaries of the Company in the Renewables &amp; Storage segment are party to services agreements with Clearway Renewable Operation &amp; Maintenance LLC, or RENOM, a wholly-owned subsidiary of CEG, which provides operation and maintenance, or O&amp;M, services to these subsidiaries. The Company incurred total expenses for these services of $21 million and $19 million for the three months ended March 31, 2025 and 2024, respectively, included in cost of operations in the consolidated statements of operations. There was a balance of $12 million due to RENOM as of both March 31, 2025 and December 31,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Agreements by and between the Company and CEG</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Various subsidiaries of the Company are parties to services agreements with Clearway Asset Services LLC and Clearway Solar Asset Management LLC, two wholly-owned subsidiaries of CEG, which provide various administrative services to the Company's subsidiaries. The Company incurred expenses under these agreements of $5 million and $6 million for the three months ended March 31, 2025 and 2024, respectively, included in cost of operations in the consolidated statements of operations. There was a balance of $3 million due to CEG as of both March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CEG Master Services Agreement</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along with Clearway, Inc. and certain of its subsidiaries, is a party to the CEG Master Services Agreement, pursuant to which CEG and certain of its affiliates or third-party service providers provide certain services to the Company. These services include operational and administrative services, including human resources, information systems, cybersecurity, external affairs, accounting, procurement and risk management services, and, effective January 1, 2025, internal audit, tax, legal and treasury services, in exchange for the payment of fees in respect of such services. Until January 1, 2025, the Company provided certain services to CEG under a separate Master Services Agreement, including accounting, internal audit, tax and treasury services, in exchange for the payment of fees in respect of such services. In addition, effective January 1, 2025, the Company directly bears all labor costs for certain employees of CEG who perform work on behalf of the Company.</w:t>
      </w:r>
    </w:p>
    <w:p>
      <w:pPr>
        <w:spacing w:after="0" w:line="13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incurred net expenses under these agreements of $6 million and $1 million for the three months ended March 31, 2025 and 2024, respectively, included in the cost of operations in the consolidated statements of operations. There was a balance of $1 million and $5 million due to CEG as of March 31,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7" w:name="page28"/>
    <w:bookmarkEnd w:id="27"/>
    <w:p>
      <w:pPr>
        <w:jc w:val="right"/>
        <w:ind w:right="3160"/>
        <w:spacing w:after="0" w:line="466" w:lineRule="auto"/>
        <w:rPr>
          <w:sz w:val="20"/>
          <w:szCs w:val="20"/>
          <w:color w:val="auto"/>
        </w:rPr>
      </w:pPr>
      <w:r>
        <w:rPr>
          <w:rFonts w:ascii="Times New Roman" w:cs="Times New Roman" w:eastAsia="Times New Roman" w:hAnsi="Times New Roman"/>
          <w:sz w:val="17"/>
          <w:szCs w:val="17"/>
          <w:b w:val="1"/>
          <w:bCs w:val="1"/>
          <w:color w:val="auto"/>
        </w:rPr>
        <w:t xml:space="preserve">ITEM 2 — Management’s Discussion and Analysis of Financial Condition and the Results of Operations </w:t>
      </w:r>
      <w:r>
        <w:rPr>
          <w:rFonts w:ascii="Times New Roman" w:cs="Times New Roman" w:eastAsia="Times New Roman" w:hAnsi="Times New Roman"/>
          <w:sz w:val="17"/>
          <w:szCs w:val="17"/>
          <w:color w:val="auto"/>
        </w:rPr>
        <w:t>The following discussion analyzes the Company’s historical financial condition and results of operations.</w:t>
      </w:r>
    </w:p>
    <w:p>
      <w:pPr>
        <w:spacing w:after="0" w:line="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you read this discussion and analysis, refer to the Company’s consolidated financial statements to this Form 10-Q, which present the results of operations for the three months ended March 31, 2025 and 2024. Also refer to the Company’s 2024 Form 10-K, which includes detailed discussions of various items impacting the Company’s business, results of operations and financial condition.</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discussion and analysis below has been organized as follows:</w:t>
      </w:r>
    </w:p>
    <w:p>
      <w:pPr>
        <w:spacing w:after="0" w:line="117" w:lineRule="exact"/>
        <w:rPr>
          <w:sz w:val="20"/>
          <w:szCs w:val="20"/>
          <w:color w:val="auto"/>
        </w:rPr>
      </w:pPr>
    </w:p>
    <w:p>
      <w:pPr>
        <w:ind w:left="980" w:right="80"/>
        <w:spacing w:after="0" w:line="281" w:lineRule="auto"/>
        <w:tabs>
          <w:tab w:leader="none" w:pos="1299"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Executive Summary, including a description of the business and significant events that are important to understanding the results of operations and financial condition;</w:t>
      </w:r>
    </w:p>
    <w:p>
      <w:pPr>
        <w:spacing w:after="0" w:line="1" w:lineRule="exact"/>
        <w:rPr>
          <w:rFonts w:ascii="Times New Roman" w:cs="Times New Roman" w:eastAsia="Times New Roman" w:hAnsi="Times New Roman"/>
          <w:sz w:val="18"/>
          <w:szCs w:val="18"/>
          <w:color w:val="231F20"/>
        </w:rPr>
      </w:pPr>
    </w:p>
    <w:p>
      <w:pPr>
        <w:ind w:left="980" w:right="80"/>
        <w:spacing w:after="0" w:line="281" w:lineRule="auto"/>
        <w:tabs>
          <w:tab w:leader="none" w:pos="129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Results of operations, including an explanation of significant differences between the periods in the specific line items of the consolidated statements of operations;</w:t>
      </w:r>
    </w:p>
    <w:p>
      <w:pPr>
        <w:spacing w:after="0" w:line="1" w:lineRule="exact"/>
        <w:rPr>
          <w:rFonts w:ascii="Times New Roman" w:cs="Times New Roman" w:eastAsia="Times New Roman" w:hAnsi="Times New Roman"/>
          <w:sz w:val="18"/>
          <w:szCs w:val="18"/>
          <w:color w:val="auto"/>
        </w:rPr>
      </w:pPr>
    </w:p>
    <w:p>
      <w:pPr>
        <w:ind w:left="980" w:right="100"/>
        <w:spacing w:after="0" w:line="281" w:lineRule="auto"/>
        <w:tabs>
          <w:tab w:leader="none" w:pos="1299"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Financial condition addressing liquidity position, sources and uses of cash, capital resources and requirements, commitments and off-balance sheet arrangements;</w:t>
      </w:r>
    </w:p>
    <w:p>
      <w:pPr>
        <w:spacing w:after="0" w:line="1" w:lineRule="exact"/>
        <w:rPr>
          <w:rFonts w:ascii="Times New Roman" w:cs="Times New Roman" w:eastAsia="Times New Roman" w:hAnsi="Times New Roman"/>
          <w:sz w:val="18"/>
          <w:szCs w:val="18"/>
          <w:color w:val="231F20"/>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Known trends that may affect the Company’s results of operations and financial condition in the future; and</w:t>
      </w:r>
    </w:p>
    <w:p>
      <w:pPr>
        <w:spacing w:after="0" w:line="63" w:lineRule="exact"/>
        <w:rPr>
          <w:rFonts w:ascii="Times New Roman" w:cs="Times New Roman" w:eastAsia="Times New Roman" w:hAnsi="Times New Roman"/>
          <w:sz w:val="18"/>
          <w:szCs w:val="18"/>
          <w:color w:val="231F20"/>
        </w:rPr>
      </w:pPr>
    </w:p>
    <w:p>
      <w:pPr>
        <w:ind w:left="980" w:right="80"/>
        <w:spacing w:after="0" w:line="282" w:lineRule="auto"/>
        <w:tabs>
          <w:tab w:leader="none" w:pos="129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 and Overview</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Clearway Energy Group LLC, or CEG, which is equally owned by GIP and TotalEnergies.</w:t>
      </w:r>
    </w:p>
    <w:p>
      <w:pPr>
        <w:spacing w:after="0" w:line="12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The Company is one of the largest owners of clean energy generation assets in the U.S. The Company’s portfolio comprises approximately 11.8 GW of gross capacity in 26 states, including approximately 9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investors with stable and growing dividend income. </w:t>
      </w:r>
      <w:r>
        <w:rPr>
          <w:rFonts w:ascii="Times New Roman" w:cs="Times New Roman" w:eastAsia="Times New Roman" w:hAnsi="Times New Roman"/>
          <w:sz w:val="18"/>
          <w:szCs w:val="18"/>
          <w:color w:val="231F20"/>
        </w:rPr>
        <w:t>The majority</w:t>
      </w:r>
      <w:r>
        <w:rPr>
          <w:rFonts w:ascii="Times New Roman" w:cs="Times New Roman" w:eastAsia="Times New Roman" w:hAnsi="Times New Roman"/>
          <w:sz w:val="18"/>
          <w:szCs w:val="18"/>
          <w:color w:val="auto"/>
        </w:rPr>
        <w:t xml:space="preserve"> of the Company’s revenues are derived from long-term contractual arrangements for the output or capacity from these assets. The weighted average remaining contract duration of the Company’s Renewables &amp; Storage segment offtake agreements was approximately 12 years </w:t>
      </w:r>
      <w:r>
        <w:rPr>
          <w:rFonts w:ascii="Times New Roman" w:cs="Times New Roman" w:eastAsia="Times New Roman" w:hAnsi="Times New Roman"/>
          <w:sz w:val="18"/>
          <w:szCs w:val="18"/>
          <w:color w:val="231F20"/>
        </w:rPr>
        <w:t>as of</w:t>
      </w:r>
      <w:r>
        <w:rPr>
          <w:rFonts w:ascii="Times New Roman" w:cs="Times New Roman" w:eastAsia="Times New Roman" w:hAnsi="Times New Roman"/>
          <w:sz w:val="18"/>
          <w:szCs w:val="18"/>
          <w:color w:val="auto"/>
        </w:rPr>
        <w:t xml:space="preserve"> March 31, 2025 </w:t>
      </w:r>
      <w:r>
        <w:rPr>
          <w:rFonts w:ascii="Times New Roman" w:cs="Times New Roman" w:eastAsia="Times New Roman" w:hAnsi="Times New Roman"/>
          <w:sz w:val="18"/>
          <w:szCs w:val="18"/>
          <w:color w:val="231F20"/>
        </w:rPr>
        <w:t>based on CAFD.</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2025, the Company’s operating assets are comprised of the following facilities:</w:t>
      </w:r>
    </w:p>
    <w:p>
      <w:pPr>
        <w:spacing w:after="0" w:line="97" w:lineRule="exact"/>
        <w:rPr>
          <w:sz w:val="20"/>
          <w:szCs w:val="20"/>
          <w:color w:val="auto"/>
        </w:rPr>
      </w:pPr>
    </w:p>
    <w:tbl>
      <w:tblPr>
        <w:tblLayout w:type="fixed"/>
        <w:tblInd w:w="1500" w:type="dxa"/>
        <w:tblCellMar>
          <w:top w:w="0" w:type="dxa"/>
          <w:left w:w="0" w:type="dxa"/>
          <w:bottom w:w="0" w:type="dxa"/>
          <w:right w:w="0" w:type="dxa"/>
        </w:tblCellMar>
      </w:tblPr>
      <w:tr>
        <w:trPr>
          <w:trHeight w:val="190"/>
        </w:trPr>
        <w:tc>
          <w:tcPr>
            <w:tcW w:w="14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2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1960" w:type="dxa"/>
            <w:vAlign w:val="bottom"/>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7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7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48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760" w:type="dxa"/>
            <w:vAlign w:val="bottom"/>
            <w:tcBorders>
              <w:top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Rated</w:t>
            </w:r>
          </w:p>
        </w:tc>
        <w:tc>
          <w:tcPr>
            <w:tcW w:w="1440" w:type="dxa"/>
            <w:vAlign w:val="bottom"/>
            <w:tcBorders>
              <w:top w:val="single" w:sz="8" w:color="auto"/>
            </w:tcBorders>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c>
          <w:tcPr>
            <w:tcW w:w="270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96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76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MW</w:t>
            </w:r>
          </w:p>
        </w:tc>
        <w:tc>
          <w:tcPr>
            <w:tcW w:w="1540" w:type="dxa"/>
            <w:vAlign w:val="bottom"/>
            <w:gridSpan w:val="2"/>
          </w:tcPr>
          <w:p>
            <w:pPr>
              <w:jc w:val="center"/>
              <w:ind w:left="235"/>
              <w:spacing w:after="0" w:line="233" w:lineRule="exact"/>
              <w:rPr>
                <w:sz w:val="20"/>
                <w:szCs w:val="20"/>
                <w:color w:val="auto"/>
              </w:rPr>
            </w:pPr>
            <w:r>
              <w:rPr>
                <w:rFonts w:ascii="Times New Roman" w:cs="Times New Roman" w:eastAsia="Times New Roman" w:hAnsi="Times New Roman"/>
                <w:sz w:val="27"/>
                <w:szCs w:val="27"/>
                <w:b w:val="1"/>
                <w:bCs w:val="1"/>
                <w:color w:val="auto"/>
                <w:w w:val="89"/>
                <w:vertAlign w:val="subscript"/>
              </w:rPr>
              <w:t>MW</w:t>
            </w:r>
            <w:r>
              <w:rPr>
                <w:rFonts w:ascii="Times New Roman" w:cs="Times New Roman" w:eastAsia="Times New Roman" w:hAnsi="Times New Roman"/>
                <w:sz w:val="10"/>
                <w:szCs w:val="10"/>
                <w:b w:val="1"/>
                <w:bCs w:val="1"/>
                <w:color w:val="auto"/>
                <w:w w:val="89"/>
              </w:rPr>
              <w:t xml:space="preserve"> (a)</w:t>
            </w:r>
          </w:p>
        </w:tc>
        <w:tc>
          <w:tcPr>
            <w:tcW w:w="270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30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Flexible Generation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Carlsbad</w:t>
            </w:r>
          </w:p>
        </w:tc>
        <w:tc>
          <w:tcPr>
            <w:tcW w:w="2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2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SDG&amp;E</w:t>
            </w:r>
          </w:p>
        </w:tc>
        <w:tc>
          <w:tcPr>
            <w:tcW w:w="1640" w:type="dxa"/>
            <w:vAlign w:val="bottom"/>
          </w:tcPr>
          <w:p>
            <w:pPr>
              <w:jc w:val="center"/>
              <w:ind w:left="508"/>
              <w:spacing w:after="0"/>
              <w:rPr>
                <w:sz w:val="20"/>
                <w:szCs w:val="20"/>
                <w:color w:val="auto"/>
              </w:rPr>
            </w:pPr>
            <w:r>
              <w:rPr>
                <w:rFonts w:ascii="Times New Roman" w:cs="Times New Roman" w:eastAsia="Times New Roman" w:hAnsi="Times New Roman"/>
                <w:sz w:val="14"/>
                <w:szCs w:val="14"/>
                <w:color w:val="auto"/>
              </w:rPr>
              <w:t>2038</w:t>
            </w:r>
          </w:p>
        </w:tc>
      </w:tr>
      <w:tr>
        <w:trPr>
          <w:trHeight w:val="20"/>
        </w:trPr>
        <w:tc>
          <w:tcPr>
            <w:tcW w:w="29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03"/>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El Segundo</w:t>
            </w:r>
          </w:p>
        </w:tc>
        <w:tc>
          <w:tcPr>
            <w:tcW w:w="2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2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1640" w:type="dxa"/>
            <w:vAlign w:val="bottom"/>
            <w:shd w:val="clear" w:color="auto" w:fill="CCEEFF"/>
          </w:tcPr>
          <w:p>
            <w:pPr>
              <w:jc w:val="center"/>
              <w:ind w:left="508"/>
              <w:spacing w:after="0"/>
              <w:rPr>
                <w:sz w:val="20"/>
                <w:szCs w:val="20"/>
                <w:color w:val="auto"/>
              </w:rPr>
            </w:pPr>
            <w:r>
              <w:rPr>
                <w:rFonts w:ascii="Times New Roman" w:cs="Times New Roman" w:eastAsia="Times New Roman" w:hAnsi="Times New Roman"/>
                <w:sz w:val="14"/>
                <w:szCs w:val="14"/>
                <w:color w:val="auto"/>
              </w:rPr>
              <w:t>2027 - 2029</w:t>
            </w:r>
          </w:p>
        </w:tc>
      </w:tr>
      <w:tr>
        <w:trPr>
          <w:trHeight w:val="195"/>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GenConn Devon</w:t>
            </w:r>
          </w:p>
        </w:tc>
        <w:tc>
          <w:tcPr>
            <w:tcW w:w="2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Connecticut Light &amp; Power</w:t>
            </w:r>
          </w:p>
        </w:tc>
        <w:tc>
          <w:tcPr>
            <w:tcW w:w="1640" w:type="dxa"/>
            <w:vAlign w:val="bottom"/>
          </w:tcPr>
          <w:p>
            <w:pPr>
              <w:jc w:val="center"/>
              <w:ind w:left="508"/>
              <w:spacing w:after="0"/>
              <w:rPr>
                <w:sz w:val="20"/>
                <w:szCs w:val="20"/>
                <w:color w:val="auto"/>
              </w:rPr>
            </w:pPr>
            <w:r>
              <w:rPr>
                <w:rFonts w:ascii="Times New Roman" w:cs="Times New Roman" w:eastAsia="Times New Roman" w:hAnsi="Times New Roman"/>
                <w:sz w:val="14"/>
                <w:szCs w:val="14"/>
                <w:color w:val="auto"/>
              </w:rPr>
              <w:t>2040</w:t>
            </w:r>
          </w:p>
        </w:tc>
      </w:tr>
      <w:tr>
        <w:trPr>
          <w:trHeight w:val="210"/>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GenConn Middletown</w:t>
            </w:r>
          </w:p>
        </w:tc>
        <w:tc>
          <w:tcPr>
            <w:tcW w:w="2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Connecticut Light &amp; Power</w:t>
            </w:r>
          </w:p>
        </w:tc>
        <w:tc>
          <w:tcPr>
            <w:tcW w:w="1640" w:type="dxa"/>
            <w:vAlign w:val="bottom"/>
            <w:shd w:val="clear" w:color="auto" w:fill="CCEEFF"/>
          </w:tcPr>
          <w:p>
            <w:pPr>
              <w:jc w:val="center"/>
              <w:ind w:left="508"/>
              <w:spacing w:after="0"/>
              <w:rPr>
                <w:sz w:val="20"/>
                <w:szCs w:val="20"/>
                <w:color w:val="auto"/>
              </w:rPr>
            </w:pPr>
            <w:r>
              <w:rPr>
                <w:rFonts w:ascii="Times New Roman" w:cs="Times New Roman" w:eastAsia="Times New Roman" w:hAnsi="Times New Roman"/>
                <w:sz w:val="14"/>
                <w:szCs w:val="14"/>
                <w:color w:val="auto"/>
              </w:rPr>
              <w:t>2041</w:t>
            </w:r>
          </w:p>
        </w:tc>
      </w:tr>
      <w:tr>
        <w:trPr>
          <w:trHeight w:val="195"/>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Marsh Landing</w:t>
            </w:r>
          </w:p>
        </w:tc>
        <w:tc>
          <w:tcPr>
            <w:tcW w:w="2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2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640" w:type="dxa"/>
            <w:vAlign w:val="bottom"/>
          </w:tcPr>
          <w:p>
            <w:pPr>
              <w:jc w:val="center"/>
              <w:ind w:left="508"/>
              <w:spacing w:after="0"/>
              <w:rPr>
                <w:sz w:val="20"/>
                <w:szCs w:val="20"/>
                <w:color w:val="auto"/>
              </w:rPr>
            </w:pPr>
            <w:r>
              <w:rPr>
                <w:rFonts w:ascii="Times New Roman" w:cs="Times New Roman" w:eastAsia="Times New Roman" w:hAnsi="Times New Roman"/>
                <w:sz w:val="14"/>
                <w:szCs w:val="14"/>
                <w:color w:val="auto"/>
              </w:rPr>
              <w:t>2026 - 2030</w:t>
            </w:r>
          </w:p>
        </w:tc>
      </w:tr>
      <w:tr>
        <w:trPr>
          <w:trHeight w:val="203"/>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Walnut Creek</w:t>
            </w:r>
          </w:p>
        </w:tc>
        <w:tc>
          <w:tcPr>
            <w:tcW w:w="2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2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640" w:type="dxa"/>
            <w:vAlign w:val="bottom"/>
            <w:shd w:val="clear" w:color="auto" w:fill="CCEEFF"/>
          </w:tcPr>
          <w:p>
            <w:pPr>
              <w:jc w:val="center"/>
              <w:ind w:left="508"/>
              <w:spacing w:after="0"/>
              <w:rPr>
                <w:sz w:val="20"/>
                <w:szCs w:val="20"/>
                <w:color w:val="auto"/>
              </w:rPr>
            </w:pPr>
            <w:r>
              <w:rPr>
                <w:rFonts w:ascii="Times New Roman" w:cs="Times New Roman" w:eastAsia="Times New Roman" w:hAnsi="Times New Roman"/>
                <w:sz w:val="14"/>
                <w:szCs w:val="14"/>
                <w:color w:val="auto"/>
              </w:rPr>
              <w:t>2026 - 2027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20" w:type="dxa"/>
            <w:vAlign w:val="bottom"/>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Total Flexible Generation</w:t>
            </w:r>
          </w:p>
        </w:tc>
        <w:tc>
          <w:tcPr>
            <w:tcW w:w="1900" w:type="dxa"/>
            <w:vAlign w:val="bottom"/>
          </w:tcPr>
          <w:p>
            <w:pPr>
              <w:spacing w:after="0"/>
              <w:rPr>
                <w:sz w:val="17"/>
                <w:szCs w:val="17"/>
                <w:color w:val="auto"/>
              </w:rPr>
            </w:pP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2,774</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2,584</w:t>
            </w:r>
          </w:p>
        </w:tc>
        <w:tc>
          <w:tcPr>
            <w:tcW w:w="24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Utility Scale Solar</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195"/>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Agua Caliente</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51 %</w:t>
            </w: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290</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148</w:t>
            </w:r>
          </w:p>
        </w:tc>
        <w:tc>
          <w:tcPr>
            <w:tcW w:w="2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PG&amp;E</w:t>
            </w:r>
          </w:p>
        </w:tc>
        <w:tc>
          <w:tcPr>
            <w:tcW w:w="162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2039</w:t>
            </w:r>
          </w:p>
        </w:tc>
      </w:tr>
      <w:tr>
        <w:trPr>
          <w:trHeight w:val="210"/>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Alpine</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66</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w:t>
            </w:r>
          </w:p>
        </w:tc>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PG&amp;E</w:t>
            </w:r>
          </w:p>
        </w:tc>
        <w:tc>
          <w:tcPr>
            <w:tcW w:w="1620" w:type="dxa"/>
            <w:vAlign w:val="bottom"/>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rPr>
              <w:t>2033</w:t>
            </w:r>
          </w:p>
        </w:tc>
      </w:tr>
      <w:tr>
        <w:trPr>
          <w:trHeight w:val="203"/>
        </w:trPr>
        <w:tc>
          <w:tcPr>
            <w:tcW w:w="3320" w:type="dxa"/>
            <w:vAlign w:val="bottom"/>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Arica </w:t>
            </w:r>
            <w:r>
              <w:rPr>
                <w:rFonts w:ascii="Times New Roman" w:cs="Times New Roman" w:eastAsia="Times New Roman" w:hAnsi="Times New Roman"/>
                <w:sz w:val="21"/>
                <w:szCs w:val="21"/>
                <w:color w:val="auto"/>
                <w:vertAlign w:val="superscript"/>
              </w:rPr>
              <w:t>(b)</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40 %</w:t>
            </w: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263</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105</w:t>
            </w:r>
          </w:p>
        </w:tc>
        <w:tc>
          <w:tcPr>
            <w:tcW w:w="2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Various</w:t>
            </w:r>
          </w:p>
        </w:tc>
        <w:tc>
          <w:tcPr>
            <w:tcW w:w="162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2026 - 2041</w:t>
            </w:r>
          </w:p>
        </w:tc>
      </w:tr>
      <w:tr>
        <w:trPr>
          <w:trHeight w:val="203"/>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Avenal</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50 %</w:t>
            </w:r>
          </w:p>
        </w:tc>
        <w:tc>
          <w:tcPr>
            <w:tcW w:w="11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45</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PG&amp;E</w:t>
            </w:r>
          </w:p>
        </w:tc>
        <w:tc>
          <w:tcPr>
            <w:tcW w:w="1620" w:type="dxa"/>
            <w:vAlign w:val="bottom"/>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rPr>
              <w:t>2031</w:t>
            </w:r>
          </w:p>
        </w:tc>
      </w:tr>
      <w:tr>
        <w:trPr>
          <w:trHeight w:val="195"/>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Avra Valley</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27</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2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Tucson Electric Power</w:t>
            </w:r>
          </w:p>
        </w:tc>
        <w:tc>
          <w:tcPr>
            <w:tcW w:w="162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2032</w:t>
            </w:r>
          </w:p>
        </w:tc>
      </w:tr>
      <w:tr>
        <w:trPr>
          <w:trHeight w:val="210"/>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Blythe</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21</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SCE</w:t>
            </w:r>
          </w:p>
        </w:tc>
        <w:tc>
          <w:tcPr>
            <w:tcW w:w="1620" w:type="dxa"/>
            <w:vAlign w:val="bottom"/>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rPr>
              <w:t>2029</w:t>
            </w:r>
          </w:p>
        </w:tc>
      </w:tr>
      <w:tr>
        <w:trPr>
          <w:trHeight w:val="195"/>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Borrego</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26</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2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SDG&amp;E</w:t>
            </w:r>
          </w:p>
        </w:tc>
        <w:tc>
          <w:tcPr>
            <w:tcW w:w="162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2038</w:t>
            </w:r>
          </w:p>
        </w:tc>
      </w:tr>
      <w:tr>
        <w:trPr>
          <w:trHeight w:val="237"/>
        </w:trPr>
        <w:tc>
          <w:tcPr>
            <w:tcW w:w="3320" w:type="dxa"/>
            <w:vAlign w:val="bottom"/>
            <w:shd w:val="clear" w:color="auto" w:fill="CCEEFF"/>
          </w:tcPr>
          <w:p>
            <w:pPr>
              <w:ind w:left="120"/>
              <w:spacing w:after="0" w:line="237" w:lineRule="exact"/>
              <w:rPr>
                <w:sz w:val="20"/>
                <w:szCs w:val="20"/>
                <w:color w:val="auto"/>
              </w:rPr>
            </w:pPr>
            <w:r>
              <w:rPr>
                <w:rFonts w:ascii="Times New Roman" w:cs="Times New Roman" w:eastAsia="Times New Roman" w:hAnsi="Times New Roman"/>
                <w:sz w:val="14"/>
                <w:szCs w:val="14"/>
                <w:color w:val="auto"/>
              </w:rPr>
              <w:t xml:space="preserve">Buckthorn Solar </w:t>
            </w:r>
            <w:r>
              <w:rPr>
                <w:rFonts w:ascii="Times New Roman" w:cs="Times New Roman" w:eastAsia="Times New Roman" w:hAnsi="Times New Roman"/>
                <w:sz w:val="21"/>
                <w:szCs w:val="21"/>
                <w:color w:val="auto"/>
                <w:vertAlign w:val="superscript"/>
              </w:rPr>
              <w:t>(b)</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150</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150</w:t>
            </w:r>
          </w:p>
        </w:tc>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City of Georgetown, TX</w:t>
            </w:r>
          </w:p>
        </w:tc>
        <w:tc>
          <w:tcPr>
            <w:tcW w:w="1620" w:type="dxa"/>
            <w:vAlign w:val="bottom"/>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rPr>
              <w:t>2043</w:t>
            </w:r>
          </w:p>
        </w:tc>
      </w:tr>
      <w:tr>
        <w:trPr>
          <w:trHeight w:val="195"/>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CVSR</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250</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250</w:t>
            </w:r>
          </w:p>
        </w:tc>
        <w:tc>
          <w:tcPr>
            <w:tcW w:w="2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PG&amp;E</w:t>
            </w:r>
          </w:p>
        </w:tc>
        <w:tc>
          <w:tcPr>
            <w:tcW w:w="162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2038</w:t>
            </w:r>
          </w:p>
        </w:tc>
      </w:tr>
      <w:tr>
        <w:trPr>
          <w:trHeight w:val="210"/>
        </w:trPr>
        <w:tc>
          <w:tcPr>
            <w:tcW w:w="3320" w:type="dxa"/>
            <w:vAlign w:val="bottom"/>
            <w:shd w:val="clear" w:color="auto" w:fill="CCEEFF"/>
          </w:tcPr>
          <w:p>
            <w:pPr>
              <w:ind w:left="120"/>
              <w:spacing w:after="0" w:line="210" w:lineRule="exact"/>
              <w:rPr>
                <w:sz w:val="20"/>
                <w:szCs w:val="20"/>
                <w:color w:val="auto"/>
              </w:rPr>
            </w:pPr>
            <w:r>
              <w:rPr>
                <w:rFonts w:ascii="Times New Roman" w:cs="Times New Roman" w:eastAsia="Times New Roman" w:hAnsi="Times New Roman"/>
                <w:sz w:val="14"/>
                <w:szCs w:val="14"/>
                <w:color w:val="auto"/>
              </w:rPr>
              <w:t xml:space="preserve">Daggett 2 </w:t>
            </w:r>
            <w:r>
              <w:rPr>
                <w:rFonts w:ascii="Times New Roman" w:cs="Times New Roman" w:eastAsia="Times New Roman" w:hAnsi="Times New Roman"/>
                <w:sz w:val="21"/>
                <w:szCs w:val="21"/>
                <w:color w:val="auto"/>
                <w:vertAlign w:val="superscript"/>
              </w:rPr>
              <w:t>(b)</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25 %</w:t>
            </w:r>
          </w:p>
        </w:tc>
        <w:tc>
          <w:tcPr>
            <w:tcW w:w="11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182</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w:t>
            </w:r>
          </w:p>
        </w:tc>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Various</w:t>
            </w:r>
          </w:p>
        </w:tc>
        <w:tc>
          <w:tcPr>
            <w:tcW w:w="1620" w:type="dxa"/>
            <w:vAlign w:val="bottom"/>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rPr>
              <w:t>2038</w:t>
            </w:r>
          </w:p>
        </w:tc>
      </w:tr>
      <w:tr>
        <w:trPr>
          <w:trHeight w:val="203"/>
        </w:trPr>
        <w:tc>
          <w:tcPr>
            <w:tcW w:w="3320" w:type="dxa"/>
            <w:vAlign w:val="bottom"/>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Daggett 3 </w:t>
            </w:r>
            <w:r>
              <w:rPr>
                <w:rFonts w:ascii="Times New Roman" w:cs="Times New Roman" w:eastAsia="Times New Roman" w:hAnsi="Times New Roman"/>
                <w:sz w:val="21"/>
                <w:szCs w:val="21"/>
                <w:color w:val="auto"/>
                <w:vertAlign w:val="superscript"/>
              </w:rPr>
              <w:t>(b)</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25 %</w:t>
            </w: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300</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w:t>
            </w:r>
          </w:p>
        </w:tc>
        <w:tc>
          <w:tcPr>
            <w:tcW w:w="2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Various</w:t>
            </w:r>
          </w:p>
        </w:tc>
        <w:tc>
          <w:tcPr>
            <w:tcW w:w="162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2033 - 2038</w:t>
            </w:r>
          </w:p>
        </w:tc>
      </w:tr>
      <w:tr>
        <w:trPr>
          <w:trHeight w:val="203"/>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Desert Sunlight 250</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25 %</w:t>
            </w:r>
          </w:p>
        </w:tc>
        <w:tc>
          <w:tcPr>
            <w:tcW w:w="11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250</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w:t>
            </w:r>
          </w:p>
        </w:tc>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SCE</w:t>
            </w:r>
          </w:p>
        </w:tc>
        <w:tc>
          <w:tcPr>
            <w:tcW w:w="1620" w:type="dxa"/>
            <w:vAlign w:val="bottom"/>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rPr>
              <w:t>2034</w:t>
            </w:r>
          </w:p>
        </w:tc>
      </w:tr>
      <w:tr>
        <w:trPr>
          <w:trHeight w:val="195"/>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Desert Sunlight 300</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25 %</w:t>
            </w: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300</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w:t>
            </w:r>
          </w:p>
        </w:tc>
        <w:tc>
          <w:tcPr>
            <w:tcW w:w="2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PG&amp;E</w:t>
            </w:r>
          </w:p>
        </w:tc>
        <w:tc>
          <w:tcPr>
            <w:tcW w:w="162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2039</w:t>
            </w:r>
          </w:p>
        </w:tc>
      </w:tr>
      <w:tr>
        <w:trPr>
          <w:trHeight w:val="210"/>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Enterprise</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80</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620" w:type="dxa"/>
            <w:vAlign w:val="bottom"/>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rPr>
              <w:t>2036</w:t>
            </w:r>
          </w:p>
        </w:tc>
      </w:tr>
      <w:tr>
        <w:trPr>
          <w:trHeight w:val="195"/>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Escalante I</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80</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2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62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2036</w:t>
            </w:r>
          </w:p>
        </w:tc>
      </w:tr>
      <w:tr>
        <w:trPr>
          <w:trHeight w:val="210"/>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Escalante II</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80</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620" w:type="dxa"/>
            <w:vAlign w:val="bottom"/>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rPr>
              <w:t>2036</w:t>
            </w:r>
          </w:p>
        </w:tc>
      </w:tr>
      <w:tr>
        <w:trPr>
          <w:trHeight w:val="195"/>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Escalante III</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80</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2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62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2036</w:t>
            </w:r>
          </w:p>
        </w:tc>
      </w:tr>
      <w:tr>
        <w:trPr>
          <w:trHeight w:val="210"/>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Granite Mountain East</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80</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620" w:type="dxa"/>
            <w:vAlign w:val="bottom"/>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rPr>
              <w:t>2036</w:t>
            </w:r>
          </w:p>
        </w:tc>
      </w:tr>
      <w:tr>
        <w:trPr>
          <w:trHeight w:val="195"/>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Granite Mountain West</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50</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w:t>
            </w:r>
          </w:p>
        </w:tc>
        <w:tc>
          <w:tcPr>
            <w:tcW w:w="2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62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2036</w:t>
            </w:r>
          </w:p>
        </w:tc>
      </w:tr>
      <w:tr>
        <w:trPr>
          <w:trHeight w:val="210"/>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Iron Springs</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80</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620" w:type="dxa"/>
            <w:vAlign w:val="bottom"/>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rPr>
              <w:t>2036</w:t>
            </w:r>
          </w:p>
        </w:tc>
      </w:tr>
      <w:tr>
        <w:trPr>
          <w:trHeight w:val="195"/>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Kansas South</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20</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2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PG&amp;E</w:t>
            </w:r>
          </w:p>
        </w:tc>
        <w:tc>
          <w:tcPr>
            <w:tcW w:w="162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2033</w:t>
            </w:r>
          </w:p>
        </w:tc>
      </w:tr>
      <w:tr>
        <w:trPr>
          <w:trHeight w:val="210"/>
        </w:trPr>
        <w:tc>
          <w:tcPr>
            <w:tcW w:w="3320" w:type="dxa"/>
            <w:vAlign w:val="bottom"/>
            <w:shd w:val="clear" w:color="auto" w:fill="CCEEFF"/>
          </w:tcPr>
          <w:p>
            <w:pPr>
              <w:ind w:left="120"/>
              <w:spacing w:after="0" w:line="210" w:lineRule="exact"/>
              <w:rPr>
                <w:sz w:val="20"/>
                <w:szCs w:val="20"/>
                <w:color w:val="auto"/>
              </w:rPr>
            </w:pPr>
            <w:r>
              <w:rPr>
                <w:rFonts w:ascii="Times New Roman" w:cs="Times New Roman" w:eastAsia="Times New Roman" w:hAnsi="Times New Roman"/>
                <w:sz w:val="14"/>
                <w:szCs w:val="14"/>
                <w:color w:val="auto"/>
              </w:rPr>
              <w:t xml:space="preserve">Mililani I </w:t>
            </w:r>
            <w:r>
              <w:rPr>
                <w:rFonts w:ascii="Times New Roman" w:cs="Times New Roman" w:eastAsia="Times New Roman" w:hAnsi="Times New Roman"/>
                <w:sz w:val="21"/>
                <w:szCs w:val="21"/>
                <w:color w:val="auto"/>
                <w:vertAlign w:val="superscript"/>
              </w:rPr>
              <w:t>(b)</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50 %</w:t>
            </w:r>
          </w:p>
        </w:tc>
        <w:tc>
          <w:tcPr>
            <w:tcW w:w="11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39</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1620" w:type="dxa"/>
            <w:vAlign w:val="bottom"/>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rPr>
              <w:t>2042</w:t>
            </w:r>
          </w:p>
        </w:tc>
      </w:tr>
      <w:tr>
        <w:trPr>
          <w:trHeight w:val="203"/>
        </w:trPr>
        <w:tc>
          <w:tcPr>
            <w:tcW w:w="3320" w:type="dxa"/>
            <w:vAlign w:val="bottom"/>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Oahu Solar </w:t>
            </w:r>
            <w:r>
              <w:rPr>
                <w:rFonts w:ascii="Times New Roman" w:cs="Times New Roman" w:eastAsia="Times New Roman" w:hAnsi="Times New Roman"/>
                <w:sz w:val="21"/>
                <w:szCs w:val="21"/>
                <w:color w:val="auto"/>
                <w:vertAlign w:val="superscript"/>
              </w:rPr>
              <w:t>(b)</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61</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w:t>
            </w:r>
          </w:p>
        </w:tc>
        <w:tc>
          <w:tcPr>
            <w:tcW w:w="2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162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2041</w:t>
            </w:r>
          </w:p>
        </w:tc>
      </w:tr>
      <w:tr>
        <w:trPr>
          <w:trHeight w:val="202"/>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Roadrunner</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20</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El Paso Electric</w:t>
            </w:r>
          </w:p>
        </w:tc>
        <w:tc>
          <w:tcPr>
            <w:tcW w:w="1620" w:type="dxa"/>
            <w:vAlign w:val="bottom"/>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rPr>
              <w:t>2031</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42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2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Rated</w:t>
            </w:r>
          </w:p>
        </w:tc>
        <w:tc>
          <w:tcPr>
            <w:tcW w:w="7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c>
          <w:tcPr>
            <w:tcW w:w="2940" w:type="dxa"/>
            <w:vAlign w:val="bottom"/>
            <w:tcBorders>
              <w:bottom w:val="single" w:sz="8" w:color="auto"/>
            </w:tcBorders>
            <w:gridSpan w:val="2"/>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60" w:type="dxa"/>
            <w:vAlign w:val="bottom"/>
            <w:tcBorders>
              <w:bottom w:val="single" w:sz="8" w:color="auto"/>
            </w:tcBorders>
          </w:tcPr>
          <w:p>
            <w:pPr>
              <w:jc w:val="right"/>
              <w:ind w:right="1427"/>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00" w:type="dxa"/>
            <w:vAlign w:val="bottom"/>
          </w:tcPr>
          <w:p>
            <w:pPr>
              <w:spacing w:after="0"/>
              <w:rPr>
                <w:sz w:val="17"/>
                <w:szCs w:val="17"/>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MW</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9"/>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MW</w:t>
            </w:r>
            <w:r>
              <w:rPr>
                <w:rFonts w:ascii="Times New Roman" w:cs="Times New Roman" w:eastAsia="Times New Roman" w:hAnsi="Times New Roman"/>
                <w:sz w:val="10"/>
                <w:szCs w:val="10"/>
                <w:b w:val="1"/>
                <w:bCs w:val="1"/>
                <w:color w:val="auto"/>
              </w:rPr>
              <w:t xml:space="preserve"> (a)</w:t>
            </w:r>
          </w:p>
        </w:tc>
        <w:tc>
          <w:tcPr>
            <w:tcW w:w="100" w:type="dxa"/>
            <w:vAlign w:val="bottom"/>
          </w:tcPr>
          <w:p>
            <w:pPr>
              <w:spacing w:after="0"/>
              <w:rPr>
                <w:sz w:val="17"/>
                <w:szCs w:val="17"/>
                <w:color w:val="auto"/>
              </w:rPr>
            </w:pPr>
          </w:p>
        </w:tc>
        <w:tc>
          <w:tcPr>
            <w:tcW w:w="28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20" w:type="dxa"/>
            <w:vAlign w:val="bottom"/>
          </w:tcPr>
          <w:p>
            <w:pPr>
              <w:spacing w:after="0"/>
              <w:rPr>
                <w:sz w:val="17"/>
                <w:szCs w:val="17"/>
                <w:color w:val="auto"/>
              </w:rPr>
            </w:pPr>
          </w:p>
        </w:tc>
        <w:tc>
          <w:tcPr>
            <w:tcW w:w="1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223"/>
        </w:trPr>
        <w:tc>
          <w:tcPr>
            <w:tcW w:w="366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14"/>
                <w:szCs w:val="14"/>
                <w:color w:val="auto"/>
              </w:rPr>
              <w:t xml:space="preserve">Rosamond Central </w:t>
            </w:r>
            <w:r>
              <w:rPr>
                <w:rFonts w:ascii="Times New Roman" w:cs="Times New Roman" w:eastAsia="Times New Roman" w:hAnsi="Times New Roman"/>
                <w:sz w:val="21"/>
                <w:szCs w:val="21"/>
                <w:color w:val="auto"/>
                <w:vertAlign w:val="superscript"/>
              </w:rPr>
              <w:t>(b)</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9"/>
                <w:szCs w:val="19"/>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2035 - 2047</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 High Desert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03"/>
        </w:trPr>
        <w:tc>
          <w:tcPr>
            <w:tcW w:w="366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Texas Solar Nova 1 </w:t>
            </w:r>
            <w:r>
              <w:rPr>
                <w:rFonts w:ascii="Times New Roman" w:cs="Times New Roman" w:eastAsia="Times New Roman" w:hAnsi="Times New Roman"/>
                <w:sz w:val="21"/>
                <w:szCs w:val="21"/>
                <w:color w:val="auto"/>
                <w:vertAlign w:val="superscript"/>
              </w:rPr>
              <w:t>(b)</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7"/>
                <w:szCs w:val="17"/>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Verizon</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2042</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Texas Solar Nova 2 </w:t>
            </w:r>
            <w:r>
              <w:rPr>
                <w:rFonts w:ascii="Times New Roman" w:cs="Times New Roman" w:eastAsia="Times New Roman" w:hAnsi="Times New Roman"/>
                <w:sz w:val="21"/>
                <w:szCs w:val="21"/>
                <w:color w:val="auto"/>
                <w:vertAlign w:val="superscript"/>
              </w:rPr>
              <w:t>(b)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Verizon</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2042</w:t>
            </w:r>
          </w:p>
        </w:tc>
        <w:tc>
          <w:tcPr>
            <w:tcW w:w="0" w:type="dxa"/>
            <w:vAlign w:val="bottom"/>
          </w:tcPr>
          <w:p>
            <w:pPr>
              <w:spacing w:after="0"/>
              <w:rPr>
                <w:sz w:val="1"/>
                <w:szCs w:val="1"/>
                <w:color w:val="auto"/>
              </w:rPr>
            </w:pPr>
          </w:p>
        </w:tc>
      </w:tr>
      <w:tr>
        <w:trPr>
          <w:trHeight w:val="229"/>
        </w:trPr>
        <w:tc>
          <w:tcPr>
            <w:tcW w:w="366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Victory Pass </w:t>
            </w:r>
            <w:r>
              <w:rPr>
                <w:rFonts w:ascii="Times New Roman" w:cs="Times New Roman" w:eastAsia="Times New Roman" w:hAnsi="Times New Roman"/>
                <w:sz w:val="21"/>
                <w:szCs w:val="21"/>
                <w:color w:val="auto"/>
                <w:vertAlign w:val="superscript"/>
              </w:rPr>
              <w:t>(b)</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9"/>
                <w:szCs w:val="19"/>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Waiawa </w:t>
            </w:r>
            <w:r>
              <w:rPr>
                <w:rFonts w:ascii="Times New Roman" w:cs="Times New Roman" w:eastAsia="Times New Roman" w:hAnsi="Times New Roman"/>
                <w:sz w:val="21"/>
                <w:szCs w:val="21"/>
                <w:color w:val="auto"/>
                <w:vertAlign w:val="superscript"/>
              </w:rPr>
              <w:t>(b)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2043</w:t>
            </w:r>
          </w:p>
        </w:tc>
        <w:tc>
          <w:tcPr>
            <w:tcW w:w="0" w:type="dxa"/>
            <w:vAlign w:val="bottom"/>
          </w:tcPr>
          <w:p>
            <w:pPr>
              <w:spacing w:after="0"/>
              <w:rPr>
                <w:sz w:val="1"/>
                <w:szCs w:val="1"/>
                <w:color w:val="auto"/>
              </w:rPr>
            </w:pPr>
          </w:p>
        </w:tc>
      </w:tr>
      <w:tr>
        <w:trPr>
          <w:trHeight w:val="195"/>
        </w:trPr>
        <w:tc>
          <w:tcPr>
            <w:tcW w:w="366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Total Utility Scale Solar</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1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Utility Scale BESS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6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Arica </w:t>
            </w:r>
            <w:r>
              <w:rPr>
                <w:rFonts w:ascii="Times New Roman" w:cs="Times New Roman" w:eastAsia="Times New Roman" w:hAnsi="Times New Roman"/>
                <w:sz w:val="21"/>
                <w:szCs w:val="21"/>
                <w:color w:val="auto"/>
                <w:vertAlign w:val="superscript"/>
              </w:rPr>
              <w:t>(b)</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7"/>
                <w:szCs w:val="17"/>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2039 - 2041</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Daggett 2 </w:t>
            </w:r>
            <w:r>
              <w:rPr>
                <w:rFonts w:ascii="Times New Roman" w:cs="Times New Roman" w:eastAsia="Times New Roman" w:hAnsi="Times New Roman"/>
                <w:sz w:val="21"/>
                <w:szCs w:val="21"/>
                <w:color w:val="auto"/>
                <w:vertAlign w:val="superscript"/>
              </w:rPr>
              <w:t>(b)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203"/>
        </w:trPr>
        <w:tc>
          <w:tcPr>
            <w:tcW w:w="366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Daggett 3 </w:t>
            </w:r>
            <w:r>
              <w:rPr>
                <w:rFonts w:ascii="Times New Roman" w:cs="Times New Roman" w:eastAsia="Times New Roman" w:hAnsi="Times New Roman"/>
                <w:sz w:val="21"/>
                <w:szCs w:val="21"/>
                <w:color w:val="auto"/>
                <w:vertAlign w:val="superscript"/>
              </w:rPr>
              <w:t>(b)</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7"/>
                <w:szCs w:val="17"/>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2033 - 2038</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Mililani I </w:t>
            </w:r>
            <w:r>
              <w:rPr>
                <w:rFonts w:ascii="Times New Roman" w:cs="Times New Roman" w:eastAsia="Times New Roman" w:hAnsi="Times New Roman"/>
                <w:sz w:val="21"/>
                <w:szCs w:val="21"/>
                <w:color w:val="auto"/>
                <w:vertAlign w:val="superscript"/>
              </w:rPr>
              <w:t>(b)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2042</w:t>
            </w:r>
          </w:p>
        </w:tc>
        <w:tc>
          <w:tcPr>
            <w:tcW w:w="0" w:type="dxa"/>
            <w:vAlign w:val="bottom"/>
          </w:tcPr>
          <w:p>
            <w:pPr>
              <w:spacing w:after="0"/>
              <w:rPr>
                <w:sz w:val="1"/>
                <w:szCs w:val="1"/>
                <w:color w:val="auto"/>
              </w:rPr>
            </w:pPr>
          </w:p>
        </w:tc>
      </w:tr>
      <w:tr>
        <w:trPr>
          <w:trHeight w:val="230"/>
        </w:trPr>
        <w:tc>
          <w:tcPr>
            <w:tcW w:w="366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Rosamond Central </w:t>
            </w:r>
            <w:r>
              <w:rPr>
                <w:rFonts w:ascii="Times New Roman" w:cs="Times New Roman" w:eastAsia="Times New Roman" w:hAnsi="Times New Roman"/>
                <w:sz w:val="21"/>
                <w:szCs w:val="21"/>
                <w:color w:val="auto"/>
                <w:vertAlign w:val="superscript"/>
              </w:rPr>
              <w:t>(b)</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9"/>
                <w:szCs w:val="19"/>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Victory Pass </w:t>
            </w:r>
            <w:r>
              <w:rPr>
                <w:rFonts w:ascii="Times New Roman" w:cs="Times New Roman" w:eastAsia="Times New Roman" w:hAnsi="Times New Roman"/>
                <w:sz w:val="21"/>
                <w:szCs w:val="21"/>
                <w:color w:val="auto"/>
                <w:vertAlign w:val="superscript"/>
              </w:rPr>
              <w:t>(b)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03"/>
        </w:trPr>
        <w:tc>
          <w:tcPr>
            <w:tcW w:w="3660" w:type="dxa"/>
            <w:vAlign w:val="bottom"/>
            <w:tcBorders>
              <w:bottom w:val="single" w:sz="8" w:color="CCEEFF"/>
            </w:tcBorders>
            <w:gridSpan w:val="2"/>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Waiawa </w:t>
            </w:r>
            <w:r>
              <w:rPr>
                <w:rFonts w:ascii="Times New Roman" w:cs="Times New Roman" w:eastAsia="Times New Roman" w:hAnsi="Times New Roman"/>
                <w:sz w:val="21"/>
                <w:szCs w:val="21"/>
                <w:color w:val="auto"/>
                <w:vertAlign w:val="superscript"/>
              </w:rPr>
              <w:t>(b)</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17"/>
                <w:szCs w:val="17"/>
                <w:color w:val="auto"/>
              </w:rPr>
            </w:pPr>
          </w:p>
        </w:tc>
        <w:tc>
          <w:tcPr>
            <w:tcW w:w="2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10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2043</w:t>
            </w:r>
          </w:p>
        </w:tc>
        <w:tc>
          <w:tcPr>
            <w:tcW w:w="0" w:type="dxa"/>
            <w:vAlign w:val="bottom"/>
          </w:tcPr>
          <w:p>
            <w:pPr>
              <w:spacing w:after="0"/>
              <w:rPr>
                <w:sz w:val="1"/>
                <w:szCs w:val="1"/>
                <w:color w:val="auto"/>
              </w:rPr>
            </w:pPr>
          </w:p>
        </w:tc>
      </w:tr>
      <w:tr>
        <w:trPr>
          <w:trHeight w:val="196"/>
        </w:trPr>
        <w:tc>
          <w:tcPr>
            <w:tcW w:w="3660" w:type="dxa"/>
            <w:vAlign w:val="bottom"/>
            <w:gridSpan w:val="2"/>
            <w:shd w:val="clear" w:color="auto" w:fill="CCEEFF"/>
          </w:tcPr>
          <w:p>
            <w:pPr>
              <w:jc w:val="right"/>
              <w:ind w:right="1600"/>
              <w:spacing w:after="0"/>
              <w:rPr>
                <w:sz w:val="20"/>
                <w:szCs w:val="20"/>
                <w:color w:val="auto"/>
              </w:rPr>
            </w:pPr>
            <w:r>
              <w:rPr>
                <w:rFonts w:ascii="Times New Roman" w:cs="Times New Roman" w:eastAsia="Times New Roman" w:hAnsi="Times New Roman"/>
                <w:sz w:val="16"/>
                <w:szCs w:val="16"/>
                <w:b w:val="1"/>
                <w:bCs w:val="1"/>
                <w:i w:val="1"/>
                <w:iCs w:val="1"/>
                <w:color w:val="auto"/>
              </w:rPr>
              <w:t>Total Utility Scale BESS</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Distributed Solar</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DGPV Funds </w:t>
            </w:r>
            <w:r>
              <w:rPr>
                <w:rFonts w:ascii="Times New Roman" w:cs="Times New Roman" w:eastAsia="Times New Roman" w:hAnsi="Times New Roman"/>
                <w:sz w:val="21"/>
                <w:szCs w:val="21"/>
                <w:color w:val="auto"/>
                <w:vertAlign w:val="superscript"/>
              </w:rPr>
              <w:t>(b)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2030 - 2044</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Solar Power Partners (SPP)</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2026 - 2037</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DG Facilities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2025 - 2039</w:t>
            </w:r>
          </w:p>
        </w:tc>
        <w:tc>
          <w:tcPr>
            <w:tcW w:w="0" w:type="dxa"/>
            <w:vAlign w:val="bottom"/>
          </w:tcPr>
          <w:p>
            <w:pPr>
              <w:spacing w:after="0"/>
              <w:rPr>
                <w:sz w:val="1"/>
                <w:szCs w:val="1"/>
                <w:color w:val="auto"/>
              </w:rPr>
            </w:pPr>
          </w:p>
        </w:tc>
      </w:tr>
      <w:tr>
        <w:trPr>
          <w:trHeight w:val="195"/>
        </w:trPr>
        <w:tc>
          <w:tcPr>
            <w:tcW w:w="366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Total Distributed Solar</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Wind</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Alta I</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Alta II</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Alta III</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Alta IV</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Alta V</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Alta X</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Alta XI</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237"/>
        </w:trPr>
        <w:tc>
          <w:tcPr>
            <w:tcW w:w="3660" w:type="dxa"/>
            <w:vAlign w:val="bottom"/>
            <w:gridSpan w:val="2"/>
            <w:shd w:val="clear" w:color="auto" w:fill="CCEEFF"/>
          </w:tcPr>
          <w:p>
            <w:pPr>
              <w:ind w:left="120"/>
              <w:spacing w:after="0" w:line="237" w:lineRule="exact"/>
              <w:rPr>
                <w:sz w:val="20"/>
                <w:szCs w:val="20"/>
                <w:color w:val="auto"/>
              </w:rPr>
            </w:pPr>
            <w:r>
              <w:rPr>
                <w:rFonts w:ascii="Times New Roman" w:cs="Times New Roman" w:eastAsia="Times New Roman" w:hAnsi="Times New Roman"/>
                <w:sz w:val="14"/>
                <w:szCs w:val="14"/>
                <w:color w:val="auto"/>
              </w:rPr>
              <w:t xml:space="preserve">Black Rock </w:t>
            </w:r>
            <w:r>
              <w:rPr>
                <w:rFonts w:ascii="Times New Roman" w:cs="Times New Roman" w:eastAsia="Times New Roman" w:hAnsi="Times New Roman"/>
                <w:sz w:val="21"/>
                <w:szCs w:val="21"/>
                <w:color w:val="auto"/>
                <w:vertAlign w:val="superscript"/>
              </w:rPr>
              <w:t>(b)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Toyota and Google</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2036</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Broken Bow</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Buffalo Bear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Western Farmers Electric Co-operative</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03"/>
        </w:trPr>
        <w:tc>
          <w:tcPr>
            <w:tcW w:w="366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Cedar Creek </w:t>
            </w:r>
            <w:r>
              <w:rPr>
                <w:rFonts w:ascii="Times New Roman" w:cs="Times New Roman" w:eastAsia="Times New Roman" w:hAnsi="Times New Roman"/>
                <w:sz w:val="21"/>
                <w:szCs w:val="21"/>
                <w:color w:val="auto"/>
                <w:vertAlign w:val="superscript"/>
              </w:rPr>
              <w:t>(b)</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7"/>
                <w:szCs w:val="17"/>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PacifiCorp</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2049</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Cedro Hill </w:t>
            </w:r>
            <w:r>
              <w:rPr>
                <w:rFonts w:ascii="Times New Roman" w:cs="Times New Roman" w:eastAsia="Times New Roman" w:hAnsi="Times New Roman"/>
                <w:sz w:val="21"/>
                <w:szCs w:val="21"/>
                <w:color w:val="auto"/>
                <w:vertAlign w:val="superscript"/>
              </w:rPr>
              <w:t>(b)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CPS Energy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2045</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Crofton Bluffs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237"/>
        </w:trPr>
        <w:tc>
          <w:tcPr>
            <w:tcW w:w="3660" w:type="dxa"/>
            <w:vAlign w:val="bottom"/>
            <w:gridSpan w:val="2"/>
            <w:shd w:val="clear" w:color="auto" w:fill="CCEEFF"/>
          </w:tcPr>
          <w:p>
            <w:pPr>
              <w:ind w:left="120"/>
              <w:spacing w:after="0" w:line="237" w:lineRule="exact"/>
              <w:rPr>
                <w:sz w:val="20"/>
                <w:szCs w:val="20"/>
                <w:color w:val="auto"/>
              </w:rPr>
            </w:pPr>
            <w:r>
              <w:rPr>
                <w:rFonts w:ascii="Times New Roman" w:cs="Times New Roman" w:eastAsia="Times New Roman" w:hAnsi="Times New Roman"/>
                <w:sz w:val="14"/>
                <w:szCs w:val="14"/>
                <w:color w:val="auto"/>
              </w:rPr>
              <w:t xml:space="preserve">Elbow Creek </w:t>
            </w:r>
            <w:r>
              <w:rPr>
                <w:rFonts w:ascii="Times New Roman" w:cs="Times New Roman" w:eastAsia="Times New Roman" w:hAnsi="Times New Roman"/>
                <w:sz w:val="21"/>
                <w:szCs w:val="21"/>
                <w:color w:val="auto"/>
                <w:vertAlign w:val="superscript"/>
              </w:rPr>
              <w:t>(b)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Elkhorn Ridge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Forward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Constellation NewEnergy, Inc.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Goat Wind</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Dow Pipeline Company</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37"/>
        </w:trPr>
        <w:tc>
          <w:tcPr>
            <w:tcW w:w="3660" w:type="dxa"/>
            <w:vAlign w:val="bottom"/>
            <w:gridSpan w:val="2"/>
            <w:shd w:val="clear" w:color="auto" w:fill="CCEEFF"/>
          </w:tcPr>
          <w:p>
            <w:pPr>
              <w:ind w:left="120"/>
              <w:spacing w:after="0" w:line="237" w:lineRule="exact"/>
              <w:rPr>
                <w:sz w:val="20"/>
                <w:szCs w:val="20"/>
                <w:color w:val="auto"/>
              </w:rPr>
            </w:pPr>
            <w:r>
              <w:rPr>
                <w:rFonts w:ascii="Times New Roman" w:cs="Times New Roman" w:eastAsia="Times New Roman" w:hAnsi="Times New Roman"/>
                <w:sz w:val="14"/>
                <w:szCs w:val="14"/>
                <w:color w:val="auto"/>
              </w:rPr>
              <w:t xml:space="preserve">Langford </w:t>
            </w:r>
            <w:r>
              <w:rPr>
                <w:rFonts w:ascii="Times New Roman" w:cs="Times New Roman" w:eastAsia="Times New Roman" w:hAnsi="Times New Roman"/>
                <w:sz w:val="21"/>
                <w:szCs w:val="21"/>
                <w:color w:val="auto"/>
                <w:vertAlign w:val="superscript"/>
              </w:rPr>
              <w:t>(b)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Goldman Sachs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Laredo Ridge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Lookout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Southern Maryland Electric Cooperative</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2030</w:t>
            </w:r>
          </w:p>
        </w:tc>
        <w:tc>
          <w:tcPr>
            <w:tcW w:w="0" w:type="dxa"/>
            <w:vAlign w:val="bottom"/>
          </w:tcPr>
          <w:p>
            <w:pPr>
              <w:spacing w:after="0"/>
              <w:rPr>
                <w:sz w:val="1"/>
                <w:szCs w:val="1"/>
                <w:color w:val="auto"/>
              </w:rPr>
            </w:pPr>
          </w:p>
        </w:tc>
      </w:tr>
      <w:tr>
        <w:trPr>
          <w:trHeight w:val="203"/>
        </w:trPr>
        <w:tc>
          <w:tcPr>
            <w:tcW w:w="366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Mesquite Sky </w:t>
            </w:r>
            <w:r>
              <w:rPr>
                <w:rFonts w:ascii="Times New Roman" w:cs="Times New Roman" w:eastAsia="Times New Roman" w:hAnsi="Times New Roman"/>
                <w:sz w:val="21"/>
                <w:szCs w:val="21"/>
                <w:color w:val="auto"/>
                <w:vertAlign w:val="superscript"/>
              </w:rPr>
              <w:t>(b)</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7"/>
                <w:szCs w:val="17"/>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2033 - 2036</w:t>
            </w: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Mesquite Star </w:t>
            </w:r>
            <w:r>
              <w:rPr>
                <w:rFonts w:ascii="Times New Roman" w:cs="Times New Roman" w:eastAsia="Times New Roman" w:hAnsi="Times New Roman"/>
                <w:sz w:val="21"/>
                <w:szCs w:val="21"/>
                <w:color w:val="auto"/>
                <w:vertAlign w:val="superscript"/>
              </w:rPr>
              <w:t>(b)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2032 - 2035</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Mountain Wind 1</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PacifiCorp</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Mountain Wind 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PacifiCorp</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188"/>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Mt. Storm</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Citigroup</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42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Rated</w:t>
            </w:r>
          </w:p>
        </w:tc>
        <w:tc>
          <w:tcPr>
            <w:tcW w:w="78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c>
          <w:tcPr>
            <w:tcW w:w="2940" w:type="dxa"/>
            <w:vAlign w:val="bottom"/>
            <w:tcBorders>
              <w:bottom w:val="single" w:sz="8" w:color="auto"/>
            </w:tcBorders>
            <w:gridSpan w:val="2"/>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gridSpan w:val="2"/>
          </w:tcPr>
          <w:p>
            <w:pPr>
              <w:ind w:left="150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4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MW</w:t>
            </w:r>
          </w:p>
        </w:tc>
        <w:tc>
          <w:tcPr>
            <w:tcW w:w="780" w:type="dxa"/>
            <w:vAlign w:val="bottom"/>
          </w:tcPr>
          <w:p>
            <w:pPr>
              <w:jc w:val="right"/>
              <w:ind w:right="230"/>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MW</w:t>
            </w:r>
            <w:r>
              <w:rPr>
                <w:rFonts w:ascii="Times New Roman" w:cs="Times New Roman" w:eastAsia="Times New Roman" w:hAnsi="Times New Roman"/>
                <w:sz w:val="10"/>
                <w:szCs w:val="10"/>
                <w:b w:val="1"/>
                <w:bCs w:val="1"/>
                <w:color w:val="auto"/>
              </w:rPr>
              <w:t xml:space="preserve"> (a)</w:t>
            </w:r>
          </w:p>
        </w:tc>
        <w:tc>
          <w:tcPr>
            <w:tcW w:w="100" w:type="dxa"/>
            <w:vAlign w:val="bottom"/>
          </w:tcPr>
          <w:p>
            <w:pPr>
              <w:spacing w:after="0"/>
              <w:rPr>
                <w:sz w:val="17"/>
                <w:szCs w:val="17"/>
                <w:color w:val="auto"/>
              </w:rPr>
            </w:pPr>
          </w:p>
        </w:tc>
        <w:tc>
          <w:tcPr>
            <w:tcW w:w="2940" w:type="dxa"/>
            <w:vAlign w:val="bottom"/>
            <w:gridSpan w:val="2"/>
          </w:tcPr>
          <w:p>
            <w:pPr>
              <w:ind w:left="100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96"/>
        </w:trPr>
        <w:tc>
          <w:tcPr>
            <w:tcW w:w="35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Ocotillo</w:t>
            </w: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top w:val="single" w:sz="8" w:color="CCEEFF"/>
            </w:tcBorders>
            <w:shd w:val="clear" w:color="auto" w:fill="CCEEFF"/>
          </w:tcPr>
          <w:p>
            <w:pPr>
              <w:spacing w:after="0"/>
              <w:rPr>
                <w:sz w:val="17"/>
                <w:szCs w:val="17"/>
                <w:color w:val="auto"/>
              </w:rPr>
            </w:pPr>
          </w:p>
        </w:tc>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6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 xml:space="preserve">Pinnacle </w:t>
            </w:r>
            <w:r>
              <w:rPr>
                <w:rFonts w:ascii="Times New Roman" w:cs="Times New Roman" w:eastAsia="Times New Roman" w:hAnsi="Times New Roman"/>
                <w:sz w:val="21"/>
                <w:szCs w:val="21"/>
                <w:color w:val="auto"/>
                <w:vertAlign w:val="superscript"/>
              </w:rPr>
              <w:t>(b)</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2"/>
                <w:szCs w:val="12"/>
                <w:color w:val="auto"/>
              </w:rPr>
            </w:pPr>
          </w:p>
        </w:tc>
        <w:tc>
          <w:tcPr>
            <w:tcW w:w="29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Maryland Department of General Services and</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198"/>
        </w:trPr>
        <w:tc>
          <w:tcPr>
            <w:tcW w:w="366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University System of Maryland</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Rattlesnake </w:t>
            </w:r>
            <w:r>
              <w:rPr>
                <w:rFonts w:ascii="Times New Roman" w:cs="Times New Roman" w:eastAsia="Times New Roman" w:hAnsi="Times New Roman"/>
                <w:sz w:val="21"/>
                <w:szCs w:val="21"/>
                <w:color w:val="auto"/>
                <w:vertAlign w:val="superscript"/>
              </w:rPr>
              <w:t>(b) (c)</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Avista Corporation</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San Juan Mesa</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Southwestern Public Service Company</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Sleeping Bear</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Public Service Company of Oklahoma</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South Trent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AEP Energy Partners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Spanish Fork</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PacifiCorp</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Spring Canyon II</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Platte River Power Authority</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Spring Canyon III</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Platte River Power Authority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Taloga</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Oklahoma Gas &amp; Electric</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line="210" w:lineRule="exact"/>
              <w:rPr>
                <w:sz w:val="20"/>
                <w:szCs w:val="20"/>
                <w:color w:val="auto"/>
              </w:rPr>
            </w:pPr>
            <w:r>
              <w:rPr>
                <w:rFonts w:ascii="Times New Roman" w:cs="Times New Roman" w:eastAsia="Times New Roman" w:hAnsi="Times New Roman"/>
                <w:sz w:val="14"/>
                <w:szCs w:val="14"/>
                <w:color w:val="auto"/>
              </w:rPr>
              <w:t xml:space="preserve">Wildorado </w:t>
            </w:r>
            <w:r>
              <w:rPr>
                <w:rFonts w:ascii="Times New Roman" w:cs="Times New Roman" w:eastAsia="Times New Roman" w:hAnsi="Times New Roman"/>
                <w:sz w:val="21"/>
                <w:szCs w:val="21"/>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Southwestern Public Service Company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2030</w:t>
            </w:r>
          </w:p>
        </w:tc>
        <w:tc>
          <w:tcPr>
            <w:tcW w:w="0" w:type="dxa"/>
            <w:vAlign w:val="bottom"/>
          </w:tcPr>
          <w:p>
            <w:pPr>
              <w:spacing w:after="0"/>
              <w:rPr>
                <w:sz w:val="1"/>
                <w:szCs w:val="1"/>
                <w:color w:val="auto"/>
              </w:rPr>
            </w:pPr>
          </w:p>
        </w:tc>
      </w:tr>
      <w:tr>
        <w:trPr>
          <w:trHeight w:val="195"/>
        </w:trPr>
        <w:tc>
          <w:tcPr>
            <w:tcW w:w="366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Total Wind</w:t>
            </w:r>
          </w:p>
        </w:tc>
        <w:tc>
          <w:tcPr>
            <w:tcW w:w="11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3,807</w:t>
            </w:r>
          </w:p>
        </w:tc>
        <w:tc>
          <w:tcPr>
            <w:tcW w:w="100" w:type="dxa"/>
            <w:vAlign w:val="bottom"/>
            <w:tcBorders>
              <w:bottom w:val="single" w:sz="8" w:color="CCEEFF"/>
            </w:tcBorders>
          </w:tcPr>
          <w:p>
            <w:pPr>
              <w:spacing w:after="0"/>
              <w:rPr>
                <w:sz w:val="16"/>
                <w:szCs w:val="16"/>
                <w:color w:val="auto"/>
              </w:rPr>
            </w:pPr>
          </w:p>
        </w:tc>
        <w:tc>
          <w:tcPr>
            <w:tcW w:w="28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6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Clearway Energy LLC</w:t>
            </w:r>
          </w:p>
        </w:tc>
        <w:tc>
          <w:tcPr>
            <w:tcW w:w="1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9,143</w:t>
            </w:r>
          </w:p>
        </w:tc>
        <w:tc>
          <w:tcPr>
            <w:tcW w:w="100" w:type="dxa"/>
            <w:vAlign w:val="bottom"/>
            <w:tcBorders>
              <w:bottom w:val="single" w:sz="8" w:color="CCEEFF"/>
            </w:tcBorders>
            <w:shd w:val="clear" w:color="auto" w:fill="CCEEFF"/>
          </w:tcPr>
          <w:p>
            <w:pPr>
              <w:spacing w:after="0"/>
              <w:rPr>
                <w:sz w:val="18"/>
                <w:szCs w:val="18"/>
                <w:color w:val="auto"/>
              </w:rPr>
            </w:pPr>
          </w:p>
        </w:tc>
        <w:tc>
          <w:tcPr>
            <w:tcW w:w="2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3798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159" w:lineRule="exact"/>
        <w:rPr>
          <w:sz w:val="20"/>
          <w:szCs w:val="20"/>
          <w:color w:val="auto"/>
        </w:rPr>
      </w:pPr>
    </w:p>
    <w:p>
      <w:pPr>
        <w:ind w:left="240" w:hanging="151"/>
        <w:spacing w:after="0"/>
        <w:tabs>
          <w:tab w:leader="none" w:pos="240"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Net capacity represents the maximum, or rated, generating or storage capacity of the facility multiplied by the Company’s percentage ownership in the facility as of March 31, 2025.</w:t>
      </w:r>
    </w:p>
    <w:p>
      <w:pPr>
        <w:spacing w:after="0" w:line="57" w:lineRule="exact"/>
        <w:rPr>
          <w:rFonts w:ascii="Times New Roman" w:cs="Times New Roman" w:eastAsia="Times New Roman" w:hAnsi="Times New Roman"/>
          <w:sz w:val="20"/>
          <w:szCs w:val="20"/>
          <w:color w:val="auto"/>
          <w:vertAlign w:val="superscript"/>
        </w:rPr>
      </w:pPr>
    </w:p>
    <w:p>
      <w:pPr>
        <w:ind w:left="260" w:hanging="171"/>
        <w:spacing w:after="0" w:line="189" w:lineRule="auto"/>
        <w:tabs>
          <w:tab w:leader="none" w:pos="2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 xml:space="preserve">Facilities are part of tax equity arrangements, as further described in Note 4, </w:t>
      </w:r>
      <w:r>
        <w:rPr>
          <w:rFonts w:ascii="Times New Roman" w:cs="Times New Roman" w:eastAsia="Times New Roman" w:hAnsi="Times New Roman"/>
          <w:sz w:val="12"/>
          <w:szCs w:val="12"/>
          <w:i w:val="1"/>
          <w:iCs w:val="1"/>
          <w:color w:val="auto"/>
        </w:rPr>
        <w:t>Investments Accounted for by the Equity Method and Variable Interest Entities</w:t>
      </w:r>
      <w:r>
        <w:rPr>
          <w:rFonts w:ascii="Times New Roman" w:cs="Times New Roman" w:eastAsia="Times New Roman" w:hAnsi="Times New Roman"/>
          <w:sz w:val="12"/>
          <w:szCs w:val="12"/>
          <w:color w:val="auto"/>
        </w:rPr>
        <w:t>.</w:t>
      </w:r>
    </w:p>
    <w:p>
      <w:pPr>
        <w:spacing w:after="0" w:line="57" w:lineRule="exact"/>
        <w:rPr>
          <w:rFonts w:ascii="Times New Roman" w:cs="Times New Roman" w:eastAsia="Times New Roman" w:hAnsi="Times New Roman"/>
          <w:sz w:val="19"/>
          <w:szCs w:val="19"/>
          <w:color w:val="auto"/>
          <w:vertAlign w:val="superscript"/>
        </w:rPr>
      </w:pPr>
    </w:p>
    <w:p>
      <w:pPr>
        <w:ind w:left="240" w:hanging="151"/>
        <w:spacing w:after="0" w:line="189" w:lineRule="auto"/>
        <w:tabs>
          <w:tab w:leader="none" w:pos="24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Rattlesnake has a deliverable capacity of 144 MW.</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Significant Events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Third-Party Acquisitions</w:t>
      </w:r>
    </w:p>
    <w:p>
      <w:pPr>
        <w:spacing w:after="0" w:line="173" w:lineRule="exact"/>
        <w:rPr>
          <w:sz w:val="20"/>
          <w:szCs w:val="20"/>
          <w:color w:val="auto"/>
        </w:rPr>
      </w:pPr>
    </w:p>
    <w:p>
      <w:pPr>
        <w:jc w:val="both"/>
        <w:ind w:left="660" w:hanging="328"/>
        <w:spacing w:after="0" w:line="258"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April 29, 2025, the Company acquired the Tuolumne wind facility from an investment-grade regulated entity for approximately $207 million, subject to working capital adjustments. Also in connection with the acquisition, the Company entered into a financing agreement, which included the issuance of a $163 million term loan, as well as $22 million in letters of credit in support of debt service and facility obligations, supported by the Company’s interests in the Tuolumne wind facility. The Company estimates that its total capital investment in Tuolumne will be $61 million, which includes estimated transaction expenses. See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for further discussion of the transaction.</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25, 2025, the Company entered into a binding agreement to acquire an approximately 100 MW operating solar facility located in California from a third party. The Company expects its total corporate capital commitment to acquire the facility to be between $120 million and $125 million, which the Company expects to fund with existing sources of liquidity. The facility reached commercial operations in 2013 and has a revenue contract with an investment-grade utility through 2038. The consummation of the transaction is subject to customary closing conditions and certain third-party approvals and is expected in the second half of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Drop Down Transactions</w:t>
      </w:r>
    </w:p>
    <w:p>
      <w:pPr>
        <w:spacing w:after="0" w:line="173" w:lineRule="exact"/>
        <w:rPr>
          <w:sz w:val="20"/>
          <w:szCs w:val="20"/>
          <w:color w:val="auto"/>
        </w:rPr>
      </w:pPr>
    </w:p>
    <w:p>
      <w:pPr>
        <w:jc w:val="both"/>
        <w:ind w:left="660" w:hanging="328"/>
        <w:spacing w:after="0" w:line="258"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April 29, 2025, the Company, through its indirect subsidiary, LV-Daggett Parent Holdco LLC, acquired Luna Valley Class B, the indirect owner of the Luna Valley solar facility, from Clearway Renew for initial cash consideration of $18 million. At substantial completion, which is expected to occur in the second half of 2025, the Company estimates it will pay an additional $72 million to Clearway Renew. The Company estimates that its total capital investment in Luna Valley Class B will be $90 million, excluding the impact of any closing adjustments noted in the purchase agreement. See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for further discussion of the transaction.</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April 29, 2025, the Company, through its indirect subsidiary, LV-Daggett Parent Holdco LLC, acquired Daggett 1 Class B, the indirect owner of the Daggett 1 BESS facility, from Clearway Renew for initial cash consideration of $11 million. At substantial completion, which is expected to occur in the second half of 2025, the Company estimates it will pay an additional $42 million to Clearway Renew. The Company estimates that its total capital investment in Daggett 1 Class B will be $53 million, excluding the impact of any closing adjustments noted in the purchase agreement. See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for further discussion of the transaction.</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March 20, 2025, the Company, through its indirect subsidiary, Rosamond South Investment LLC, acquired the Class A membership interests in Rosie South TargetCo, a partnership and the indirect owner of the Rosamond South I solar facility, from Clearway Renew for initial cash consideration of $4 million. Simultaneously, a third-party cash equity investor acquired the Class B membership interests in Rosie South TargetCo from Clearway Renew for initial cash consideration of $10 million. At substantial completion, which is expected to occur in the second half of 2025, the Company estimates it will pay an additional $17 million to Clearway Renew and the third-party cash equity investor will contribute an additional $41 million. The Company estimates that its total capital investment in Rosie South TargetCo will be $21 million, excluding the impact of any closing adjustments noted in the purchase agreement. See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for further discussion of the transaction.</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12, 2025, the Company, through an indirect subsidiary, entered into an agreement with Clearway Renew to sell its membership interests in Mt. Storm, a 264 MW wind facility that is located in Grant County, West Virginia, for $121 million in cash consideration in order for Clearway Renew to repower the facility, which will occur in two phases. The consummation of the transaction is subject to customary conditions and third-party approvals and is expected in the second half of 2025. Additionally, the agreement contains an exclusive option for the Company to purchase the Class B membership interests in the tax equity fund that, upon mechanical completion of the first phase of the repowering of the facility, will own Mt. Storm. Mechanical completion of the first phase of the Mt. Storm repowering is expected to occur in the second half of 2026 with the second phase of the repowering expected to occur in the second half of 2027. The repowering of the facility is expected to increase the facility’s capacity to 335 MW. Upon achieving repowering commercial operations, which is expected to occur in 2027, the facility will sell power to Microsoft under a 20-year PPA.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RA Agreements</w:t>
      </w:r>
    </w:p>
    <w:p>
      <w:pPr>
        <w:spacing w:after="0" w:line="173" w:lineRule="exact"/>
        <w:rPr>
          <w:sz w:val="20"/>
          <w:szCs w:val="20"/>
          <w:color w:val="auto"/>
        </w:rPr>
      </w:pPr>
    </w:p>
    <w:p>
      <w:pPr>
        <w:jc w:val="both"/>
        <w:ind w:left="6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14, 2025, the Company contracted with a load serving entity to sell approximately 75 MW of El Segundo’s RA commencing in August 2026 and ending in December 2029. On February 4, 2025, the Company contracted with an additional load serving entity to sell approximately 197 MW of El Segundo’s RA commencing in August 2026 and ending in December 2029. El Segundo is now contracted for 100% of its capacity through 2027 and approximately 50% of its capacity through 2028.</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Facility-level Financing Activities</w:t>
      </w:r>
    </w:p>
    <w:p>
      <w:pPr>
        <w:spacing w:after="0" w:line="171" w:lineRule="exact"/>
        <w:rPr>
          <w:sz w:val="20"/>
          <w:szCs w:val="20"/>
          <w:color w:val="auto"/>
        </w:rPr>
      </w:pPr>
    </w:p>
    <w:p>
      <w:pPr>
        <w:ind w:left="660" w:hanging="328"/>
        <w:spacing w:after="0" w:line="28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2025 Drop Down of Rosamond South I, the Company assumed non-recourse facility-level debt. See Note 7, </w:t>
      </w:r>
      <w:r>
        <w:rPr>
          <w:rFonts w:ascii="Times New Roman" w:cs="Times New Roman" w:eastAsia="Times New Roman" w:hAnsi="Times New Roman"/>
          <w:sz w:val="18"/>
          <w:szCs w:val="18"/>
          <w:i w:val="1"/>
          <w:iCs w:val="1"/>
          <w:color w:val="auto"/>
        </w:rPr>
        <w:t>Long-term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further discussion of the non-recourse facility-level debt associated with the facility.</w:t>
      </w:r>
    </w:p>
    <w:p>
      <w:pPr>
        <w:spacing w:after="0" w:line="10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April 9, 2025, the Company, through its indirect subsidiary, Buckthorn Solar Portfolio LLC, refinanced its credit agreement, which was scheduled to mature in May 2025, resulting in the issuance of a $104 million term loan facility, as well as $22 million in letters of credit in support of debt service and facility obligations. The Company utilized the proceeds from the term loan and existing sources of liquidity to pay off the existing debt. See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for further discussion of the refinanced credit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state and local environmental laws have historically become more stringent over time, although this trend could change in the future.</w:t>
      </w:r>
    </w:p>
    <w:p>
      <w:pPr>
        <w:spacing w:after="0" w:line="131"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The Company’s environmental matters are further described in the Company’s 2024 Form 10-K in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xml:space="preserve"> and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3" w:lineRule="exact"/>
        <w:rPr>
          <w:sz w:val="20"/>
          <w:szCs w:val="20"/>
          <w:color w:val="auto"/>
        </w:rPr>
      </w:pPr>
    </w:p>
    <w:p>
      <w:pPr>
        <w:jc w:val="both"/>
        <w:ind w:right="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The following disclosures about the Company’s regulatory matters provide an update to, and should be read in conjunction with,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 xml:space="preserve">Regulatory Matters </w:t>
      </w:r>
      <w:r>
        <w:rPr>
          <w:rFonts w:ascii="Times New Roman" w:cs="Times New Roman" w:eastAsia="Times New Roman" w:hAnsi="Times New Roman"/>
          <w:sz w:val="18"/>
          <w:szCs w:val="18"/>
          <w:color w:val="auto"/>
        </w:rPr>
        <w:t>and Item 1A,</w:t>
      </w:r>
      <w:r>
        <w:rPr>
          <w:rFonts w:ascii="Times New Roman" w:cs="Times New Roman" w:eastAsia="Times New Roman" w:hAnsi="Times New Roman"/>
          <w:sz w:val="18"/>
          <w:szCs w:val="18"/>
          <w:i w:val="1"/>
          <w:iCs w:val="1"/>
          <w:color w:val="auto"/>
        </w:rPr>
        <w:t xml:space="preserve"> Risk Factors</w:t>
      </w:r>
      <w:r>
        <w:rPr>
          <w:rFonts w:ascii="Times New Roman" w:cs="Times New Roman" w:eastAsia="Times New Roman" w:hAnsi="Times New Roman"/>
          <w:sz w:val="18"/>
          <w:szCs w:val="18"/>
          <w:color w:val="auto"/>
        </w:rPr>
        <w:t>, of the Company’s 2024 Form 10-K</w:t>
      </w:r>
      <w:r>
        <w:rPr>
          <w:rFonts w:ascii="Times New Roman" w:cs="Times New Roman" w:eastAsia="Times New Roman" w:hAnsi="Times New Roman"/>
          <w:sz w:val="18"/>
          <w:szCs w:val="18"/>
          <w:i w:val="1"/>
          <w:iCs w:val="1"/>
          <w:color w:val="auto"/>
        </w:rPr>
        <w:t>.</w:t>
      </w:r>
    </w:p>
    <w:p>
      <w:pPr>
        <w:spacing w:after="0" w:line="10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March 6, 2024, the SEC adopted a new set of rules that would require a wide range of climate-related disclosures, including material climate-related risks, information on any climate-related targets or goals that are material to the registrant’s business, results of operations or financial condition, Scope 1 and Scope 2 GHG emissions on a phased-in basis by certain larger registrants when those emissions are material and the filing of an attestation report covering the same, and disclosure of the financial statement effects of severe weather events and other natural conditions including costs and losses. Litigation challenging the rules was filed by multiple parties in multiple jurisdictions, which was consolidated and assigned to the U.S. Court of Appeals for the Eighth Circuit. On April 4, 2024, the SEC announced that it was voluntarily delaying the implementation of the climate disclosure rules while the U.S. Court of Appeals considered the litigation. On March 27, 2025, the SEC voted to end the defense of the rules in the litigation.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selected financial information:</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00" w:type="dxa"/>
            <w:vAlign w:val="bottom"/>
            <w:gridSpan w:val="9"/>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3"/>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98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vMerge w:val="restart"/>
          </w:tcPr>
          <w:p>
            <w:pPr>
              <w:spacing w:after="0"/>
              <w:rPr>
                <w:sz w:val="2"/>
                <w:szCs w:val="2"/>
                <w:color w:val="auto"/>
              </w:rPr>
            </w:pPr>
          </w:p>
        </w:tc>
        <w:tc>
          <w:tcPr>
            <w:tcW w:w="80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Operating Revenues</w:t>
            </w: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8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Energy and capacity 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Other revenues</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amortization</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fuels</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costs of operations</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interest (expense) income</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Other interest expense</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 and redeemable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Clearway Energy LLC</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Business metrics:</w:t>
            </w: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798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Solar MWh generated/sold (in thousands) </w:t>
            </w:r>
            <w:r>
              <w:rPr>
                <w:rFonts w:ascii="Times New Roman" w:cs="Times New Roman" w:eastAsia="Times New Roman" w:hAnsi="Times New Roman"/>
                <w:sz w:val="23"/>
                <w:szCs w:val="23"/>
                <w:color w:val="auto"/>
                <w:vertAlign w:val="superscript"/>
              </w:rPr>
              <w:t>(a)</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1,443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980" w:type="dxa"/>
            <w:vAlign w:val="bottom"/>
            <w:tcBorders>
              <w:bottom w:val="single" w:sz="8" w:color="CCEEFF"/>
            </w:tcBorders>
            <w:gridSpan w:val="2"/>
          </w:tcPr>
          <w:p>
            <w:pPr>
              <w:ind w:left="80"/>
              <w:spacing w:after="0" w:line="230" w:lineRule="exact"/>
              <w:rPr>
                <w:sz w:val="20"/>
                <w:szCs w:val="20"/>
                <w:color w:val="auto"/>
              </w:rPr>
            </w:pPr>
            <w:r>
              <w:rPr>
                <w:rFonts w:ascii="Times New Roman" w:cs="Times New Roman" w:eastAsia="Times New Roman" w:hAnsi="Times New Roman"/>
                <w:sz w:val="18"/>
                <w:szCs w:val="18"/>
                <w:color w:val="auto"/>
              </w:rPr>
              <w:t xml:space="preserve">Wind MWh generated/sold (in thousands) </w:t>
            </w:r>
            <w:r>
              <w:rPr>
                <w:rFonts w:ascii="Times New Roman" w:cs="Times New Roman" w:eastAsia="Times New Roman" w:hAnsi="Times New Roman"/>
                <w:sz w:val="23"/>
                <w:szCs w:val="23"/>
                <w:color w:val="auto"/>
                <w:vertAlign w:val="superscript"/>
              </w:rPr>
              <w:t>(a)</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2,743</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8"/>
              </w:rPr>
              <w:t>2,519</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080" w:type="dxa"/>
            <w:vAlign w:val="bottom"/>
            <w:gridSpan w:val="3"/>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Solar &amp; Wind MWh generated/sold (in thousands) </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4,481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3,962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980" w:type="dxa"/>
            <w:vAlign w:val="bottom"/>
            <w:tcBorders>
              <w:top w:val="single" w:sz="8" w:color="CCEEFF"/>
              <w:bottom w:val="single" w:sz="8" w:color="CCEEFF"/>
            </w:tcBorders>
            <w:gridSpan w:val="2"/>
            <w:vMerge w:val="restart"/>
          </w:tcPr>
          <w:p>
            <w:pPr>
              <w:spacing w:after="0" w:line="243" w:lineRule="exact"/>
              <w:rPr>
                <w:sz w:val="20"/>
                <w:szCs w:val="20"/>
                <w:color w:val="auto"/>
              </w:rPr>
            </w:pPr>
            <w:r>
              <w:rPr>
                <w:rFonts w:ascii="Times New Roman" w:cs="Times New Roman" w:eastAsia="Times New Roman" w:hAnsi="Times New Roman"/>
                <w:sz w:val="18"/>
                <w:szCs w:val="18"/>
                <w:color w:val="auto"/>
              </w:rPr>
              <w:t xml:space="preserve">Solar weighted-average capacity factor </w:t>
            </w:r>
            <w:r>
              <w:rPr>
                <w:rFonts w:ascii="Times New Roman" w:cs="Times New Roman" w:eastAsia="Times New Roman" w:hAnsi="Times New Roman"/>
                <w:sz w:val="23"/>
                <w:szCs w:val="23"/>
                <w:color w:val="auto"/>
                <w:vertAlign w:val="superscript"/>
              </w:rPr>
              <w:t>(b)</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18"/>
                <w:szCs w:val="18"/>
                <w:color w:val="auto"/>
              </w:rPr>
              <w:t>25.7 %</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Wind weighted-average capacity factor </w:t>
            </w:r>
            <w:r>
              <w:rPr>
                <w:rFonts w:ascii="Times New Roman" w:cs="Times New Roman" w:eastAsia="Times New Roman" w:hAnsi="Times New Roman"/>
                <w:sz w:val="23"/>
                <w:szCs w:val="23"/>
                <w:color w:val="auto"/>
                <w:vertAlign w:val="superscript"/>
              </w:rPr>
              <w:t>(c)</w:t>
            </w:r>
          </w:p>
        </w:tc>
        <w:tc>
          <w:tcPr>
            <w:tcW w:w="24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Flexible Generation MWh generated (in thousands)</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Flexible Generation equivalent availability factor</w:t>
            </w:r>
          </w:p>
        </w:tc>
        <w:tc>
          <w:tcPr>
            <w:tcW w:w="24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798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92" w:lineRule="exact"/>
        <w:rPr>
          <w:sz w:val="20"/>
          <w:szCs w:val="20"/>
          <w:color w:val="auto"/>
        </w:rPr>
      </w:pPr>
    </w:p>
    <w:p>
      <w:pPr>
        <w:ind w:left="260" w:hanging="171"/>
        <w:spacing w:after="0"/>
        <w:tabs>
          <w:tab w:leader="none" w:pos="26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Volumes do not include the MWh generated/sold by the Company’s equity method investments.</w:t>
      </w:r>
    </w:p>
    <w:p>
      <w:pPr>
        <w:spacing w:after="0" w:line="3" w:lineRule="exact"/>
        <w:rPr>
          <w:rFonts w:ascii="Times New Roman" w:cs="Times New Roman" w:eastAsia="Times New Roman" w:hAnsi="Times New Roman"/>
          <w:sz w:val="23"/>
          <w:szCs w:val="23"/>
          <w:color w:val="auto"/>
          <w:vertAlign w:val="superscript"/>
        </w:rPr>
      </w:pPr>
    </w:p>
    <w:p>
      <w:pPr>
        <w:ind w:left="260" w:hanging="171"/>
        <w:spacing w:after="0" w:line="189" w:lineRule="auto"/>
        <w:tabs>
          <w:tab w:leader="none" w:pos="26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Typical average capacity factors for solar facilities is 25%. The weighted-average capacity factors can vary based on seasonality and weather.</w:t>
      </w:r>
    </w:p>
    <w:p>
      <w:pPr>
        <w:spacing w:after="0" w:line="16" w:lineRule="exact"/>
        <w:rPr>
          <w:rFonts w:ascii="Times New Roman" w:cs="Times New Roman" w:eastAsia="Times New Roman" w:hAnsi="Times New Roman"/>
          <w:sz w:val="19"/>
          <w:szCs w:val="19"/>
          <w:color w:val="auto"/>
          <w:vertAlign w:val="superscript"/>
        </w:rPr>
      </w:pPr>
    </w:p>
    <w:p>
      <w:pPr>
        <w:ind w:left="260" w:hanging="171"/>
        <w:spacing w:after="0" w:line="189" w:lineRule="auto"/>
        <w:tabs>
          <w:tab w:leader="none" w:pos="26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Typical average capacity factors for wind facilities is 25-45%. The weighted-average capacity factors can vary based on seasonality and weather.</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Management’s Discussion of the Results of Operations for the Three Months Ended March 31, 2025 and 2024</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Revenues</w:t>
      </w:r>
    </w:p>
    <w:p>
      <w:pPr>
        <w:spacing w:after="0" w:line="175"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Operating revenues increased by $35 million during the three months ended March 31, 2025, compared to the same period in 2024, due to a combination of the drivers summarized in the table below:</w:t>
      </w:r>
    </w:p>
    <w:p>
      <w:pPr>
        <w:spacing w:after="0" w:line="43"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6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Renewables &amp; Storage Segment</w:t>
            </w:r>
          </w:p>
        </w:tc>
        <w:tc>
          <w:tcPr>
            <w:tcW w:w="7320" w:type="dxa"/>
            <w:vAlign w:val="bottom"/>
            <w:tcBorders>
              <w:top w:val="single" w:sz="8" w:color="CCEEFF"/>
            </w:tcBorders>
            <w:shd w:val="clear" w:color="auto" w:fill="CCEEFF"/>
          </w:tcPr>
          <w:p>
            <w:pPr>
              <w:ind w:left="80"/>
              <w:spacing w:after="0" w:line="162" w:lineRule="exact"/>
              <w:rPr>
                <w:sz w:val="20"/>
                <w:szCs w:val="20"/>
                <w:color w:val="auto"/>
              </w:rPr>
            </w:pPr>
            <w:r>
              <w:rPr>
                <w:rFonts w:ascii="Times New Roman" w:cs="Times New Roman" w:eastAsia="Times New Roman" w:hAnsi="Times New Roman"/>
                <w:sz w:val="18"/>
                <w:szCs w:val="18"/>
                <w:color w:val="auto"/>
              </w:rPr>
              <w:t>Increase driven by the Victory Pass and Arica solar and BESS acquisitions, which reached</w:t>
            </w:r>
          </w:p>
        </w:tc>
        <w:tc>
          <w:tcPr>
            <w:tcW w:w="5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560" w:type="dxa"/>
            <w:vAlign w:val="bottom"/>
            <w:shd w:val="clear" w:color="auto" w:fill="CCEEFF"/>
          </w:tcPr>
          <w:p>
            <w:pPr>
              <w:spacing w:after="0"/>
              <w:rPr>
                <w:sz w:val="16"/>
                <w:szCs w:val="16"/>
                <w:color w:val="auto"/>
              </w:rPr>
            </w:pPr>
          </w:p>
        </w:tc>
        <w:tc>
          <w:tcPr>
            <w:tcW w:w="732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commercial operations in March 2024 and April 2024, respectively, the acquisition of Texas Solar</w:t>
            </w: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560" w:type="dxa"/>
            <w:vAlign w:val="bottom"/>
            <w:shd w:val="clear" w:color="auto" w:fill="CCEEFF"/>
          </w:tcPr>
          <w:p>
            <w:pPr>
              <w:spacing w:after="0"/>
              <w:rPr>
                <w:sz w:val="15"/>
                <w:szCs w:val="15"/>
                <w:color w:val="auto"/>
              </w:rPr>
            </w:pPr>
          </w:p>
        </w:tc>
        <w:tc>
          <w:tcPr>
            <w:tcW w:w="732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Nova 2 in March 2024 and the Rosamond Central BESS acquisition, which reached commercial</w:t>
            </w:r>
          </w:p>
        </w:tc>
        <w:tc>
          <w:tcPr>
            <w:tcW w:w="560" w:type="dxa"/>
            <w:vAlign w:val="bottom"/>
            <w:vMerge w:val="restart"/>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spacing w:after="0"/>
              <w:rPr>
                <w:sz w:val="19"/>
                <w:szCs w:val="19"/>
                <w:color w:val="auto"/>
              </w:rPr>
            </w:pPr>
          </w:p>
        </w:tc>
        <w:tc>
          <w:tcPr>
            <w:tcW w:w="7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operations in June 2024.</w:t>
            </w:r>
          </w:p>
        </w:tc>
        <w:tc>
          <w:tcPr>
            <w:tcW w:w="56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19"/>
                <w:szCs w:val="19"/>
                <w:color w:val="auto"/>
              </w:rPr>
            </w:pPr>
          </w:p>
        </w:tc>
        <w:tc>
          <w:tcPr>
            <w:tcW w:w="7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Increase driven primarily by higher solar generation.</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spacing w:after="0"/>
              <w:rPr>
                <w:sz w:val="19"/>
                <w:szCs w:val="19"/>
                <w:color w:val="auto"/>
              </w:rPr>
            </w:pPr>
          </w:p>
        </w:tc>
        <w:tc>
          <w:tcPr>
            <w:tcW w:w="7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Increase driven by the Cedar Creek wind acquisition in April 2024.</w:t>
            </w: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560" w:type="dxa"/>
            <w:vAlign w:val="bottom"/>
          </w:tcPr>
          <w:p>
            <w:pPr>
              <w:spacing w:after="0"/>
              <w:rPr>
                <w:sz w:val="19"/>
                <w:szCs w:val="19"/>
                <w:color w:val="auto"/>
              </w:rPr>
            </w:pPr>
          </w:p>
        </w:tc>
        <w:tc>
          <w:tcPr>
            <w:tcW w:w="7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Increase driven primarily by higher wind generation.</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Flexible Generation Segment</w:t>
            </w:r>
          </w:p>
        </w:tc>
        <w:tc>
          <w:tcPr>
            <w:tcW w:w="732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Decrease in energy revenue primarily driven by lower generation at the Walnut Creek, Marsh</w:t>
            </w:r>
          </w:p>
        </w:tc>
        <w:tc>
          <w:tcPr>
            <w:tcW w:w="5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spacing w:after="0"/>
              <w:rPr>
                <w:sz w:val="21"/>
                <w:szCs w:val="21"/>
                <w:color w:val="auto"/>
              </w:rPr>
            </w:pPr>
          </w:p>
        </w:tc>
        <w:tc>
          <w:tcPr>
            <w:tcW w:w="7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Landing and El Segundo facilities, which also decreased cost of fuels as noted below.</w:t>
            </w:r>
          </w:p>
        </w:tc>
        <w:tc>
          <w:tcPr>
            <w:tcW w:w="5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75"/>
        </w:trPr>
        <w:tc>
          <w:tcPr>
            <w:tcW w:w="2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Contract amortization</w:t>
            </w:r>
          </w:p>
        </w:tc>
        <w:tc>
          <w:tcPr>
            <w:tcW w:w="732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Increase driven by Cedro Hill, which reached repowering commercial operations in December</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60" w:type="dxa"/>
            <w:vAlign w:val="bottom"/>
          </w:tcPr>
          <w:p>
            <w:pPr>
              <w:spacing w:after="0"/>
              <w:rPr>
                <w:sz w:val="21"/>
                <w:szCs w:val="21"/>
                <w:color w:val="auto"/>
              </w:rPr>
            </w:pPr>
          </w:p>
        </w:tc>
        <w:tc>
          <w:tcPr>
            <w:tcW w:w="7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2024, resulting in the extension of the amortization period.</w:t>
            </w:r>
          </w:p>
        </w:tc>
        <w:tc>
          <w:tcPr>
            <w:tcW w:w="5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5"/>
        </w:trPr>
        <w:tc>
          <w:tcPr>
            <w:tcW w:w="2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Mark-to-market economic</w:t>
            </w:r>
          </w:p>
        </w:tc>
        <w:tc>
          <w:tcPr>
            <w:tcW w:w="732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Increase primarily driven by decreases in forward power prices in the PJM market.</w:t>
            </w:r>
          </w:p>
        </w:tc>
        <w:tc>
          <w:tcPr>
            <w:tcW w:w="5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hedging activities</w:t>
            </w:r>
          </w:p>
        </w:tc>
        <w:tc>
          <w:tcPr>
            <w:tcW w:w="73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2560" w:type="dxa"/>
            <w:vAlign w:val="bottom"/>
            <w:tcBorders>
              <w:bottom w:val="single" w:sz="8" w:color="CCEEFF"/>
            </w:tcBorders>
          </w:tcPr>
          <w:p>
            <w:pPr>
              <w:spacing w:after="0"/>
              <w:rPr>
                <w:sz w:val="19"/>
                <w:szCs w:val="19"/>
                <w:color w:val="auto"/>
              </w:rPr>
            </w:pPr>
          </w:p>
        </w:tc>
        <w:tc>
          <w:tcPr>
            <w:tcW w:w="73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Decrease in heat rate call option contracts primarily driven by changes in power market prices.</w:t>
            </w: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8"/>
        </w:trPr>
        <w:tc>
          <w:tcPr>
            <w:tcW w:w="2560" w:type="dxa"/>
            <w:vAlign w:val="bottom"/>
            <w:tcBorders>
              <w:bottom w:val="single" w:sz="8" w:color="CCEEFF"/>
            </w:tcBorders>
            <w:shd w:val="clear" w:color="auto" w:fill="CCEEFF"/>
          </w:tcPr>
          <w:p>
            <w:pPr>
              <w:spacing w:after="0"/>
              <w:rPr>
                <w:sz w:val="21"/>
                <w:szCs w:val="21"/>
                <w:color w:val="auto"/>
              </w:rPr>
            </w:pPr>
          </w:p>
        </w:tc>
        <w:tc>
          <w:tcPr>
            <w:tcW w:w="73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Fuels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Cost of fuels decreased by $14 million during the three months ended March 31, 2025, compared to the same period in 2024, primarily due to lower generation at the Walnut Creek, Marsh Landing and El Segundo facilities, which resulted in less fuel purchases.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Interest expense increased by $59 million during the three months ended March 31, 2025, compared to the same period in 2024, primarily due to the change in fair value of interest rate swaps due to changes in interest rates.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the Company had a net loss of $111 million attributable to noncontrolling interests comprised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158"/>
        </w:trPr>
        <w:tc>
          <w:tcPr>
            <w:tcW w:w="99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8"/>
                <w:szCs w:val="18"/>
                <w:color w:val="auto"/>
              </w:rPr>
              <w:t>Losses attributable to tax equity financing arrangements and the application of the HLBV method (primarily due Daggett TE Holdco</w:t>
            </w: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43"/>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LLC, Daggett 2 TE Holdco LLC, VP-Arica TE Holdco LLC and Cedro Hill TE Holdco LLC HLBV losses)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9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attributable to third-party partnerships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8"/>
        </w:trPr>
        <w:tc>
          <w:tcPr>
            <w:tcW w:w="9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Interests and Redeemable Noncontrolling Interests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the Company had a net loss of $33 million attributable to noncontrolling interests and redeemable noncontrolling interests comprised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26"/>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attributable to tax equity financing arrangements and the application of the HLBV method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9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attributable to third-party partnerships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8"/>
        </w:trPr>
        <w:tc>
          <w:tcPr>
            <w:tcW w:w="9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9980" w:type="dxa"/>
            <w:vAlign w:val="bottom"/>
            <w:tcBorders>
              <w:top w:val="single" w:sz="8" w:color="CCEEFF"/>
              <w:bottom w:val="single" w:sz="8" w:color="CCEEFF"/>
            </w:tcBorders>
            <w:vMerge w:val="restart"/>
          </w:tcPr>
          <w:p>
            <w:pPr>
              <w:jc w:val="right"/>
              <w:ind w:right="417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9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 xml:space="preserve">The Company’s principal liquidity requirements are to meet its financial commitments, finance current operations, fund capital expenditures, including investments and acquisitions from time to time, service debt and pay distributions. </w:t>
      </w:r>
      <w:r>
        <w:rPr>
          <w:rFonts w:ascii="Times New Roman" w:cs="Times New Roman" w:eastAsia="Times New Roman" w:hAnsi="Times New Roman"/>
          <w:sz w:val="18"/>
          <w:szCs w:val="18"/>
          <w:color w:val="000000"/>
        </w:rPr>
        <w:t>As a normal part of the Company’s business, depending 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market conditions, the Company will from time to time consider opportunities to repay, redeem, repurchase or refinance its indebtedness. Changes in the Company’s operating plans, lower than anticipated sales, increased expenses, investments,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Liquidity Position</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the Company’s liquidity was approximately </w:t>
      </w:r>
      <w:r>
        <w:rPr>
          <w:rFonts w:ascii="Times New Roman" w:cs="Times New Roman" w:eastAsia="Times New Roman" w:hAnsi="Times New Roman"/>
          <w:sz w:val="18"/>
          <w:szCs w:val="18"/>
          <w:color w:val="000000"/>
        </w:rPr>
        <w:t>$1,320 million</w:t>
      </w:r>
      <w:r>
        <w:rPr>
          <w:rFonts w:ascii="Times New Roman" w:cs="Times New Roman" w:eastAsia="Times New Roman" w:hAnsi="Times New Roman"/>
          <w:sz w:val="18"/>
          <w:szCs w:val="18"/>
          <w:color w:val="231F20"/>
        </w:rPr>
        <w:t xml:space="preserve"> and $1,330 million, respectively, comprised of cash, restricted cash and availability under the Company’s revolving credit facility.</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3"/>
                <w:szCs w:val="13"/>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3"/>
                <w:szCs w:val="13"/>
                <w:color w:val="auto"/>
              </w:rPr>
            </w:pPr>
          </w:p>
        </w:tc>
        <w:tc>
          <w:tcPr>
            <w:tcW w:w="15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Clearway Energy LLC, excluding subsidiaries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0"/>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Subsidiaries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9"/>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accounts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9"/>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Reserves, including debt service, distributions, performance obligations and other reserves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3"/>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29"/>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Revolving credit facility availability</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liquidity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The Company’s liquidity includes $414 million and $401 million of restricted cash balances as of March 31, 2025 and December 31,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 xml:space="preserve">, respectively. Restricted cash consists primarily of funds to satisfy the requirements of certain debt arrangements and funds held within the Company’s facilities that are restricted in their use. As of </w:t>
      </w:r>
      <w:r>
        <w:rPr>
          <w:rFonts w:ascii="Times New Roman" w:cs="Times New Roman" w:eastAsia="Times New Roman" w:hAnsi="Times New Roman"/>
          <w:sz w:val="18"/>
          <w:szCs w:val="18"/>
          <w:color w:val="000000"/>
        </w:rPr>
        <w:t>March 31, 2025, these restricted funds were comprised of $166 million designated to fund operating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expenses, approximately $133 million designated for current debt service payments and $83 million restricted for reserves including debt service, performance obligations and other reserves, as well as capital expenditures. The remaining $32 million is held in distribution reserve accounts.</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Clearway Energy LLC and Clearway Energy Operating LLC Revolving Credit Facility</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2025, the Company had no outstanding borrowings under the revolving credit facility and $86 million in letters of credit outstanding.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facility will continue to be used for general corporate purposes including financing of future investments or acquisitions and posting letters of credit.</w:t>
      </w:r>
    </w:p>
    <w:p>
      <w:pPr>
        <w:spacing w:after="0" w:line="15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Clearway, Inc. and CEG. Management continues to regularly monitor the Company’s ability to finance the needs of its operating, financing and investing activity within the dictates of prudent balance sheet management.</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 As of March 31, 2025, the Company’s 2028 Senior Notes, 2031 Senior Notes and 2032 Senior Notes were rated BB by S&amp;P and Ba2 by Moody’s.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231F20"/>
        </w:rPr>
        <w:t>Sources of Liquidity</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by Clearway, Inc. or the Company as appropriate given market conditions. As described in Note 7, </w:t>
      </w:r>
      <w:r>
        <w:rPr>
          <w:rFonts w:ascii="Times New Roman" w:cs="Times New Roman" w:eastAsia="Times New Roman" w:hAnsi="Times New Roman"/>
          <w:sz w:val="18"/>
          <w:szCs w:val="18"/>
          <w:i w:val="1"/>
          <w:iCs w:val="1"/>
          <w:color w:val="231F20"/>
        </w:rPr>
        <w:t>Long-term Debt</w:t>
      </w:r>
      <w:r>
        <w:rPr>
          <w:rFonts w:ascii="Times New Roman" w:cs="Times New Roman" w:eastAsia="Times New Roman" w:hAnsi="Times New Roman"/>
          <w:sz w:val="18"/>
          <w:szCs w:val="18"/>
          <w:color w:val="231F20"/>
        </w:rPr>
        <w:t xml:space="preserve">, to this Form 10-Q and Item 15 — Note 10, </w:t>
      </w:r>
      <w:r>
        <w:rPr>
          <w:rFonts w:ascii="Times New Roman" w:cs="Times New Roman" w:eastAsia="Times New Roman" w:hAnsi="Times New Roman"/>
          <w:sz w:val="18"/>
          <w:szCs w:val="18"/>
          <w:i w:val="1"/>
          <w:iCs w:val="1"/>
          <w:color w:val="231F20"/>
        </w:rPr>
        <w:t>Long-term Debt</w:t>
      </w:r>
      <w:r>
        <w:rPr>
          <w:rFonts w:ascii="Times New Roman" w:cs="Times New Roman" w:eastAsia="Times New Roman" w:hAnsi="Times New Roman"/>
          <w:sz w:val="18"/>
          <w:szCs w:val="18"/>
          <w:color w:val="231F20"/>
        </w:rPr>
        <w:t xml:space="preserve">, to the consolidated financial statements included in the Company’s </w:t>
      </w:r>
      <w:r>
        <w:rPr>
          <w:rFonts w:ascii="Times New Roman" w:cs="Times New Roman" w:eastAsia="Times New Roman" w:hAnsi="Times New Roman"/>
          <w:sz w:val="18"/>
          <w:szCs w:val="18"/>
          <w:color w:val="000000"/>
        </w:rPr>
        <w:t>2024 Form 10-K</w:t>
      </w:r>
      <w:r>
        <w:rPr>
          <w:rFonts w:ascii="Times New Roman" w:cs="Times New Roman" w:eastAsia="Times New Roman" w:hAnsi="Times New Roman"/>
          <w:sz w:val="18"/>
          <w:szCs w:val="18"/>
          <w:color w:val="231F20"/>
        </w:rPr>
        <w:t xml:space="preserve">, the Company’s financing arrangements consist of </w:t>
      </w:r>
      <w:r>
        <w:rPr>
          <w:rFonts w:ascii="Times New Roman" w:cs="Times New Roman" w:eastAsia="Times New Roman" w:hAnsi="Times New Roman"/>
          <w:sz w:val="18"/>
          <w:szCs w:val="18"/>
          <w:color w:val="000000"/>
        </w:rPr>
        <w:t>corporate level debt, which includes Senior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Notes and the revolving credit facility; the ATM Program; and facility-level financings for its various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Uses of Liquidity</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The Company’s requirements for liquidity and capital resources, other than for operating its facilities, are categorized as: (i) debt service obligations, as described more fully in </w:t>
      </w:r>
      <w:r>
        <w:rPr>
          <w:rFonts w:ascii="Times New Roman" w:cs="Times New Roman" w:eastAsia="Times New Roman" w:hAnsi="Times New Roman"/>
          <w:sz w:val="18"/>
          <w:szCs w:val="18"/>
          <w:color w:val="000000"/>
        </w:rPr>
        <w:t>Note 7</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(ii) capital expenditures; (iii) off-balance sheet arrangements; (iv) acquisitions and investments, as described more fully in </w:t>
      </w:r>
      <w:r>
        <w:rPr>
          <w:rFonts w:ascii="Times New Roman" w:cs="Times New Roman" w:eastAsia="Times New Roman" w:hAnsi="Times New Roman"/>
          <w:sz w:val="18"/>
          <w:szCs w:val="18"/>
          <w:color w:val="000000"/>
        </w:rPr>
        <w:t>Note 3,</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Acquisitions</w:t>
      </w:r>
      <w:r>
        <w:rPr>
          <w:rFonts w:ascii="Times New Roman" w:cs="Times New Roman" w:eastAsia="Times New Roman" w:hAnsi="Times New Roman"/>
          <w:sz w:val="18"/>
          <w:szCs w:val="18"/>
          <w:color w:val="231F20"/>
        </w:rPr>
        <w:t>; and (v) distributions.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costs to increase the operating capacity of existing assets and costs to complete the construction of assets where construction is in process.</w:t>
      </w:r>
    </w:p>
    <w:p>
      <w:pPr>
        <w:spacing w:after="0" w:line="12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 xml:space="preserve">For the three months ended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xml:space="preserve">, the Company used approximately $56 million to fund capital expenditures, including growth </w:t>
      </w:r>
      <w:r>
        <w:rPr>
          <w:rFonts w:ascii="Times New Roman" w:cs="Times New Roman" w:eastAsia="Times New Roman" w:hAnsi="Times New Roman"/>
          <w:sz w:val="18"/>
          <w:szCs w:val="18"/>
          <w:color w:val="000000"/>
        </w:rPr>
        <w:t xml:space="preserve">expenditures of $55 million, primarily in the Renewables &amp; Storage segment, funded through construction-related financing. Growth capital expenditures included $19 million incurred in connection with the Dan’s Mountain wind facility, $17 million incurred in connection with the repowering of the Cedro Hill wind facility, $9 million in connection with the Rosamond South I solar and BESS facility, $6 million in connection with the Victory Pass and Arica solar and BESS facilities and $4 million incurred by other facilities. </w:t>
      </w:r>
      <w:r>
        <w:rPr>
          <w:rFonts w:ascii="Times New Roman" w:cs="Times New Roman" w:eastAsia="Times New Roman" w:hAnsi="Times New Roman"/>
          <w:sz w:val="18"/>
          <w:szCs w:val="18"/>
          <w:color w:val="231F20"/>
        </w:rPr>
        <w:t>In addition, the Company incurred</w:t>
      </w:r>
      <w:r>
        <w:rPr>
          <w:rFonts w:ascii="Times New Roman" w:cs="Times New Roman" w:eastAsia="Times New Roman" w:hAnsi="Times New Roman"/>
          <w:sz w:val="18"/>
          <w:szCs w:val="18"/>
          <w:color w:val="000000"/>
        </w:rPr>
        <w:t xml:space="preserve"> $1 million of maintenance capital expenditures, which is net of credits received from equipment manufacturers.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Obligations under Certain Guarantee Contracts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Company may enter into guarantee arrangements in the normal course of business to facilitate commercial transactions with third parties.</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Retained or Contingent Interests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does not have any material retained or contingent interests in assets transferred to an unconsolidated entity.</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Obligations Arising Out of a Variable Interest in an Unconsolidated Entity</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Variable interest in equity investments </w:t>
      </w:r>
      <w:r>
        <w:rPr>
          <w:rFonts w:ascii="Times New Roman" w:cs="Times New Roman" w:eastAsia="Times New Roman" w:hAnsi="Times New Roman"/>
          <w:sz w:val="18"/>
          <w:szCs w:val="18"/>
          <w:color w:val="auto"/>
        </w:rPr>
        <w:t>— As of March 31, 2025, the Company has several investments with an ownership interest percentage of 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less. GenConn is a VIE for which the Company is not the primary beneficiary. The Company’s pro-rata share of non-recourse debt held by unconsolidated affiliates was approximately $277 million as of March 31, 2025. This indebtedness may restrict the ability of these subsidiaries to issue dividends or distributions to the Company.</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Commercial Commitments</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 xml:space="preserve">The Company has a variety of contractual obligations and other commercial commitments that represent prospective cash requirements in addition to the Company’s capital expenditure programs, as disclosed in the Company’s </w:t>
      </w:r>
      <w:r>
        <w:rPr>
          <w:rFonts w:ascii="Times New Roman" w:cs="Times New Roman" w:eastAsia="Times New Roman" w:hAnsi="Times New Roman"/>
          <w:sz w:val="18"/>
          <w:szCs w:val="18"/>
          <w:color w:val="231F20"/>
        </w:rPr>
        <w:t>2024</w:t>
      </w:r>
      <w:r>
        <w:rPr>
          <w:rFonts w:ascii="Times New Roman" w:cs="Times New Roman" w:eastAsia="Times New Roman" w:hAnsi="Times New Roman"/>
          <w:sz w:val="18"/>
          <w:szCs w:val="18"/>
          <w:color w:val="auto"/>
        </w:rPr>
        <w:t xml:space="preserve"> Form 10-K.</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Investments</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jc w:val="both"/>
        <w:ind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Tuolumne Wind Acquisition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April 29, 2025, the Company acquired the Tuolumne wind facility from an investment-grade regulated entity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$207 million, subject to working capital adjustments. Tuolumne reached commercial operations in 2009. In connection with the acquisition, the Company entered into a 15-year PPA with an investment-grade regulated entity that commenced in April 2025. Also in connection with the acquisition, the Company entered into a financing agreement, which included the issuance of a $163 million term loan, as well as $22 million in letters of credit in support of debt service and facility obligations, supported by the Company’s interests in the Tuolumne wind facility. The Company utilized a portion of the proceeds from the term loan to pay $4 million in related financing costs. The acquisition was funded with the borrowings under the new non-recourse facility-level debt, as well as existing sources of liquidity. The Company estimates that its total capital investment in Tuolumne will be $61 million, which includes estimated transaction expenses.</w:t>
      </w:r>
    </w:p>
    <w:p>
      <w:pPr>
        <w:spacing w:after="0" w:line="13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Luna Valley Drop Down </w:t>
      </w:r>
      <w:r>
        <w:rPr>
          <w:rFonts w:ascii="Times New Roman" w:cs="Times New Roman" w:eastAsia="Times New Roman" w:hAnsi="Times New Roman"/>
          <w:sz w:val="18"/>
          <w:szCs w:val="18"/>
          <w:color w:val="auto"/>
        </w:rPr>
        <w:t>— On April 29, 2025, the Company, through its indirect subsidiary, LV-Daggett Parent Holdco LLC, acquired Luna Valley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B, the indirect owner of the Luna Valley solar facility, from Clearway Renew for initial cash consideration of $18 million. At substantial completion, which is expected to occur in the second half of 2025, the Company estimates it will pay an additional $72 million to Clearway Renew. The Company estimates that its total capital investment in Luna Valley Class B will be $90 million, excluding the impact of any closing adjustments noted in the purchase agreement. Luna Valley has PPAs with investment-grade counterparties that have a 17-year weighted average contract duration that commence when the underlying operating assets reach commercial operations, which is expected to occur in the second half of 2025. The acquisition was funded with existing sources of liquidity.</w:t>
      </w:r>
    </w:p>
    <w:p>
      <w:pPr>
        <w:spacing w:after="0" w:line="127"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Daggett 1 Drop Down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April 29, 2025, the Company, through its indirect subsidiary, LV-Daggett Parent Holdco LLC, acquired Daggett 1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 the indirect owner of the Daggett 1 BESS facility, from Clearway Renew for initial cash consideration of $11 million. At substantial completion, which is expected to occur in the second half of 2025, the Company estimates it will pay an additional $42 million to Clearway Renew. The Company estimates that its total capital investment in Daggett 1 Class B will be $53 million, excluding the impact of any closing adjustments noted in the purchase agreement. Daggett 1 has a PPA for capacity with an investment-grade counterparty for a contract duration of 15 years that commences when the facility reaches commercial operations, which is expected to occur in the second half of 2025. The acquisition was funded with existing sources of liquidity.</w:t>
      </w:r>
    </w:p>
    <w:p>
      <w:pPr>
        <w:spacing w:after="0" w:line="130"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Rosamond South I Drop Down </w:t>
      </w:r>
      <w:r>
        <w:rPr>
          <w:rFonts w:ascii="Times New Roman" w:cs="Times New Roman" w:eastAsia="Times New Roman" w:hAnsi="Times New Roman"/>
          <w:sz w:val="18"/>
          <w:szCs w:val="18"/>
          <w:color w:val="auto"/>
        </w:rPr>
        <w:t>— On March 20, 2025, the Company, through its indirect subsidiary, Rosamond South Investment LLC, acquired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membership interests in Rosie South TargetCo, a partnership and the indirect owner of the Rosamond South I solar facility, from Clearway Renew for initial cash consideration of $4 million. At substantial completion, which is expected to occur in the second half of 2025, the Company estimates it will pay an additional $17 million to Clearway Renew. The Company estimates that its total capital investment in Rosie South TargetCo will be $21 million, excluding the impact of any closing adjustments noted in the purchase agreement. Rosamond South I has PPAs with investment-grade counterparties that have a 15-year weighted average contract duration that commence when the underlying operating assets reach commercial operations, which is expected to occur in the second half of 2025. The acquisition was funded with existing sources of liquidity. As part of the acquisition of Rosamond South I, the Company assumed the facility’s financing agreement, which included a construction loan, which converts to a term loan when the facility reaches substantial completion, a cash equity bridge loan that was paid off at acquisition date and a tax equity bridge loan, which will be completely paid off when the facility reaches substantial completion. Subsequent to the acquisition, the Company borrowed an additional $14 million in construction loans through March 31, 2025.</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Cash Distributions to Clearway, Inc. and CEG</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intends to distribute to its unit holders in the form of a quarterly distribution all of the CAFD it generates each quarter, less reserves for the prudent conduct of the business, including among others, maintenance capital expenditures to maintain the operating capacity of the Company’s assets. Distributions on the Company’s units are subject to available capital, market conditions and compliance with associated laws, regulations and other contractual obligations. The Company expects that, based on current circumstances, comparable cash distributions will continue to be paid in the foreseeable future.</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lists the distributions paid on the Company’s Class A, B, C and D units during the three months ended March 31, 2025:</w:t>
      </w:r>
    </w:p>
    <w:p>
      <w:pPr>
        <w:spacing w:after="0" w:line="97"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4"/>
          <w:szCs w:val="14"/>
          <w:b w:val="1"/>
          <w:bCs w:val="1"/>
          <w:color w:val="auto"/>
        </w:rPr>
        <w:t>First Quarter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9920" w:val="left"/>
          <w:tab w:leader="none" w:pos="10660" w:val="left"/>
        </w:tabs>
        <w:rPr>
          <w:sz w:val="20"/>
          <w:szCs w:val="20"/>
          <w:color w:val="auto"/>
        </w:rPr>
      </w:pPr>
      <w:r>
        <w:rPr>
          <w:rFonts w:ascii="Times New Roman" w:cs="Times New Roman" w:eastAsia="Times New Roman" w:hAnsi="Times New Roman"/>
          <w:sz w:val="18"/>
          <w:szCs w:val="18"/>
          <w:color w:val="auto"/>
        </w:rPr>
        <w:t>Distributions per Class A, B, C and D unit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0.4312</w:t>
      </w:r>
    </w:p>
    <w:p>
      <w:pPr>
        <w:spacing w:after="0" w:line="25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On April 29, 2025, the Company declared a distribution on its Class A, Class B, Class C and Class D units of $0.4384 per unit payable on June 16, 2025 to unit holders of record as of June 2, 2025.</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Cash Flow Discussion</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reflect the changes in cash flows for the comparative periods: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29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7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7140" w:type="dxa"/>
            <w:vAlign w:val="bottom"/>
          </w:tcPr>
          <w:p>
            <w:pPr>
              <w:spacing w:after="0"/>
              <w:rPr>
                <w:sz w:val="16"/>
                <w:szCs w:val="16"/>
                <w:color w:val="auto"/>
              </w:rPr>
            </w:pPr>
          </w:p>
        </w:tc>
        <w:tc>
          <w:tcPr>
            <w:tcW w:w="9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7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bl>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ectPr>
          <w:pgSz w:w="11900" w:h="16838" w:orient="portrait"/>
          <w:cols w:equalWidth="0" w:num="1">
            <w:col w:w="11240"/>
          </w:cols>
          <w:pgMar w:left="320" w:top="887" w:right="339" w:bottom="1440" w:gutter="0" w:footer="0" w:header="0"/>
        </w:sectPr>
      </w:pP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to net cash provided by operating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Increase in operating income after adjusting for non-cash items</w:t>
      </w:r>
    </w:p>
    <w:p>
      <w:pPr>
        <w:spacing w:after="0" w:line="27" w:lineRule="exact"/>
        <w:rPr>
          <w:sz w:val="20"/>
          <w:szCs w:val="20"/>
          <w:color w:val="auto"/>
        </w:rPr>
      </w:pPr>
    </w:p>
    <w:p>
      <w:pPr>
        <w:ind w:left="140"/>
        <w:spacing w:after="0" w:line="234" w:lineRule="auto"/>
        <w:rPr>
          <w:sz w:val="20"/>
          <w:szCs w:val="20"/>
          <w:color w:val="auto"/>
        </w:rPr>
      </w:pPr>
      <w:r>
        <w:rPr>
          <w:rFonts w:ascii="Times New Roman" w:cs="Times New Roman" w:eastAsia="Times New Roman" w:hAnsi="Times New Roman"/>
          <w:sz w:val="18"/>
          <w:szCs w:val="18"/>
          <w:color w:val="auto"/>
        </w:rPr>
        <w:t>Increase from changes in working capital primarily driven by the timing of accounts receivable collections and payments of accounts payable</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Decrease in distributions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to net cash used in investing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Decrease in cash paid for Drop Down Assets, net of cash acquired</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Decrease in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Increase in the return of investment from unconsolidated affiliates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Financing Activities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43" w:lineRule="exact"/>
        <w:rPr>
          <w:sz w:val="20"/>
          <w:szCs w:val="20"/>
          <w:color w:val="auto"/>
        </w:rPr>
      </w:pPr>
    </w:p>
    <w:p>
      <w:pPr>
        <w:ind w:left="1100" w:hanging="1092"/>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w:t>
      </w:r>
    </w:p>
    <w:p>
      <w:pPr>
        <w:spacing w:after="0" w:line="211"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8058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11" w:lineRule="exact"/>
        <w:rPr>
          <w:sz w:val="20"/>
          <w:szCs w:val="20"/>
          <w:color w:val="auto"/>
        </w:rPr>
      </w:pPr>
    </w:p>
    <w:p>
      <w:pPr>
        <w:ind w:left="1100" w:hanging="1092"/>
        <w:spacing w:after="0"/>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8058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43180</wp:posOffset>
            </wp:positionV>
            <wp:extent cx="8058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43" w:lineRule="exact"/>
        <w:rPr>
          <w:sz w:val="20"/>
          <w:szCs w:val="20"/>
          <w:color w:val="auto"/>
        </w:rPr>
      </w:pPr>
    </w:p>
    <w:p>
      <w:pPr>
        <w:ind w:left="920" w:hanging="912"/>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w:t>
      </w:r>
    </w:p>
    <w:p>
      <w:pPr>
        <w:spacing w:after="0" w:line="22"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2"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31" w:lineRule="exact"/>
        <w:rPr>
          <w:sz w:val="20"/>
          <w:szCs w:val="20"/>
          <w:color w:val="auto"/>
        </w:rPr>
      </w:pPr>
    </w:p>
    <w:p>
      <w:pPr>
        <w:ind w:left="920" w:hanging="912"/>
        <w:spacing w:after="0"/>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8058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603" w:lineRule="exact"/>
        <w:rPr>
          <w:sz w:val="20"/>
          <w:szCs w:val="20"/>
          <w:color w:val="auto"/>
        </w:rPr>
      </w:pPr>
    </w:p>
    <w:p>
      <w:pPr>
        <w:sectPr>
          <w:pgSz w:w="11900" w:h="16838" w:orient="portrait"/>
          <w:cols w:equalWidth="0" w:num="2">
            <w:col w:w="9720" w:space="220"/>
            <w:col w:w="1300"/>
          </w:cols>
          <w:pgMar w:left="320" w:top="887"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9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net cash (used in) provided by financing activities were driven by:</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3"/>
        </w:trPr>
        <w:tc>
          <w:tcPr>
            <w:tcW w:w="9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Decrease in contributions from noncontrolling interests and CEG, net of distributions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9"/>
        </w:trPr>
        <w:tc>
          <w:tcPr>
            <w:tcW w:w="9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in distributions paid to unit holders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9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Decrease in payments for long-term debt and proceeds from issuance of long-term debt</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99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9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The Company may enter into energy-related commodity contracts to mitigate variability in earnings due to fluctuations in spot market prices. In addition, in order to mitigate interest rate risk associated with the issuance of variable rate debt, the Company enters into interest rate swap agreements.</w:t>
      </w:r>
    </w:p>
    <w:p>
      <w:pPr>
        <w:spacing w:after="0" w:line="108"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xml:space="preserve">, based on their level within the fair value hierarchy defined in ASC 820; and indicate the maturities of contracts at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xml:space="preserve">. For a full discussion of the Company’s valuation methodology of its contracts, see </w:t>
      </w:r>
      <w:r>
        <w:rPr>
          <w:rFonts w:ascii="Times New Roman" w:cs="Times New Roman" w:eastAsia="Times New Roman" w:hAnsi="Times New Roman"/>
          <w:sz w:val="18"/>
          <w:szCs w:val="18"/>
          <w:i w:val="1"/>
          <w:iCs w:val="1"/>
          <w:color w:val="231F20"/>
        </w:rPr>
        <w:t>Derivative Fair Value Measurements</w:t>
      </w:r>
      <w:r>
        <w:rPr>
          <w:rFonts w:ascii="Times New Roman" w:cs="Times New Roman" w:eastAsia="Times New Roman" w:hAnsi="Times New Roman"/>
          <w:sz w:val="18"/>
          <w:szCs w:val="18"/>
          <w:color w:val="231F20"/>
        </w:rPr>
        <w:t xml:space="preserve"> in </w:t>
      </w:r>
      <w:r>
        <w:rPr>
          <w:rFonts w:ascii="Times New Roman" w:cs="Times New Roman" w:eastAsia="Times New Roman" w:hAnsi="Times New Roman"/>
          <w:sz w:val="18"/>
          <w:szCs w:val="18"/>
          <w:color w:val="000000"/>
        </w:rPr>
        <w:t>Note 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Fair Value of Financial Instruments</w:t>
      </w:r>
      <w:r>
        <w:rPr>
          <w:rFonts w:ascii="Times New Roman" w:cs="Times New Roman" w:eastAsia="Times New Roman" w:hAnsi="Times New Roman"/>
          <w:sz w:val="18"/>
          <w:szCs w:val="18"/>
          <w:color w:val="231F20"/>
        </w:rPr>
        <w: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Derivative Activity (Losses) Gains</w:t>
            </w:r>
          </w:p>
        </w:tc>
        <w:tc>
          <w:tcPr>
            <w:tcW w:w="180" w:type="dxa"/>
            <w:vAlign w:val="bottom"/>
          </w:tcPr>
          <w:p>
            <w:pPr>
              <w:spacing w:after="0"/>
              <w:rPr>
                <w:sz w:val="18"/>
                <w:szCs w:val="18"/>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20" w:type="dxa"/>
            <w:vAlign w:val="bottom"/>
            <w:tcBorders>
              <w:top w:val="single" w:sz="8" w:color="auto"/>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contracts as of December 31,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30"/>
        </w:trPr>
        <w:tc>
          <w:tcPr>
            <w:tcW w:w="20" w:type="dxa"/>
            <w:vAlign w:val="bottom"/>
          </w:tcPr>
          <w:p>
            <w:pPr>
              <w:spacing w:after="0"/>
              <w:rPr>
                <w:sz w:val="19"/>
                <w:szCs w:val="19"/>
                <w:color w:val="auto"/>
              </w:rPr>
            </w:pPr>
          </w:p>
        </w:tc>
        <w:tc>
          <w:tcPr>
            <w:tcW w:w="9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Contracts realized or otherwise settled during the period</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20" w:type="dxa"/>
            <w:vAlign w:val="bottom"/>
            <w:shd w:val="clear" w:color="auto" w:fill="CCEEFF"/>
          </w:tcPr>
          <w:p>
            <w:pPr>
              <w:spacing w:after="0"/>
              <w:rPr>
                <w:sz w:val="19"/>
                <w:szCs w:val="19"/>
                <w:color w:val="auto"/>
              </w:rPr>
            </w:pPr>
          </w:p>
        </w:tc>
        <w:tc>
          <w:tcPr>
            <w:tcW w:w="9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fair value</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2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 of contracts as of March 31, 2025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 value of contracts as of March 31, 2025</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 Hierarchy (Losses) Gains</w:t>
            </w: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1 Year or Less</w:t>
            </w:r>
          </w:p>
        </w:tc>
        <w:tc>
          <w:tcPr>
            <w:tcW w:w="1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14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16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180" w:type="dxa"/>
            <w:vAlign w:val="bottom"/>
          </w:tcPr>
          <w:p>
            <w:pPr>
              <w:spacing w:after="0"/>
              <w:rPr>
                <w:sz w:val="14"/>
                <w:szCs w:val="14"/>
                <w:color w:val="auto"/>
              </w:rPr>
            </w:pPr>
          </w:p>
        </w:tc>
        <w:tc>
          <w:tcPr>
            <w:tcW w:w="9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tcBorders>
              <w:bottom w:val="single" w:sz="8" w:color="auto"/>
            </w:tcBorders>
            <w:vMerge w:val="continue"/>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40" w:type="dxa"/>
            <w:vAlign w:val="bottom"/>
            <w:gridSpan w:val="3"/>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w w:val="99"/>
              </w:rPr>
              <w:t>1 Year to 3 Years</w:t>
            </w:r>
          </w:p>
        </w:tc>
        <w:tc>
          <w:tcPr>
            <w:tcW w:w="128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3 Years to 5 Years</w:t>
            </w:r>
          </w:p>
        </w:tc>
        <w:tc>
          <w:tcPr>
            <w:tcW w:w="160" w:type="dxa"/>
            <w:vAlign w:val="bottom"/>
          </w:tcPr>
          <w:p>
            <w:pPr>
              <w:spacing w:after="0"/>
              <w:rPr>
                <w:sz w:val="11"/>
                <w:szCs w:val="11"/>
                <w:color w:val="auto"/>
              </w:rPr>
            </w:pPr>
          </w:p>
        </w:tc>
        <w:tc>
          <w:tcPr>
            <w:tcW w:w="1240" w:type="dxa"/>
            <w:vAlign w:val="bottom"/>
            <w:gridSpan w:val="2"/>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rPr>
              <w:t>5 Years</w:t>
            </w:r>
          </w:p>
        </w:tc>
        <w:tc>
          <w:tcPr>
            <w:tcW w:w="180" w:type="dxa"/>
            <w:vAlign w:val="bottom"/>
          </w:tcPr>
          <w:p>
            <w:pPr>
              <w:spacing w:after="0"/>
              <w:rPr>
                <w:sz w:val="11"/>
                <w:szCs w:val="11"/>
                <w:color w:val="auto"/>
              </w:rPr>
            </w:pPr>
          </w:p>
        </w:tc>
        <w:tc>
          <w:tcPr>
            <w:tcW w:w="960" w:type="dxa"/>
            <w:vAlign w:val="bottom"/>
          </w:tcPr>
          <w:p>
            <w:pPr>
              <w:jc w:val="center"/>
              <w:ind w:right="97"/>
              <w:spacing w:after="0" w:line="127"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675"/>
              <w:spacing w:after="0"/>
              <w:rPr>
                <w:sz w:val="20"/>
                <w:szCs w:val="20"/>
                <w:color w:val="auto"/>
              </w:rPr>
            </w:pPr>
            <w:r>
              <w:rPr>
                <w:rFonts w:ascii="Times New Roman" w:cs="Times New Roman" w:eastAsia="Times New Roman" w:hAnsi="Times New Roman"/>
                <w:sz w:val="18"/>
                <w:szCs w:val="18"/>
                <w:color w:val="auto"/>
                <w:w w:val="99"/>
              </w:rPr>
              <w:t>20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center"/>
              <w:ind w:left="457"/>
              <w:spacing w:after="0"/>
              <w:rPr>
                <w:sz w:val="20"/>
                <w:szCs w:val="20"/>
                <w:color w:val="auto"/>
              </w:rPr>
            </w:pPr>
            <w:r>
              <w:rPr>
                <w:rFonts w:ascii="Times New Roman" w:cs="Times New Roman" w:eastAsia="Times New Roman" w:hAnsi="Times New Roman"/>
                <w:sz w:val="18"/>
                <w:szCs w:val="18"/>
                <w:color w:val="auto"/>
                <w:w w:val="96"/>
              </w:rPr>
              <w:t>123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Level 3</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635"/>
              <w:spacing w:after="0"/>
              <w:rPr>
                <w:sz w:val="20"/>
                <w:szCs w:val="20"/>
                <w:color w:val="auto"/>
              </w:rPr>
            </w:pPr>
            <w:r>
              <w:rPr>
                <w:rFonts w:ascii="Times New Roman" w:cs="Times New Roman" w:eastAsia="Times New Roman" w:hAnsi="Times New Roman"/>
                <w:sz w:val="18"/>
                <w:szCs w:val="18"/>
                <w:color w:val="auto"/>
                <w:w w:val="99"/>
              </w:rPr>
              <w:t>(69)</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417"/>
              <w:spacing w:after="0"/>
              <w:rPr>
                <w:sz w:val="20"/>
                <w:szCs w:val="20"/>
                <w:color w:val="auto"/>
              </w:rPr>
            </w:pPr>
            <w:r>
              <w:rPr>
                <w:rFonts w:ascii="Times New Roman" w:cs="Times New Roman" w:eastAsia="Times New Roman" w:hAnsi="Times New Roman"/>
                <w:sz w:val="18"/>
                <w:szCs w:val="18"/>
                <w:color w:val="auto"/>
                <w:w w:val="97"/>
              </w:rPr>
              <w:t>(373)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color w:val="auto"/>
                <w:w w:val="99"/>
              </w:rPr>
              <w:t>(49)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w w:val="97"/>
              </w:rPr>
              <w:t>(250)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231F20"/>
        </w:rPr>
        <w:t>The Company has elected to disclose derivative assets and liabilities on a trade-by-trade basis and does not offset amounts at the counterparty master agreement level.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facilities,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3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accounting utilizing HLBV and determining the fair value of financial instruments.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Developments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Times New Roman" w:cs="Times New Roman" w:eastAsia="Times New Roman" w:hAnsi="Times New Roman"/>
          <w:sz w:val="18"/>
          <w:szCs w:val="18"/>
          <w:color w:val="000000"/>
        </w:rPr>
        <w:t>The following disclosures about market risk provide an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update to, and should be read in conjunction with, Item 7A — </w:t>
      </w:r>
      <w:r>
        <w:rPr>
          <w:rFonts w:ascii="Times New Roman" w:cs="Times New Roman" w:eastAsia="Times New Roman" w:hAnsi="Times New Roman"/>
          <w:sz w:val="18"/>
          <w:szCs w:val="18"/>
          <w:i w:val="1"/>
          <w:iCs w:val="1"/>
          <w:color w:val="000000"/>
        </w:rPr>
        <w:t>Quantitative and Qualitative Disclosures About Market Risk,</w:t>
      </w:r>
      <w:r>
        <w:rPr>
          <w:rFonts w:ascii="Times New Roman" w:cs="Times New Roman" w:eastAsia="Times New Roman" w:hAnsi="Times New Roman"/>
          <w:sz w:val="18"/>
          <w:szCs w:val="18"/>
          <w:color w:val="000000"/>
        </w:rPr>
        <w:t xml:space="preserve"> of the Company’s 2024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Commodity Price Risk</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Commodity price risks result from exposures to changes in spot prices, forward prices, volatilities and correlations between various commodities, such as electricity, natural gas and emissions credits. The Company manages the commodity price risk of certain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Based on a sensitivity analysis using simplified assumptions, the impact of a $0.50 per MWh increase or decrease in power prices across the term of the long-term power commodity contracts would cause a change of approximately $6 million to the net value of the related derivatives as of March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Interest Rate Risk</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w:t>
      </w:r>
      <w:r>
        <w:rPr>
          <w:rFonts w:ascii="Times New Roman" w:cs="Times New Roman" w:eastAsia="Times New Roman" w:hAnsi="Times New Roman"/>
          <w:sz w:val="18"/>
          <w:szCs w:val="18"/>
          <w:color w:val="000000"/>
        </w:rPr>
        <w:t>Note 6</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Derivative Instruments and Hedging Activities</w:t>
      </w:r>
      <w:r>
        <w:rPr>
          <w:rFonts w:ascii="Times New Roman" w:cs="Times New Roman" w:eastAsia="Times New Roman" w:hAnsi="Times New Roman"/>
          <w:sz w:val="18"/>
          <w:szCs w:val="18"/>
          <w:color w:val="231F20"/>
        </w:rPr>
        <w:t>, for more information.</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Most of the Company’s subsidiaries enter into interest rate swaps intended to hedge the risks associated with interest rates on non-recourse facility-level debt. See Item 15 — </w:t>
      </w:r>
      <w:r>
        <w:rPr>
          <w:rFonts w:ascii="Times New Roman" w:cs="Times New Roman" w:eastAsia="Times New Roman" w:hAnsi="Times New Roman"/>
          <w:sz w:val="18"/>
          <w:szCs w:val="18"/>
          <w:color w:val="000000"/>
        </w:rPr>
        <w:t>Note 10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to the Company’s </w:t>
      </w:r>
      <w:r>
        <w:rPr>
          <w:rFonts w:ascii="Times New Roman" w:cs="Times New Roman" w:eastAsia="Times New Roman" w:hAnsi="Times New Roman"/>
          <w:sz w:val="18"/>
          <w:szCs w:val="18"/>
          <w:color w:val="000000"/>
        </w:rPr>
        <w:t>audited consolidated financial statements for the year ended December 31, 2024</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included in the 2024 Form 10-K </w:t>
      </w:r>
      <w:r>
        <w:rPr>
          <w:rFonts w:ascii="Times New Roman" w:cs="Times New Roman" w:eastAsia="Times New Roman" w:hAnsi="Times New Roman"/>
          <w:sz w:val="18"/>
          <w:szCs w:val="18"/>
          <w:color w:val="231F20"/>
        </w:rPr>
        <w:t>for more information about interest rate swaps of the Company’s subsidiaries.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If all of the interest rate swaps had been discontinued on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xml:space="preserve">, the counterparties would have owed the Company </w:t>
      </w:r>
      <w:r>
        <w:rPr>
          <w:rFonts w:ascii="Times New Roman" w:cs="Times New Roman" w:eastAsia="Times New Roman" w:hAnsi="Times New Roman"/>
          <w:sz w:val="18"/>
          <w:szCs w:val="18"/>
          <w:color w:val="000000"/>
        </w:rPr>
        <w:t>$132 million.</w:t>
      </w:r>
      <w:r>
        <w:rPr>
          <w:rFonts w:ascii="Times New Roman" w:cs="Times New Roman" w:eastAsia="Times New Roman" w:hAnsi="Times New Roman"/>
          <w:sz w:val="18"/>
          <w:szCs w:val="18"/>
          <w:color w:val="231F20"/>
        </w:rPr>
        <w:t xml:space="preserve"> Based on the credit ratings of the counterparties, the Company believes its exposure to credit risk due to nonperformance by counterparties to its hedge contracts to be insignificant.</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The Company has long-term debt instruments that subject it to the risk of loss associated with movements in market interest rates. As of </w:t>
      </w:r>
      <w:r>
        <w:rPr>
          <w:rFonts w:ascii="Times New Roman" w:cs="Times New Roman" w:eastAsia="Times New Roman" w:hAnsi="Times New Roman"/>
          <w:sz w:val="18"/>
          <w:szCs w:val="18"/>
          <w:color w:val="000000"/>
        </w:rPr>
        <w:t>March 31,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31F20"/>
        </w:rPr>
        <w:t>, a change of 1%, or 100 basis points, in interest rates would result in an approximately $2 million change in market interest expense on a rolling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twelve-month basis.</w:t>
      </w:r>
    </w:p>
    <w:p>
      <w:pPr>
        <w:spacing w:after="0" w:line="12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the fair value of the Company’s debt was $7,255 million and the carrying value was $7,677 million. The Company estimates that a decrease of 1%, or 100 basis points, in market interest rates would have increased the fair value of its long-term debt by approximately $293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Liquidity Risk</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Liquidity risk arises from the general funding needs of the Company’s activities and in the management of the Company’s assets and liabilities.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Counterparty Credit Risk</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w:t>
      </w:r>
      <w:r>
        <w:rPr>
          <w:rFonts w:ascii="Times New Roman" w:cs="Times New Roman" w:eastAsia="Times New Roman" w:hAnsi="Times New Roman"/>
          <w:sz w:val="18"/>
          <w:szCs w:val="18"/>
          <w:color w:val="000000"/>
        </w:rPr>
        <w:t>Note 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Fair Value of Financial Instruments</w:t>
      </w:r>
      <w:r>
        <w:rPr>
          <w:rFonts w:ascii="Times New Roman" w:cs="Times New Roman" w:eastAsia="Times New Roman" w:hAnsi="Times New Roman"/>
          <w:sz w:val="18"/>
          <w:szCs w:val="18"/>
          <w:color w:val="231F20"/>
        </w:rPr>
        <w:t>, to the consolidated financial statements for more information about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Conclusion Regarding the Effectiveness of Disclosure Controls and Procedures</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such term is defined in Rule 13a-15(f) under the Exchange Act) during the quarter ended March 31, 2025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173"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risk factors appears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the Company’s 2024 Form 10-K. There have been no material changes in the Company’s risk factors since those reported in its 2024 Form 10-K.</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Plans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no director or officer (as defined in Rule 16a-1(f) of the Exchange Act)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6 — EXHIBITS</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578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1"/>
        </w:trPr>
        <w:tc>
          <w:tcPr>
            <w:tcW w:w="10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10.1</w:t>
            </w:r>
          </w:p>
        </w:tc>
        <w:tc>
          <w:tcPr>
            <w:tcW w:w="5780" w:type="dxa"/>
            <w:vAlign w:val="bottom"/>
            <w:gridSpan w:val="7"/>
          </w:tcPr>
          <w:p>
            <w:pPr>
              <w:spacing w:after="0" w:line="181" w:lineRule="exact"/>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Third  Amended  and  Restated  Master  Services  Agreement  and  Payroll  Sharing</w:t>
              </w:r>
            </w:hyperlink>
          </w:p>
        </w:tc>
      </w:tr>
      <w:tr>
        <w:trPr>
          <w:trHeight w:val="142"/>
        </w:trPr>
        <w:tc>
          <w:tcPr>
            <w:tcW w:w="1020" w:type="dxa"/>
            <w:vAlign w:val="bottom"/>
          </w:tcPr>
          <w:p>
            <w:pPr>
              <w:spacing w:after="0"/>
              <w:rPr>
                <w:sz w:val="12"/>
                <w:szCs w:val="12"/>
                <w:color w:val="auto"/>
              </w:rPr>
            </w:pPr>
          </w:p>
        </w:tc>
        <w:tc>
          <w:tcPr>
            <w:tcW w:w="5740" w:type="dxa"/>
            <w:vAlign w:val="bottom"/>
            <w:tcBorders>
              <w:top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Agreement, dated as of February 13, 2025, by and among Clearway Energy, 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020" w:type="dxa"/>
            <w:vAlign w:val="bottom"/>
          </w:tcPr>
          <w:p>
            <w:pPr>
              <w:spacing w:after="0"/>
              <w:rPr>
                <w:sz w:val="12"/>
                <w:szCs w:val="12"/>
                <w:color w:val="auto"/>
              </w:rPr>
            </w:pPr>
          </w:p>
        </w:tc>
        <w:tc>
          <w:tcPr>
            <w:tcW w:w="572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Clearway Energy Finance Inc., Clearway Energy LLC, Clearway Energy Operating</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020" w:type="dxa"/>
            <w:vAlign w:val="bottom"/>
          </w:tcPr>
          <w:p>
            <w:pPr>
              <w:spacing w:after="0"/>
              <w:rPr>
                <w:sz w:val="12"/>
                <w:szCs w:val="12"/>
                <w:color w:val="auto"/>
              </w:rPr>
            </w:pPr>
          </w:p>
        </w:tc>
        <w:tc>
          <w:tcPr>
            <w:tcW w:w="5760" w:type="dxa"/>
            <w:vAlign w:val="bottom"/>
            <w:gridSpan w:val="6"/>
          </w:tcPr>
          <w:p>
            <w:pPr>
              <w:spacing w:after="0" w:line="142" w:lineRule="exact"/>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LLC and Clearway Energy Group LLC.</w:t>
              </w:r>
            </w:hyperlink>
          </w:p>
        </w:tc>
        <w:tc>
          <w:tcPr>
            <w:tcW w:w="20" w:type="dxa"/>
            <w:vAlign w:val="bottom"/>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r>
      <w:tr>
        <w:trPr>
          <w:trHeight w:val="19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578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Rule 13a-14(a)/15d-14(a) certification of Craig Cornelius.</w:t>
            </w:r>
          </w:p>
        </w:tc>
      </w:tr>
      <w:tr>
        <w:trPr>
          <w:trHeight w:val="20"/>
        </w:trPr>
        <w:tc>
          <w:tcPr>
            <w:tcW w:w="1020" w:type="dxa"/>
            <w:vAlign w:val="bottom"/>
          </w:tcPr>
          <w:p>
            <w:pPr>
              <w:spacing w:after="0" w:line="20" w:lineRule="exact"/>
              <w:rPr>
                <w:sz w:val="1"/>
                <w:szCs w:val="1"/>
                <w:color w:val="auto"/>
              </w:rPr>
            </w:pPr>
          </w:p>
        </w:tc>
        <w:tc>
          <w:tcPr>
            <w:tcW w:w="37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r>
      <w:tr>
        <w:trPr>
          <w:trHeight w:val="19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3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Rule 13a-14(a)/15d-14(a) certification of Sarah Rubenstein.</w:t>
            </w:r>
          </w:p>
        </w:tc>
        <w:tc>
          <w:tcPr>
            <w:tcW w:w="1900" w:type="dxa"/>
            <w:vAlign w:val="bottom"/>
            <w:gridSpan w:val="4"/>
          </w:tcPr>
          <w:p>
            <w:pPr>
              <w:spacing w:after="0"/>
              <w:rPr>
                <w:sz w:val="17"/>
                <w:szCs w:val="17"/>
                <w:color w:val="auto"/>
              </w:rPr>
            </w:pPr>
          </w:p>
        </w:tc>
      </w:tr>
    </w:tbl>
    <w:p>
      <w:pPr>
        <w:spacing w:after="0" w:line="27" w:lineRule="exact"/>
        <w:rPr>
          <w:sz w:val="20"/>
          <w:szCs w:val="20"/>
          <w:color w:val="auto"/>
        </w:rPr>
      </w:pPr>
    </w:p>
    <w:p>
      <w:pPr>
        <w:ind w:left="1040" w:hanging="1014"/>
        <w:spacing w:after="0"/>
        <w:tabs>
          <w:tab w:leader="none" w:pos="10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Section 1350 Certification.</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w:t>
            </w: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Instance Document.</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 SCH</w:t>
            </w: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Taxonomy Extension Schema.</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CAL</w:t>
            </w: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w:t>
            </w: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LAB</w:t>
            </w: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w:t>
            </w: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r>
    </w:tbl>
    <w:p>
      <w:pPr>
        <w:spacing w:after="0" w:line="6" w:lineRule="exact"/>
        <w:rPr>
          <w:sz w:val="20"/>
          <w:szCs w:val="20"/>
          <w:color w:val="auto"/>
        </w:rPr>
      </w:pPr>
    </w:p>
    <w:p>
      <w:pPr>
        <w:ind w:left="1040" w:right="40" w:hanging="1014"/>
        <w:spacing w:after="0" w:line="232" w:lineRule="auto"/>
        <w:tabs>
          <w:tab w:leader="none" w:pos="10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(the cover page interactive data file does not appear in Exhibit 104 because its Inline XBRL tags are embedded within the Inline XBRL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Method of Filing</w:t>
      </w:r>
    </w:p>
    <w:p>
      <w:pPr>
        <w:spacing w:after="0" w:line="3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Incorporated herein by reference to Exhibit 10.30 to the Company’s Annual Report on Form 10-K filed on February 25, 2025.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Furnished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549" w:lineRule="exact"/>
        <w:rPr>
          <w:sz w:val="20"/>
          <w:szCs w:val="20"/>
          <w:color w:val="auto"/>
        </w:rPr>
      </w:pPr>
    </w:p>
    <w:p>
      <w:pPr>
        <w:sectPr>
          <w:pgSz w:w="11900" w:h="16838" w:orient="portrait"/>
          <w:cols w:equalWidth="0" w:num="2">
            <w:col w:w="6760" w:space="160"/>
            <w:col w:w="4260"/>
          </w:cols>
          <w:pgMar w:left="320" w:top="887" w:right="39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type w:val="continuous"/>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CLEARWAY ENERGY LLC</w:t>
      </w:r>
    </w:p>
    <w:p>
      <w:pPr>
        <w:ind w:left="6760"/>
        <w:spacing w:after="0"/>
        <w:rPr>
          <w:sz w:val="20"/>
          <w:szCs w:val="20"/>
          <w:color w:val="auto"/>
        </w:rPr>
      </w:pPr>
      <w:r>
        <w:rPr>
          <w:rFonts w:ascii="Times New Roman" w:cs="Times New Roman" w:eastAsia="Times New Roman" w:hAnsi="Times New Roman"/>
          <w:sz w:val="18"/>
          <w:szCs w:val="18"/>
          <w:color w:val="auto"/>
        </w:rPr>
        <w:t>(Registrant)</w:t>
      </w:r>
    </w:p>
    <w:p>
      <w:pPr>
        <w:spacing w:after="0" w:line="27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17145</wp:posOffset>
            </wp:positionV>
            <wp:extent cx="28028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Craig Cornelius</w:t>
      </w:r>
    </w:p>
    <w:p>
      <w:pPr>
        <w:spacing w:after="0" w:line="1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7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SARAH RUBENSTEIN</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Sarah Rubenstein</w:t>
            </w:r>
          </w:p>
        </w:tc>
        <w:tc>
          <w:tcPr>
            <w:tcW w:w="0" w:type="dxa"/>
            <w:vAlign w:val="bottom"/>
          </w:tcPr>
          <w:p>
            <w:pPr>
              <w:spacing w:after="0"/>
              <w:rPr>
                <w:sz w:val="1"/>
                <w:szCs w:val="1"/>
                <w:color w:val="auto"/>
              </w:rPr>
            </w:pPr>
          </w:p>
        </w:tc>
      </w:tr>
      <w:tr>
        <w:trPr>
          <w:trHeight w:val="182"/>
        </w:trPr>
        <w:tc>
          <w:tcPr>
            <w:tcW w:w="6620" w:type="dxa"/>
            <w:vAlign w:val="bottom"/>
          </w:tcPr>
          <w:p>
            <w:pPr>
              <w:spacing w:after="0"/>
              <w:rPr>
                <w:sz w:val="15"/>
                <w:szCs w:val="15"/>
                <w:color w:val="auto"/>
              </w:rPr>
            </w:pPr>
          </w:p>
        </w:tc>
        <w:tc>
          <w:tcPr>
            <w:tcW w:w="44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Executive Vice President and Chief Financial</w:t>
            </w:r>
          </w:p>
        </w:tc>
        <w:tc>
          <w:tcPr>
            <w:tcW w:w="0" w:type="dxa"/>
            <w:vAlign w:val="bottom"/>
          </w:tcPr>
          <w:p>
            <w:pPr>
              <w:spacing w:after="0"/>
              <w:rPr>
                <w:sz w:val="1"/>
                <w:szCs w:val="1"/>
                <w:color w:val="auto"/>
              </w:rPr>
            </w:pPr>
          </w:p>
        </w:tc>
      </w:tr>
      <w:tr>
        <w:trPr>
          <w:trHeight w:val="182"/>
        </w:trPr>
        <w:tc>
          <w:tcPr>
            <w:tcW w:w="6620" w:type="dxa"/>
            <w:vAlign w:val="bottom"/>
          </w:tcPr>
          <w:p>
            <w:pPr>
              <w:spacing w:after="0"/>
              <w:rPr>
                <w:sz w:val="15"/>
                <w:szCs w:val="15"/>
                <w:color w:val="auto"/>
              </w:rPr>
            </w:pPr>
          </w:p>
        </w:tc>
        <w:tc>
          <w:tcPr>
            <w:tcW w:w="44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Officer</w:t>
            </w:r>
          </w:p>
        </w:tc>
        <w:tc>
          <w:tcPr>
            <w:tcW w:w="0" w:type="dxa"/>
            <w:vAlign w:val="bottom"/>
          </w:tcPr>
          <w:p>
            <w:pPr>
              <w:spacing w:after="0"/>
              <w:rPr>
                <w:sz w:val="1"/>
                <w:szCs w:val="1"/>
                <w:color w:val="auto"/>
              </w:rPr>
            </w:pPr>
          </w:p>
        </w:tc>
      </w:tr>
      <w:tr>
        <w:trPr>
          <w:trHeight w:val="182"/>
        </w:trPr>
        <w:tc>
          <w:tcPr>
            <w:tcW w:w="6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April 30, 2025</w:t>
            </w:r>
          </w:p>
        </w:tc>
        <w:tc>
          <w:tcPr>
            <w:tcW w:w="44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(Principal Financial Officer and Principal</w:t>
            </w:r>
          </w:p>
        </w:tc>
        <w:tc>
          <w:tcPr>
            <w:tcW w:w="0" w:type="dxa"/>
            <w:vAlign w:val="bottom"/>
          </w:tcPr>
          <w:p>
            <w:pPr>
              <w:spacing w:after="0"/>
              <w:rPr>
                <w:sz w:val="1"/>
                <w:szCs w:val="1"/>
                <w:color w:val="auto"/>
              </w:rPr>
            </w:pPr>
          </w:p>
        </w:tc>
      </w:tr>
      <w:tr>
        <w:trPr>
          <w:trHeight w:val="236"/>
        </w:trPr>
        <w:tc>
          <w:tcPr>
            <w:tcW w:w="6620" w:type="dxa"/>
            <w:vAlign w:val="bottom"/>
            <w:vMerge w:val="continue"/>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20"/>
          </w:cols>
          <w:pgMar w:left="320" w:top="887" w:right="35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Cornelius, certify that:</w:t>
      </w:r>
    </w:p>
    <w:p>
      <w:pPr>
        <w:spacing w:after="0" w:line="347"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Clearway Energy LLC;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17748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774825" cy="8255"/>
                    </a:xfrm>
                    <a:prstGeom prst="rect">
                      <a:avLst/>
                    </a:prstGeom>
                    <a:noFill/>
                  </pic:spPr>
                </pic:pic>
              </a:graphicData>
            </a:graphic>
          </wp:anchor>
        </w:drawing>
      </w:r>
    </w:p>
    <w:p>
      <w:pPr>
        <w:spacing w:after="0" w:line="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Craig Cornelius</w:t>
      </w:r>
    </w:p>
    <w:p>
      <w:pPr>
        <w:ind w:left="7240"/>
        <w:spacing w:after="0" w:line="203" w:lineRule="auto"/>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72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2025</w:t>
      </w:r>
    </w:p>
    <w:p>
      <w:pPr>
        <w:sectPr>
          <w:pgSz w:w="11900" w:h="16838" w:orient="portrait"/>
          <w:cols w:equalWidth="0" w:num="1">
            <w:col w:w="11240"/>
          </w:cols>
          <w:pgMar w:left="320" w:top="98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Sarah Rubenstein, certify that:</w:t>
      </w:r>
    </w:p>
    <w:p>
      <w:pPr>
        <w:spacing w:after="0" w:line="347"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Clearway Energy LLC;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17145</wp:posOffset>
            </wp:positionV>
            <wp:extent cx="18345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5"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Sarah Rubenstein</w:t>
      </w:r>
    </w:p>
    <w:p>
      <w:pPr>
        <w:ind w:left="7520"/>
        <w:spacing w:after="0" w:line="219" w:lineRule="auto"/>
        <w:rPr>
          <w:sz w:val="20"/>
          <w:szCs w:val="20"/>
          <w:color w:val="auto"/>
        </w:rPr>
      </w:pPr>
      <w:r>
        <w:rPr>
          <w:rFonts w:ascii="Times New Roman" w:cs="Times New Roman" w:eastAsia="Times New Roman" w:hAnsi="Times New Roman"/>
          <w:sz w:val="18"/>
          <w:szCs w:val="18"/>
          <w:i w:val="1"/>
          <w:iCs w:val="1"/>
          <w:color w:val="auto"/>
        </w:rPr>
        <w:t>Executive Vice President and Chief</w:t>
      </w:r>
    </w:p>
    <w:p>
      <w:pPr>
        <w:ind w:left="7520"/>
        <w:spacing w:after="0" w:line="203" w:lineRule="auto"/>
        <w:rPr>
          <w:sz w:val="20"/>
          <w:szCs w:val="20"/>
          <w:color w:val="auto"/>
        </w:rPr>
      </w:pPr>
      <w:r>
        <w:rPr>
          <w:rFonts w:ascii="Times New Roman" w:cs="Times New Roman" w:eastAsia="Times New Roman" w:hAnsi="Times New Roman"/>
          <w:sz w:val="18"/>
          <w:szCs w:val="18"/>
          <w:i w:val="1"/>
          <w:iCs w:val="1"/>
          <w:color w:val="auto"/>
        </w:rPr>
        <w:t>Financial Officer</w:t>
      </w:r>
    </w:p>
    <w:p>
      <w:pPr>
        <w:ind w:left="7520"/>
        <w:spacing w:after="0" w:line="204" w:lineRule="auto"/>
        <w:rPr>
          <w:sz w:val="20"/>
          <w:szCs w:val="20"/>
          <w:color w:val="auto"/>
        </w:rPr>
      </w:pPr>
      <w:r>
        <w:rPr>
          <w:rFonts w:ascii="Times New Roman" w:cs="Times New Roman" w:eastAsia="Times New Roman" w:hAnsi="Times New Roman"/>
          <w:sz w:val="18"/>
          <w:szCs w:val="18"/>
          <w:i w:val="1"/>
          <w:iCs w:val="1"/>
          <w:color w:val="auto"/>
        </w:rPr>
        <w:t>(Principal Financial Officer and</w:t>
      </w:r>
    </w:p>
    <w:p>
      <w:pPr>
        <w:ind w:left="75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2025</w:t>
      </w:r>
    </w:p>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Clearway Energy LLC on Form 10-Q for the quarter ended March 31, 2025,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14" w:lineRule="exact"/>
        <w:rPr>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2025</w:t>
      </w:r>
    </w:p>
    <w:p>
      <w:pPr>
        <w:spacing w:after="0" w:line="10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0861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Craig Cornelius</w:t>
      </w:r>
    </w:p>
    <w:p>
      <w:pPr>
        <w:spacing w:after="0" w:line="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58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7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0861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Sarah Rubenstein</w:t>
      </w:r>
    </w:p>
    <w:p>
      <w:pPr>
        <w:spacing w:after="0" w:line="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ind w:left="584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both"/>
        <w:ind w:right="20" w:firstLine="324"/>
        <w:spacing w:after="0" w:line="281"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this Form 10-Q or as a separate disclosure document.</w:t>
      </w:r>
    </w:p>
    <w:p>
      <w:pPr>
        <w:spacing w:after="0" w:line="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LLC and will be retained by Clearway Energy LLC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lowerLetter"/>
      <w:start w:val="1"/>
    </w:lvl>
  </w:abstractNum>
  <w:abstractNum w:abstractNumId="4">
    <w:nsid w:val="4E6AFB66"/>
    <w:multiLevelType w:val="hybridMultilevel"/>
    <w:lvl w:ilvl="0">
      <w:lvlJc w:val="left"/>
      <w:lvlText w:val="(%1)"/>
      <w:numFmt w:val="lowerLetter"/>
      <w:start w:val="1"/>
    </w:lvl>
  </w:abstractNum>
  <w:abstractNum w:abstractNumId="5">
    <w:nsid w:val="25E45D32"/>
    <w:multiLevelType w:val="hybridMultilevel"/>
    <w:lvl w:ilvl="0">
      <w:lvlJc w:val="left"/>
      <w:lvlText w:val="(%1)"/>
      <w:numFmt w:val="lowerLetter"/>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lowerLetter"/>
      <w:start w:val="1"/>
    </w:lvl>
  </w:abstractNum>
  <w:abstractNum w:abstractNumId="8">
    <w:nsid w:val="3F2DBA31"/>
    <w:multiLevelType w:val="hybridMultilevel"/>
    <w:lvl w:ilvl="0">
      <w:lvlJc w:val="left"/>
      <w:lvlText w:val="(%1)"/>
      <w:numFmt w:val="lowerLetter"/>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lowerLetter"/>
      <w:start w:val="1"/>
    </w:lvl>
  </w:abstractNum>
  <w:abstractNum w:abstractNumId="11">
    <w:nsid w:val="62BBD95A"/>
    <w:multiLevelType w:val="hybridMultilevel"/>
    <w:lvl w:ilvl="0">
      <w:lvlJc w:val="left"/>
      <w:lvlText w:val="(%1)"/>
      <w:numFmt w:val="lowerLetter"/>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lowerLetter"/>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lowerLetter"/>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32"/>
    </w:lvl>
  </w:abstractNum>
  <w:abstractNum w:abstractNumId="24">
    <w:nsid w:val="189A769B"/>
    <w:multiLevelType w:val="hybridMultilevel"/>
    <w:lvl w:ilvl="0">
      <w:lvlJc w:val="left"/>
      <w:lvlText w:val="%1"/>
      <w:numFmt w:val="decimal"/>
      <w:start w:val="104"/>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84" Type="http://schemas.openxmlformats.org/officeDocument/2006/relationships/hyperlink" Target="https://www.sec.gov/Archives/edgar/data/1637757/000163775725000004/thirdarmsaandpayrollsha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2025-05-01T05:16:06Z</dcterms:created>
  <dcterms:modified xsi:type="dcterms:W3CDTF">2025-05-01T05:16:06Z</dcterms:modified>
</cp:coreProperties>
</file>