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14, 2023</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32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520" w:type="dxa"/>
            <w:vAlign w:val="bottom"/>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CWEN.A</w:t>
            </w:r>
          </w:p>
        </w:tc>
        <w:tc>
          <w:tcPr>
            <w:tcW w:w="44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43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CWEN</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28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Twelfth Supplemental Indenture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14, 2023, Clearway Energy Operating LLC (“Clearway Operating LLC”), a subsidiary of Clearway Energy LLC (“Clearway LLC”), the guarantors currently party to the 2028 Notes Indenture (defined below), VP-Arica Parent Holdings LLC (“VP-Arica”), Natural Gas CA Holdings LLC (“Natural Gas” and, together with VP-Arica, the “Guaranteeing Subsidiaries”) and Delaware Trust Company, as trustee (the “Trustee”) entered into the twelfth supplemental indenture (the “Twelfth Supplemental Indenture”), supplementing the indenture, dated as of December 11, 2019 (as amended or supplemented to the date hereof, the “2028 Notes Indenture”), by and among Clearway Operating LLC, the guarantors party thereto and the Trustee, pursuant to which Clearway Operating LLC issued $850,000,000 in aggregate principal amount of its 4.750% Senior Notes due 2028 (the “2028 Notes”). Pursuant to the Twelfth Supplemental Indenture, the Guaranteeing Subsidiaries became guarantors of Clearway Operating LLC’s obligations under the 2028 Notes. Each of Clearway Operating LLC, Clearway LLC and the Guaranteeing Subsidiaries are subsidiaries of Clearway Energy, Inc.</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Twelfth Supplemental Indenture does not purport to be complete and is qualified in its entirety by reference to the Twelfth Supplemental Indenture, which is attached as Exhibit 4.1 to this Current Report on Form 8-K and is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Fourth Supplemental Indenture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14, 2023, Clearway Operating LLC, the guarantors currently party to the 2031 Notes Indenture (defined below), the Guaranteeing Subsidiaries and the Trustee also entered into the fourth supplemental indenture (the “Fourth Supplemental Indenture”), supplementing the indenture, dated as of March 9, 2021 (as amended or supplemented to the date hereof, the “2031 Notes Indenture”), by and among Clearway Operating LLC, the guarantors party thereto and the Trustee, pursuant to which Clearway Operating LLC issued $925,000,000 in aggregate principal amount of its 3.750% Senior Notes due 2031 (the “2031 Notes”). Pursuant to the Fourth Supplemental Indenture, the Guaranteeing Subsidiaries became guarantors of Clearway Operating LLC’s obligations under the 2031 Notes.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Fourth Supplemental Indenture does not purport to be complete and is qualified in its entirety by reference to the Fourth Supplemental Indenture, which is attached as Exhibit 4.2 to this Current Report on Form 8-K and is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Supplemental Indenture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14, 2023, Clearway Operating LLC, the guarantors currently party to the 2032 Notes Indenture (defined below), the Guaranteeing Subsidiaries and the Trustee also entered into the third supplemental indenture (the “Third Supplemental Indenture”), supplementing the indenture, dated as of October 1, 2021 (as amended or supplemented to the date hereof, the “2032 Notes Indenture”), by and among Clearway Operating LLC, the guarantors party thereto and the Trustee, pursuant to which Clearway Operating LLC issued $350,000,000 in aggregate principal amount of its 3.750% Senior Notes due 2032 (the “2032 Notes”). Pursuant to the Third Supplemental Indenture, the Guaranteeing Subsidiaries became guarantors of Clearway Operating LLC’s obligations under the 2032 Notes.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Third Supplemental Indenture does not purport to be complete and is qualified in its entirety by reference to the Third Supplemental Indenture, which is attached as Exhibit 4.3 to this Current Report on Form 8-K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0" w:type="dxa"/>
            <w:vAlign w:val="bottom"/>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20" w:type="dxa"/>
            <w:vAlign w:val="bottom"/>
            <w:tcBorders>
              <w:bottom w:val="single" w:sz="8" w:color="auto"/>
            </w:tcBorders>
            <w:gridSpan w:val="4"/>
          </w:tcPr>
          <w:p>
            <w:pPr>
              <w:ind w:left="174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Twelfth Supplemental Indenture, dated as of February 14, 2023, among Clearway Energy Operating LLC, the guarantors named</w:t>
            </w:r>
          </w:p>
        </w:tc>
      </w:tr>
      <w:tr>
        <w:trPr>
          <w:trHeight w:val="196"/>
        </w:trPr>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therein and Delaware Trust Company.</w:t>
            </w:r>
          </w:p>
        </w:tc>
        <w:tc>
          <w:tcPr>
            <w:tcW w:w="6480" w:type="dxa"/>
            <w:vAlign w:val="bottom"/>
            <w:tcBorders>
              <w:top w:val="single" w:sz="8" w:color="0000EE"/>
            </w:tcBorders>
          </w:tcPr>
          <w:p>
            <w:pPr>
              <w:spacing w:after="0"/>
              <w:rPr>
                <w:sz w:val="17"/>
                <w:szCs w:val="17"/>
                <w:color w:val="auto"/>
              </w:rPr>
            </w:pPr>
          </w:p>
        </w:tc>
        <w:tc>
          <w:tcPr>
            <w:tcW w:w="540" w:type="dxa"/>
            <w:vAlign w:val="bottom"/>
            <w:gridSpan w:val="3"/>
          </w:tcPr>
          <w:p>
            <w:pPr>
              <w:spacing w:after="0"/>
              <w:rPr>
                <w:sz w:val="17"/>
                <w:szCs w:val="17"/>
                <w:color w:val="auto"/>
              </w:rPr>
            </w:pPr>
          </w:p>
        </w:tc>
      </w:tr>
      <w:tr>
        <w:trPr>
          <w:trHeight w:val="196"/>
        </w:trPr>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Fourth Supplemental Indenture, dated as of February 14, 2023, among Clearway Energy Operating LLC, the guarantors named therein</w:t>
            </w:r>
          </w:p>
        </w:tc>
      </w:tr>
      <w:tr>
        <w:trPr>
          <w:trHeight w:val="196"/>
        </w:trPr>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and Delaware Trust Company.</w:t>
            </w:r>
          </w:p>
        </w:tc>
        <w:tc>
          <w:tcPr>
            <w:tcW w:w="7500" w:type="dxa"/>
            <w:vAlign w:val="bottom"/>
            <w:tcBorders>
              <w:top w:val="single" w:sz="8" w:color="0000EE"/>
            </w:tcBorders>
            <w:gridSpan w:val="4"/>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Third Supplemental Indenture, dated as of February 14, 2023, among Clearway Energy Operating LLC, the guarantors named therein</w:t>
            </w:r>
          </w:p>
        </w:tc>
      </w:tr>
      <w:tr>
        <w:trPr>
          <w:trHeight w:val="196"/>
        </w:trPr>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and Delaware Trust Company.</w:t>
            </w:r>
          </w:p>
        </w:tc>
        <w:tc>
          <w:tcPr>
            <w:tcW w:w="7420" w:type="dxa"/>
            <w:vAlign w:val="bottom"/>
            <w:tcBorders>
              <w:top w:val="single" w:sz="8" w:color="0000EE"/>
            </w:tcBorders>
            <w:gridSpan w:val="3"/>
          </w:tcPr>
          <w:p>
            <w:pPr>
              <w:spacing w:after="0"/>
              <w:rPr>
                <w:sz w:val="17"/>
                <w:szCs w:val="17"/>
                <w:color w:val="auto"/>
              </w:rPr>
            </w:pPr>
          </w:p>
        </w:tc>
        <w:tc>
          <w:tcPr>
            <w:tcW w:w="140" w:type="dxa"/>
            <w:vAlign w:val="bottom"/>
            <w:gridSpan w:val="2"/>
          </w:tcPr>
          <w:p>
            <w:pPr>
              <w:spacing w:after="0"/>
              <w:rPr>
                <w:sz w:val="17"/>
                <w:szCs w:val="17"/>
                <w:color w:val="auto"/>
              </w:rPr>
            </w:pPr>
          </w:p>
        </w:tc>
      </w:tr>
    </w:tbl>
    <w:p>
      <w:pPr>
        <w:spacing w:after="0" w:line="9" w:lineRule="exact"/>
        <w:rPr>
          <w:sz w:val="20"/>
          <w:szCs w:val="20"/>
          <w:color w:val="auto"/>
        </w:rPr>
      </w:pPr>
    </w:p>
    <w:p>
      <w:pPr>
        <w:ind w:left="5560" w:right="3240" w:hanging="5066"/>
        <w:spacing w:after="0" w:line="783" w:lineRule="auto"/>
        <w:tabs>
          <w:tab w:leader="none" w:pos="148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9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3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TWELFTH SUPPLEMENTAL INDENTURE</w:t>
      </w:r>
    </w:p>
    <w:p>
      <w:pPr>
        <w:spacing w:after="0" w:line="22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TWELFTH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February 14, 2023, among VP-Arica Parent Holdings LLC (“</w:t>
      </w:r>
      <w:r>
        <w:rPr>
          <w:rFonts w:ascii="Times New Roman" w:cs="Times New Roman" w:eastAsia="Times New Roman" w:hAnsi="Times New Roman"/>
          <w:sz w:val="18"/>
          <w:szCs w:val="18"/>
          <w:i w:val="1"/>
          <w:iCs w:val="1"/>
          <w:color w:val="auto"/>
        </w:rPr>
        <w:t>VP-Arica</w:t>
      </w:r>
      <w:r>
        <w:rPr>
          <w:rFonts w:ascii="Times New Roman" w:cs="Times New Roman" w:eastAsia="Times New Roman" w:hAnsi="Times New Roman"/>
          <w:sz w:val="18"/>
          <w:szCs w:val="18"/>
          <w:color w:val="auto"/>
        </w:rPr>
        <w:t>”), Natural Gas CA Holdings LLC (“</w:t>
      </w:r>
      <w:r>
        <w:rPr>
          <w:rFonts w:ascii="Times New Roman" w:cs="Times New Roman" w:eastAsia="Times New Roman" w:hAnsi="Times New Roman"/>
          <w:sz w:val="18"/>
          <w:szCs w:val="18"/>
          <w:i w:val="1"/>
          <w:iCs w:val="1"/>
          <w:color w:val="auto"/>
        </w:rPr>
        <w:t>Natural Gas</w:t>
      </w:r>
      <w:r>
        <w:rPr>
          <w:rFonts w:ascii="Times New Roman" w:cs="Times New Roman" w:eastAsia="Times New Roman" w:hAnsi="Times New Roman"/>
          <w:sz w:val="18"/>
          <w:szCs w:val="18"/>
          <w:color w:val="auto"/>
        </w:rPr>
        <w:t>” and, together with VP-Arica, the “</w:t>
      </w:r>
      <w:r>
        <w:rPr>
          <w:rFonts w:ascii="Times New Roman" w:cs="Times New Roman" w:eastAsia="Times New Roman" w:hAnsi="Times New Roman"/>
          <w:sz w:val="18"/>
          <w:szCs w:val="18"/>
          <w:i w:val="1"/>
          <w:iCs w:val="1"/>
          <w:color w:val="auto"/>
        </w:rPr>
        <w:t>Guaranteeing Subsidiaries</w:t>
      </w:r>
      <w:r>
        <w:rPr>
          <w:rFonts w:ascii="Times New Roman" w:cs="Times New Roman" w:eastAsia="Times New Roman" w:hAnsi="Times New Roman"/>
          <w:sz w:val="18"/>
          <w:szCs w:val="18"/>
          <w:color w:val="auto"/>
        </w:rPr>
        <w:t>”), subsidiaries of Clearway Energy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the other Guarantors (as defined in the Indenture referred to herein) and Delaware Trust Company,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December 11, 2019 providing for the issuance of 4.750% Senior Notes due 2028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Subsidiaries shall execute and deliver to the Trustee a supplemental indenture pursuant to which the Guaranteeing Subsidiaries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76" w:lineRule="exact"/>
        <w:rPr>
          <w:sz w:val="20"/>
          <w:szCs w:val="20"/>
          <w:color w:val="auto"/>
        </w:rPr>
      </w:pPr>
    </w:p>
    <w:p>
      <w:pPr>
        <w:ind w:left="660" w:right="520"/>
        <w:spacing w:after="0" w:line="261" w:lineRule="auto"/>
        <w:rPr>
          <w:sz w:val="20"/>
          <w:szCs w:val="20"/>
          <w:color w:val="auto"/>
        </w:rPr>
      </w:pPr>
      <w:r>
        <w:rPr>
          <w:rFonts w:ascii="Times New Roman" w:cs="Times New Roman" w:eastAsia="Times New Roman" w:hAnsi="Times New Roman"/>
          <w:sz w:val="18"/>
          <w:szCs w:val="18"/>
          <w:color w:val="auto"/>
        </w:rPr>
        <w:t>1.             CAPITALIZED TERMS. Capitalized terms used herein without definition shall have the meanings assigned to them in the Indenture.  </w:t>
      </w: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2.             AGREEMENT TO GUARANTEE. The Guaranteeing Subsidiaries hereby become parties to the Indenture as Guarantors and as such will have all the rights and be subject to all the Obligations and agreements of a Guarantor under the Indenture. The Guaranteeing Subsidiaries hereby agree to provide full and unconditional Guarantees on the terms and subject to the conditions set forth in the Subsidiary Guarantee and in the Indenture including but not limited to Article 10 thereof.</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3.             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4.              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5.             COUNTERPARTS. The parties may sign any number of copies of this Supplemental Indenture. Each signed copy shall be an original, but all of them together represent the same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EFFECT OF HEADINGS. The Section headings herein are for convenience only and shall not affect the construction hereof.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             THE TRUSTEE. The Trustee shall not be responsible in any manner whatsoever for or in respect of the validity or sufficiency of this</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Supplemental Indenture or for or in respect of the recitals contained herein, all of which recitals are made solely by the Guaranteeing Subsidiaries and the</w:t>
      </w:r>
    </w:p>
    <w:p>
      <w:pPr>
        <w:spacing w:after="0" w:line="9" w:lineRule="exact"/>
        <w:rPr>
          <w:sz w:val="20"/>
          <w:szCs w:val="20"/>
          <w:color w:val="auto"/>
        </w:rPr>
      </w:pPr>
    </w:p>
    <w:p>
      <w:pPr>
        <w:jc w:val="right"/>
        <w:ind w:right="10500"/>
        <w:spacing w:after="0"/>
        <w:rPr>
          <w:sz w:val="20"/>
          <w:szCs w:val="20"/>
          <w:color w:val="auto"/>
        </w:rPr>
      </w:pPr>
      <w:r>
        <w:rPr>
          <w:rFonts w:ascii="Times New Roman" w:cs="Times New Roman" w:eastAsia="Times New Roman" w:hAnsi="Times New Roman"/>
          <w:sz w:val="17"/>
          <w:szCs w:val="17"/>
          <w:color w:val="auto"/>
        </w:rPr>
        <w:t>Company.</w:t>
      </w:r>
    </w:p>
    <w:p>
      <w:pPr>
        <w:spacing w:after="0" w:line="21" w:lineRule="exact"/>
        <w:rPr>
          <w:sz w:val="20"/>
          <w:szCs w:val="20"/>
          <w:color w:val="auto"/>
        </w:rPr>
      </w:pPr>
    </w:p>
    <w:p>
      <w:pPr>
        <w:jc w:val="right"/>
        <w:ind w:right="105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8.             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9.             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VP-ARICA PARENT HOLDINGS LLC</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NATURAL GAS CA HOLDINGS LLC</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ind w:right="3370"/>
              <w:spacing w:after="0"/>
              <w:rPr>
                <w:sz w:val="20"/>
                <w:szCs w:val="20"/>
                <w:color w:val="auto"/>
              </w:rPr>
            </w:pPr>
            <w:r>
              <w:rPr>
                <w:rFonts w:ascii="Times New Roman" w:cs="Times New Roman" w:eastAsia="Times New Roman" w:hAnsi="Times New Roman"/>
                <w:sz w:val="18"/>
                <w:szCs w:val="18"/>
                <w:color w:val="auto"/>
                <w:w w:val="99"/>
              </w:rPr>
              <w:t>/s/ Christopher S. Sotos</w:t>
            </w:r>
          </w:p>
        </w:tc>
      </w:tr>
      <w:tr>
        <w:trPr>
          <w:trHeight w:val="178"/>
        </w:trPr>
        <w:tc>
          <w:tcPr>
            <w:tcW w:w="28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ind w:left="2800"/>
              <w:spacing w:after="0" w:line="177" w:lineRule="exact"/>
              <w:rPr>
                <w:sz w:val="20"/>
                <w:szCs w:val="20"/>
                <w:color w:val="auto"/>
              </w:rPr>
            </w:pPr>
            <w:r>
              <w:rPr>
                <w:rFonts w:ascii="Times New Roman" w:cs="Times New Roman" w:eastAsia="Times New Roman" w:hAnsi="Times New Roman"/>
                <w:sz w:val="18"/>
                <w:szCs w:val="18"/>
                <w:color w:val="auto"/>
                <w:w w:val="87"/>
              </w:rPr>
              <w:t>Name:</w:t>
            </w:r>
          </w:p>
        </w:tc>
        <w:tc>
          <w:tcPr>
            <w:tcW w:w="5160" w:type="dxa"/>
            <w:vAlign w:val="bottom"/>
          </w:tcPr>
          <w:p>
            <w:pPr>
              <w:jc w:val="center"/>
              <w:ind w:right="3430"/>
              <w:spacing w:after="0" w:line="177" w:lineRule="exact"/>
              <w:rPr>
                <w:sz w:val="20"/>
                <w:szCs w:val="20"/>
                <w:color w:val="auto"/>
              </w:rPr>
            </w:pPr>
            <w:r>
              <w:rPr>
                <w:rFonts w:ascii="Times New Roman" w:cs="Times New Roman" w:eastAsia="Times New Roman" w:hAnsi="Times New Roman"/>
                <w:sz w:val="18"/>
                <w:szCs w:val="18"/>
                <w:color w:val="auto"/>
                <w:w w:val="99"/>
              </w:rPr>
              <w:t>Christopher S. Sotos</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Title: President</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CLEARWAY ENERGY OPERATING LLC</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CLEARWAY ENERGY LLC</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DGPV HOLDING LLC</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ind w:right="3370"/>
              <w:spacing w:after="0"/>
              <w:rPr>
                <w:sz w:val="20"/>
                <w:szCs w:val="20"/>
                <w:color w:val="auto"/>
              </w:rPr>
            </w:pPr>
            <w:r>
              <w:rPr>
                <w:rFonts w:ascii="Times New Roman" w:cs="Times New Roman" w:eastAsia="Times New Roman" w:hAnsi="Times New Roman"/>
                <w:sz w:val="18"/>
                <w:szCs w:val="18"/>
                <w:color w:val="auto"/>
                <w:w w:val="99"/>
              </w:rPr>
              <w:t>/s/ Christopher S. Sotos</w:t>
            </w:r>
          </w:p>
        </w:tc>
      </w:tr>
      <w:tr>
        <w:trPr>
          <w:trHeight w:val="178"/>
        </w:trPr>
        <w:tc>
          <w:tcPr>
            <w:tcW w:w="28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ind w:left="2800"/>
              <w:spacing w:after="0" w:line="177" w:lineRule="exact"/>
              <w:rPr>
                <w:sz w:val="20"/>
                <w:szCs w:val="20"/>
                <w:color w:val="auto"/>
              </w:rPr>
            </w:pPr>
            <w:r>
              <w:rPr>
                <w:rFonts w:ascii="Times New Roman" w:cs="Times New Roman" w:eastAsia="Times New Roman" w:hAnsi="Times New Roman"/>
                <w:sz w:val="18"/>
                <w:szCs w:val="18"/>
                <w:color w:val="auto"/>
                <w:w w:val="87"/>
              </w:rPr>
              <w:t>Name:</w:t>
            </w:r>
          </w:p>
        </w:tc>
        <w:tc>
          <w:tcPr>
            <w:tcW w:w="5160" w:type="dxa"/>
            <w:vAlign w:val="bottom"/>
          </w:tcPr>
          <w:p>
            <w:pPr>
              <w:jc w:val="center"/>
              <w:ind w:right="3430"/>
              <w:spacing w:after="0" w:line="177" w:lineRule="exact"/>
              <w:rPr>
                <w:sz w:val="20"/>
                <w:szCs w:val="20"/>
                <w:color w:val="auto"/>
              </w:rPr>
            </w:pPr>
            <w:r>
              <w:rPr>
                <w:rFonts w:ascii="Times New Roman" w:cs="Times New Roman" w:eastAsia="Times New Roman" w:hAnsi="Times New Roman"/>
                <w:sz w:val="18"/>
                <w:szCs w:val="18"/>
                <w:color w:val="auto"/>
                <w:w w:val="99"/>
              </w:rPr>
              <w:t>Christopher S. Sotos</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spacing w:after="0"/>
              <w:rPr>
                <w:sz w:val="20"/>
                <w:szCs w:val="20"/>
                <w:color w:val="auto"/>
              </w:rPr>
            </w:pPr>
          </w:p>
        </w:tc>
        <w:tc>
          <w:tcPr>
            <w:tcW w:w="5160" w:type="dxa"/>
            <w:vAlign w:val="bottom"/>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Twelfth Supplemental Indenture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10560" w:type="dxa"/>
            <w:vAlign w:val="bottom"/>
            <w:gridSpan w:val="2"/>
          </w:tcPr>
          <w:p>
            <w:pPr>
              <w:ind w:left="4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ALTA WIND 1-5 HOLDING COMPANY,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ALTA WIND COMPANY,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CAPISTRANO PORTFOLIO HOLDINGS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CBAD HOLDINGS II,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CLEARWAY SOLAR STAR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CWEN PINNACLE REPOWERING HOLDINGS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CWSP RATTLESNAKE HOLDING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DAGGETT SOLAR HOLDCO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DG-CS HOLDINGS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DG SREC HOLDCO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LANGFORD HOLDING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LIGHTHOUSE RENEWABLE HOLDINGS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MARSH LANDING HOLDCO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NIMH SOLAR HOLDINGS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OCOTILLO WINDPOWER HOLDINGS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PAWVA WIND HOLDINGS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PORTFOLIO SOLAR I,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ROSAMOND SOLAR HOLDCO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RPV HOLDING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SOLAR FLAGSTAFF ONE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SOLAR IGUANA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SOLAR LAS VEGAS MB 1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SOLAR TABERNACLE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SOUTH TRENT HOLDINGS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SPP ASSET HOLDINGS,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SPP FUND II HOLDINGS,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SPP FUND II,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SPP FUND II-B,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SPP FUND III,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UTAH SOLAR MASTER HOLDCO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WV WIND HOLDINGS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By:  /s/ Christopher S. Sotos</w:t>
            </w:r>
          </w:p>
        </w:tc>
        <w:tc>
          <w:tcPr>
            <w:tcW w:w="0" w:type="dxa"/>
            <w:vAlign w:val="bottom"/>
          </w:tcPr>
          <w:p>
            <w:pPr>
              <w:spacing w:after="0"/>
              <w:rPr>
                <w:sz w:val="1"/>
                <w:szCs w:val="1"/>
                <w:color w:val="auto"/>
              </w:rPr>
            </w:pPr>
          </w:p>
        </w:tc>
      </w:tr>
      <w:tr>
        <w:trPr>
          <w:trHeight w:val="178"/>
        </w:trPr>
        <w:tc>
          <w:tcPr>
            <w:tcW w:w="6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5400" w:type="dxa"/>
            <w:vAlign w:val="bottom"/>
          </w:tcPr>
          <w:p>
            <w:pPr>
              <w:ind w:left="4960"/>
              <w:spacing w:after="0" w:line="177" w:lineRule="exact"/>
              <w:rPr>
                <w:sz w:val="20"/>
                <w:szCs w:val="20"/>
                <w:color w:val="auto"/>
              </w:rPr>
            </w:pPr>
            <w:r>
              <w:rPr>
                <w:rFonts w:ascii="Times New Roman" w:cs="Times New Roman" w:eastAsia="Times New Roman" w:hAnsi="Times New Roman"/>
                <w:sz w:val="18"/>
                <w:szCs w:val="18"/>
                <w:color w:val="auto"/>
                <w:w w:val="87"/>
              </w:rPr>
              <w:t>Name:</w:t>
            </w:r>
          </w:p>
        </w:tc>
        <w:tc>
          <w:tcPr>
            <w:tcW w:w="5160" w:type="dxa"/>
            <w:vAlign w:val="bottom"/>
            <w:tcBorders>
              <w:top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Christopher S. Sotos</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Title: President</w:t>
            </w:r>
          </w:p>
        </w:tc>
        <w:tc>
          <w:tcPr>
            <w:tcW w:w="0" w:type="dxa"/>
            <w:vAlign w:val="bottom"/>
          </w:tcPr>
          <w:p>
            <w:pPr>
              <w:spacing w:after="0"/>
              <w:rPr>
                <w:sz w:val="1"/>
                <w:szCs w:val="1"/>
                <w:color w:val="auto"/>
              </w:rPr>
            </w:pPr>
          </w:p>
        </w:tc>
      </w:tr>
      <w:tr>
        <w:trPr>
          <w:trHeight w:val="214"/>
        </w:trPr>
        <w:tc>
          <w:tcPr>
            <w:tcW w:w="680" w:type="dxa"/>
            <w:vAlign w:val="bottom"/>
          </w:tcPr>
          <w:p>
            <w:pPr>
              <w:spacing w:after="0"/>
              <w:rPr>
                <w:sz w:val="18"/>
                <w:szCs w:val="18"/>
                <w:color w:val="auto"/>
              </w:rPr>
            </w:pPr>
          </w:p>
        </w:tc>
        <w:tc>
          <w:tcPr>
            <w:tcW w:w="105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6"/>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3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Twelfth Supplemental Indenture</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vMerge w:val="continue"/>
          </w:tcPr>
          <w:p>
            <w:pPr>
              <w:spacing w:after="0"/>
              <w:rPr>
                <w:sz w:val="18"/>
                <w:szCs w:val="18"/>
                <w:color w:val="auto"/>
              </w:rPr>
            </w:pPr>
          </w:p>
        </w:tc>
        <w:tc>
          <w:tcPr>
            <w:tcW w:w="54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54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48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 TRUST COMPANY</w:t>
            </w:r>
          </w:p>
        </w:tc>
        <w:tc>
          <w:tcPr>
            <w:tcW w:w="248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48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Benjamin Hancock</w:t>
            </w:r>
          </w:p>
        </w:tc>
        <w:tc>
          <w:tcPr>
            <w:tcW w:w="2480" w:type="dxa"/>
            <w:vAlign w:val="bottom"/>
          </w:tcPr>
          <w:p>
            <w:pPr>
              <w:spacing w:after="0"/>
              <w:rPr>
                <w:sz w:val="20"/>
                <w:szCs w:val="20"/>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1"/>
              </w:rPr>
              <w:t>Name:</w:t>
            </w:r>
          </w:p>
        </w:tc>
        <w:tc>
          <w:tcPr>
            <w:tcW w:w="268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Benjamin Hancock</w:t>
            </w:r>
          </w:p>
        </w:tc>
        <w:tc>
          <w:tcPr>
            <w:tcW w:w="2480" w:type="dxa"/>
            <w:vAlign w:val="bottom"/>
            <w:tcBorders>
              <w:top w:val="single" w:sz="8" w:color="auto"/>
            </w:tcBorders>
          </w:tcPr>
          <w:p>
            <w:pPr>
              <w:spacing w:after="0"/>
              <w:rPr>
                <w:sz w:val="16"/>
                <w:szCs w:val="16"/>
                <w:color w:val="auto"/>
              </w:rPr>
            </w:pPr>
          </w:p>
        </w:tc>
        <w:tc>
          <w:tcPr>
            <w:tcW w:w="5620" w:type="dxa"/>
            <w:vAlign w:val="bottom"/>
          </w:tcPr>
          <w:p>
            <w:pPr>
              <w:jc w:val="center"/>
              <w:ind w:right="549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w:t>
            </w:r>
          </w:p>
        </w:tc>
        <w:tc>
          <w:tcPr>
            <w:tcW w:w="2480" w:type="dxa"/>
            <w:vAlign w:val="bottom"/>
          </w:tcPr>
          <w:p>
            <w:pPr>
              <w:spacing w:after="0"/>
              <w:rPr>
                <w:sz w:val="18"/>
                <w:szCs w:val="18"/>
                <w:color w:val="auto"/>
              </w:rPr>
            </w:pPr>
          </w:p>
        </w:tc>
        <w:tc>
          <w:tcPr>
            <w:tcW w:w="5620" w:type="dxa"/>
            <w:vAlign w:val="bottom"/>
          </w:tcPr>
          <w:p>
            <w:pPr>
              <w:jc w:val="center"/>
              <w:ind w:right="549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100" w:type="dxa"/>
            <w:vAlign w:val="bottom"/>
            <w:gridSpan w:val="2"/>
            <w:vMerge w:val="restart"/>
          </w:tcPr>
          <w:p>
            <w:pPr>
              <w:jc w:val="center"/>
              <w:ind w:right="303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Signature Page to Twelfth Supplemental Indenture</w:t>
            </w: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vMerge w:val="continue"/>
          </w:tcPr>
          <w:p>
            <w:pPr>
              <w:spacing w:after="0"/>
              <w:rPr>
                <w:sz w:val="18"/>
                <w:szCs w:val="18"/>
                <w:color w:val="auto"/>
              </w:rPr>
            </w:pPr>
          </w:p>
        </w:tc>
        <w:tc>
          <w:tcPr>
            <w:tcW w:w="248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3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 </w:t>
            </w:r>
          </w:p>
        </w:tc>
        <w:tc>
          <w:tcPr>
            <w:tcW w:w="24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w:t>
            </w:r>
          </w:p>
        </w:tc>
        <w:tc>
          <w:tcPr>
            <w:tcW w:w="24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FOURTH SUPPLEMENTAL INDENTURE</w:t>
      </w:r>
    </w:p>
    <w:p>
      <w:pPr>
        <w:spacing w:after="0" w:line="22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FOURTH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February 14, 2023, among VP-Arica Parent Holdings LLC (“</w:t>
      </w:r>
      <w:r>
        <w:rPr>
          <w:rFonts w:ascii="Times New Roman" w:cs="Times New Roman" w:eastAsia="Times New Roman" w:hAnsi="Times New Roman"/>
          <w:sz w:val="18"/>
          <w:szCs w:val="18"/>
          <w:i w:val="1"/>
          <w:iCs w:val="1"/>
          <w:color w:val="auto"/>
        </w:rPr>
        <w:t>VP-Arica</w:t>
      </w:r>
      <w:r>
        <w:rPr>
          <w:rFonts w:ascii="Times New Roman" w:cs="Times New Roman" w:eastAsia="Times New Roman" w:hAnsi="Times New Roman"/>
          <w:sz w:val="18"/>
          <w:szCs w:val="18"/>
          <w:color w:val="auto"/>
        </w:rPr>
        <w:t>”), Natural Gas CA Holdings LLC (“</w:t>
      </w:r>
      <w:r>
        <w:rPr>
          <w:rFonts w:ascii="Times New Roman" w:cs="Times New Roman" w:eastAsia="Times New Roman" w:hAnsi="Times New Roman"/>
          <w:sz w:val="18"/>
          <w:szCs w:val="18"/>
          <w:i w:val="1"/>
          <w:iCs w:val="1"/>
          <w:color w:val="auto"/>
        </w:rPr>
        <w:t>Natural Gas</w:t>
      </w:r>
      <w:r>
        <w:rPr>
          <w:rFonts w:ascii="Times New Roman" w:cs="Times New Roman" w:eastAsia="Times New Roman" w:hAnsi="Times New Roman"/>
          <w:sz w:val="18"/>
          <w:szCs w:val="18"/>
          <w:color w:val="auto"/>
        </w:rPr>
        <w:t>” and, together with VP-Arica, the “</w:t>
      </w:r>
      <w:r>
        <w:rPr>
          <w:rFonts w:ascii="Times New Roman" w:cs="Times New Roman" w:eastAsia="Times New Roman" w:hAnsi="Times New Roman"/>
          <w:sz w:val="18"/>
          <w:szCs w:val="18"/>
          <w:i w:val="1"/>
          <w:iCs w:val="1"/>
          <w:color w:val="auto"/>
        </w:rPr>
        <w:t>Guaranteeing Subsidiaries</w:t>
      </w:r>
      <w:r>
        <w:rPr>
          <w:rFonts w:ascii="Times New Roman" w:cs="Times New Roman" w:eastAsia="Times New Roman" w:hAnsi="Times New Roman"/>
          <w:sz w:val="18"/>
          <w:szCs w:val="18"/>
          <w:color w:val="auto"/>
        </w:rPr>
        <w:t>”), subsidiaries of Clearway Energy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the other Guarantors (as defined in the Indenture referred to herein) and Delaware Trust Company,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March 9, 2021 providing for the issuance of 3.750% Senior Notes due 2031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Subsidiaries shall execute and deliver to the Trustee a supplemental indenture pursuant to which the Guaranteeing Subsidiaries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76" w:lineRule="exact"/>
        <w:rPr>
          <w:sz w:val="20"/>
          <w:szCs w:val="20"/>
          <w:color w:val="auto"/>
        </w:rPr>
      </w:pPr>
    </w:p>
    <w:p>
      <w:pPr>
        <w:ind w:left="660" w:right="500"/>
        <w:spacing w:after="0" w:line="261" w:lineRule="auto"/>
        <w:rPr>
          <w:sz w:val="20"/>
          <w:szCs w:val="20"/>
          <w:color w:val="auto"/>
        </w:rPr>
      </w:pPr>
      <w:r>
        <w:rPr>
          <w:rFonts w:ascii="Times New Roman" w:cs="Times New Roman" w:eastAsia="Times New Roman" w:hAnsi="Times New Roman"/>
          <w:sz w:val="18"/>
          <w:szCs w:val="18"/>
          <w:color w:val="auto"/>
        </w:rPr>
        <w:t>1.              CAPITALIZED TERMS. Capitalized terms used herein without definition shall have the meanings assigned to them in the Indenture.  </w:t>
      </w: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2.              AGREEMENT TO GUARANTEE. The Guaranteeing Subsidiaries hereby become parties to the Indenture as Guarantors and as such will have all the rights and be subject to all the Obligations and agreements of a Guarantor under the Indenture. The Guaranteeing Subsidiaries hereby agree to provide full and unconditional Guarantees on the terms and subject to the conditions set forth in the Subsidiary Guarantee and in the Indenture including but not limited to Article 10 thereof.</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3.              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4.              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5.              COUNTERPARTS. The parties may sign any number of copies of this Supplemental Indenture. Each signed copy shall be an original, but all of them together represent the same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EFFECT OF HEADINGS. The Section headings herein are for convenience only and shall not affect the construction hereof.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             THE TRUSTEE. The Trustee shall not be responsible in any manner whatsoever for or in respect of the validity or sufficiency of this</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Supplemental Indenture or for or in respect of the recitals contained herein, all of which recitals are made solely by the Guaranteeing Subsidiaries and the</w:t>
      </w:r>
    </w:p>
    <w:p>
      <w:pPr>
        <w:spacing w:after="0" w:line="9" w:lineRule="exact"/>
        <w:rPr>
          <w:sz w:val="20"/>
          <w:szCs w:val="20"/>
          <w:color w:val="auto"/>
        </w:rPr>
      </w:pPr>
    </w:p>
    <w:p>
      <w:pPr>
        <w:jc w:val="right"/>
        <w:ind w:right="10500"/>
        <w:spacing w:after="0"/>
        <w:rPr>
          <w:sz w:val="20"/>
          <w:szCs w:val="20"/>
          <w:color w:val="auto"/>
        </w:rPr>
      </w:pPr>
      <w:r>
        <w:rPr>
          <w:rFonts w:ascii="Times New Roman" w:cs="Times New Roman" w:eastAsia="Times New Roman" w:hAnsi="Times New Roman"/>
          <w:sz w:val="17"/>
          <w:szCs w:val="17"/>
          <w:color w:val="auto"/>
        </w:rPr>
        <w:t>Company.</w:t>
      </w:r>
    </w:p>
    <w:p>
      <w:pPr>
        <w:spacing w:after="0" w:line="21" w:lineRule="exact"/>
        <w:rPr>
          <w:sz w:val="20"/>
          <w:szCs w:val="20"/>
          <w:color w:val="auto"/>
        </w:rPr>
      </w:pPr>
    </w:p>
    <w:p>
      <w:pPr>
        <w:jc w:val="right"/>
        <w:ind w:right="105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8.              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9.              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6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VP-ARICA PARENT HOLDINGS LLC</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6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NATURAL GAS CA HOLDINGS LLC</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ind w:right="3370"/>
              <w:spacing w:after="0"/>
              <w:rPr>
                <w:sz w:val="20"/>
                <w:szCs w:val="20"/>
                <w:color w:val="auto"/>
              </w:rPr>
            </w:pPr>
            <w:r>
              <w:rPr>
                <w:rFonts w:ascii="Times New Roman" w:cs="Times New Roman" w:eastAsia="Times New Roman" w:hAnsi="Times New Roman"/>
                <w:sz w:val="18"/>
                <w:szCs w:val="18"/>
                <w:color w:val="auto"/>
                <w:w w:val="99"/>
              </w:rPr>
              <w:t>/s/ Christopher S. Sotos</w:t>
            </w:r>
          </w:p>
        </w:tc>
      </w:tr>
      <w:tr>
        <w:trPr>
          <w:trHeight w:val="178"/>
        </w:trPr>
        <w:tc>
          <w:tcPr>
            <w:tcW w:w="28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3200" w:type="dxa"/>
            <w:vAlign w:val="bottom"/>
          </w:tcPr>
          <w:p>
            <w:pPr>
              <w:ind w:left="2760"/>
              <w:spacing w:after="0" w:line="177" w:lineRule="exact"/>
              <w:rPr>
                <w:sz w:val="20"/>
                <w:szCs w:val="20"/>
                <w:color w:val="auto"/>
              </w:rPr>
            </w:pPr>
            <w:r>
              <w:rPr>
                <w:rFonts w:ascii="Times New Roman" w:cs="Times New Roman" w:eastAsia="Times New Roman" w:hAnsi="Times New Roman"/>
                <w:sz w:val="18"/>
                <w:szCs w:val="18"/>
                <w:color w:val="auto"/>
                <w:w w:val="87"/>
              </w:rPr>
              <w:t>Name:</w:t>
            </w:r>
          </w:p>
        </w:tc>
        <w:tc>
          <w:tcPr>
            <w:tcW w:w="5160" w:type="dxa"/>
            <w:vAlign w:val="bottom"/>
          </w:tcPr>
          <w:p>
            <w:pPr>
              <w:jc w:val="center"/>
              <w:ind w:right="3430"/>
              <w:spacing w:after="0" w:line="177" w:lineRule="exact"/>
              <w:rPr>
                <w:sz w:val="20"/>
                <w:szCs w:val="20"/>
                <w:color w:val="auto"/>
              </w:rPr>
            </w:pPr>
            <w:r>
              <w:rPr>
                <w:rFonts w:ascii="Times New Roman" w:cs="Times New Roman" w:eastAsia="Times New Roman" w:hAnsi="Times New Roman"/>
                <w:sz w:val="18"/>
                <w:szCs w:val="18"/>
                <w:color w:val="auto"/>
                <w:w w:val="99"/>
              </w:rPr>
              <w:t>Christopher S. Sotos</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6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Title: President</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6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CLEARWAY ENERGY OPERATING LLC</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6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CLEARWAY ENERGY LLC</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6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DGPV HOLDING LLC</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ind w:right="3370"/>
              <w:spacing w:after="0"/>
              <w:rPr>
                <w:sz w:val="20"/>
                <w:szCs w:val="20"/>
                <w:color w:val="auto"/>
              </w:rPr>
            </w:pPr>
            <w:r>
              <w:rPr>
                <w:rFonts w:ascii="Times New Roman" w:cs="Times New Roman" w:eastAsia="Times New Roman" w:hAnsi="Times New Roman"/>
                <w:sz w:val="18"/>
                <w:szCs w:val="18"/>
                <w:color w:val="auto"/>
                <w:w w:val="99"/>
              </w:rPr>
              <w:t>/s/ Christopher S. Sotos</w:t>
            </w:r>
          </w:p>
        </w:tc>
      </w:tr>
      <w:tr>
        <w:trPr>
          <w:trHeight w:val="178"/>
        </w:trPr>
        <w:tc>
          <w:tcPr>
            <w:tcW w:w="28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3200" w:type="dxa"/>
            <w:vAlign w:val="bottom"/>
          </w:tcPr>
          <w:p>
            <w:pPr>
              <w:ind w:left="2760"/>
              <w:spacing w:after="0" w:line="177" w:lineRule="exact"/>
              <w:rPr>
                <w:sz w:val="20"/>
                <w:szCs w:val="20"/>
                <w:color w:val="auto"/>
              </w:rPr>
            </w:pPr>
            <w:r>
              <w:rPr>
                <w:rFonts w:ascii="Times New Roman" w:cs="Times New Roman" w:eastAsia="Times New Roman" w:hAnsi="Times New Roman"/>
                <w:sz w:val="18"/>
                <w:szCs w:val="18"/>
                <w:color w:val="auto"/>
                <w:w w:val="87"/>
              </w:rPr>
              <w:t>Name:</w:t>
            </w:r>
          </w:p>
        </w:tc>
        <w:tc>
          <w:tcPr>
            <w:tcW w:w="5160" w:type="dxa"/>
            <w:vAlign w:val="bottom"/>
          </w:tcPr>
          <w:p>
            <w:pPr>
              <w:jc w:val="center"/>
              <w:ind w:right="3430"/>
              <w:spacing w:after="0" w:line="177" w:lineRule="exact"/>
              <w:rPr>
                <w:sz w:val="20"/>
                <w:szCs w:val="20"/>
                <w:color w:val="auto"/>
              </w:rPr>
            </w:pPr>
            <w:r>
              <w:rPr>
                <w:rFonts w:ascii="Times New Roman" w:cs="Times New Roman" w:eastAsia="Times New Roman" w:hAnsi="Times New Roman"/>
                <w:sz w:val="18"/>
                <w:szCs w:val="18"/>
                <w:color w:val="auto"/>
                <w:w w:val="99"/>
              </w:rPr>
              <w:t>Christopher S. Sotos</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6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0" w:type="dxa"/>
            <w:vAlign w:val="bottom"/>
          </w:tcPr>
          <w:p>
            <w:pPr>
              <w:spacing w:after="0"/>
              <w:rPr>
                <w:sz w:val="20"/>
                <w:szCs w:val="20"/>
                <w:color w:val="auto"/>
              </w:rPr>
            </w:pPr>
          </w:p>
        </w:tc>
        <w:tc>
          <w:tcPr>
            <w:tcW w:w="5160" w:type="dxa"/>
            <w:vAlign w:val="bottom"/>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Fourth Supplemental Indenture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ALTA WIND 1-5 HOLDING COMPANY,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ALTA WIND COMPANY, LLC</w:t>
            </w:r>
          </w:p>
        </w:tc>
      </w:tr>
      <w:tr>
        <w:trPr>
          <w:trHeight w:val="216"/>
        </w:trPr>
        <w:tc>
          <w:tcPr>
            <w:tcW w:w="1920" w:type="dxa"/>
            <w:vAlign w:val="bottom"/>
          </w:tcPr>
          <w:p>
            <w:pPr>
              <w:spacing w:after="0"/>
              <w:rPr>
                <w:sz w:val="18"/>
                <w:szCs w:val="18"/>
                <w:color w:val="auto"/>
              </w:rPr>
            </w:pP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CAPISTRANO PORTFOLIO HOLDINGS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CBAD HOLDINGS II,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CLEARWAY SOLAR STAR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CWEN PINNACLE REPOWERING HOLDINGS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CWSP RATTLESNAKE HOLDING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DAGGETT SOLAR HOLDCO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DG-CS HOLDINGS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DG SREC HOLDCO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LANGFORD HOLDING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LIGHTHOUSE RENEWABLE HOLDINGS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MARSH LANDING HOLDCO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NIMH SOLAR HOLDINGS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OCOTILLO WINDPOWER HOLDINGS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PAWVA WIND HOLDINGS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PORTFOLIO SOLAR I,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ROSAMOND SOLAR HOLDCO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RPV HOLDING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SOLAR FLAGSTAFF ONE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SOLAR IGUANA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SOLAR LAS VEGAS MB 1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SOLAR TABERNACLE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SOUTH TRENT HOLDINGS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SPP ASSET HOLDINGS,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SPP FUND II HOLDINGS,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SPP FUND II,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SPP FUND II-B,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SPP FUND III, LLC</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UTAH SOLAR MASTER HOLDCO LLC</w:t>
            </w:r>
          </w:p>
        </w:tc>
      </w:tr>
      <w:tr>
        <w:trPr>
          <w:trHeight w:val="207"/>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WV WIND HOLDINGS LLC</w:t>
            </w:r>
          </w:p>
        </w:tc>
      </w:tr>
      <w:tr>
        <w:trPr>
          <w:trHeight w:val="252"/>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4160" w:type="dxa"/>
            <w:vAlign w:val="bottom"/>
          </w:tcPr>
          <w:p>
            <w:pPr>
              <w:spacing w:after="0"/>
              <w:rPr>
                <w:sz w:val="21"/>
                <w:szCs w:val="21"/>
                <w:color w:val="auto"/>
              </w:rPr>
            </w:pPr>
          </w:p>
        </w:tc>
        <w:tc>
          <w:tcPr>
            <w:tcW w:w="5160" w:type="dxa"/>
            <w:vAlign w:val="bottom"/>
          </w:tcPr>
          <w:p>
            <w:pPr>
              <w:spacing w:after="0"/>
              <w:rPr>
                <w:sz w:val="21"/>
                <w:szCs w:val="21"/>
                <w:color w:val="auto"/>
              </w:rPr>
            </w:pP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20"/>
              <w:spacing w:after="0"/>
              <w:rPr>
                <w:sz w:val="20"/>
                <w:szCs w:val="20"/>
                <w:color w:val="auto"/>
              </w:rPr>
            </w:pPr>
            <w:r>
              <w:rPr>
                <w:rFonts w:ascii="Times New Roman" w:cs="Times New Roman" w:eastAsia="Times New Roman" w:hAnsi="Times New Roman"/>
                <w:sz w:val="18"/>
                <w:szCs w:val="18"/>
                <w:color w:val="auto"/>
              </w:rPr>
              <w:t>By:  /s/ Christopher S. Sotos</w:t>
            </w:r>
          </w:p>
        </w:tc>
      </w:tr>
      <w:tr>
        <w:trPr>
          <w:trHeight w:val="178"/>
        </w:trPr>
        <w:tc>
          <w:tcPr>
            <w:tcW w:w="19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4160" w:type="dxa"/>
            <w:vAlign w:val="bottom"/>
          </w:tcPr>
          <w:p>
            <w:pPr>
              <w:ind w:left="3720"/>
              <w:spacing w:after="0" w:line="177" w:lineRule="exact"/>
              <w:rPr>
                <w:sz w:val="20"/>
                <w:szCs w:val="20"/>
                <w:color w:val="auto"/>
              </w:rPr>
            </w:pPr>
            <w:r>
              <w:rPr>
                <w:rFonts w:ascii="Times New Roman" w:cs="Times New Roman" w:eastAsia="Times New Roman" w:hAnsi="Times New Roman"/>
                <w:sz w:val="18"/>
                <w:szCs w:val="18"/>
                <w:color w:val="auto"/>
                <w:w w:val="87"/>
              </w:rPr>
              <w:t>Name:</w:t>
            </w:r>
          </w:p>
        </w:tc>
        <w:tc>
          <w:tcPr>
            <w:tcW w:w="5160" w:type="dxa"/>
            <w:vAlign w:val="bottom"/>
            <w:tcBorders>
              <w:top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Christopher S. Sotos</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20" w:type="dxa"/>
            <w:vAlign w:val="bottom"/>
            <w:gridSpan w:val="2"/>
          </w:tcPr>
          <w:p>
            <w:pPr>
              <w:ind w:left="3720"/>
              <w:spacing w:after="0"/>
              <w:rPr>
                <w:sz w:val="20"/>
                <w:szCs w:val="20"/>
                <w:color w:val="auto"/>
              </w:rPr>
            </w:pPr>
            <w:r>
              <w:rPr>
                <w:rFonts w:ascii="Times New Roman" w:cs="Times New Roman" w:eastAsia="Times New Roman" w:hAnsi="Times New Roman"/>
                <w:sz w:val="18"/>
                <w:szCs w:val="18"/>
                <w:color w:val="auto"/>
              </w:rPr>
              <w:t>Title: President</w:t>
            </w:r>
          </w:p>
        </w:tc>
      </w:tr>
      <w:tr>
        <w:trPr>
          <w:trHeight w:val="214"/>
        </w:trPr>
        <w:tc>
          <w:tcPr>
            <w:tcW w:w="1920" w:type="dxa"/>
            <w:vAlign w:val="bottom"/>
          </w:tcPr>
          <w:p>
            <w:pPr>
              <w:spacing w:after="0"/>
              <w:rPr>
                <w:sz w:val="18"/>
                <w:szCs w:val="18"/>
                <w:color w:val="auto"/>
              </w:rPr>
            </w:pP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 </w:t>
            </w:r>
          </w:p>
        </w:tc>
      </w:tr>
      <w:tr>
        <w:trPr>
          <w:trHeight w:val="218"/>
        </w:trPr>
        <w:tc>
          <w:tcPr>
            <w:tcW w:w="1920" w:type="dxa"/>
            <w:vAlign w:val="bottom"/>
          </w:tcPr>
          <w:p>
            <w:pPr>
              <w:spacing w:after="0"/>
              <w:rPr>
                <w:sz w:val="18"/>
                <w:szCs w:val="18"/>
                <w:color w:val="auto"/>
              </w:rPr>
            </w:pPr>
          </w:p>
        </w:tc>
        <w:tc>
          <w:tcPr>
            <w:tcW w:w="932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Fourth Supplemental Indenture</w:t>
            </w:r>
            <w:r>
              <w:rPr>
                <w:rFonts w:ascii="Times New Roman" w:cs="Times New Roman" w:eastAsia="Times New Roman" w:hAnsi="Times New Roman"/>
                <w:sz w:val="18"/>
                <w:szCs w:val="18"/>
                <w:color w:val="auto"/>
              </w:rPr>
              <w:t>]</w:t>
            </w:r>
          </w:p>
        </w:tc>
      </w:tr>
      <w:tr>
        <w:trPr>
          <w:trHeight w:val="234"/>
        </w:trPr>
        <w:tc>
          <w:tcPr>
            <w:tcW w:w="1920" w:type="dxa"/>
            <w:vAlign w:val="bottom"/>
          </w:tcPr>
          <w:p>
            <w:pPr>
              <w:spacing w:after="0"/>
              <w:rPr>
                <w:sz w:val="20"/>
                <w:szCs w:val="20"/>
                <w:color w:val="auto"/>
              </w:rPr>
            </w:pPr>
          </w:p>
        </w:tc>
        <w:tc>
          <w:tcPr>
            <w:tcW w:w="93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 </w:t>
            </w:r>
          </w:p>
        </w:tc>
      </w:tr>
      <w:tr>
        <w:trPr>
          <w:trHeight w:val="459"/>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41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8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24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 TRUST COMPANY</w:t>
            </w:r>
          </w:p>
        </w:tc>
        <w:tc>
          <w:tcPr>
            <w:tcW w:w="2480" w:type="dxa"/>
            <w:vAlign w:val="bottom"/>
          </w:tcPr>
          <w:p>
            <w:pPr>
              <w:spacing w:after="0"/>
              <w:rPr>
                <w:sz w:val="18"/>
                <w:szCs w:val="18"/>
                <w:color w:val="auto"/>
              </w:rPr>
            </w:pPr>
          </w:p>
        </w:tc>
        <w:tc>
          <w:tcPr>
            <w:tcW w:w="186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480" w:type="dxa"/>
            <w:vAlign w:val="bottom"/>
          </w:tcPr>
          <w:p>
            <w:pPr>
              <w:spacing w:after="0"/>
              <w:rPr>
                <w:sz w:val="18"/>
                <w:szCs w:val="18"/>
                <w:color w:val="auto"/>
              </w:rPr>
            </w:pPr>
          </w:p>
        </w:tc>
        <w:tc>
          <w:tcPr>
            <w:tcW w:w="186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Benjamin Hancock</w:t>
            </w:r>
          </w:p>
        </w:tc>
        <w:tc>
          <w:tcPr>
            <w:tcW w:w="2480" w:type="dxa"/>
            <w:vAlign w:val="bottom"/>
          </w:tcPr>
          <w:p>
            <w:pPr>
              <w:spacing w:after="0"/>
              <w:rPr>
                <w:sz w:val="20"/>
                <w:szCs w:val="20"/>
                <w:color w:val="auto"/>
              </w:rPr>
            </w:pPr>
          </w:p>
        </w:tc>
        <w:tc>
          <w:tcPr>
            <w:tcW w:w="186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860" w:type="dxa"/>
            <w:vAlign w:val="bottom"/>
            <w:vMerge w:val="restart"/>
          </w:tcPr>
          <w:p>
            <w:pPr>
              <w:jc w:val="center"/>
              <w:ind w:right="173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line="20" w:lineRule="exact"/>
              <w:rPr>
                <w:sz w:val="1"/>
                <w:szCs w:val="1"/>
                <w:color w:val="auto"/>
              </w:rPr>
            </w:pPr>
          </w:p>
        </w:tc>
      </w:tr>
      <w:tr>
        <w:trPr>
          <w:trHeight w:val="178"/>
        </w:trPr>
        <w:tc>
          <w:tcPr>
            <w:tcW w:w="314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Name: Benjamin Hancock</w:t>
            </w:r>
          </w:p>
        </w:tc>
        <w:tc>
          <w:tcPr>
            <w:tcW w:w="248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w:t>
            </w:r>
          </w:p>
        </w:tc>
        <w:tc>
          <w:tcPr>
            <w:tcW w:w="2480" w:type="dxa"/>
            <w:vAlign w:val="bottom"/>
          </w:tcPr>
          <w:p>
            <w:pPr>
              <w:spacing w:after="0"/>
              <w:rPr>
                <w:sz w:val="18"/>
                <w:szCs w:val="18"/>
                <w:color w:val="auto"/>
              </w:rPr>
            </w:pPr>
          </w:p>
        </w:tc>
        <w:tc>
          <w:tcPr>
            <w:tcW w:w="186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4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Signature Page to Fourth Supplemental Indenture</w:t>
            </w: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0139"/>
          </w:cols>
          <w:pgMar w:left="320" w:top="220" w:right="1440"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SUPPLEMENTAL INDENTURE</w:t>
      </w:r>
    </w:p>
    <w:p>
      <w:pPr>
        <w:spacing w:after="0" w:line="22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THIRD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February 14, 2023, among VP-Arica Parent Holdings LLC (“</w:t>
      </w:r>
      <w:r>
        <w:rPr>
          <w:rFonts w:ascii="Times New Roman" w:cs="Times New Roman" w:eastAsia="Times New Roman" w:hAnsi="Times New Roman"/>
          <w:sz w:val="18"/>
          <w:szCs w:val="18"/>
          <w:i w:val="1"/>
          <w:iCs w:val="1"/>
          <w:color w:val="auto"/>
        </w:rPr>
        <w:t>VP-Arica</w:t>
      </w:r>
      <w:r>
        <w:rPr>
          <w:rFonts w:ascii="Times New Roman" w:cs="Times New Roman" w:eastAsia="Times New Roman" w:hAnsi="Times New Roman"/>
          <w:sz w:val="18"/>
          <w:szCs w:val="18"/>
          <w:color w:val="auto"/>
        </w:rPr>
        <w:t>”), Natural Gas CA Holdings LLC (“</w:t>
      </w:r>
      <w:r>
        <w:rPr>
          <w:rFonts w:ascii="Times New Roman" w:cs="Times New Roman" w:eastAsia="Times New Roman" w:hAnsi="Times New Roman"/>
          <w:sz w:val="18"/>
          <w:szCs w:val="18"/>
          <w:i w:val="1"/>
          <w:iCs w:val="1"/>
          <w:color w:val="auto"/>
        </w:rPr>
        <w:t>Natural Gas</w:t>
      </w:r>
      <w:r>
        <w:rPr>
          <w:rFonts w:ascii="Times New Roman" w:cs="Times New Roman" w:eastAsia="Times New Roman" w:hAnsi="Times New Roman"/>
          <w:sz w:val="18"/>
          <w:szCs w:val="18"/>
          <w:color w:val="auto"/>
        </w:rPr>
        <w:t>” and, together with VP-Arica, the “</w:t>
      </w:r>
      <w:r>
        <w:rPr>
          <w:rFonts w:ascii="Times New Roman" w:cs="Times New Roman" w:eastAsia="Times New Roman" w:hAnsi="Times New Roman"/>
          <w:sz w:val="18"/>
          <w:szCs w:val="18"/>
          <w:i w:val="1"/>
          <w:iCs w:val="1"/>
          <w:color w:val="auto"/>
        </w:rPr>
        <w:t>Guaranteeing Subsidiaries</w:t>
      </w:r>
      <w:r>
        <w:rPr>
          <w:rFonts w:ascii="Times New Roman" w:cs="Times New Roman" w:eastAsia="Times New Roman" w:hAnsi="Times New Roman"/>
          <w:sz w:val="18"/>
          <w:szCs w:val="18"/>
          <w:color w:val="auto"/>
        </w:rPr>
        <w:t>”), subsidiaries of Clearway Energy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the other Guarantors (as defined in the Indenture referred to herein) and Delaware Trust Company,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October 1, 2021 providing for the issuance of 3.750% Senior Notes due 2032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Subsidiaries shall execute and deliver to the Trustee a supplemental indenture pursuant to which the Guaranteeing Subsidiaries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76" w:lineRule="exact"/>
        <w:rPr>
          <w:sz w:val="20"/>
          <w:szCs w:val="20"/>
          <w:color w:val="auto"/>
        </w:rPr>
      </w:pPr>
    </w:p>
    <w:p>
      <w:pPr>
        <w:ind w:left="660" w:right="520"/>
        <w:spacing w:after="0" w:line="261" w:lineRule="auto"/>
        <w:rPr>
          <w:sz w:val="20"/>
          <w:szCs w:val="20"/>
          <w:color w:val="auto"/>
        </w:rPr>
      </w:pPr>
      <w:r>
        <w:rPr>
          <w:rFonts w:ascii="Times New Roman" w:cs="Times New Roman" w:eastAsia="Times New Roman" w:hAnsi="Times New Roman"/>
          <w:sz w:val="18"/>
          <w:szCs w:val="18"/>
          <w:color w:val="auto"/>
        </w:rPr>
        <w:t>1.             CAPITALIZED TERMS. Capitalized terms used herein without definition shall have the meanings assigned to them in the Indenture.  </w:t>
      </w: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2.             AGREEMENT TO GUARANTEE. The Guaranteeing Subsidiaries hereby become parties to the Indenture as Guarantors and as such will have all the rights and be subject to all the Obligations and agreements of a Guarantor under the Indenture. The Guaranteeing Subsidiaries hereby agree to provide full and unconditional Guarantees on the terms and subject to the conditions set forth in the Subsidiary Guarantee and in the Indenture including but not limited to Article 10 thereof.</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3.             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4.              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5.              COUNTERPARTS. The parties may sign any number of copies of this Supplemental Indenture. Each signed copy shall be an original, but all of them together represent the same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EFFECT OF HEADINGS. The Section headings herein are for convenience only and shall not affect the construction hereof.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             THE TRUSTEE. The Trustee shall not be responsible in any manner whatsoever for or in respect of the validity or sufficiency of this</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Supplemental Indenture or for or in respect of the recitals contained herein, all of which recitals are made solely by the Guaranteeing Subsidiaries and the</w:t>
      </w:r>
    </w:p>
    <w:p>
      <w:pPr>
        <w:spacing w:after="0" w:line="9" w:lineRule="exact"/>
        <w:rPr>
          <w:sz w:val="20"/>
          <w:szCs w:val="20"/>
          <w:color w:val="auto"/>
        </w:rPr>
      </w:pPr>
    </w:p>
    <w:p>
      <w:pPr>
        <w:jc w:val="right"/>
        <w:ind w:right="10500"/>
        <w:spacing w:after="0"/>
        <w:rPr>
          <w:sz w:val="20"/>
          <w:szCs w:val="20"/>
          <w:color w:val="auto"/>
        </w:rPr>
      </w:pPr>
      <w:r>
        <w:rPr>
          <w:rFonts w:ascii="Times New Roman" w:cs="Times New Roman" w:eastAsia="Times New Roman" w:hAnsi="Times New Roman"/>
          <w:sz w:val="17"/>
          <w:szCs w:val="17"/>
          <w:color w:val="auto"/>
        </w:rPr>
        <w:t>Company.</w:t>
      </w:r>
    </w:p>
    <w:p>
      <w:pPr>
        <w:spacing w:after="0" w:line="21" w:lineRule="exact"/>
        <w:rPr>
          <w:sz w:val="20"/>
          <w:szCs w:val="20"/>
          <w:color w:val="auto"/>
        </w:rPr>
      </w:pPr>
    </w:p>
    <w:p>
      <w:pPr>
        <w:jc w:val="right"/>
        <w:ind w:right="105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8.             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9.             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VP-ARICA PARENT HOLDINGS LLC</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NATURAL GAS CA HOLDINGS LLC</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ind w:right="3370"/>
              <w:spacing w:after="0"/>
              <w:rPr>
                <w:sz w:val="20"/>
                <w:szCs w:val="20"/>
                <w:color w:val="auto"/>
              </w:rPr>
            </w:pPr>
            <w:r>
              <w:rPr>
                <w:rFonts w:ascii="Times New Roman" w:cs="Times New Roman" w:eastAsia="Times New Roman" w:hAnsi="Times New Roman"/>
                <w:sz w:val="18"/>
                <w:szCs w:val="18"/>
                <w:color w:val="auto"/>
                <w:w w:val="99"/>
              </w:rPr>
              <w:t>/s/ Christopher S. Sotos</w:t>
            </w:r>
          </w:p>
        </w:tc>
      </w:tr>
      <w:tr>
        <w:trPr>
          <w:trHeight w:val="178"/>
        </w:trPr>
        <w:tc>
          <w:tcPr>
            <w:tcW w:w="6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5400" w:type="dxa"/>
            <w:vAlign w:val="bottom"/>
          </w:tcPr>
          <w:p>
            <w:pPr>
              <w:ind w:left="4960"/>
              <w:spacing w:after="0" w:line="177" w:lineRule="exact"/>
              <w:rPr>
                <w:sz w:val="20"/>
                <w:szCs w:val="20"/>
                <w:color w:val="auto"/>
              </w:rPr>
            </w:pPr>
            <w:r>
              <w:rPr>
                <w:rFonts w:ascii="Times New Roman" w:cs="Times New Roman" w:eastAsia="Times New Roman" w:hAnsi="Times New Roman"/>
                <w:sz w:val="18"/>
                <w:szCs w:val="18"/>
                <w:color w:val="auto"/>
                <w:w w:val="87"/>
              </w:rPr>
              <w:t>Name:</w:t>
            </w:r>
          </w:p>
        </w:tc>
        <w:tc>
          <w:tcPr>
            <w:tcW w:w="5160" w:type="dxa"/>
            <w:vAlign w:val="bottom"/>
          </w:tcPr>
          <w:p>
            <w:pPr>
              <w:jc w:val="center"/>
              <w:ind w:right="3430"/>
              <w:spacing w:after="0" w:line="177" w:lineRule="exact"/>
              <w:rPr>
                <w:sz w:val="20"/>
                <w:szCs w:val="20"/>
                <w:color w:val="auto"/>
              </w:rPr>
            </w:pPr>
            <w:r>
              <w:rPr>
                <w:rFonts w:ascii="Times New Roman" w:cs="Times New Roman" w:eastAsia="Times New Roman" w:hAnsi="Times New Roman"/>
                <w:sz w:val="18"/>
                <w:szCs w:val="18"/>
                <w:color w:val="auto"/>
                <w:w w:val="99"/>
              </w:rPr>
              <w:t>Christopher S. Sotos</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Title: President</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CLEARWAY ENERGY OPERATING LLC</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CLEARWAY ENERGY LLC</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DGPV HOLDING LLC</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ind w:right="3370"/>
              <w:spacing w:after="0"/>
              <w:rPr>
                <w:sz w:val="20"/>
                <w:szCs w:val="20"/>
                <w:color w:val="auto"/>
              </w:rPr>
            </w:pPr>
            <w:r>
              <w:rPr>
                <w:rFonts w:ascii="Times New Roman" w:cs="Times New Roman" w:eastAsia="Times New Roman" w:hAnsi="Times New Roman"/>
                <w:sz w:val="18"/>
                <w:szCs w:val="18"/>
                <w:color w:val="auto"/>
                <w:w w:val="99"/>
              </w:rPr>
              <w:t>/s/ Christopher S. Sotos</w:t>
            </w:r>
          </w:p>
        </w:tc>
      </w:tr>
      <w:tr>
        <w:trPr>
          <w:trHeight w:val="178"/>
        </w:trPr>
        <w:tc>
          <w:tcPr>
            <w:tcW w:w="6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5400" w:type="dxa"/>
            <w:vAlign w:val="bottom"/>
          </w:tcPr>
          <w:p>
            <w:pPr>
              <w:ind w:left="4960"/>
              <w:spacing w:after="0" w:line="177" w:lineRule="exact"/>
              <w:rPr>
                <w:sz w:val="20"/>
                <w:szCs w:val="20"/>
                <w:color w:val="auto"/>
              </w:rPr>
            </w:pPr>
            <w:r>
              <w:rPr>
                <w:rFonts w:ascii="Times New Roman" w:cs="Times New Roman" w:eastAsia="Times New Roman" w:hAnsi="Times New Roman"/>
                <w:sz w:val="18"/>
                <w:szCs w:val="18"/>
                <w:color w:val="auto"/>
                <w:w w:val="87"/>
              </w:rPr>
              <w:t>Name:</w:t>
            </w:r>
          </w:p>
        </w:tc>
        <w:tc>
          <w:tcPr>
            <w:tcW w:w="5160" w:type="dxa"/>
            <w:vAlign w:val="bottom"/>
          </w:tcPr>
          <w:p>
            <w:pPr>
              <w:jc w:val="center"/>
              <w:ind w:right="3430"/>
              <w:spacing w:after="0" w:line="177" w:lineRule="exact"/>
              <w:rPr>
                <w:sz w:val="20"/>
                <w:szCs w:val="20"/>
                <w:color w:val="auto"/>
              </w:rPr>
            </w:pPr>
            <w:r>
              <w:rPr>
                <w:rFonts w:ascii="Times New Roman" w:cs="Times New Roman" w:eastAsia="Times New Roman" w:hAnsi="Times New Roman"/>
                <w:sz w:val="18"/>
                <w:szCs w:val="18"/>
                <w:color w:val="auto"/>
                <w:w w:val="99"/>
              </w:rPr>
              <w:t>Christopher S. Sotos</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234"/>
        </w:trPr>
        <w:tc>
          <w:tcPr>
            <w:tcW w:w="680" w:type="dxa"/>
            <w:vAlign w:val="bottom"/>
          </w:tcPr>
          <w:p>
            <w:pPr>
              <w:spacing w:after="0"/>
              <w:rPr>
                <w:sz w:val="20"/>
                <w:szCs w:val="20"/>
                <w:color w:val="auto"/>
              </w:rPr>
            </w:pPr>
          </w:p>
        </w:tc>
        <w:tc>
          <w:tcPr>
            <w:tcW w:w="54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Third Supplemental Indenture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ALTA WIND 1-5 HOLDING COMPANY,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ALTA WIND COMPANY, LLC</w:t>
            </w:r>
          </w:p>
        </w:tc>
      </w:tr>
      <w:tr>
        <w:trPr>
          <w:trHeight w:val="216"/>
        </w:trPr>
        <w:tc>
          <w:tcPr>
            <w:tcW w:w="1940" w:type="dxa"/>
            <w:vAlign w:val="bottom"/>
          </w:tcPr>
          <w:p>
            <w:pPr>
              <w:spacing w:after="0"/>
              <w:rPr>
                <w:sz w:val="18"/>
                <w:szCs w:val="18"/>
                <w:color w:val="auto"/>
              </w:rPr>
            </w:pP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CAPISTRANO PORTFOLIO HOLDINGS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CBAD HOLDINGS II,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CLEARWAY SOLAR STAR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CWEN PINNACLE REPOWERING HOLDINGS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CWSP RATTLESNAKE HOLDING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DAGGETT SOLAR HOLDCO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DG-CS HOLDINGS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DG SREC HOLDCO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LANGFORD HOLDING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LIGHTHOUSE RENEWABLE HOLDINGS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MARSH LANDING HOLDCO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NIMH SOLAR HOLDINGS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OCOTILLO WINDPOWER HOLDINGS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PAWVA WIND HOLDINGS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PORTFOLIO SOLAR I,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ROSAMOND SOLAR HOLDCO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RPV HOLDING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SOLAR FLAGSTAFF ONE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SOLAR IGUANA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SOLAR LAS VEGAS MB 1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SOLAR TABERNACLE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SOUTH TRENT HOLDINGS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SPP ASSET HOLDINGS,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SPP FUND II HOLDINGS,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SPP FUND II,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SPP FUND II-B,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SPP FUND III, LLC</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UTAH SOLAR MASTER HOLDCO LLC</w:t>
            </w:r>
          </w:p>
        </w:tc>
      </w:tr>
      <w:tr>
        <w:trPr>
          <w:trHeight w:val="207"/>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WV WIND HOLDINGS LLC</w:t>
            </w:r>
          </w:p>
        </w:tc>
      </w:tr>
      <w:tr>
        <w:trPr>
          <w:trHeight w:val="252"/>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4140" w:type="dxa"/>
            <w:vAlign w:val="bottom"/>
          </w:tcPr>
          <w:p>
            <w:pPr>
              <w:spacing w:after="0"/>
              <w:rPr>
                <w:sz w:val="21"/>
                <w:szCs w:val="21"/>
                <w:color w:val="auto"/>
              </w:rPr>
            </w:pPr>
          </w:p>
        </w:tc>
        <w:tc>
          <w:tcPr>
            <w:tcW w:w="5160" w:type="dxa"/>
            <w:vAlign w:val="bottom"/>
          </w:tcPr>
          <w:p>
            <w:pPr>
              <w:spacing w:after="0"/>
              <w:rPr>
                <w:sz w:val="21"/>
                <w:szCs w:val="2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By:  /s/ Christopher S. Sotos</w:t>
            </w:r>
          </w:p>
        </w:tc>
      </w:tr>
      <w:tr>
        <w:trPr>
          <w:trHeight w:val="178"/>
        </w:trPr>
        <w:tc>
          <w:tcPr>
            <w:tcW w:w="19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4140" w:type="dxa"/>
            <w:vAlign w:val="bottom"/>
          </w:tcPr>
          <w:p>
            <w:pPr>
              <w:ind w:left="3700"/>
              <w:spacing w:after="0" w:line="177" w:lineRule="exact"/>
              <w:rPr>
                <w:sz w:val="20"/>
                <w:szCs w:val="20"/>
                <w:color w:val="auto"/>
              </w:rPr>
            </w:pPr>
            <w:r>
              <w:rPr>
                <w:rFonts w:ascii="Times New Roman" w:cs="Times New Roman" w:eastAsia="Times New Roman" w:hAnsi="Times New Roman"/>
                <w:sz w:val="18"/>
                <w:szCs w:val="18"/>
                <w:color w:val="auto"/>
                <w:w w:val="87"/>
              </w:rPr>
              <w:t>Name:</w:t>
            </w:r>
          </w:p>
        </w:tc>
        <w:tc>
          <w:tcPr>
            <w:tcW w:w="5160" w:type="dxa"/>
            <w:vAlign w:val="bottom"/>
            <w:tcBorders>
              <w:top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Christopher S. Sotos</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30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Title: President</w:t>
            </w:r>
          </w:p>
        </w:tc>
      </w:tr>
      <w:tr>
        <w:trPr>
          <w:trHeight w:val="214"/>
        </w:trPr>
        <w:tc>
          <w:tcPr>
            <w:tcW w:w="1940" w:type="dxa"/>
            <w:vAlign w:val="bottom"/>
          </w:tcPr>
          <w:p>
            <w:pPr>
              <w:spacing w:after="0"/>
              <w:rPr>
                <w:sz w:val="18"/>
                <w:szCs w:val="18"/>
                <w:color w:val="auto"/>
              </w:rPr>
            </w:pP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 </w:t>
            </w:r>
          </w:p>
        </w:tc>
      </w:tr>
      <w:tr>
        <w:trPr>
          <w:trHeight w:val="218"/>
        </w:trPr>
        <w:tc>
          <w:tcPr>
            <w:tcW w:w="1940" w:type="dxa"/>
            <w:vAlign w:val="bottom"/>
          </w:tcPr>
          <w:p>
            <w:pPr>
              <w:spacing w:after="0"/>
              <w:rPr>
                <w:sz w:val="18"/>
                <w:szCs w:val="18"/>
                <w:color w:val="auto"/>
              </w:rPr>
            </w:pPr>
          </w:p>
        </w:tc>
        <w:tc>
          <w:tcPr>
            <w:tcW w:w="93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Third Supplemental Indenture</w:t>
            </w:r>
            <w:r>
              <w:rPr>
                <w:rFonts w:ascii="Times New Roman" w:cs="Times New Roman" w:eastAsia="Times New Roman" w:hAnsi="Times New Roman"/>
                <w:sz w:val="18"/>
                <w:szCs w:val="18"/>
                <w:color w:val="auto"/>
              </w:rPr>
              <w:t>]</w:t>
            </w:r>
          </w:p>
        </w:tc>
      </w:tr>
      <w:tr>
        <w:trPr>
          <w:trHeight w:val="234"/>
        </w:trPr>
        <w:tc>
          <w:tcPr>
            <w:tcW w:w="1940" w:type="dxa"/>
            <w:vAlign w:val="bottom"/>
          </w:tcPr>
          <w:p>
            <w:pPr>
              <w:spacing w:after="0"/>
              <w:rPr>
                <w:sz w:val="20"/>
                <w:szCs w:val="20"/>
                <w:color w:val="auto"/>
              </w:rPr>
            </w:pPr>
          </w:p>
        </w:tc>
        <w:tc>
          <w:tcPr>
            <w:tcW w:w="930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 </w:t>
            </w:r>
          </w:p>
        </w:tc>
      </w:tr>
      <w:tr>
        <w:trPr>
          <w:trHeight w:val="459"/>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41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8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 TRUST COMPANY</w:t>
            </w:r>
          </w:p>
        </w:tc>
        <w:tc>
          <w:tcPr>
            <w:tcW w:w="2440" w:type="dxa"/>
            <w:vAlign w:val="bottom"/>
          </w:tcPr>
          <w:p>
            <w:pPr>
              <w:spacing w:after="0"/>
              <w:rPr>
                <w:sz w:val="18"/>
                <w:szCs w:val="18"/>
                <w:color w:val="auto"/>
              </w:rPr>
            </w:pPr>
          </w:p>
        </w:tc>
        <w:tc>
          <w:tcPr>
            <w:tcW w:w="182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spacing w:after="0"/>
              <w:rPr>
                <w:sz w:val="18"/>
                <w:szCs w:val="18"/>
                <w:color w:val="auto"/>
              </w:rPr>
            </w:pPr>
          </w:p>
        </w:tc>
        <w:tc>
          <w:tcPr>
            <w:tcW w:w="182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Benjamin Hancock</w:t>
            </w:r>
          </w:p>
        </w:tc>
        <w:tc>
          <w:tcPr>
            <w:tcW w:w="2440" w:type="dxa"/>
            <w:vAlign w:val="bottom"/>
          </w:tcPr>
          <w:p>
            <w:pPr>
              <w:spacing w:after="0"/>
              <w:rPr>
                <w:sz w:val="20"/>
                <w:szCs w:val="20"/>
                <w:color w:val="auto"/>
              </w:rPr>
            </w:pPr>
          </w:p>
        </w:tc>
        <w:tc>
          <w:tcPr>
            <w:tcW w:w="182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820" w:type="dxa"/>
            <w:vAlign w:val="bottom"/>
            <w:vMerge w:val="restart"/>
          </w:tcPr>
          <w:p>
            <w:pPr>
              <w:jc w:val="center"/>
              <w:ind w:right="169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line="20" w:lineRule="exact"/>
              <w:rPr>
                <w:sz w:val="1"/>
                <w:szCs w:val="1"/>
                <w:color w:val="auto"/>
              </w:rPr>
            </w:pPr>
          </w:p>
        </w:tc>
      </w:tr>
      <w:tr>
        <w:trPr>
          <w:trHeight w:val="178"/>
        </w:trPr>
        <w:tc>
          <w:tcPr>
            <w:tcW w:w="31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Name: Benjamin Hancock</w:t>
            </w:r>
          </w:p>
        </w:tc>
        <w:tc>
          <w:tcPr>
            <w:tcW w:w="244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w:t>
            </w:r>
          </w:p>
        </w:tc>
        <w:tc>
          <w:tcPr>
            <w:tcW w:w="2440" w:type="dxa"/>
            <w:vAlign w:val="bottom"/>
          </w:tcPr>
          <w:p>
            <w:pPr>
              <w:spacing w:after="0"/>
              <w:rPr>
                <w:sz w:val="18"/>
                <w:szCs w:val="18"/>
                <w:color w:val="auto"/>
              </w:rPr>
            </w:pPr>
          </w:p>
        </w:tc>
        <w:tc>
          <w:tcPr>
            <w:tcW w:w="182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2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Signature Page to Third Supplemental Indenture</w:t>
            </w: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2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sectPr>
      <w:pgSz w:w="11900" w:h="16838" w:orient="portrait"/>
      <w:cols w:equalWidth="0" w:num="1">
        <w:col w:w="10139"/>
      </w:cols>
      <w:pgMar w:left="320" w:top="2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2023-02-21T07:03:28Z</dcterms:created>
  <dcterms:modified xsi:type="dcterms:W3CDTF">2023-02-21T07:03:28Z</dcterms:modified>
</cp:coreProperties>
</file>