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7252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7252335"/>
                    </a:xfrm>
                    <a:prstGeom prst="rect">
                      <a:avLst/>
                    </a:prstGeom>
                    <a:noFill/>
                  </pic:spPr>
                </pic:pic>
              </a:graphicData>
            </a:graphic>
          </wp:anchor>
        </w:drawing>
      </w:r>
    </w:p>
    <w:p>
      <w:pPr>
        <w:spacing w:after="0" w:line="91" w:lineRule="exact"/>
        <w:rPr>
          <w:sz w:val="24"/>
          <w:szCs w:val="24"/>
          <w:color w:val="auto"/>
        </w:rPr>
      </w:pPr>
    </w:p>
    <w:p>
      <w:pPr>
        <w:sectPr>
          <w:pgSz w:w="11900" w:h="16863" w:orient="portrait"/>
          <w:cols w:equalWidth="0" w:num="2">
            <w:col w:w="2200" w:space="42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Malcarney Kevin P.</w:t>
        </w:r>
      </w:hyperlink>
    </w:p>
    <w:p>
      <w:pPr>
        <w:spacing w:after="0" w:line="289"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tcPr>
          <w:p>
            <w:pPr>
              <w:ind w:left="40"/>
              <w:spacing w:after="0"/>
              <w:rPr>
                <w:sz w:val="20"/>
                <w:szCs w:val="20"/>
                <w:color w:val="auto"/>
              </w:rPr>
            </w:pPr>
            <w:r>
              <w:rPr>
                <w:rFonts w:ascii="Arial" w:cs="Arial" w:eastAsia="Arial" w:hAnsi="Arial"/>
                <w:sz w:val="13"/>
                <w:szCs w:val="13"/>
                <w:color w:val="auto"/>
              </w:rPr>
              <w:t>(Last)</w:t>
            </w:r>
          </w:p>
        </w:tc>
        <w:tc>
          <w:tcPr>
            <w:tcW w:w="1140" w:type="dxa"/>
            <w:vAlign w:val="bottom"/>
          </w:tcPr>
          <w:p>
            <w:pPr>
              <w:ind w:left="160"/>
              <w:spacing w:after="0"/>
              <w:rPr>
                <w:sz w:val="20"/>
                <w:szCs w:val="20"/>
                <w:color w:val="auto"/>
              </w:rPr>
            </w:pPr>
            <w:r>
              <w:rPr>
                <w:rFonts w:ascii="Arial" w:cs="Arial" w:eastAsia="Arial" w:hAnsi="Arial"/>
                <w:sz w:val="13"/>
                <w:szCs w:val="13"/>
                <w:color w:val="auto"/>
              </w:rPr>
              <w:t>(First)</w:t>
            </w:r>
          </w:p>
        </w:tc>
        <w:tc>
          <w:tcPr>
            <w:tcW w:w="680" w:type="dxa"/>
            <w:vAlign w:val="bottom"/>
          </w:tcPr>
          <w:p>
            <w:pPr>
              <w:ind w:left="240"/>
              <w:spacing w:after="0"/>
              <w:rPr>
                <w:sz w:val="20"/>
                <w:szCs w:val="20"/>
                <w:color w:val="auto"/>
              </w:rPr>
            </w:pPr>
            <w:r>
              <w:rPr>
                <w:rFonts w:ascii="Arial" w:cs="Arial" w:eastAsia="Arial" w:hAnsi="Arial"/>
                <w:sz w:val="13"/>
                <w:szCs w:val="13"/>
                <w:color w:val="auto"/>
                <w:w w:val="89"/>
              </w:rPr>
              <w:t>(Middle)</w:t>
            </w:r>
          </w:p>
        </w:tc>
      </w:tr>
      <w:tr>
        <w:trPr>
          <w:trHeight w:val="262"/>
        </w:trPr>
        <w:tc>
          <w:tcPr>
            <w:tcW w:w="22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CLEARWAY ENERGY, INC.</w:t>
            </w:r>
          </w:p>
        </w:tc>
        <w:tc>
          <w:tcPr>
            <w:tcW w:w="680" w:type="dxa"/>
            <w:vAlign w:val="bottom"/>
          </w:tcPr>
          <w:p>
            <w:pPr>
              <w:spacing w:after="0"/>
              <w:rPr>
                <w:sz w:val="22"/>
                <w:szCs w:val="22"/>
                <w:color w:val="auto"/>
              </w:rPr>
            </w:pPr>
          </w:p>
        </w:tc>
      </w:tr>
      <w:tr>
        <w:trPr>
          <w:trHeight w:val="252"/>
        </w:trPr>
        <w:tc>
          <w:tcPr>
            <w:tcW w:w="29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300 CARNEGIE CENTER, SUITE 300</w:t>
            </w:r>
          </w:p>
        </w:tc>
      </w:tr>
      <w:tr>
        <w:trPr>
          <w:trHeight w:val="418"/>
        </w:trPr>
        <w:tc>
          <w:tcPr>
            <w:tcW w:w="1100" w:type="dxa"/>
            <w:vAlign w:val="bottom"/>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4"/>
        </w:trPr>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PRINCETON</w:t>
            </w:r>
          </w:p>
        </w:tc>
        <w:tc>
          <w:tcPr>
            <w:tcW w:w="114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NJ</w:t>
            </w:r>
          </w:p>
        </w:tc>
        <w:tc>
          <w:tcPr>
            <w:tcW w:w="68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08540</w:t>
            </w:r>
          </w:p>
        </w:tc>
      </w:tr>
      <w:tr>
        <w:trPr>
          <w:trHeight w:val="455"/>
        </w:trPr>
        <w:tc>
          <w:tcPr>
            <w:tcW w:w="1100" w:type="dxa"/>
            <w:vAlign w:val="bottom"/>
          </w:tcPr>
          <w:p>
            <w:pPr>
              <w:ind w:left="40"/>
              <w:spacing w:after="0"/>
              <w:rPr>
                <w:sz w:val="20"/>
                <w:szCs w:val="20"/>
                <w:color w:val="auto"/>
              </w:rPr>
            </w:pPr>
            <w:r>
              <w:rPr>
                <w:rFonts w:ascii="Arial" w:cs="Arial" w:eastAsia="Arial" w:hAnsi="Arial"/>
                <w:sz w:val="13"/>
                <w:szCs w:val="13"/>
                <w:color w:val="auto"/>
              </w:rPr>
              <w:t>(City)</w:t>
            </w:r>
          </w:p>
        </w:tc>
        <w:tc>
          <w:tcPr>
            <w:tcW w:w="1140" w:type="dxa"/>
            <w:vAlign w:val="bottom"/>
          </w:tcPr>
          <w:p>
            <w:pPr>
              <w:ind w:left="160"/>
              <w:spacing w:after="0"/>
              <w:rPr>
                <w:sz w:val="20"/>
                <w:szCs w:val="20"/>
                <w:color w:val="auto"/>
              </w:rPr>
            </w:pPr>
            <w:r>
              <w:rPr>
                <w:rFonts w:ascii="Arial" w:cs="Arial" w:eastAsia="Arial" w:hAnsi="Arial"/>
                <w:sz w:val="13"/>
                <w:szCs w:val="13"/>
                <w:color w:val="auto"/>
              </w:rPr>
              <w:t>(State)</w:t>
            </w:r>
          </w:p>
        </w:tc>
        <w:tc>
          <w:tcPr>
            <w:tcW w:w="68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Clearway Energy,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680" w:type="dxa"/>
            <w:vAlign w:val="bottom"/>
            <w:tcBorders>
              <w:top w:val="single" w:sz="8" w:color="0000EE"/>
            </w:tcBorders>
          </w:tcPr>
          <w:p>
            <w:pPr>
              <w:spacing w:after="0"/>
              <w:rPr>
                <w:sz w:val="12"/>
                <w:szCs w:val="12"/>
                <w:color w:val="auto"/>
              </w:rPr>
            </w:pPr>
          </w:p>
        </w:tc>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ind w:left="120"/>
              <w:spacing w:after="0" w:line="141" w:lineRule="exact"/>
              <w:rPr>
                <w:sz w:val="20"/>
                <w:szCs w:val="20"/>
                <w:color w:val="auto"/>
              </w:rPr>
            </w:pPr>
            <w:r>
              <w:rPr>
                <w:rFonts w:ascii="Arial" w:cs="Arial" w:eastAsia="Arial" w:hAnsi="Arial"/>
                <w:sz w:val="13"/>
                <w:szCs w:val="13"/>
                <w:color w:val="auto"/>
              </w:rPr>
              <w:t>Director</w:t>
            </w:r>
          </w:p>
        </w:tc>
        <w:tc>
          <w:tcPr>
            <w:tcW w:w="148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20"/>
              <w:spacing w:after="0" w:line="119" w:lineRule="exact"/>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8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04/15/2024</w:t>
            </w: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EVP, GEN COUNSEL AND CORP SECR</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60"/>
        <w:spacing w:after="0" w:line="280"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63" w:orient="portrait"/>
          <w:cols w:equalWidth="0" w:num="2">
            <w:col w:w="3120" w:space="72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80" w:type="dxa"/>
            <w:vAlign w:val="bottom"/>
            <w:gridSpan w:val="2"/>
          </w:tcPr>
          <w:p>
            <w:pPr>
              <w:ind w:left="2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ind w:left="2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2"/>
          </w:tcPr>
          <w:p>
            <w:pPr>
              <w:jc w:val="center"/>
              <w:ind w:left="85"/>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5"/>
              <w:spacing w:after="0"/>
              <w:rPr>
                <w:sz w:val="20"/>
                <w:szCs w:val="20"/>
                <w:color w:val="auto"/>
              </w:rPr>
            </w:pPr>
            <w:r>
              <w:rPr>
                <w:rFonts w:ascii="Times New Roman" w:cs="Times New Roman" w:eastAsia="Times New Roman" w:hAnsi="Times New Roman"/>
                <w:sz w:val="16"/>
                <w:szCs w:val="16"/>
                <w:color w:val="0000FF"/>
              </w:rPr>
              <w:t>04/15/2024</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vMerge w:val="restart"/>
          </w:tcPr>
          <w:p>
            <w:pPr>
              <w:jc w:val="center"/>
              <w:ind w:left="29"/>
              <w:spacing w:after="0"/>
              <w:rPr>
                <w:sz w:val="20"/>
                <w:szCs w:val="20"/>
                <w:color w:val="auto"/>
              </w:rPr>
            </w:pPr>
            <w:r>
              <w:rPr>
                <w:rFonts w:ascii="Times New Roman" w:cs="Times New Roman" w:eastAsia="Times New Roman" w:hAnsi="Times New Roman"/>
                <w:sz w:val="16"/>
                <w:szCs w:val="16"/>
                <w:color w:val="0000FF"/>
              </w:rPr>
              <w:t>787</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jc w:val="center"/>
              <w:ind w:left="24"/>
              <w:spacing w:after="0"/>
              <w:rPr>
                <w:sz w:val="20"/>
                <w:szCs w:val="20"/>
                <w:color w:val="auto"/>
              </w:rPr>
            </w:pPr>
            <w:r>
              <w:rPr>
                <w:rFonts w:ascii="Times New Roman" w:cs="Times New Roman" w:eastAsia="Times New Roman" w:hAnsi="Times New Roman"/>
                <w:sz w:val="10"/>
                <w:szCs w:val="10"/>
                <w:color w:val="008000"/>
              </w:rPr>
              <w:t>(1)</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70,023</w:t>
            </w:r>
            <w:r>
              <w:rPr>
                <w:rFonts w:ascii="Times New Roman" w:cs="Times New Roman" w:eastAsia="Times New Roman" w:hAnsi="Times New Roman"/>
                <w:sz w:val="20"/>
                <w:szCs w:val="20"/>
                <w:color w:val="008000"/>
                <w:w w:val="93"/>
                <w:vertAlign w:val="superscript"/>
              </w:rPr>
              <w:t>(2)</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5"/>
              <w:spacing w:after="0"/>
              <w:rPr>
                <w:sz w:val="20"/>
                <w:szCs w:val="20"/>
                <w:color w:val="auto"/>
              </w:rPr>
            </w:pPr>
            <w:r>
              <w:rPr>
                <w:rFonts w:ascii="Times New Roman" w:cs="Times New Roman" w:eastAsia="Times New Roman" w:hAnsi="Times New Roman"/>
                <w:sz w:val="16"/>
                <w:szCs w:val="16"/>
                <w:color w:val="0000FF"/>
              </w:rPr>
              <w:t>04/15/2024</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vMerge w:val="restart"/>
          </w:tcPr>
          <w:p>
            <w:pPr>
              <w:jc w:val="center"/>
              <w:ind w:left="29"/>
              <w:spacing w:after="0"/>
              <w:rPr>
                <w:sz w:val="20"/>
                <w:szCs w:val="20"/>
                <w:color w:val="auto"/>
              </w:rPr>
            </w:pPr>
            <w:r>
              <w:rPr>
                <w:rFonts w:ascii="Times New Roman" w:cs="Times New Roman" w:eastAsia="Times New Roman" w:hAnsi="Times New Roman"/>
                <w:sz w:val="16"/>
                <w:szCs w:val="16"/>
                <w:color w:val="0000FF"/>
              </w:rPr>
              <w:t>717</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jc w:val="center"/>
              <w:ind w:left="24"/>
              <w:spacing w:after="0"/>
              <w:rPr>
                <w:sz w:val="20"/>
                <w:szCs w:val="20"/>
                <w:color w:val="auto"/>
              </w:rPr>
            </w:pPr>
            <w:r>
              <w:rPr>
                <w:rFonts w:ascii="Times New Roman" w:cs="Times New Roman" w:eastAsia="Times New Roman" w:hAnsi="Times New Roman"/>
                <w:sz w:val="10"/>
                <w:szCs w:val="10"/>
                <w:color w:val="008000"/>
              </w:rPr>
              <w:t>(3)</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69,306</w:t>
            </w:r>
            <w:r>
              <w:rPr>
                <w:rFonts w:ascii="Times New Roman" w:cs="Times New Roman" w:eastAsia="Times New Roman" w:hAnsi="Times New Roman"/>
                <w:sz w:val="20"/>
                <w:szCs w:val="20"/>
                <w:color w:val="008000"/>
                <w:w w:val="93"/>
                <w:vertAlign w:val="superscript"/>
              </w:rPr>
              <w:t>(4)</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5"/>
              <w:spacing w:after="0"/>
              <w:rPr>
                <w:sz w:val="20"/>
                <w:szCs w:val="20"/>
                <w:color w:val="auto"/>
              </w:rPr>
            </w:pPr>
            <w:r>
              <w:rPr>
                <w:rFonts w:ascii="Times New Roman" w:cs="Times New Roman" w:eastAsia="Times New Roman" w:hAnsi="Times New Roman"/>
                <w:sz w:val="16"/>
                <w:szCs w:val="16"/>
                <w:color w:val="0000FF"/>
              </w:rPr>
              <w:t>04/15/2024</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vMerge w:val="restart"/>
          </w:tcPr>
          <w:p>
            <w:pPr>
              <w:jc w:val="center"/>
              <w:ind w:left="29"/>
              <w:spacing w:after="0"/>
              <w:rPr>
                <w:sz w:val="20"/>
                <w:szCs w:val="20"/>
                <w:color w:val="auto"/>
              </w:rPr>
            </w:pPr>
            <w:r>
              <w:rPr>
                <w:rFonts w:ascii="Times New Roman" w:cs="Times New Roman" w:eastAsia="Times New Roman" w:hAnsi="Times New Roman"/>
                <w:sz w:val="16"/>
                <w:szCs w:val="16"/>
                <w:color w:val="0000FF"/>
              </w:rPr>
              <w:t>885</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jc w:val="center"/>
              <w:ind w:left="24"/>
              <w:spacing w:after="0"/>
              <w:rPr>
                <w:sz w:val="20"/>
                <w:szCs w:val="20"/>
                <w:color w:val="auto"/>
              </w:rPr>
            </w:pPr>
            <w:r>
              <w:rPr>
                <w:rFonts w:ascii="Times New Roman" w:cs="Times New Roman" w:eastAsia="Times New Roman" w:hAnsi="Times New Roman"/>
                <w:sz w:val="10"/>
                <w:szCs w:val="10"/>
                <w:color w:val="008000"/>
              </w:rPr>
              <w:t>(5)</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68,421</w:t>
            </w:r>
            <w:r>
              <w:rPr>
                <w:rFonts w:ascii="Times New Roman" w:cs="Times New Roman" w:eastAsia="Times New Roman" w:hAnsi="Times New Roman"/>
                <w:sz w:val="20"/>
                <w:szCs w:val="20"/>
                <w:color w:val="008000"/>
                <w:w w:val="93"/>
                <w:vertAlign w:val="superscript"/>
              </w:rPr>
              <w:t>(6)</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5"/>
              <w:spacing w:after="0"/>
              <w:rPr>
                <w:sz w:val="20"/>
                <w:szCs w:val="20"/>
                <w:color w:val="auto"/>
              </w:rPr>
            </w:pPr>
            <w:r>
              <w:rPr>
                <w:rFonts w:ascii="Times New Roman" w:cs="Times New Roman" w:eastAsia="Times New Roman" w:hAnsi="Times New Roman"/>
                <w:sz w:val="16"/>
                <w:szCs w:val="16"/>
                <w:color w:val="0000FF"/>
              </w:rPr>
              <w:t>04/15/2024</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vMerge w:val="restart"/>
          </w:tcPr>
          <w:p>
            <w:pPr>
              <w:jc w:val="center"/>
              <w:ind w:left="29"/>
              <w:spacing w:after="0"/>
              <w:rPr>
                <w:sz w:val="20"/>
                <w:szCs w:val="20"/>
                <w:color w:val="auto"/>
              </w:rPr>
            </w:pPr>
            <w:r>
              <w:rPr>
                <w:rFonts w:ascii="Times New Roman" w:cs="Times New Roman" w:eastAsia="Times New Roman" w:hAnsi="Times New Roman"/>
                <w:sz w:val="16"/>
                <w:szCs w:val="16"/>
                <w:color w:val="0000FF"/>
              </w:rPr>
              <w:t>5,472</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vMerge w:val="restart"/>
          </w:tcPr>
          <w:p>
            <w:pPr>
              <w:jc w:val="center"/>
              <w:ind w:left="24"/>
              <w:spacing w:after="0"/>
              <w:rPr>
                <w:sz w:val="20"/>
                <w:szCs w:val="20"/>
                <w:color w:val="auto"/>
              </w:rPr>
            </w:pPr>
            <w:r>
              <w:rPr>
                <w:rFonts w:ascii="Times New Roman" w:cs="Times New Roman" w:eastAsia="Times New Roman" w:hAnsi="Times New Roman"/>
                <w:sz w:val="10"/>
                <w:szCs w:val="10"/>
                <w:color w:val="008000"/>
              </w:rPr>
              <w:t>(7)(8)</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73,893</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5"/>
              <w:spacing w:after="0"/>
              <w:rPr>
                <w:sz w:val="20"/>
                <w:szCs w:val="20"/>
                <w:color w:val="auto"/>
              </w:rPr>
            </w:pPr>
            <w:r>
              <w:rPr>
                <w:rFonts w:ascii="Times New Roman" w:cs="Times New Roman" w:eastAsia="Times New Roman" w:hAnsi="Times New Roman"/>
                <w:sz w:val="16"/>
                <w:szCs w:val="16"/>
                <w:color w:val="0000FF"/>
              </w:rPr>
              <w:t>04/15/2024</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vMerge w:val="restart"/>
          </w:tcPr>
          <w:p>
            <w:pPr>
              <w:jc w:val="center"/>
              <w:ind w:left="29"/>
              <w:spacing w:after="0"/>
              <w:rPr>
                <w:sz w:val="20"/>
                <w:szCs w:val="20"/>
                <w:color w:val="auto"/>
              </w:rPr>
            </w:pPr>
            <w:r>
              <w:rPr>
                <w:rFonts w:ascii="Times New Roman" w:cs="Times New Roman" w:eastAsia="Times New Roman" w:hAnsi="Times New Roman"/>
                <w:sz w:val="16"/>
                <w:szCs w:val="16"/>
                <w:color w:val="0000FF"/>
              </w:rPr>
              <w:t>3,636</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jc w:val="center"/>
              <w:ind w:left="4"/>
              <w:spacing w:after="0"/>
              <w:rPr>
                <w:sz w:val="20"/>
                <w:szCs w:val="20"/>
                <w:color w:val="auto"/>
              </w:rPr>
            </w:pPr>
            <w:r>
              <w:rPr>
                <w:rFonts w:ascii="Times New Roman" w:cs="Times New Roman" w:eastAsia="Times New Roman" w:hAnsi="Times New Roman"/>
                <w:sz w:val="10"/>
                <w:szCs w:val="10"/>
                <w:color w:val="008000"/>
              </w:rPr>
              <w:t>(9)(10)</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70,257</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5"/>
              <w:spacing w:after="0"/>
              <w:rPr>
                <w:sz w:val="20"/>
                <w:szCs w:val="20"/>
                <w:color w:val="auto"/>
              </w:rPr>
            </w:pPr>
            <w:r>
              <w:rPr>
                <w:rFonts w:ascii="Times New Roman" w:cs="Times New Roman" w:eastAsia="Times New Roman" w:hAnsi="Times New Roman"/>
                <w:sz w:val="16"/>
                <w:szCs w:val="16"/>
                <w:color w:val="0000FF"/>
              </w:rPr>
              <w:t>04/15/2024</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vMerge w:val="restart"/>
          </w:tcPr>
          <w:p>
            <w:pPr>
              <w:jc w:val="center"/>
              <w:ind w:left="29"/>
              <w:spacing w:after="0"/>
              <w:rPr>
                <w:sz w:val="20"/>
                <w:szCs w:val="20"/>
                <w:color w:val="auto"/>
              </w:rPr>
            </w:pPr>
            <w:r>
              <w:rPr>
                <w:rFonts w:ascii="Times New Roman" w:cs="Times New Roman" w:eastAsia="Times New Roman" w:hAnsi="Times New Roman"/>
                <w:sz w:val="16"/>
                <w:szCs w:val="16"/>
                <w:color w:val="0000FF"/>
              </w:rPr>
              <w:t>170</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vMerge w:val="restart"/>
          </w:tcPr>
          <w:p>
            <w:pPr>
              <w:jc w:val="center"/>
              <w:ind w:left="24"/>
              <w:spacing w:after="0"/>
              <w:rPr>
                <w:sz w:val="20"/>
                <w:szCs w:val="20"/>
                <w:color w:val="auto"/>
              </w:rPr>
            </w:pPr>
            <w:r>
              <w:rPr>
                <w:rFonts w:ascii="Times New Roman" w:cs="Times New Roman" w:eastAsia="Times New Roman" w:hAnsi="Times New Roman"/>
                <w:sz w:val="10"/>
                <w:szCs w:val="10"/>
                <w:color w:val="008000"/>
                <w:w w:val="95"/>
              </w:rPr>
              <w:t>(11)</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70,087</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C Common Stock, par value $.01 per</w:t>
            </w:r>
          </w:p>
        </w:tc>
        <w:tc>
          <w:tcPr>
            <w:tcW w:w="1280" w:type="dxa"/>
            <w:vAlign w:val="bottom"/>
            <w:gridSpan w:val="2"/>
            <w:vMerge w:val="restart"/>
          </w:tcPr>
          <w:p>
            <w:pPr>
              <w:jc w:val="center"/>
              <w:ind w:left="65"/>
              <w:spacing w:after="0"/>
              <w:rPr>
                <w:sz w:val="20"/>
                <w:szCs w:val="20"/>
                <w:color w:val="auto"/>
              </w:rPr>
            </w:pPr>
            <w:r>
              <w:rPr>
                <w:rFonts w:ascii="Times New Roman" w:cs="Times New Roman" w:eastAsia="Times New Roman" w:hAnsi="Times New Roman"/>
                <w:sz w:val="16"/>
                <w:szCs w:val="16"/>
                <w:color w:val="0000FF"/>
              </w:rPr>
              <w:t>04/15/2024</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left="29"/>
              <w:spacing w:after="0"/>
              <w:rPr>
                <w:sz w:val="20"/>
                <w:szCs w:val="20"/>
                <w:color w:val="auto"/>
              </w:rPr>
            </w:pPr>
            <w:r>
              <w:rPr>
                <w:rFonts w:ascii="Times New Roman" w:cs="Times New Roman" w:eastAsia="Times New Roman" w:hAnsi="Times New Roman"/>
                <w:sz w:val="16"/>
                <w:szCs w:val="16"/>
                <w:color w:val="0000FF"/>
                <w:w w:val="92"/>
              </w:rPr>
              <w:t>7,859</w:t>
            </w:r>
            <w:r>
              <w:rPr>
                <w:rFonts w:ascii="Times New Roman" w:cs="Times New Roman" w:eastAsia="Times New Roman" w:hAnsi="Times New Roman"/>
                <w:sz w:val="20"/>
                <w:szCs w:val="20"/>
                <w:color w:val="008000"/>
                <w:w w:val="92"/>
                <w:vertAlign w:val="superscript"/>
              </w:rPr>
              <w:t>(12)</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vMerge w:val="restart"/>
          </w:tcPr>
          <w:p>
            <w:pPr>
              <w:jc w:val="center"/>
              <w:ind w:left="4"/>
              <w:spacing w:after="0"/>
              <w:rPr>
                <w:sz w:val="20"/>
                <w:szCs w:val="20"/>
                <w:color w:val="auto"/>
              </w:rPr>
            </w:pPr>
            <w:r>
              <w:rPr>
                <w:rFonts w:ascii="Times New Roman" w:cs="Times New Roman" w:eastAsia="Times New Roman" w:hAnsi="Times New Roman"/>
                <w:sz w:val="10"/>
                <w:szCs w:val="10"/>
                <w:color w:val="008000"/>
              </w:rPr>
              <w:t>(13)</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3"/>
              </w:rPr>
              <w:t>77,946</w:t>
            </w:r>
            <w:r>
              <w:rPr>
                <w:rFonts w:ascii="Times New Roman" w:cs="Times New Roman" w:eastAsia="Times New Roman" w:hAnsi="Times New Roman"/>
                <w:sz w:val="20"/>
                <w:szCs w:val="20"/>
                <w:color w:val="008000"/>
                <w:w w:val="93"/>
                <w:vertAlign w:val="superscript"/>
              </w:rPr>
              <w:t>(14)</w:t>
            </w:r>
          </w:p>
        </w:tc>
        <w:tc>
          <w:tcPr>
            <w:tcW w:w="280" w:type="dxa"/>
            <w:vAlign w:val="bottom"/>
          </w:tcPr>
          <w:p>
            <w:pPr>
              <w:spacing w:after="0"/>
              <w:rPr>
                <w:sz w:val="20"/>
                <w:szCs w:val="20"/>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share</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560" w:type="dxa"/>
            <w:vAlign w:val="bottom"/>
            <w:tcBorders>
              <w:bottom w:val="single" w:sz="8" w:color="2C2C2C"/>
            </w:tcBorders>
            <w:gridSpan w:val="10"/>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18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20" w:type="dxa"/>
            <w:vAlign w:val="bottom"/>
            <w:gridSpan w:val="8"/>
          </w:tcPr>
          <w:p>
            <w:pPr>
              <w:jc w:val="center"/>
              <w:ind w:right="2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0000FF"/>
                <w:w w:val="94"/>
              </w:rPr>
              <w:t>Class C</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4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(15)</w:t>
            </w: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vMerge w:val="restart"/>
          </w:tcPr>
          <w:p>
            <w:pPr>
              <w:ind w:left="120"/>
              <w:spacing w:after="0" w:line="215" w:lineRule="exact"/>
              <w:rPr>
                <w:sz w:val="20"/>
                <w:szCs w:val="20"/>
                <w:color w:val="auto"/>
              </w:rPr>
            </w:pPr>
            <w:r>
              <w:rPr>
                <w:rFonts w:ascii="Times New Roman" w:cs="Times New Roman" w:eastAsia="Times New Roman" w:hAnsi="Times New Roman"/>
                <w:sz w:val="13"/>
                <w:szCs w:val="13"/>
                <w:color w:val="0000FF"/>
                <w:w w:val="99"/>
              </w:rPr>
              <w:t>15,316</w:t>
            </w:r>
            <w:r>
              <w:rPr>
                <w:rFonts w:ascii="Times New Roman" w:cs="Times New Roman" w:eastAsia="Times New Roman" w:hAnsi="Times New Roman"/>
                <w:sz w:val="20"/>
                <w:szCs w:val="20"/>
                <w:color w:val="008000"/>
                <w:w w:val="99"/>
                <w:vertAlign w:val="superscript"/>
              </w:rPr>
              <w:t>(15)</w:t>
            </w: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restart"/>
          </w:tcPr>
          <w:p>
            <w:pPr>
              <w:jc w:val="center"/>
              <w:ind w:right="14"/>
              <w:spacing w:after="0" w:line="139" w:lineRule="exact"/>
              <w:rPr>
                <w:sz w:val="20"/>
                <w:szCs w:val="20"/>
                <w:color w:val="auto"/>
              </w:rPr>
            </w:pPr>
            <w:r>
              <w:rPr>
                <w:rFonts w:ascii="Times New Roman" w:cs="Times New Roman" w:eastAsia="Times New Roman" w:hAnsi="Times New Roman"/>
                <w:sz w:val="13"/>
                <w:szCs w:val="13"/>
                <w:color w:val="0000FF"/>
                <w:w w:val="91"/>
              </w:rPr>
              <w:t>Stock,</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22,974</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160"/>
              <w:spacing w:after="0" w:line="215" w:lineRule="exact"/>
              <w:rPr>
                <w:sz w:val="20"/>
                <w:szCs w:val="20"/>
                <w:color w:val="auto"/>
              </w:rPr>
            </w:pPr>
            <w:r>
              <w:rPr>
                <w:rFonts w:ascii="Times New Roman" w:cs="Times New Roman" w:eastAsia="Times New Roman" w:hAnsi="Times New Roman"/>
                <w:sz w:val="13"/>
                <w:szCs w:val="13"/>
                <w:color w:val="0000FF"/>
              </w:rPr>
              <w:t>15,316</w:t>
            </w:r>
            <w:r>
              <w:rPr>
                <w:rFonts w:ascii="Times New Roman" w:cs="Times New Roman" w:eastAsia="Times New Roman" w:hAnsi="Times New Roman"/>
                <w:sz w:val="20"/>
                <w:szCs w:val="20"/>
                <w:color w:val="008000"/>
                <w:vertAlign w:val="superscript"/>
              </w:rPr>
              <w:t>(16)</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continue"/>
          </w:tcPr>
          <w:p>
            <w:pPr>
              <w:spacing w:after="0"/>
              <w:rPr>
                <w:sz w:val="6"/>
                <w:szCs w:val="6"/>
                <w:color w:val="auto"/>
              </w:rPr>
            </w:pPr>
          </w:p>
        </w:tc>
        <w:tc>
          <w:tcPr>
            <w:tcW w:w="1020" w:type="dxa"/>
            <w:vAlign w:val="bottom"/>
            <w:vMerge w:val="restart"/>
          </w:tcPr>
          <w:p>
            <w:pPr>
              <w:jc w:val="right"/>
              <w:ind w:right="142"/>
              <w:spacing w:after="0"/>
              <w:rPr>
                <w:sz w:val="20"/>
                <w:szCs w:val="20"/>
                <w:color w:val="auto"/>
              </w:rPr>
            </w:pPr>
            <w:r>
              <w:rPr>
                <w:rFonts w:ascii="Times New Roman" w:cs="Times New Roman" w:eastAsia="Times New Roman" w:hAnsi="Times New Roman"/>
                <w:sz w:val="13"/>
                <w:szCs w:val="13"/>
                <w:color w:val="0000FF"/>
              </w:rPr>
              <w:t>04/15/2024</w:t>
            </w: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04/15/2027</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04/15/2027</w:t>
            </w: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tcPr>
          <w:p>
            <w:pPr>
              <w:ind w:left="40"/>
              <w:spacing w:after="0" w:line="77" w:lineRule="exact"/>
              <w:rPr>
                <w:sz w:val="20"/>
                <w:szCs w:val="20"/>
                <w:color w:val="auto"/>
              </w:rPr>
            </w:pPr>
            <w:r>
              <w:rPr>
                <w:rFonts w:ascii="Times New Roman" w:cs="Times New Roman" w:eastAsia="Times New Roman" w:hAnsi="Times New Roman"/>
                <w:sz w:val="8"/>
                <w:szCs w:val="8"/>
                <w:color w:val="0000FF"/>
              </w:rPr>
              <w:t>par value</w:t>
            </w:r>
          </w:p>
        </w:tc>
        <w:tc>
          <w:tcPr>
            <w:tcW w:w="5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7040"/>
        <w:spacing w:after="0"/>
        <w:rPr>
          <w:sz w:val="20"/>
          <w:szCs w:val="20"/>
          <w:color w:val="auto"/>
        </w:rPr>
      </w:pPr>
      <w:r>
        <w:rPr>
          <w:rFonts w:ascii="Times New Roman" w:cs="Times New Roman" w:eastAsia="Times New Roman" w:hAnsi="Times New Roman"/>
          <w:sz w:val="13"/>
          <w:szCs w:val="13"/>
          <w:color w:val="0000FF"/>
        </w:rPr>
        <w:t>share</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24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2021, Mr. Malcarney was issued 4,597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2024, 1,779 shares vested. Mr. Malcarney elected to satisfy his tax obligation upon the exchange of common stock for RSUs having a value on the date of the exchange equal to the withholding obligation. This form reflects the surrender of 787 shares of Class C Common Stock to satisfy the grantee's tax withholding obligation.</w:t>
      </w:r>
    </w:p>
    <w:p>
      <w:pPr>
        <w:spacing w:after="0" w:line="25" w:lineRule="exact"/>
        <w:rPr>
          <w:rFonts w:ascii="Times New Roman" w:cs="Times New Roman" w:eastAsia="Times New Roman" w:hAnsi="Times New Roman"/>
          <w:sz w:val="13"/>
          <w:szCs w:val="13"/>
          <w:color w:val="008000"/>
        </w:rPr>
      </w:pPr>
    </w:p>
    <w:p>
      <w:pPr>
        <w:ind w:left="40" w:right="32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243 DERs converted to Class C Common Stock, resulting in the reporting person holding 3,931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ind w:left="40" w:right="24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2022, Mr. Malcarney was issued 4,819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2024, 1,623 shares vested. Mr. Malcarney elected to satisfy his tax obligation upon the exchange of common stock for RSUs having a value on the date of the exchange equal to the withholding obligation. This form reflects the surrender of 717 shares of Class C Common Stock to satisfy the grantee's tax withholding obligation.</w:t>
      </w:r>
    </w:p>
    <w:p>
      <w:pPr>
        <w:spacing w:after="0" w:line="25" w:lineRule="exact"/>
        <w:rPr>
          <w:rFonts w:ascii="Times New Roman" w:cs="Times New Roman" w:eastAsia="Times New Roman" w:hAnsi="Times New Roman"/>
          <w:sz w:val="13"/>
          <w:szCs w:val="13"/>
          <w:color w:val="008000"/>
        </w:rPr>
      </w:pPr>
    </w:p>
    <w:p>
      <w:pPr>
        <w:ind w:left="40" w:right="32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161 DERs converted to Class C Common Stock, resulting in the reporting person holding 3,770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ind w:left="40" w:right="24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2023, Mr. Malcarney was issued 5,391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2024, 1,910 shares vested. Mr. Malcarney elected to satisfy his tax obligation upon the exchange of common stock for RSUs having a value on the date of the exchange equal to the withholding obligation. This form reflects the surrender of 885 shares of Class C Common Stock to satisfy the grantee's tax withholding obligation.</w:t>
      </w:r>
    </w:p>
    <w:p>
      <w:pPr>
        <w:spacing w:after="0" w:line="25" w:lineRule="exact"/>
        <w:rPr>
          <w:rFonts w:ascii="Times New Roman" w:cs="Times New Roman" w:eastAsia="Times New Roman" w:hAnsi="Times New Roman"/>
          <w:sz w:val="13"/>
          <w:szCs w:val="13"/>
          <w:color w:val="008000"/>
        </w:rPr>
      </w:pPr>
    </w:p>
    <w:p>
      <w:pPr>
        <w:ind w:left="40" w:right="320" w:hanging="2"/>
        <w:spacing w:after="0" w:line="23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115 DERs converted to Class C Common Stock, resulting in the reporting person holding 3,655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ectPr>
          <w:pgSz w:w="11900" w:h="16863" w:orient="portrait"/>
          <w:cols w:equalWidth="0" w:num="1">
            <w:col w:w="11080"/>
          </w:cols>
          <w:pgMar w:left="460" w:top="215" w:right="359" w:bottom="0" w:gutter="0" w:footer="0" w:header="0"/>
          <w:type w:val="continuous"/>
        </w:sectPr>
      </w:pPr>
    </w:p>
    <w:bookmarkStart w:id="1" w:name="page2"/>
    <w:bookmarkEnd w:id="1"/>
    <w:p>
      <w:pPr>
        <w:ind w:left="2" w:right="440" w:hanging="2"/>
        <w:spacing w:after="0" w:line="245"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Malcarney was issued 9,387 Relative Performance Stock Units ("RPSUs") by Clearway Energy, Inc. (f/k/a NRG Yield, Inc.) (the "Company") under the Company's Amended and Restated 2013 Equity Incentive Plan (the "LTIP") on April 15, 2021. Based on the Company reaching a certain level of total shareholder return ("TSR"), 5,472 RPSUs vested on April 15, 2024.</w:t>
      </w:r>
    </w:p>
    <w:p>
      <w:pPr>
        <w:spacing w:after="0" w:line="21" w:lineRule="exact"/>
        <w:rPr>
          <w:rFonts w:ascii="Times New Roman" w:cs="Times New Roman" w:eastAsia="Times New Roman" w:hAnsi="Times New Roman"/>
          <w:sz w:val="13"/>
          <w:szCs w:val="13"/>
          <w:color w:val="008000"/>
        </w:rPr>
      </w:pPr>
    </w:p>
    <w:p>
      <w:pPr>
        <w:ind w:left="2" w:right="20" w:hanging="2"/>
        <w:spacing w:after="0" w:line="23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Malcarney was entitled to receive (i) a maximum of 14,179 shares of Class C Common Stock if Company's TSR ranked at or above the 75th percentile relative to a peer group of companies approved by the Company's Compensation Committee (the "Peer Group") for the performance period (the "Maximum"); (ii) 9,453 shares if Company's TSR ranked at the 50th percentile relative to the Peer Group for the performance period (the "Target"); provided, however, if TSR was less than negative twenty percent (-20%), the Company's TSR must be ranked at the 60th percentile relative to the Peer Group for the performance period to receive the Target award; or (iii) 2,363 shares if Company's TSR ranked at the 25th percentile relative to the Peer Group for the performance period (the "Threshold"). The Reporting Person would not have received any shares if Company's TSR was below the 25th percentile relative to the Peer Group for the performance period.</w:t>
      </w:r>
    </w:p>
    <w:p>
      <w:pPr>
        <w:spacing w:after="0" w:line="25" w:lineRule="exact"/>
        <w:rPr>
          <w:rFonts w:ascii="Times New Roman" w:cs="Times New Roman" w:eastAsia="Times New Roman" w:hAnsi="Times New Roman"/>
          <w:sz w:val="13"/>
          <w:szCs w:val="13"/>
          <w:color w:val="008000"/>
        </w:rPr>
      </w:pPr>
    </w:p>
    <w:p>
      <w:pPr>
        <w:ind w:left="2" w:hanging="2"/>
        <w:spacing w:after="0" w:line="245"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Malcarney elected to satisfy his tax obligation upon the exchange of common stock for RPSUs having a value on the date of the exchange equal to the withholding obligation. This form reflects the surrender of 3,015 shares of Class C Common Stock to satisfy the grantee's tax withholding obligation. Additionally, 621 DERs were cancelled due to RPSU performance.</w:t>
      </w:r>
    </w:p>
    <w:p>
      <w:pPr>
        <w:spacing w:after="0" w:line="21" w:lineRule="exact"/>
        <w:rPr>
          <w:rFonts w:ascii="Times New Roman" w:cs="Times New Roman" w:eastAsia="Times New Roman" w:hAnsi="Times New Roman"/>
          <w:sz w:val="13"/>
          <w:szCs w:val="13"/>
          <w:color w:val="008000"/>
        </w:rPr>
      </w:pPr>
    </w:p>
    <w:p>
      <w:pPr>
        <w:jc w:val="both"/>
        <w:ind w:left="2" w:right="140" w:hanging="2"/>
        <w:spacing w:after="0" w:line="23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RPSUs described above, a previously accrued 869 dividend equivalent rights ("DERs") converted to Class C Common Stock resulting in the reporting person holding 2,166 DERs that may only be settled in Class C Common Stock. DERs accrue on the reporting person's outstanding RSUs and RPSUs, which become exercisable proportionately with the RSUs and RPSUs to which they relate and may only be settled in Clearway Energy, Inc. Class C Common Stock. Each DER is the economic equivalent of one share of Clearway Energy, Inc. Class C Common Stock.</w:t>
      </w:r>
    </w:p>
    <w:p>
      <w:pPr>
        <w:spacing w:after="0" w:line="26" w:lineRule="exact"/>
        <w:rPr>
          <w:rFonts w:ascii="Times New Roman" w:cs="Times New Roman" w:eastAsia="Times New Roman" w:hAnsi="Times New Roman"/>
          <w:sz w:val="13"/>
          <w:szCs w:val="13"/>
          <w:color w:val="008000"/>
        </w:rPr>
      </w:pPr>
    </w:p>
    <w:p>
      <w:pPr>
        <w:ind w:left="2" w:right="60" w:hanging="2"/>
        <w:spacing w:after="0" w:line="255" w:lineRule="auto"/>
        <w:tabs>
          <w:tab w:leader="none" w:pos="18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Restricted Stock Unit (RSU) awards become eligible for continued vesting after a participant's Retirement, as defined in Clearway Energy, Inc.'s Amended and Restated 2013 Equity Incentive Plan (the "LTIP"), provided the award has been outstanding for one year. On April 15, 2024, Mr. Malcarney's RSUs granted on April 15, 2023 became eligible for continued vesting pursuant to the award agreement in the event Mr. Malcarney retires. Mr. Malcarney elected to satisfy his tax obligation upon the exchange of common stock for RSUs having a value on the date of the exchange equal to the withholding obligation associated with his eligibility for continued vesting of outstanding RSUs. This form reflects the surrender of 170 shares of Class C Common Stock to satisfy the grantee's tax withholding obligation.</w:t>
      </w:r>
    </w:p>
    <w:p>
      <w:pPr>
        <w:spacing w:after="0" w:line="17" w:lineRule="exact"/>
        <w:rPr>
          <w:rFonts w:ascii="Times New Roman" w:cs="Times New Roman" w:eastAsia="Times New Roman" w:hAnsi="Times New Roman"/>
          <w:sz w:val="12"/>
          <w:szCs w:val="12"/>
          <w:color w:val="008000"/>
        </w:rPr>
      </w:pPr>
    </w:p>
    <w:p>
      <w:pPr>
        <w:ind w:left="182" w:hanging="182"/>
        <w:spacing w:after="0"/>
        <w:tabs>
          <w:tab w:leader="none" w:pos="18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issued to Mr. Malcarney under the LTIP.</w:t>
      </w:r>
    </w:p>
    <w:p>
      <w:pPr>
        <w:spacing w:after="0" w:line="39" w:lineRule="exact"/>
        <w:rPr>
          <w:rFonts w:ascii="Times New Roman" w:cs="Times New Roman" w:eastAsia="Times New Roman" w:hAnsi="Times New Roman"/>
          <w:sz w:val="13"/>
          <w:szCs w:val="13"/>
          <w:color w:val="008000"/>
        </w:rPr>
      </w:pPr>
    </w:p>
    <w:p>
      <w:pPr>
        <w:ind w:left="182" w:hanging="182"/>
        <w:spacing w:after="0"/>
        <w:tabs>
          <w:tab w:leader="none" w:pos="18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39" w:lineRule="exact"/>
        <w:rPr>
          <w:rFonts w:ascii="Times New Roman" w:cs="Times New Roman" w:eastAsia="Times New Roman" w:hAnsi="Times New Roman"/>
          <w:sz w:val="13"/>
          <w:szCs w:val="13"/>
          <w:color w:val="008000"/>
        </w:rPr>
      </w:pPr>
    </w:p>
    <w:p>
      <w:pPr>
        <w:ind w:left="2" w:right="80" w:hanging="2"/>
        <w:spacing w:after="0" w:line="245"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21" w:lineRule="exact"/>
        <w:rPr>
          <w:rFonts w:ascii="Times New Roman" w:cs="Times New Roman" w:eastAsia="Times New Roman" w:hAnsi="Times New Roman"/>
          <w:sz w:val="13"/>
          <w:szCs w:val="13"/>
          <w:color w:val="008000"/>
        </w:rPr>
      </w:pPr>
    </w:p>
    <w:p>
      <w:pPr>
        <w:jc w:val="both"/>
        <w:ind w:left="2" w:right="240" w:hanging="2"/>
        <w:spacing w:after="0" w:line="26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issued 15,316 Relative Performance Stock Units ("RPSUs") by Clearway Energy, Inc. under the LTIP on April 15, 2024. The RPSUs will convert to shares of Clearway Energy, Inc. Class C Common Stock on April 15, 2027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11" w:lineRule="exact"/>
        <w:rPr>
          <w:rFonts w:ascii="Times New Roman" w:cs="Times New Roman" w:eastAsia="Times New Roman" w:hAnsi="Times New Roman"/>
          <w:sz w:val="12"/>
          <w:szCs w:val="12"/>
          <w:color w:val="008000"/>
        </w:rPr>
      </w:pPr>
    </w:p>
    <w:p>
      <w:pPr>
        <w:ind w:left="2" w:right="40" w:hanging="2"/>
        <w:spacing w:after="0" w:line="230"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22,974 shares of Class C Common Stock if Company's TSR is ranked at or above the 75th percentile relative to a peer group of companies approved by the Company's Compensation Committee (the "Peer Group") for the performance period ("Maximum"); (ii) 15,316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3,829 shares of Common Stock if Company's TSR is ranked at the 25th percentile relative to the Peer Group for the performance period (the "Threshold"). The Reporting Person will not receive any shares of Common Stock if Company's TSR is below the 25th percentile.</w:t>
      </w:r>
    </w:p>
    <w:p>
      <w:pPr>
        <w:spacing w:after="0" w:line="43"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/s/ Kevin P. Malcarney</w:t>
            </w:r>
          </w:p>
        </w:tc>
        <w:tc>
          <w:tcPr>
            <w:tcW w:w="72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04/17/2024</w:t>
            </w:r>
          </w:p>
        </w:tc>
      </w:tr>
      <w:tr>
        <w:trPr>
          <w:trHeight w:val="221"/>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620" w:hanging="2"/>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2"/>
      </w:cols>
      <w:pgMar w:left="498"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2024-04-17T15:32:02Z</dcterms:created>
  <dcterms:modified xsi:type="dcterms:W3CDTF">2024-04-17T15:32:02Z</dcterms:modified>
</cp:coreProperties>
</file>