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vMerge w:val="continue"/>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12/02/2019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6"/>
          </w:tcPr>
          <w:p>
            <w:pPr>
              <w:ind w:left="6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10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80"/>
              <w:spacing w:after="0" w:line="152"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w w:val="99"/>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0000FF"/>
              </w:rPr>
              <w:t>67</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Times New Roman" w:cs="Times New Roman" w:eastAsia="Times New Roman" w:hAnsi="Times New Roman"/>
                <w:sz w:val="18"/>
                <w:szCs w:val="18"/>
                <w:color w:val="0000FF"/>
              </w:rPr>
              <w:t>7,277</w:t>
            </w:r>
            <w:r>
              <w:rPr>
                <w:rFonts w:ascii="Times New Roman" w:cs="Times New Roman" w:eastAsia="Times New Roman" w:hAnsi="Times New Roman"/>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384</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8"/>
                <w:szCs w:val="18"/>
                <w:color w:val="0000FF"/>
              </w:rPr>
              <w:t>38,515</w:t>
            </w:r>
            <w:r>
              <w:rPr>
                <w:rFonts w:ascii="Times New Roman" w:cs="Times New Roman" w:eastAsia="Times New Roman" w:hAnsi="Times New Roman"/>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1,730 dividend equivalent rights that may only be settled in Class A Common Stock. There has been a de minimus adjustment of 2 shares to the number of dividend equivalent rights as a result of rounding fractional shares.</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5,819 dividend equivalent rights that may only be settled in Class C Common Stock. There has been a de minimus adjustment of 3 shares to the number of dividend equivalent rights as a result of rounding fractional shares.</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2019-12-04T16:11:18Z</dcterms:created>
  <dcterms:modified xsi:type="dcterms:W3CDTF">2019-12-04T16:11:18Z</dcterms:modified>
</cp:coreProperties>
</file>