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732155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ind w:left="1880" w:right="2840" w:hanging="1397"/>
        <w:spacing w:after="0" w:line="657" w:lineRule="auto"/>
        <w:tabs>
          <w:tab w:leader="none" w:pos="18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2018</w:t>
      </w:r>
    </w:p>
    <w:p>
      <w:pPr>
        <w:spacing w:after="0" w:line="1" w:lineRule="exact"/>
        <w:rPr>
          <w:sz w:val="24"/>
          <w:szCs w:val="24"/>
          <w:color w:val="auto"/>
        </w:rPr>
      </w:pPr>
    </w:p>
    <w:p>
      <w:pPr>
        <w:ind w:left="4240" w:right="2800" w:hanging="3757"/>
        <w:spacing w:after="0" w:line="510" w:lineRule="auto"/>
        <w:tabs>
          <w:tab w:leader="none" w:pos="187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333-203369</w:t>
      </w:r>
    </w:p>
    <w:p>
      <w:pPr>
        <w:jc w:val="center"/>
        <w:ind w:right="-19"/>
        <w:spacing w:after="0"/>
        <w:rPr>
          <w:sz w:val="20"/>
          <w:szCs w:val="20"/>
          <w:color w:val="auto"/>
        </w:rPr>
      </w:pPr>
      <w:r>
        <w:rPr>
          <w:rFonts w:ascii="Arial" w:cs="Arial" w:eastAsia="Arial" w:hAnsi="Arial"/>
          <w:sz w:val="43"/>
          <w:szCs w:val="43"/>
          <w:b w:val="1"/>
          <w:bCs w:val="1"/>
          <w:color w:val="auto"/>
        </w:rPr>
        <w:t>Clearway Energy LLC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780" w:type="dxa"/>
        <w:tblCellMar>
          <w:top w:w="0" w:type="dxa"/>
          <w:left w:w="0" w:type="dxa"/>
          <w:bottom w:w="0" w:type="dxa"/>
          <w:right w:w="0" w:type="dxa"/>
        </w:tblCellMar>
      </w:tblPr>
      <w:tr>
        <w:trPr>
          <w:trHeight w:val="220"/>
        </w:trPr>
        <w:tc>
          <w:tcPr>
            <w:tcW w:w="6960" w:type="dxa"/>
            <w:vAlign w:val="bottom"/>
          </w:tcPr>
          <w:p>
            <w:pPr>
              <w:jc w:val="center"/>
              <w:ind w:right="2710"/>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32-0407370</w:t>
            </w:r>
          </w:p>
        </w:tc>
      </w:tr>
      <w:tr>
        <w:trPr>
          <w:trHeight w:val="216"/>
        </w:trPr>
        <w:tc>
          <w:tcPr>
            <w:tcW w:w="6960" w:type="dxa"/>
            <w:vAlign w:val="bottom"/>
          </w:tcPr>
          <w:p>
            <w:pPr>
              <w:jc w:val="center"/>
              <w:ind w:right="2710"/>
              <w:spacing w:after="0"/>
              <w:rPr>
                <w:sz w:val="20"/>
                <w:szCs w:val="20"/>
                <w:color w:val="auto"/>
              </w:rPr>
            </w:pPr>
            <w:r>
              <w:rPr>
                <w:rFonts w:ascii="Arial" w:cs="Arial" w:eastAsia="Arial" w:hAnsi="Arial"/>
                <w:sz w:val="18"/>
                <w:szCs w:val="18"/>
                <w:color w:val="auto"/>
                <w:w w:val="91"/>
              </w:rPr>
              <w:t>(State or other jurisdiction</w:t>
            </w: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93"/>
              </w:rPr>
              <w:t>(I.R.S. Employer</w:t>
            </w:r>
          </w:p>
        </w:tc>
      </w:tr>
      <w:tr>
        <w:trPr>
          <w:trHeight w:val="230"/>
        </w:trPr>
        <w:tc>
          <w:tcPr>
            <w:tcW w:w="6960" w:type="dxa"/>
            <w:vAlign w:val="bottom"/>
          </w:tcPr>
          <w:p>
            <w:pPr>
              <w:jc w:val="center"/>
              <w:ind w:right="2710"/>
              <w:spacing w:after="0"/>
              <w:rPr>
                <w:sz w:val="20"/>
                <w:szCs w:val="20"/>
                <w:color w:val="auto"/>
              </w:rPr>
            </w:pPr>
            <w:r>
              <w:rPr>
                <w:rFonts w:ascii="Arial" w:cs="Arial" w:eastAsia="Arial" w:hAnsi="Arial"/>
                <w:sz w:val="18"/>
                <w:szCs w:val="18"/>
                <w:color w:val="auto"/>
                <w:w w:val="92"/>
              </w:rPr>
              <w:t>of incorporation or organization)</w:t>
            </w:r>
          </w:p>
        </w:tc>
        <w:tc>
          <w:tcPr>
            <w:tcW w:w="1460" w:type="dxa"/>
            <w:vAlign w:val="bottom"/>
          </w:tcPr>
          <w:p>
            <w:pPr>
              <w:jc w:val="center"/>
              <w:ind w:left="30"/>
              <w:spacing w:after="0"/>
              <w:rPr>
                <w:sz w:val="20"/>
                <w:szCs w:val="20"/>
                <w:color w:val="auto"/>
              </w:rPr>
            </w:pPr>
            <w:r>
              <w:rPr>
                <w:rFonts w:ascii="Arial" w:cs="Arial" w:eastAsia="Arial" w:hAnsi="Arial"/>
                <w:sz w:val="18"/>
                <w:szCs w:val="18"/>
                <w:color w:val="auto"/>
                <w:w w:val="95"/>
              </w:rPr>
              <w:t>Identification No.)</w:t>
            </w:r>
          </w:p>
        </w:tc>
      </w:tr>
      <w:tr>
        <w:trPr>
          <w:trHeight w:val="526"/>
        </w:trPr>
        <w:tc>
          <w:tcPr>
            <w:tcW w:w="6960" w:type="dxa"/>
            <w:vAlign w:val="bottom"/>
          </w:tcPr>
          <w:p>
            <w:pPr>
              <w:jc w:val="center"/>
              <w:ind w:right="2710"/>
              <w:spacing w:after="0"/>
              <w:rPr>
                <w:sz w:val="20"/>
                <w:szCs w:val="20"/>
                <w:color w:val="auto"/>
              </w:rPr>
            </w:pPr>
            <w:r>
              <w:rPr>
                <w:rFonts w:ascii="Arial" w:cs="Arial" w:eastAsia="Arial" w:hAnsi="Arial"/>
                <w:sz w:val="18"/>
                <w:szCs w:val="18"/>
                <w:b w:val="1"/>
                <w:bCs w:val="1"/>
                <w:color w:val="auto"/>
                <w:w w:val="89"/>
              </w:rPr>
              <w:t>300 Carnegie Center, Suite 300, Princeton, New Jersey</w:t>
            </w: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08540</w:t>
            </w:r>
          </w:p>
        </w:tc>
      </w:tr>
      <w:tr>
        <w:trPr>
          <w:trHeight w:val="230"/>
        </w:trPr>
        <w:tc>
          <w:tcPr>
            <w:tcW w:w="6960" w:type="dxa"/>
            <w:vAlign w:val="bottom"/>
          </w:tcPr>
          <w:p>
            <w:pPr>
              <w:jc w:val="center"/>
              <w:ind w:right="2730"/>
              <w:spacing w:after="0"/>
              <w:rPr>
                <w:sz w:val="20"/>
                <w:szCs w:val="20"/>
                <w:color w:val="auto"/>
              </w:rPr>
            </w:pPr>
            <w:r>
              <w:rPr>
                <w:rFonts w:ascii="Arial" w:cs="Arial" w:eastAsia="Arial" w:hAnsi="Arial"/>
                <w:sz w:val="18"/>
                <w:szCs w:val="18"/>
                <w:color w:val="auto"/>
                <w:w w:val="92"/>
              </w:rPr>
              <w:t>(Address of principal executive offices)</w:t>
            </w: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94"/>
              </w:rPr>
              <w:t>(Zip Code)</w:t>
            </w:r>
          </w:p>
        </w:tc>
      </w:tr>
      <w:tr>
        <w:trPr>
          <w:trHeight w:val="445"/>
        </w:trPr>
        <w:tc>
          <w:tcPr>
            <w:tcW w:w="6960" w:type="dxa"/>
            <w:vAlign w:val="bottom"/>
          </w:tcPr>
          <w:p>
            <w:pPr>
              <w:jc w:val="right"/>
              <w:ind w:right="1370"/>
              <w:spacing w:after="0"/>
              <w:rPr>
                <w:sz w:val="20"/>
                <w:szCs w:val="20"/>
                <w:color w:val="auto"/>
              </w:rPr>
            </w:pPr>
            <w:r>
              <w:rPr>
                <w:rFonts w:ascii="Arial" w:cs="Arial" w:eastAsia="Arial" w:hAnsi="Arial"/>
                <w:sz w:val="18"/>
                <w:szCs w:val="18"/>
                <w:b w:val="1"/>
                <w:bCs w:val="1"/>
                <w:color w:val="auto"/>
              </w:rPr>
              <w:t>(609) 608-1525</w:t>
            </w:r>
          </w:p>
        </w:tc>
        <w:tc>
          <w:tcPr>
            <w:tcW w:w="1460" w:type="dxa"/>
            <w:vAlign w:val="bottom"/>
          </w:tcPr>
          <w:p>
            <w:pPr>
              <w:spacing w:after="0"/>
              <w:rPr>
                <w:sz w:val="24"/>
                <w:szCs w:val="24"/>
                <w:color w:val="auto"/>
              </w:rPr>
            </w:pPr>
          </w:p>
        </w:tc>
      </w:tr>
      <w:tr>
        <w:trPr>
          <w:trHeight w:val="230"/>
        </w:trPr>
        <w:tc>
          <w:tcPr>
            <w:tcW w:w="6960" w:type="dxa"/>
            <w:vAlign w:val="bottom"/>
          </w:tcPr>
          <w:p>
            <w:pPr>
              <w:jc w:val="center"/>
              <w:ind w:left="2810"/>
              <w:spacing w:after="0"/>
              <w:rPr>
                <w:sz w:val="20"/>
                <w:szCs w:val="20"/>
                <w:color w:val="auto"/>
              </w:rPr>
            </w:pPr>
            <w:r>
              <w:rPr>
                <w:rFonts w:ascii="Arial" w:cs="Arial" w:eastAsia="Arial" w:hAnsi="Arial"/>
                <w:sz w:val="18"/>
                <w:szCs w:val="18"/>
                <w:color w:val="auto"/>
                <w:w w:val="90"/>
              </w:rPr>
              <w:t>(Registrant’s telephone number, including area code)</w:t>
            </w:r>
          </w:p>
        </w:tc>
        <w:tc>
          <w:tcPr>
            <w:tcW w:w="1460" w:type="dxa"/>
            <w:vAlign w:val="bottom"/>
          </w:tcPr>
          <w:p>
            <w:pPr>
              <w:spacing w:after="0"/>
              <w:rPr>
                <w:sz w:val="20"/>
                <w:szCs w:val="20"/>
                <w:color w:val="auto"/>
              </w:rPr>
            </w:pPr>
          </w:p>
        </w:tc>
      </w:tr>
    </w:tbl>
    <w:p>
      <w:pPr>
        <w:spacing w:after="0" w:line="98" w:lineRule="exact"/>
        <w:rPr>
          <w:sz w:val="24"/>
          <w:szCs w:val="24"/>
          <w:color w:val="auto"/>
        </w:rPr>
      </w:pPr>
    </w:p>
    <w:p>
      <w:pPr>
        <w:jc w:val="both"/>
        <w:ind w:firstLine="270"/>
        <w:spacing w:after="0" w:line="253"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(Note: The registrant is a voluntary filer and not subject to the filing requirements of Section 13 or 15(d) of the Securities Exchange Act of 1934. Although not subject to these filing requirements, the registrant has filed all reports that would have been required to be filed by Section 13 or 15(d) of the Securities Exchange Act of 1934 during the preceding 12 months had the registrant been subject to such requirements.) </w:t>
      </w:r>
      <w:r>
        <w:rPr>
          <w:rFonts w:ascii="Arial" w:cs="Arial" w:eastAsia="Arial" w:hAnsi="Arial"/>
          <w:sz w:val="16"/>
          <w:szCs w:val="16"/>
          <w:b w:val="1"/>
          <w:bCs w:val="1"/>
          <w:color w:val="auto"/>
        </w:rPr>
        <w:t>Yes</w:t>
      </w:r>
      <w:r>
        <w:rPr>
          <w:rFonts w:ascii="Arial" w:cs="Arial" w:eastAsia="Arial" w:hAnsi="Arial"/>
          <w:sz w:val="16"/>
          <w:szCs w:val="16"/>
          <w:color w:val="auto"/>
        </w:rPr>
        <w:t xml:space="preserve"> o </w:t>
      </w:r>
      <w:r>
        <w:rPr>
          <w:rFonts w:ascii="Arial" w:cs="Arial" w:eastAsia="Arial" w:hAnsi="Arial"/>
          <w:sz w:val="16"/>
          <w:szCs w:val="16"/>
          <w:b w:val="1"/>
          <w:bCs w:val="1"/>
          <w:color w:val="auto"/>
        </w:rPr>
        <w:t>No</w:t>
      </w:r>
      <w:r>
        <w:rPr>
          <w:rFonts w:ascii="Arial" w:cs="Arial" w:eastAsia="Arial" w:hAnsi="Arial"/>
          <w:sz w:val="16"/>
          <w:szCs w:val="16"/>
          <w:color w:val="auto"/>
        </w:rPr>
        <w:t xml:space="preserve"> o</w:t>
      </w:r>
    </w:p>
    <w:p>
      <w:pPr>
        <w:spacing w:after="0" w:line="84" w:lineRule="exact"/>
        <w:rPr>
          <w:sz w:val="24"/>
          <w:szCs w:val="24"/>
          <w:color w:val="auto"/>
        </w:rPr>
      </w:pPr>
    </w:p>
    <w:p>
      <w:pPr>
        <w:jc w:val="both"/>
        <w:ind w:firstLine="270"/>
        <w:spacing w:after="0" w:line="310" w:lineRule="auto"/>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cs="Arial" w:eastAsia="Arial" w:hAnsi="Arial"/>
          <w:sz w:val="15"/>
          <w:szCs w:val="15"/>
          <w:b w:val="1"/>
          <w:bCs w:val="1"/>
          <w:color w:val="auto"/>
        </w:rPr>
        <w:t>Yes</w:t>
      </w:r>
      <w:r>
        <w:rPr>
          <w:rFonts w:ascii="Arial" w:cs="Arial" w:eastAsia="Arial" w:hAnsi="Arial"/>
          <w:sz w:val="15"/>
          <w:szCs w:val="15"/>
          <w:color w:val="auto"/>
        </w:rPr>
        <w:t xml:space="preserve"> x </w:t>
      </w:r>
      <w:r>
        <w:rPr>
          <w:rFonts w:ascii="Arial" w:cs="Arial" w:eastAsia="Arial" w:hAnsi="Arial"/>
          <w:sz w:val="15"/>
          <w:szCs w:val="15"/>
          <w:b w:val="1"/>
          <w:bCs w:val="1"/>
          <w:color w:val="auto"/>
        </w:rPr>
        <w:t>No</w:t>
      </w:r>
      <w:r>
        <w:rPr>
          <w:rFonts w:ascii="Arial" w:cs="Arial" w:eastAsia="Arial" w:hAnsi="Arial"/>
          <w:sz w:val="15"/>
          <w:szCs w:val="15"/>
          <w:color w:val="auto"/>
        </w:rPr>
        <w:t xml:space="preserve"> o</w:t>
      </w:r>
    </w:p>
    <w:p>
      <w:pPr>
        <w:spacing w:after="0" w:line="41" w:lineRule="exact"/>
        <w:rPr>
          <w:sz w:val="24"/>
          <w:szCs w:val="24"/>
          <w:color w:val="auto"/>
        </w:rPr>
      </w:pPr>
    </w:p>
    <w:p>
      <w:pPr>
        <w:jc w:val="both"/>
        <w:ind w:firstLine="27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4" w:lineRule="exact"/>
        <w:rPr>
          <w:sz w:val="24"/>
          <w:szCs w:val="24"/>
          <w:color w:val="auto"/>
        </w:rPr>
      </w:pPr>
    </w:p>
    <w:p>
      <w:pPr>
        <w:ind w:left="300"/>
        <w:spacing w:after="0"/>
        <w:tabs>
          <w:tab w:leader="none" w:pos="2480" w:val="left"/>
          <w:tab w:leader="none" w:pos="4400" w:val="left"/>
          <w:tab w:leader="none" w:pos="6700" w:val="left"/>
          <w:tab w:leader="none" w:pos="9260" w:val="left"/>
        </w:tabs>
        <w:rPr>
          <w:sz w:val="20"/>
          <w:szCs w:val="20"/>
          <w:color w:val="auto"/>
        </w:rPr>
      </w:pPr>
      <w:r>
        <w:rPr>
          <w:rFonts w:ascii="Arial" w:cs="Arial" w:eastAsia="Arial" w:hAnsi="Arial"/>
          <w:sz w:val="14"/>
          <w:szCs w:val="14"/>
          <w:b w:val="1"/>
          <w:bCs w:val="1"/>
          <w:color w:val="auto"/>
        </w:rPr>
        <w:t xml:space="preserve">Large accelerated filer </w:t>
      </w:r>
      <w:r>
        <w:rPr>
          <w:rFonts w:ascii="Arial" w:cs="Arial" w:eastAsia="Arial" w:hAnsi="Arial"/>
          <w:sz w:val="14"/>
          <w:szCs w:val="14"/>
          <w:color w:val="auto"/>
        </w:rPr>
        <w:t>o</w:t>
      </w:r>
      <w:r>
        <w:rPr>
          <w:sz w:val="20"/>
          <w:szCs w:val="20"/>
          <w:color w:val="auto"/>
        </w:rPr>
        <w:tab/>
      </w:r>
      <w:r>
        <w:rPr>
          <w:rFonts w:ascii="Arial" w:cs="Arial" w:eastAsia="Arial" w:hAnsi="Arial"/>
          <w:sz w:val="14"/>
          <w:szCs w:val="14"/>
          <w:b w:val="1"/>
          <w:bCs w:val="1"/>
          <w:color w:val="auto"/>
        </w:rPr>
        <w:t xml:space="preserve">Accelerated filer </w:t>
      </w:r>
      <w:r>
        <w:rPr>
          <w:rFonts w:ascii="Arial" w:cs="Arial" w:eastAsia="Arial" w:hAnsi="Arial"/>
          <w:sz w:val="14"/>
          <w:szCs w:val="14"/>
          <w:color w:val="auto"/>
        </w:rPr>
        <w:t>o</w:t>
      </w:r>
      <w:r>
        <w:rPr>
          <w:sz w:val="20"/>
          <w:szCs w:val="20"/>
          <w:color w:val="auto"/>
        </w:rPr>
        <w:tab/>
      </w:r>
      <w:r>
        <w:rPr>
          <w:rFonts w:ascii="Arial" w:cs="Arial" w:eastAsia="Arial" w:hAnsi="Arial"/>
          <w:sz w:val="14"/>
          <w:szCs w:val="14"/>
          <w:b w:val="1"/>
          <w:bCs w:val="1"/>
          <w:color w:val="auto"/>
        </w:rPr>
        <w:t>Non-accelerated filer x</w:t>
      </w:r>
      <w:r>
        <w:rPr>
          <w:sz w:val="20"/>
          <w:szCs w:val="20"/>
          <w:color w:val="auto"/>
        </w:rPr>
        <w:tab/>
      </w:r>
      <w:r>
        <w:rPr>
          <w:rFonts w:ascii="Arial" w:cs="Arial" w:eastAsia="Arial" w:hAnsi="Arial"/>
          <w:sz w:val="14"/>
          <w:szCs w:val="14"/>
          <w:b w:val="1"/>
          <w:bCs w:val="1"/>
          <w:color w:val="auto"/>
        </w:rPr>
        <w:t xml:space="preserve">Smaller reporting company </w:t>
      </w:r>
      <w:r>
        <w:rPr>
          <w:rFonts w:ascii="Arial" w:cs="Arial" w:eastAsia="Arial" w:hAnsi="Arial"/>
          <w:sz w:val="14"/>
          <w:szCs w:val="14"/>
          <w:color w:val="auto"/>
        </w:rPr>
        <w:t>o</w:t>
      </w:r>
      <w:r>
        <w:rPr>
          <w:sz w:val="20"/>
          <w:szCs w:val="20"/>
          <w:color w:val="auto"/>
        </w:rPr>
        <w:tab/>
      </w:r>
      <w:r>
        <w:rPr>
          <w:rFonts w:ascii="Arial" w:cs="Arial" w:eastAsia="Arial" w:hAnsi="Arial"/>
          <w:sz w:val="12"/>
          <w:szCs w:val="12"/>
          <w:b w:val="1"/>
          <w:bCs w:val="1"/>
          <w:color w:val="auto"/>
        </w:rPr>
        <w:t xml:space="preserve">Emerging growth company </w:t>
      </w:r>
      <w:r>
        <w:rPr>
          <w:rFonts w:ascii="Arial" w:cs="Arial" w:eastAsia="Arial" w:hAnsi="Arial"/>
          <w:sz w:val="12"/>
          <w:szCs w:val="12"/>
          <w:color w:val="auto"/>
        </w:rPr>
        <w:t>o</w:t>
      </w:r>
    </w:p>
    <w:p>
      <w:pPr>
        <w:spacing w:after="0" w:line="45" w:lineRule="exact"/>
        <w:rPr>
          <w:sz w:val="24"/>
          <w:szCs w:val="24"/>
          <w:color w:val="auto"/>
        </w:rPr>
      </w:pPr>
    </w:p>
    <w:p>
      <w:pPr>
        <w:jc w:val="center"/>
        <w:ind w:right="1200"/>
        <w:spacing w:after="0"/>
        <w:rPr>
          <w:sz w:val="20"/>
          <w:szCs w:val="20"/>
          <w:color w:val="auto"/>
        </w:rPr>
      </w:pPr>
      <w:r>
        <w:rPr>
          <w:rFonts w:ascii="Arial" w:cs="Arial" w:eastAsia="Arial" w:hAnsi="Arial"/>
          <w:sz w:val="14"/>
          <w:szCs w:val="14"/>
          <w:color w:val="auto"/>
        </w:rPr>
        <w:t>(Do not check if a smaller reporting</w:t>
      </w:r>
    </w:p>
    <w:p>
      <w:pPr>
        <w:jc w:val="center"/>
        <w:ind w:right="1200"/>
        <w:spacing w:after="0"/>
        <w:rPr>
          <w:sz w:val="20"/>
          <w:szCs w:val="20"/>
          <w:color w:val="auto"/>
        </w:rPr>
      </w:pPr>
      <w:r>
        <w:rPr>
          <w:rFonts w:ascii="Arial" w:cs="Arial" w:eastAsia="Arial" w:hAnsi="Arial"/>
          <w:sz w:val="14"/>
          <w:szCs w:val="14"/>
          <w:color w:val="auto"/>
        </w:rPr>
        <w:t>company)</w:t>
      </w:r>
    </w:p>
    <w:p>
      <w:pPr>
        <w:spacing w:after="0" w:line="79" w:lineRule="exact"/>
        <w:rPr>
          <w:sz w:val="24"/>
          <w:szCs w:val="24"/>
          <w:color w:val="auto"/>
        </w:rPr>
      </w:pPr>
    </w:p>
    <w:p>
      <w:pPr>
        <w:jc w:val="both"/>
        <w:ind w:firstLine="324"/>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5" w:lineRule="exact"/>
        <w:rPr>
          <w:sz w:val="24"/>
          <w:szCs w:val="24"/>
          <w:color w:val="auto"/>
        </w:rPr>
      </w:pPr>
    </w:p>
    <w:p>
      <w:pPr>
        <w:ind w:left="2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09" w:lineRule="exact"/>
        <w:rPr>
          <w:sz w:val="24"/>
          <w:szCs w:val="24"/>
          <w:color w:val="auto"/>
        </w:rPr>
      </w:pPr>
    </w:p>
    <w:p>
      <w:pPr>
        <w:ind w:left="5240"/>
        <w:spacing w:after="0"/>
        <w:tabs>
          <w:tab w:leader="none" w:pos="5860" w:val="left"/>
        </w:tabs>
        <w:rPr>
          <w:sz w:val="20"/>
          <w:szCs w:val="20"/>
          <w:color w:val="auto"/>
        </w:rPr>
      </w:pPr>
      <w:r>
        <w:rPr>
          <w:rFonts w:ascii="Arial" w:cs="Arial" w:eastAsia="Arial" w:hAnsi="Arial"/>
          <w:sz w:val="16"/>
          <w:szCs w:val="16"/>
          <w:b w:val="1"/>
          <w:bCs w:val="1"/>
          <w:color w:val="auto"/>
        </w:rPr>
        <w:t xml:space="preserve">Yes </w:t>
      </w:r>
      <w:r>
        <w:rPr>
          <w:rFonts w:ascii="Arial" w:cs="Arial" w:eastAsia="Arial" w:hAnsi="Arial"/>
          <w:sz w:val="16"/>
          <w:szCs w:val="16"/>
          <w:color w:val="auto"/>
        </w:rPr>
        <w:t>o</w:t>
      </w:r>
      <w:r>
        <w:rPr>
          <w:sz w:val="20"/>
          <w:szCs w:val="20"/>
          <w:color w:val="auto"/>
        </w:rPr>
        <w:tab/>
      </w:r>
      <w:r>
        <w:rPr>
          <w:rFonts w:ascii="Arial" w:cs="Arial" w:eastAsia="Arial" w:hAnsi="Arial"/>
          <w:sz w:val="15"/>
          <w:szCs w:val="15"/>
          <w:b w:val="1"/>
          <w:bCs w:val="1"/>
          <w:color w:val="auto"/>
        </w:rPr>
        <w:t xml:space="preserve">No </w:t>
      </w:r>
      <w:r>
        <w:rPr>
          <w:rFonts w:ascii="Arial" w:cs="Arial" w:eastAsia="Arial" w:hAnsi="Arial"/>
          <w:sz w:val="15"/>
          <w:szCs w:val="15"/>
          <w:color w:val="auto"/>
        </w:rPr>
        <w:t>x</w:t>
      </w:r>
    </w:p>
    <w:p>
      <w:pPr>
        <w:spacing w:after="0" w:line="117" w:lineRule="exact"/>
        <w:rPr>
          <w:sz w:val="24"/>
          <w:szCs w:val="24"/>
          <w:color w:val="auto"/>
        </w:rPr>
      </w:pPr>
    </w:p>
    <w:p>
      <w:pPr>
        <w:jc w:val="both"/>
        <w:ind w:firstLine="270"/>
        <w:spacing w:after="0" w:line="275" w:lineRule="auto"/>
        <w:rPr>
          <w:sz w:val="20"/>
          <w:szCs w:val="20"/>
          <w:color w:val="auto"/>
        </w:rPr>
      </w:pPr>
      <w:r>
        <w:rPr>
          <w:rFonts w:ascii="Arial" w:cs="Arial" w:eastAsia="Arial" w:hAnsi="Arial"/>
          <w:sz w:val="16"/>
          <w:szCs w:val="16"/>
          <w:color w:val="auto"/>
        </w:rPr>
        <w:t>As of October 31, 2018, there were 34,586,250 Class A units outstanding, 42,738,750 Class B units outstanding, 73,087,756 Class C units outstanding, and 42,738,750 Class D units outstanding. There is no public market for the registrant's outstanding units.</w:t>
      </w:r>
    </w:p>
    <w:p>
      <w:pPr>
        <w:spacing w:after="0" w:line="38"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NOTE: WHEREAS CLEARWAY ENERGY LLC MEETS THE CONDITIONS SET FORTH IN GENERAL INSTRUCTION H(1)(a) AND (b) OF FORM 10-Q, THIS FORM 10-Q IS BEING FILED WITH THE REDUCED DISCLOSURE FORMAT PURSUANT TO GENERAL INSTRUCTION H(2).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201295</wp:posOffset>
            </wp:positionV>
            <wp:extent cx="70751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2603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115570</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359"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CAUTIONARY STATEMENT REGARDING FORWARD LOOKING INFORMATION</w:t>
            </w:r>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19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b w:val="1"/>
                <w:bCs w:val="1"/>
                <w:color w:val="0000EE"/>
                <w:w w:val="97"/>
              </w:rPr>
              <w:t>GLOSSARY OF TERMS</w:t>
            </w:r>
          </w:p>
        </w:tc>
        <w:tc>
          <w:tcPr>
            <w:tcW w:w="4840" w:type="dxa"/>
            <w:vAlign w:val="bottom"/>
            <w:tcBorders>
              <w:top w:val="single" w:sz="8" w:color="0000EE"/>
            </w:tcBorders>
            <w:gridSpan w:val="10"/>
          </w:tcPr>
          <w:p>
            <w:pPr>
              <w:spacing w:after="0"/>
              <w:rPr>
                <w:sz w:val="21"/>
                <w:szCs w:val="21"/>
                <w:color w:val="auto"/>
              </w:rPr>
            </w:pPr>
          </w:p>
        </w:tc>
        <w:tc>
          <w:tcPr>
            <w:tcW w:w="438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PART I — FINANCIAL INFORMATION</w:t>
            </w:r>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0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7"/>
              </w:rPr>
              <w:t>ITEM 1 — FINANCIAL STATEMENTS AND NOTES</w:t>
            </w:r>
          </w:p>
        </w:tc>
        <w:tc>
          <w:tcPr>
            <w:tcW w:w="6880" w:type="dxa"/>
            <w:vAlign w:val="bottom"/>
            <w:gridSpan w:val="5"/>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r>
      <w:tr>
        <w:trPr>
          <w:trHeight w:val="250"/>
        </w:trPr>
        <w:tc>
          <w:tcPr>
            <w:tcW w:w="240" w:type="dxa"/>
            <w:vAlign w:val="bottom"/>
          </w:tcPr>
          <w:p>
            <w:pPr>
              <w:spacing w:after="0"/>
              <w:rPr>
                <w:sz w:val="21"/>
                <w:szCs w:val="21"/>
                <w:color w:val="auto"/>
              </w:rPr>
            </w:pPr>
          </w:p>
        </w:tc>
        <w:tc>
          <w:tcPr>
            <w:tcW w:w="862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7"/>
              </w:rPr>
              <w:t>ITEM 2 — MANAGEMENT’S DISCUSSION AND ANALYSIS OF FINANCIAL CONDITION AND RESULTS OF</w:t>
            </w:r>
          </w:p>
        </w:tc>
        <w:tc>
          <w:tcPr>
            <w:tcW w:w="2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OPERATIONS</w:t>
            </w:r>
          </w:p>
        </w:tc>
        <w:tc>
          <w:tcPr>
            <w:tcW w:w="8780" w:type="dxa"/>
            <w:vAlign w:val="bottom"/>
            <w:gridSpan w:val="1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r>
      <w:tr>
        <w:trPr>
          <w:trHeight w:val="250"/>
        </w:trPr>
        <w:tc>
          <w:tcPr>
            <w:tcW w:w="240" w:type="dxa"/>
            <w:vAlign w:val="bottom"/>
          </w:tcPr>
          <w:p>
            <w:pPr>
              <w:spacing w:after="0"/>
              <w:rPr>
                <w:sz w:val="21"/>
                <w:szCs w:val="21"/>
                <w:color w:val="auto"/>
              </w:rPr>
            </w:pPr>
          </w:p>
        </w:tc>
        <w:tc>
          <w:tcPr>
            <w:tcW w:w="10940" w:type="dxa"/>
            <w:vAlign w:val="bottom"/>
            <w:gridSpan w:val="19"/>
          </w:tcPr>
          <w:p>
            <w:pPr>
              <w:spacing w:after="0"/>
              <w:rPr>
                <w:sz w:val="20"/>
                <w:szCs w:val="20"/>
                <w:color w:val="auto"/>
              </w:rPr>
            </w:pPr>
            <w:r>
              <w:rPr>
                <w:rFonts w:ascii="Arial" w:cs="Arial" w:eastAsia="Arial" w:hAnsi="Arial"/>
                <w:sz w:val="18"/>
                <w:szCs w:val="18"/>
                <w:color w:val="0000EE"/>
              </w:rPr>
              <w:t>ITEM 3 — QUANTITATIVE AND QUALITATIVE DISCLOSURES ABOUT MARKET RISK</w:t>
            </w:r>
          </w:p>
        </w:tc>
        <w:tc>
          <w:tcPr>
            <w:tcW w:w="180" w:type="dxa"/>
            <w:vAlign w:val="bottom"/>
            <w:gridSpan w:val="2"/>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64</w:t>
              </w:r>
            </w:hyperlink>
          </w:p>
        </w:tc>
      </w:tr>
      <w:tr>
        <w:trPr>
          <w:trHeight w:val="250"/>
        </w:trPr>
        <w:tc>
          <w:tcPr>
            <w:tcW w:w="240" w:type="dxa"/>
            <w:vAlign w:val="bottom"/>
          </w:tcPr>
          <w:p>
            <w:pPr>
              <w:spacing w:after="0"/>
              <w:rPr>
                <w:sz w:val="21"/>
                <w:szCs w:val="21"/>
                <w:color w:val="auto"/>
              </w:rPr>
            </w:pPr>
          </w:p>
        </w:tc>
        <w:tc>
          <w:tcPr>
            <w:tcW w:w="698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ITEM 4 — CONTROLS AND PROCEDURES</w:t>
            </w:r>
          </w:p>
        </w:tc>
        <w:tc>
          <w:tcPr>
            <w:tcW w:w="3960" w:type="dxa"/>
            <w:vAlign w:val="bottom"/>
            <w:gridSpan w:val="2"/>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64</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PART II — OTHER INFORMATION</w:t>
            </w:r>
          </w:p>
        </w:tc>
        <w:tc>
          <w:tcPr>
            <w:tcW w:w="180" w:type="dxa"/>
            <w:vAlign w:val="bottom"/>
            <w:gridSpan w:val="2"/>
          </w:tcPr>
          <w:p>
            <w:pPr>
              <w:jc w:val="right"/>
              <w:spacing w:after="0"/>
              <w:rPr>
                <w:rFonts w:ascii="Arial" w:cs="Arial" w:eastAsia="Arial" w:hAnsi="Arial"/>
                <w:sz w:val="18"/>
                <w:szCs w:val="18"/>
                <w:color w:val="0000EE"/>
                <w:w w:val="79"/>
              </w:rPr>
            </w:pPr>
            <w:hyperlink w:anchor="page65">
              <w:r>
                <w:rPr>
                  <w:rFonts w:ascii="Arial" w:cs="Arial" w:eastAsia="Arial" w:hAnsi="Arial"/>
                  <w:sz w:val="18"/>
                  <w:szCs w:val="18"/>
                  <w:color w:val="0000EE"/>
                  <w:w w:val="79"/>
                </w:rPr>
                <w:t>65</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7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5"/>
              </w:rPr>
              <w:t>ITEM 1 — LEGAL PROCEEDINGS</w:t>
            </w:r>
          </w:p>
        </w:tc>
        <w:tc>
          <w:tcPr>
            <w:tcW w:w="8220" w:type="dxa"/>
            <w:vAlign w:val="bottom"/>
            <w:gridSpan w:val="1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5">
              <w:r>
                <w:rPr>
                  <w:rFonts w:ascii="Arial" w:cs="Arial" w:eastAsia="Arial" w:hAnsi="Arial"/>
                  <w:sz w:val="18"/>
                  <w:szCs w:val="18"/>
                  <w:color w:val="0000EE"/>
                  <w:w w:val="79"/>
                </w:rPr>
                <w:t>65</w:t>
              </w:r>
            </w:hyperlink>
          </w:p>
        </w:tc>
      </w:tr>
      <w:tr>
        <w:trPr>
          <w:trHeight w:val="250"/>
        </w:trPr>
        <w:tc>
          <w:tcPr>
            <w:tcW w:w="240" w:type="dxa"/>
            <w:vAlign w:val="bottom"/>
          </w:tcPr>
          <w:p>
            <w:pPr>
              <w:spacing w:after="0"/>
              <w:rPr>
                <w:sz w:val="21"/>
                <w:szCs w:val="21"/>
                <w:color w:val="auto"/>
              </w:rPr>
            </w:pPr>
          </w:p>
        </w:tc>
        <w:tc>
          <w:tcPr>
            <w:tcW w:w="10940" w:type="dxa"/>
            <w:vAlign w:val="bottom"/>
            <w:gridSpan w:val="19"/>
          </w:tcPr>
          <w:p>
            <w:pPr>
              <w:spacing w:after="0"/>
              <w:rPr>
                <w:sz w:val="20"/>
                <w:szCs w:val="20"/>
                <w:color w:val="auto"/>
              </w:rPr>
            </w:pPr>
            <w:r>
              <w:rPr>
                <w:rFonts w:ascii="Arial" w:cs="Arial" w:eastAsia="Arial" w:hAnsi="Arial"/>
                <w:sz w:val="18"/>
                <w:szCs w:val="18"/>
                <w:color w:val="0000EE"/>
              </w:rPr>
              <w:t>ITEM 1A — RISK FACTORS</w:t>
            </w:r>
          </w:p>
        </w:tc>
        <w:tc>
          <w:tcPr>
            <w:tcW w:w="180" w:type="dxa"/>
            <w:vAlign w:val="bottom"/>
            <w:gridSpan w:val="2"/>
          </w:tcPr>
          <w:p>
            <w:pPr>
              <w:jc w:val="right"/>
              <w:spacing w:after="0"/>
              <w:rPr>
                <w:rFonts w:ascii="Arial" w:cs="Arial" w:eastAsia="Arial" w:hAnsi="Arial"/>
                <w:sz w:val="18"/>
                <w:szCs w:val="18"/>
                <w:color w:val="0000EE"/>
                <w:w w:val="79"/>
              </w:rPr>
            </w:pPr>
            <w:hyperlink w:anchor="page65">
              <w:r>
                <w:rPr>
                  <w:rFonts w:ascii="Arial" w:cs="Arial" w:eastAsia="Arial" w:hAnsi="Arial"/>
                  <w:sz w:val="18"/>
                  <w:szCs w:val="18"/>
                  <w:color w:val="0000EE"/>
                  <w:w w:val="79"/>
                </w:rPr>
                <w:t>65</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92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4"/>
              </w:rPr>
              <w:t>ITEM 2 — UNREGISTERED SALES OF EQUITY SECURITIES AND USE OF PROCEEDS</w:t>
            </w:r>
          </w:p>
        </w:tc>
        <w:tc>
          <w:tcPr>
            <w:tcW w:w="4020" w:type="dxa"/>
            <w:vAlign w:val="bottom"/>
            <w:gridSpan w:val="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5">
              <w:r>
                <w:rPr>
                  <w:rFonts w:ascii="Arial" w:cs="Arial" w:eastAsia="Arial" w:hAnsi="Arial"/>
                  <w:sz w:val="18"/>
                  <w:szCs w:val="18"/>
                  <w:color w:val="0000EE"/>
                  <w:w w:val="79"/>
                </w:rPr>
                <w:t>65</w:t>
              </w:r>
            </w:hyperlink>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0000EE"/>
                <w:w w:val="99"/>
              </w:rPr>
              <w:t>ITEM 3</w:t>
            </w:r>
          </w:p>
        </w:tc>
        <w:tc>
          <w:tcPr>
            <w:tcW w:w="10340" w:type="dxa"/>
            <w:vAlign w:val="bottom"/>
            <w:gridSpan w:val="18"/>
          </w:tcPr>
          <w:p>
            <w:pPr>
              <w:ind w:left="20"/>
              <w:spacing w:after="0"/>
              <w:rPr>
                <w:sz w:val="20"/>
                <w:szCs w:val="20"/>
                <w:color w:val="auto"/>
              </w:rPr>
            </w:pPr>
            <w:r>
              <w:rPr>
                <w:rFonts w:ascii="Arial" w:cs="Arial" w:eastAsia="Arial" w:hAnsi="Arial"/>
                <w:sz w:val="18"/>
                <w:szCs w:val="18"/>
                <w:color w:val="0000EE"/>
              </w:rPr>
              <w:t>— DEFAULTS UPON SENIOR SECURITIES</w:t>
            </w:r>
          </w:p>
        </w:tc>
        <w:tc>
          <w:tcPr>
            <w:tcW w:w="180" w:type="dxa"/>
            <w:vAlign w:val="bottom"/>
            <w:gridSpan w:val="2"/>
          </w:tcPr>
          <w:p>
            <w:pPr>
              <w:jc w:val="right"/>
              <w:spacing w:after="0"/>
              <w:rPr>
                <w:rFonts w:ascii="Arial" w:cs="Arial" w:eastAsia="Arial" w:hAnsi="Arial"/>
                <w:sz w:val="18"/>
                <w:szCs w:val="18"/>
                <w:color w:val="0000EE"/>
                <w:w w:val="79"/>
              </w:rPr>
            </w:pPr>
            <w:hyperlink w:anchor="page65">
              <w:r>
                <w:rPr>
                  <w:rFonts w:ascii="Arial" w:cs="Arial" w:eastAsia="Arial" w:hAnsi="Arial"/>
                  <w:sz w:val="18"/>
                  <w:szCs w:val="18"/>
                  <w:color w:val="0000EE"/>
                  <w:w w:val="79"/>
                </w:rPr>
                <w:t>65</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4</w:t>
            </w:r>
          </w:p>
        </w:tc>
        <w:tc>
          <w:tcPr>
            <w:tcW w:w="3420" w:type="dxa"/>
            <w:vAlign w:val="bottom"/>
            <w:tcBorders>
              <w:top w:val="single" w:sz="8" w:color="0000EE"/>
            </w:tcBorders>
            <w:gridSpan w:val="12"/>
          </w:tcPr>
          <w:p>
            <w:pPr>
              <w:ind w:left="20"/>
              <w:spacing w:after="0"/>
              <w:rPr>
                <w:sz w:val="20"/>
                <w:szCs w:val="20"/>
                <w:color w:val="auto"/>
              </w:rPr>
            </w:pPr>
            <w:r>
              <w:rPr>
                <w:rFonts w:ascii="Arial" w:cs="Arial" w:eastAsia="Arial" w:hAnsi="Arial"/>
                <w:sz w:val="18"/>
                <w:szCs w:val="18"/>
                <w:color w:val="0000EE"/>
              </w:rPr>
              <w:t>— MINE SAFETY DISCLOSURES</w:t>
            </w:r>
          </w:p>
        </w:tc>
        <w:tc>
          <w:tcPr>
            <w:tcW w:w="6920" w:type="dxa"/>
            <w:vAlign w:val="bottom"/>
            <w:gridSpan w:val="6"/>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5">
              <w:r>
                <w:rPr>
                  <w:rFonts w:ascii="Arial" w:cs="Arial" w:eastAsia="Arial" w:hAnsi="Arial"/>
                  <w:sz w:val="18"/>
                  <w:szCs w:val="18"/>
                  <w:color w:val="0000EE"/>
                  <w:w w:val="79"/>
                </w:rPr>
                <w:t>65</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5</w:t>
            </w:r>
          </w:p>
        </w:tc>
        <w:tc>
          <w:tcPr>
            <w:tcW w:w="2680" w:type="dxa"/>
            <w:vAlign w:val="bottom"/>
            <w:tcBorders>
              <w:top w:val="single" w:sz="8" w:color="0000EE"/>
            </w:tcBorders>
            <w:gridSpan w:val="10"/>
          </w:tcPr>
          <w:p>
            <w:pPr>
              <w:ind w:left="20"/>
              <w:spacing w:after="0"/>
              <w:rPr>
                <w:sz w:val="20"/>
                <w:szCs w:val="20"/>
                <w:color w:val="auto"/>
              </w:rPr>
            </w:pPr>
            <w:r>
              <w:rPr>
                <w:rFonts w:ascii="Arial" w:cs="Arial" w:eastAsia="Arial" w:hAnsi="Arial"/>
                <w:sz w:val="18"/>
                <w:szCs w:val="18"/>
                <w:color w:val="0000EE"/>
              </w:rPr>
              <w:t>— OTHER INFORMATION</w:t>
            </w:r>
          </w:p>
        </w:tc>
        <w:tc>
          <w:tcPr>
            <w:tcW w:w="7660" w:type="dxa"/>
            <w:vAlign w:val="bottom"/>
            <w:gridSpan w:val="8"/>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5">
              <w:r>
                <w:rPr>
                  <w:rFonts w:ascii="Arial" w:cs="Arial" w:eastAsia="Arial" w:hAnsi="Arial"/>
                  <w:sz w:val="18"/>
                  <w:szCs w:val="18"/>
                  <w:color w:val="0000EE"/>
                  <w:w w:val="79"/>
                </w:rPr>
                <w:t>65</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6</w:t>
            </w:r>
          </w:p>
        </w:tc>
        <w:tc>
          <w:tcPr>
            <w:tcW w:w="2120" w:type="dxa"/>
            <w:vAlign w:val="bottom"/>
            <w:tcBorders>
              <w:top w:val="single" w:sz="8" w:color="0000EE"/>
            </w:tcBorders>
            <w:gridSpan w:val="8"/>
          </w:tcPr>
          <w:p>
            <w:pPr>
              <w:ind w:left="20"/>
              <w:spacing w:after="0"/>
              <w:rPr>
                <w:sz w:val="20"/>
                <w:szCs w:val="20"/>
                <w:color w:val="auto"/>
              </w:rPr>
            </w:pPr>
            <w:r>
              <w:rPr>
                <w:rFonts w:ascii="Arial" w:cs="Arial" w:eastAsia="Arial" w:hAnsi="Arial"/>
                <w:sz w:val="18"/>
                <w:szCs w:val="18"/>
                <w:color w:val="0000EE"/>
              </w:rPr>
              <w:t>— EXHIBITS</w:t>
            </w:r>
          </w:p>
        </w:tc>
        <w:tc>
          <w:tcPr>
            <w:tcW w:w="8220" w:type="dxa"/>
            <w:vAlign w:val="bottom"/>
            <w:gridSpan w:val="10"/>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6">
              <w:r>
                <w:rPr>
                  <w:rFonts w:ascii="Arial" w:cs="Arial" w:eastAsia="Arial" w:hAnsi="Arial"/>
                  <w:sz w:val="18"/>
                  <w:szCs w:val="18"/>
                  <w:color w:val="0000EE"/>
                  <w:w w:val="79"/>
                </w:rPr>
                <w:t>66</w:t>
              </w:r>
            </w:hyperlink>
          </w:p>
        </w:tc>
      </w:tr>
      <w:tr>
        <w:trPr>
          <w:trHeight w:val="250"/>
        </w:trPr>
        <w:tc>
          <w:tcPr>
            <w:tcW w:w="240" w:type="dxa"/>
            <w:vAlign w:val="bottom"/>
          </w:tcPr>
          <w:p>
            <w:pPr>
              <w:spacing w:after="0"/>
              <w:rPr>
                <w:sz w:val="21"/>
                <w:szCs w:val="21"/>
                <w:color w:val="auto"/>
              </w:rPr>
            </w:pPr>
          </w:p>
        </w:tc>
        <w:tc>
          <w:tcPr>
            <w:tcW w:w="11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b w:val="1"/>
                <w:bCs w:val="1"/>
                <w:color w:val="0000EE"/>
                <w:w w:val="96"/>
              </w:rPr>
              <w:t>SIGNATURES</w:t>
            </w:r>
          </w:p>
        </w:tc>
        <w:tc>
          <w:tcPr>
            <w:tcW w:w="500" w:type="dxa"/>
            <w:vAlign w:val="bottom"/>
            <w:tcBorders>
              <w:top w:val="single" w:sz="8" w:color="0000EE"/>
            </w:tcBorders>
          </w:tcPr>
          <w:p>
            <w:pPr>
              <w:spacing w:after="0"/>
              <w:rPr>
                <w:sz w:val="21"/>
                <w:szCs w:val="21"/>
                <w:color w:val="auto"/>
              </w:rPr>
            </w:pPr>
          </w:p>
        </w:tc>
        <w:tc>
          <w:tcPr>
            <w:tcW w:w="9280" w:type="dxa"/>
            <w:vAlign w:val="bottom"/>
            <w:gridSpan w:val="15"/>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68">
              <w:r>
                <w:rPr>
                  <w:rFonts w:ascii="Arial" w:cs="Arial" w:eastAsia="Arial" w:hAnsi="Arial"/>
                  <w:sz w:val="18"/>
                  <w:szCs w:val="18"/>
                  <w:color w:val="0000EE"/>
                  <w:w w:val="79"/>
                </w:rPr>
                <w:t>68</w:t>
              </w:r>
            </w:hyperlink>
          </w:p>
        </w:tc>
      </w:tr>
      <w:tr>
        <w:trPr>
          <w:trHeight w:val="831"/>
        </w:trPr>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960" w:type="dxa"/>
            <w:vAlign w:val="bottom"/>
            <w:gridSpan w:val="14"/>
          </w:tcPr>
          <w:p>
            <w:pPr>
              <w:ind w:left="478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80" w:top="1067"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This Quarterly Report on Form 10-Q of Clearway Energy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Part I, of the Company's Annual Report on Form 10-K for the year ended December 31, 2017, as well as the following:</w:t>
      </w:r>
    </w:p>
    <w:p>
      <w:pPr>
        <w:spacing w:after="0" w:line="11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distributions;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risks to the Company as a result of the consummation of the NRG Transaction;</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third parties;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acquire assets from NRG under the NRG ROFO agreement and from GIP III Zephyr Acquisition Partners, L.P. and CEG under the CEG ROFO Agreement;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raise additional capital due to its indebtedness, corporate structure, market conditions or otherwise;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63"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Government regulation, including compliance with regulatory requirements and changes in market rules, rates, tariffs and environmental laws;</w:t>
      </w:r>
    </w:p>
    <w:p>
      <w:pPr>
        <w:spacing w:after="0" w:line="74"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and in the indentures governing the Senior Notes;</w:t>
      </w:r>
    </w:p>
    <w:p>
      <w:pPr>
        <w:spacing w:after="0" w:line="1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engage in successful acquisitions activity;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6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8620" w:type="dxa"/>
            <w:vAlign w:val="bottom"/>
          </w:tcPr>
          <w:p>
            <w:pPr>
              <w:ind w:left="1960"/>
              <w:spacing w:after="0"/>
              <w:rPr>
                <w:sz w:val="20"/>
                <w:szCs w:val="20"/>
                <w:color w:val="auto"/>
              </w:rPr>
            </w:pPr>
            <w:r>
              <w:rPr>
                <w:rFonts w:ascii="Arial" w:cs="Arial" w:eastAsia="Arial" w:hAnsi="Arial"/>
                <w:sz w:val="18"/>
                <w:szCs w:val="18"/>
                <w:b w:val="1"/>
                <w:bCs w:val="1"/>
                <w:color w:val="auto"/>
              </w:rPr>
              <w:t>GLOSSARY OF TERMS</w:t>
            </w:r>
          </w:p>
        </w:tc>
        <w:tc>
          <w:tcPr>
            <w:tcW w:w="0" w:type="dxa"/>
            <w:vAlign w:val="bottom"/>
          </w:tcPr>
          <w:p>
            <w:pPr>
              <w:spacing w:after="0"/>
              <w:rPr>
                <w:sz w:val="1"/>
                <w:szCs w:val="1"/>
                <w:color w:val="auto"/>
              </w:rPr>
            </w:pPr>
          </w:p>
        </w:tc>
      </w:tr>
      <w:tr>
        <w:trPr>
          <w:trHeight w:val="378"/>
        </w:trPr>
        <w:tc>
          <w:tcPr>
            <w:tcW w:w="11360" w:type="dxa"/>
            <w:vAlign w:val="bottom"/>
            <w:gridSpan w:val="2"/>
          </w:tcPr>
          <w:p>
            <w:pPr>
              <w:ind w:left="240"/>
              <w:spacing w:after="0"/>
              <w:rPr>
                <w:sz w:val="20"/>
                <w:szCs w:val="20"/>
                <w:color w:val="auto"/>
              </w:rPr>
            </w:pPr>
            <w:r>
              <w:rPr>
                <w:rFonts w:ascii="Arial" w:cs="Arial" w:eastAsia="Arial" w:hAnsi="Arial"/>
                <w:sz w:val="18"/>
                <w:szCs w:val="18"/>
                <w:color w:val="auto"/>
              </w:rPr>
              <w:t>When the following terms and abbreviations appear in the text of this report, they have the meanings indicated below:</w:t>
            </w:r>
          </w:p>
        </w:tc>
        <w:tc>
          <w:tcPr>
            <w:tcW w:w="0" w:type="dxa"/>
            <w:vAlign w:val="bottom"/>
          </w:tcPr>
          <w:p>
            <w:pPr>
              <w:spacing w:after="0"/>
              <w:rPr>
                <w:sz w:val="1"/>
                <w:szCs w:val="1"/>
                <w:color w:val="auto"/>
              </w:rPr>
            </w:pPr>
          </w:p>
        </w:tc>
      </w:tr>
      <w:tr>
        <w:trPr>
          <w:trHeight w:val="378"/>
        </w:trPr>
        <w:tc>
          <w:tcPr>
            <w:tcW w:w="2740" w:type="dxa"/>
            <w:vAlign w:val="bottom"/>
          </w:tcPr>
          <w:p>
            <w:pPr>
              <w:spacing w:after="0"/>
              <w:rPr>
                <w:sz w:val="20"/>
                <w:szCs w:val="20"/>
                <w:color w:val="auto"/>
              </w:rPr>
            </w:pPr>
            <w:r>
              <w:rPr>
                <w:rFonts w:ascii="Arial" w:cs="Arial" w:eastAsia="Arial" w:hAnsi="Arial"/>
                <w:sz w:val="18"/>
                <w:szCs w:val="18"/>
                <w:color w:val="auto"/>
              </w:rPr>
              <w:t>2017 Form 10-K</w:t>
            </w:r>
          </w:p>
        </w:tc>
        <w:tc>
          <w:tcPr>
            <w:tcW w:w="8620" w:type="dxa"/>
            <w:vAlign w:val="bottom"/>
            <w:vMerge w:val="restart"/>
          </w:tcPr>
          <w:p>
            <w:pPr>
              <w:ind w:left="220"/>
              <w:spacing w:after="0"/>
              <w:rPr>
                <w:sz w:val="20"/>
                <w:szCs w:val="20"/>
                <w:color w:val="auto"/>
              </w:rPr>
            </w:pPr>
            <w:r>
              <w:rPr>
                <w:rFonts w:ascii="Arial" w:cs="Arial" w:eastAsia="Arial" w:hAnsi="Arial"/>
                <w:sz w:val="18"/>
                <w:szCs w:val="18"/>
                <w:color w:val="auto"/>
                <w:w w:val="92"/>
              </w:rPr>
              <w:t>Clearway Energy LLC's (formerly NRG Yield LLC) Annual Report on Form 10-K for the year ended December 31,</w:t>
            </w:r>
          </w:p>
        </w:tc>
        <w:tc>
          <w:tcPr>
            <w:tcW w:w="0" w:type="dxa"/>
            <w:vAlign w:val="bottom"/>
          </w:tcPr>
          <w:p>
            <w:pPr>
              <w:spacing w:after="0"/>
              <w:rPr>
                <w:sz w:val="1"/>
                <w:szCs w:val="1"/>
                <w:color w:val="auto"/>
              </w:rPr>
            </w:pPr>
          </w:p>
        </w:tc>
      </w:tr>
      <w:tr>
        <w:trPr>
          <w:trHeight w:val="67"/>
        </w:trPr>
        <w:tc>
          <w:tcPr>
            <w:tcW w:w="2740" w:type="dxa"/>
            <w:vAlign w:val="bottom"/>
          </w:tcPr>
          <w:p>
            <w:pPr>
              <w:spacing w:after="0"/>
              <w:rPr>
                <w:sz w:val="5"/>
                <w:szCs w:val="5"/>
                <w:color w:val="auto"/>
              </w:rPr>
            </w:pPr>
          </w:p>
        </w:tc>
        <w:tc>
          <w:tcPr>
            <w:tcW w:w="8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351"/>
        </w:trPr>
        <w:tc>
          <w:tcPr>
            <w:tcW w:w="2740" w:type="dxa"/>
            <w:vAlign w:val="bottom"/>
          </w:tcPr>
          <w:p>
            <w:pPr>
              <w:spacing w:after="0"/>
              <w:rPr>
                <w:sz w:val="20"/>
                <w:szCs w:val="20"/>
                <w:color w:val="auto"/>
              </w:rPr>
            </w:pPr>
            <w:r>
              <w:rPr>
                <w:rFonts w:ascii="Arial" w:cs="Arial" w:eastAsia="Arial" w:hAnsi="Arial"/>
                <w:sz w:val="18"/>
                <w:szCs w:val="18"/>
                <w:color w:val="auto"/>
              </w:rPr>
              <w:t>2019 Convertible Notes</w:t>
            </w:r>
          </w:p>
        </w:tc>
        <w:tc>
          <w:tcPr>
            <w:tcW w:w="8620" w:type="dxa"/>
            <w:vAlign w:val="bottom"/>
          </w:tcPr>
          <w:p>
            <w:pPr>
              <w:ind w:left="220"/>
              <w:spacing w:after="0"/>
              <w:rPr>
                <w:sz w:val="20"/>
                <w:szCs w:val="20"/>
                <w:color w:val="auto"/>
              </w:rPr>
            </w:pPr>
            <w:r>
              <w:rPr>
                <w:rFonts w:ascii="Arial" w:cs="Arial" w:eastAsia="Arial" w:hAnsi="Arial"/>
                <w:sz w:val="18"/>
                <w:szCs w:val="18"/>
                <w:color w:val="auto"/>
                <w:w w:val="94"/>
              </w:rPr>
              <w:t>$329 million aggregate principal amount of 3.50% convertible notes due 2019, issued by Clearway Energy, Inc.</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2020 Convertible Notes</w:t>
            </w:r>
          </w:p>
        </w:tc>
        <w:tc>
          <w:tcPr>
            <w:tcW w:w="8620" w:type="dxa"/>
            <w:vAlign w:val="bottom"/>
          </w:tcPr>
          <w:p>
            <w:pPr>
              <w:ind w:left="220"/>
              <w:spacing w:after="0"/>
              <w:rPr>
                <w:sz w:val="20"/>
                <w:szCs w:val="20"/>
                <w:color w:val="auto"/>
              </w:rPr>
            </w:pPr>
            <w:r>
              <w:rPr>
                <w:rFonts w:ascii="Arial" w:cs="Arial" w:eastAsia="Arial" w:hAnsi="Arial"/>
                <w:sz w:val="18"/>
                <w:szCs w:val="18"/>
                <w:color w:val="auto"/>
                <w:w w:val="94"/>
              </w:rPr>
              <w:t>$288 million aggregate principal amount of 3.25% convertible notes due 2020, issued by Clearway Energy, Inc.</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2024 Senior Notes</w:t>
            </w:r>
          </w:p>
        </w:tc>
        <w:tc>
          <w:tcPr>
            <w:tcW w:w="8620" w:type="dxa"/>
            <w:vAlign w:val="bottom"/>
          </w:tcPr>
          <w:p>
            <w:pPr>
              <w:ind w:left="220"/>
              <w:spacing w:after="0"/>
              <w:rPr>
                <w:sz w:val="20"/>
                <w:szCs w:val="20"/>
                <w:color w:val="auto"/>
              </w:rPr>
            </w:pPr>
            <w:r>
              <w:rPr>
                <w:rFonts w:ascii="Arial" w:cs="Arial" w:eastAsia="Arial" w:hAnsi="Arial"/>
                <w:sz w:val="18"/>
                <w:szCs w:val="18"/>
                <w:color w:val="auto"/>
                <w:w w:val="92"/>
              </w:rPr>
              <w:t>$500 million aggregate principal amount of 5.375% unsecured senior notes due 2024, issued by Clearway Energy</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2025 Senior Notes</w:t>
            </w:r>
          </w:p>
        </w:tc>
        <w:tc>
          <w:tcPr>
            <w:tcW w:w="8620" w:type="dxa"/>
            <w:vAlign w:val="bottom"/>
          </w:tcPr>
          <w:p>
            <w:pPr>
              <w:ind w:left="220"/>
              <w:spacing w:after="0"/>
              <w:rPr>
                <w:sz w:val="20"/>
                <w:szCs w:val="20"/>
                <w:color w:val="auto"/>
              </w:rPr>
            </w:pPr>
            <w:r>
              <w:rPr>
                <w:rFonts w:ascii="Arial" w:cs="Arial" w:eastAsia="Arial" w:hAnsi="Arial"/>
                <w:sz w:val="18"/>
                <w:szCs w:val="18"/>
                <w:color w:val="auto"/>
                <w:w w:val="92"/>
              </w:rPr>
              <w:t>$600 million aggregate principal amount of 5.750% unsecured senior notes due 2025, issued by Clearway Energy</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2026 Senior Notes</w:t>
            </w:r>
          </w:p>
        </w:tc>
        <w:tc>
          <w:tcPr>
            <w:tcW w:w="8620" w:type="dxa"/>
            <w:vAlign w:val="bottom"/>
          </w:tcPr>
          <w:p>
            <w:pPr>
              <w:ind w:left="220"/>
              <w:spacing w:after="0"/>
              <w:rPr>
                <w:sz w:val="20"/>
                <w:szCs w:val="20"/>
                <w:color w:val="auto"/>
              </w:rPr>
            </w:pPr>
            <w:r>
              <w:rPr>
                <w:rFonts w:ascii="Arial" w:cs="Arial" w:eastAsia="Arial" w:hAnsi="Arial"/>
                <w:sz w:val="18"/>
                <w:szCs w:val="18"/>
                <w:color w:val="auto"/>
                <w:w w:val="93"/>
              </w:rPr>
              <w:t>$350 million aggregate principal amount of 5.00% unsecured senior notes due 2026, issued by Clearway Energy</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Adjusted EBITDA</w:t>
            </w:r>
          </w:p>
        </w:tc>
        <w:tc>
          <w:tcPr>
            <w:tcW w:w="8620" w:type="dxa"/>
            <w:vAlign w:val="bottom"/>
          </w:tcPr>
          <w:p>
            <w:pPr>
              <w:ind w:left="220"/>
              <w:spacing w:after="0"/>
              <w:rPr>
                <w:sz w:val="20"/>
                <w:szCs w:val="20"/>
                <w:color w:val="auto"/>
              </w:rPr>
            </w:pPr>
            <w:r>
              <w:rPr>
                <w:rFonts w:ascii="Arial" w:cs="Arial" w:eastAsia="Arial" w:hAnsi="Arial"/>
                <w:sz w:val="18"/>
                <w:szCs w:val="18"/>
                <w:color w:val="auto"/>
                <w:w w:val="95"/>
              </w:rPr>
              <w:t>Represents EBITDA adjusted for mark-to-market gains or losses, asset write offs and impairments; and factors</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which the Company does not consider indicative of future operating performance</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ASC</w:t>
            </w:r>
          </w:p>
        </w:tc>
        <w:tc>
          <w:tcPr>
            <w:tcW w:w="8620" w:type="dxa"/>
            <w:vAlign w:val="bottom"/>
          </w:tcPr>
          <w:p>
            <w:pPr>
              <w:ind w:left="220"/>
              <w:spacing w:after="0"/>
              <w:rPr>
                <w:sz w:val="20"/>
                <w:szCs w:val="20"/>
                <w:color w:val="auto"/>
              </w:rPr>
            </w:pPr>
            <w:r>
              <w:rPr>
                <w:rFonts w:ascii="Arial" w:cs="Arial" w:eastAsia="Arial" w:hAnsi="Arial"/>
                <w:sz w:val="18"/>
                <w:szCs w:val="18"/>
                <w:color w:val="auto"/>
              </w:rPr>
              <w:t>The FASB Accounting Standards Codification, which the FASB established as the source of</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authoritative GAAP</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ASU</w:t>
            </w:r>
          </w:p>
        </w:tc>
        <w:tc>
          <w:tcPr>
            <w:tcW w:w="8620" w:type="dxa"/>
            <w:vAlign w:val="bottom"/>
          </w:tcPr>
          <w:p>
            <w:pPr>
              <w:ind w:left="220"/>
              <w:spacing w:after="0"/>
              <w:rPr>
                <w:sz w:val="20"/>
                <w:szCs w:val="20"/>
                <w:color w:val="auto"/>
              </w:rPr>
            </w:pPr>
            <w:r>
              <w:rPr>
                <w:rFonts w:ascii="Arial" w:cs="Arial" w:eastAsia="Arial" w:hAnsi="Arial"/>
                <w:sz w:val="18"/>
                <w:szCs w:val="18"/>
                <w:color w:val="auto"/>
              </w:rPr>
              <w:t>Accounting Standards Updates - updates to the ASC</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ATM Program</w:t>
            </w:r>
          </w:p>
        </w:tc>
        <w:tc>
          <w:tcPr>
            <w:tcW w:w="8620" w:type="dxa"/>
            <w:vAlign w:val="bottom"/>
          </w:tcPr>
          <w:p>
            <w:pPr>
              <w:ind w:left="220"/>
              <w:spacing w:after="0"/>
              <w:rPr>
                <w:sz w:val="20"/>
                <w:szCs w:val="20"/>
                <w:color w:val="auto"/>
              </w:rPr>
            </w:pPr>
            <w:r>
              <w:rPr>
                <w:rFonts w:ascii="Arial" w:cs="Arial" w:eastAsia="Arial" w:hAnsi="Arial"/>
                <w:sz w:val="18"/>
                <w:szCs w:val="18"/>
                <w:color w:val="auto"/>
              </w:rPr>
              <w:t>At-The-Market Equity Offering Program</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August 2017 Drop Down Assets</w:t>
            </w:r>
          </w:p>
        </w:tc>
        <w:tc>
          <w:tcPr>
            <w:tcW w:w="8620" w:type="dxa"/>
            <w:vAlign w:val="bottom"/>
          </w:tcPr>
          <w:p>
            <w:pPr>
              <w:ind w:left="220"/>
              <w:spacing w:after="0"/>
              <w:rPr>
                <w:sz w:val="20"/>
                <w:szCs w:val="20"/>
                <w:color w:val="auto"/>
              </w:rPr>
            </w:pPr>
            <w:r>
              <w:rPr>
                <w:rFonts w:ascii="Arial" w:cs="Arial" w:eastAsia="Arial" w:hAnsi="Arial"/>
                <w:sz w:val="18"/>
                <w:szCs w:val="18"/>
                <w:color w:val="auto"/>
              </w:rPr>
              <w:t>The remaining 25% interest in Wind TE Holdco</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Bridge Credit Agreement</w:t>
            </w:r>
          </w:p>
        </w:tc>
        <w:tc>
          <w:tcPr>
            <w:tcW w:w="8620" w:type="dxa"/>
            <w:vAlign w:val="bottom"/>
          </w:tcPr>
          <w:p>
            <w:pPr>
              <w:ind w:left="220"/>
              <w:spacing w:after="0"/>
              <w:rPr>
                <w:sz w:val="20"/>
                <w:szCs w:val="20"/>
                <w:color w:val="auto"/>
              </w:rPr>
            </w:pPr>
            <w:r>
              <w:rPr>
                <w:rFonts w:ascii="Arial" w:cs="Arial" w:eastAsia="Arial" w:hAnsi="Arial"/>
                <w:sz w:val="18"/>
                <w:szCs w:val="18"/>
                <w:color w:val="auto"/>
                <w:w w:val="94"/>
              </w:rPr>
              <w:t>364-Day Bridge Credit Agreement entered into by Clearway Operating LLC, as borrower, and Clearway Energy</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LLC, as guarantor, on August 31, 2018</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w w:val="99"/>
              </w:rPr>
              <w:t>Buckthorn Solar Drop Down Asset</w:t>
            </w:r>
          </w:p>
        </w:tc>
        <w:tc>
          <w:tcPr>
            <w:tcW w:w="8620" w:type="dxa"/>
            <w:vAlign w:val="bottom"/>
          </w:tcPr>
          <w:p>
            <w:pPr>
              <w:ind w:left="220"/>
              <w:spacing w:after="0"/>
              <w:rPr>
                <w:sz w:val="20"/>
                <w:szCs w:val="20"/>
                <w:color w:val="auto"/>
              </w:rPr>
            </w:pPr>
            <w:r>
              <w:rPr>
                <w:rFonts w:ascii="Arial" w:cs="Arial" w:eastAsia="Arial" w:hAnsi="Arial"/>
                <w:sz w:val="18"/>
                <w:szCs w:val="18"/>
                <w:color w:val="auto"/>
                <w:w w:val="99"/>
              </w:rPr>
              <w:t>Buckthorn Renewables, LLC, which owns 100% of Buckthorn Solar Portfolio, LLC, which was acquired by</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Clearway Energy Operating LLC from NRG on March 30, 2018</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CAFD</w:t>
            </w:r>
          </w:p>
        </w:tc>
        <w:tc>
          <w:tcPr>
            <w:tcW w:w="8620" w:type="dxa"/>
            <w:vAlign w:val="bottom"/>
          </w:tcPr>
          <w:p>
            <w:pPr>
              <w:ind w:left="220"/>
              <w:spacing w:after="0"/>
              <w:rPr>
                <w:sz w:val="20"/>
                <w:szCs w:val="20"/>
                <w:color w:val="auto"/>
              </w:rPr>
            </w:pPr>
            <w:r>
              <w:rPr>
                <w:rFonts w:ascii="Arial" w:cs="Arial" w:eastAsia="Arial" w:hAnsi="Arial"/>
                <w:sz w:val="18"/>
                <w:szCs w:val="18"/>
                <w:color w:val="auto"/>
                <w:w w:val="97"/>
              </w:rPr>
              <w:t>Cash Available for Distribution (CAFD) is Adjusted EBITDA plus cash distributions/return of investment from</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w w:val="92"/>
              </w:rPr>
              <w:t>unconsolidated affiliates, cash receipts from notes receivable, cash distributions from noncontrolling interests, less</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w w:val="94"/>
              </w:rPr>
              <w:t>cash distributions to noncontrolling interests, maintenance capital expenditures, pro-rata Adjusted EBITDA from</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w w:val="95"/>
              </w:rPr>
              <w:t>unconsolidated affiliates, cash interest paid, income taxes paid, principal amortization of indebtedness, Walnut</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Creek investment payments, and changes in prepaid and accrued capacity payments</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Carlsbad Project</w:t>
            </w:r>
          </w:p>
        </w:tc>
        <w:tc>
          <w:tcPr>
            <w:tcW w:w="8620" w:type="dxa"/>
            <w:vAlign w:val="bottom"/>
          </w:tcPr>
          <w:p>
            <w:pPr>
              <w:ind w:left="220"/>
              <w:spacing w:after="0"/>
              <w:rPr>
                <w:sz w:val="20"/>
                <w:szCs w:val="20"/>
                <w:color w:val="auto"/>
              </w:rPr>
            </w:pPr>
            <w:r>
              <w:rPr>
                <w:rFonts w:ascii="Arial" w:cs="Arial" w:eastAsia="Arial" w:hAnsi="Arial"/>
                <w:sz w:val="18"/>
                <w:szCs w:val="18"/>
                <w:color w:val="auto"/>
              </w:rPr>
              <w:t>A 527 MW natural gas fired project in Carlsbad, CA</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CEG</w:t>
            </w:r>
          </w:p>
        </w:tc>
        <w:tc>
          <w:tcPr>
            <w:tcW w:w="8620" w:type="dxa"/>
            <w:vAlign w:val="bottom"/>
          </w:tcPr>
          <w:p>
            <w:pPr>
              <w:ind w:left="220"/>
              <w:spacing w:after="0"/>
              <w:rPr>
                <w:sz w:val="20"/>
                <w:szCs w:val="20"/>
                <w:color w:val="auto"/>
              </w:rPr>
            </w:pPr>
            <w:r>
              <w:rPr>
                <w:rFonts w:ascii="Arial" w:cs="Arial" w:eastAsia="Arial" w:hAnsi="Arial"/>
                <w:sz w:val="18"/>
                <w:szCs w:val="18"/>
                <w:color w:val="auto"/>
              </w:rPr>
              <w:t>Clearway Energy Group LLC (formerly Zephyr Renewables LLC)</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w w:val="98"/>
              </w:rPr>
              <w:t>CEG Master Services Agreements</w:t>
            </w:r>
          </w:p>
        </w:tc>
        <w:tc>
          <w:tcPr>
            <w:tcW w:w="8620" w:type="dxa"/>
            <w:vAlign w:val="bottom"/>
          </w:tcPr>
          <w:p>
            <w:pPr>
              <w:ind w:left="220"/>
              <w:spacing w:after="0"/>
              <w:rPr>
                <w:sz w:val="20"/>
                <w:szCs w:val="20"/>
                <w:color w:val="auto"/>
              </w:rPr>
            </w:pPr>
            <w:r>
              <w:rPr>
                <w:rFonts w:ascii="Arial" w:cs="Arial" w:eastAsia="Arial" w:hAnsi="Arial"/>
                <w:sz w:val="18"/>
                <w:szCs w:val="18"/>
                <w:color w:val="auto"/>
                <w:w w:val="92"/>
              </w:rPr>
              <w:t>Master Services Agreements between the Company, Clearway Energy LLC and Clearway Energy Operating LLC,</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and CEG</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CEG ROFO Agreement</w:t>
            </w:r>
          </w:p>
        </w:tc>
        <w:tc>
          <w:tcPr>
            <w:tcW w:w="8620" w:type="dxa"/>
            <w:vAlign w:val="bottom"/>
          </w:tcPr>
          <w:p>
            <w:pPr>
              <w:ind w:left="220"/>
              <w:spacing w:after="0"/>
              <w:rPr>
                <w:sz w:val="20"/>
                <w:szCs w:val="20"/>
                <w:color w:val="auto"/>
              </w:rPr>
            </w:pPr>
            <w:r>
              <w:rPr>
                <w:rFonts w:ascii="Arial" w:cs="Arial" w:eastAsia="Arial" w:hAnsi="Arial"/>
                <w:sz w:val="18"/>
                <w:szCs w:val="18"/>
                <w:color w:val="auto"/>
                <w:w w:val="93"/>
              </w:rPr>
              <w:t>Right of First Offer Agreement, entered into as of August 31, 2018, by and between Clearway Energy Group LLC</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w w:val="98"/>
              </w:rPr>
              <w:t>and Clearway Energy, Inc., and solely for purposes of Section 2.4, GIP III Zephyr Acquisition Partners, L.P.</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Clearway Energy Group LLC</w:t>
            </w:r>
          </w:p>
        </w:tc>
        <w:tc>
          <w:tcPr>
            <w:tcW w:w="8620" w:type="dxa"/>
            <w:vAlign w:val="bottom"/>
          </w:tcPr>
          <w:p>
            <w:pPr>
              <w:ind w:left="220"/>
              <w:spacing w:after="0"/>
              <w:rPr>
                <w:sz w:val="20"/>
                <w:szCs w:val="20"/>
                <w:color w:val="auto"/>
              </w:rPr>
            </w:pPr>
            <w:r>
              <w:rPr>
                <w:rFonts w:ascii="Arial" w:cs="Arial" w:eastAsia="Arial" w:hAnsi="Arial"/>
                <w:sz w:val="18"/>
                <w:szCs w:val="18"/>
                <w:color w:val="auto"/>
                <w:w w:val="93"/>
              </w:rPr>
              <w:t>The holder of Clearway Energy, Inc.'s Class B and Class D common shares and Clearway Energy LLC's Class B</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and Class D units</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Clearway Energy LLC</w:t>
            </w:r>
          </w:p>
        </w:tc>
        <w:tc>
          <w:tcPr>
            <w:tcW w:w="8620" w:type="dxa"/>
            <w:vAlign w:val="bottom"/>
          </w:tcPr>
          <w:p>
            <w:pPr>
              <w:ind w:left="220"/>
              <w:spacing w:after="0"/>
              <w:rPr>
                <w:sz w:val="20"/>
                <w:szCs w:val="20"/>
                <w:color w:val="auto"/>
              </w:rPr>
            </w:pPr>
            <w:r>
              <w:rPr>
                <w:rFonts w:ascii="Arial" w:cs="Arial" w:eastAsia="Arial" w:hAnsi="Arial"/>
                <w:sz w:val="18"/>
                <w:szCs w:val="18"/>
                <w:color w:val="auto"/>
                <w:w w:val="91"/>
              </w:rPr>
              <w:t>The holding company through which the projects are owned by Clearway Energy Group LLC, the holder of Class B</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and Class D units, and Clearway Energy, Inc., the holder of the Class A and Class C units</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Clearway Energy Operating LLC</w:t>
            </w:r>
          </w:p>
        </w:tc>
        <w:tc>
          <w:tcPr>
            <w:tcW w:w="8620" w:type="dxa"/>
            <w:vAlign w:val="bottom"/>
          </w:tcPr>
          <w:p>
            <w:pPr>
              <w:ind w:left="220"/>
              <w:spacing w:after="0"/>
              <w:rPr>
                <w:sz w:val="20"/>
                <w:szCs w:val="20"/>
                <w:color w:val="auto"/>
              </w:rPr>
            </w:pPr>
            <w:r>
              <w:rPr>
                <w:rFonts w:ascii="Arial" w:cs="Arial" w:eastAsia="Arial" w:hAnsi="Arial"/>
                <w:sz w:val="18"/>
                <w:szCs w:val="18"/>
                <w:color w:val="auto"/>
              </w:rPr>
              <w:t>The holder of the project assets that are owned by Clearway Energy LLC</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Company</w:t>
            </w:r>
          </w:p>
        </w:tc>
        <w:tc>
          <w:tcPr>
            <w:tcW w:w="8620" w:type="dxa"/>
            <w:vAlign w:val="bottom"/>
          </w:tcPr>
          <w:p>
            <w:pPr>
              <w:ind w:left="220"/>
              <w:spacing w:after="0"/>
              <w:rPr>
                <w:sz w:val="20"/>
                <w:szCs w:val="20"/>
                <w:color w:val="auto"/>
              </w:rPr>
            </w:pPr>
            <w:r>
              <w:rPr>
                <w:rFonts w:ascii="Arial" w:cs="Arial" w:eastAsia="Arial" w:hAnsi="Arial"/>
                <w:sz w:val="18"/>
                <w:szCs w:val="18"/>
                <w:color w:val="auto"/>
              </w:rPr>
              <w:t>Clearway Energy LLC, together with its consolidated subsidiaries</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CVSR</w:t>
            </w:r>
          </w:p>
        </w:tc>
        <w:tc>
          <w:tcPr>
            <w:tcW w:w="8620" w:type="dxa"/>
            <w:vAlign w:val="bottom"/>
          </w:tcPr>
          <w:p>
            <w:pPr>
              <w:ind w:left="220"/>
              <w:spacing w:after="0"/>
              <w:rPr>
                <w:sz w:val="20"/>
                <w:szCs w:val="20"/>
                <w:color w:val="auto"/>
              </w:rPr>
            </w:pPr>
            <w:r>
              <w:rPr>
                <w:rFonts w:ascii="Arial" w:cs="Arial" w:eastAsia="Arial" w:hAnsi="Arial"/>
                <w:sz w:val="18"/>
                <w:szCs w:val="18"/>
                <w:color w:val="auto"/>
              </w:rPr>
              <w:t>California Valley Solar Ranch</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CVSR Drop Down</w:t>
            </w:r>
          </w:p>
        </w:tc>
        <w:tc>
          <w:tcPr>
            <w:tcW w:w="8620" w:type="dxa"/>
            <w:vAlign w:val="bottom"/>
          </w:tcPr>
          <w:p>
            <w:pPr>
              <w:ind w:left="220"/>
              <w:spacing w:after="0"/>
              <w:rPr>
                <w:sz w:val="20"/>
                <w:szCs w:val="20"/>
                <w:color w:val="auto"/>
              </w:rPr>
            </w:pPr>
            <w:r>
              <w:rPr>
                <w:rFonts w:ascii="Arial" w:cs="Arial" w:eastAsia="Arial" w:hAnsi="Arial"/>
                <w:sz w:val="18"/>
                <w:szCs w:val="18"/>
                <w:color w:val="auto"/>
              </w:rPr>
              <w:t>The Company's acquisition from NRG of the remaining 51.05% interest of CVSR Holdco</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CVSR Holdco</w:t>
            </w:r>
          </w:p>
        </w:tc>
        <w:tc>
          <w:tcPr>
            <w:tcW w:w="8620" w:type="dxa"/>
            <w:vAlign w:val="bottom"/>
          </w:tcPr>
          <w:p>
            <w:pPr>
              <w:ind w:left="220"/>
              <w:spacing w:after="0"/>
              <w:rPr>
                <w:sz w:val="20"/>
                <w:szCs w:val="20"/>
                <w:color w:val="auto"/>
              </w:rPr>
            </w:pPr>
            <w:r>
              <w:rPr>
                <w:rFonts w:ascii="Arial" w:cs="Arial" w:eastAsia="Arial" w:hAnsi="Arial"/>
                <w:sz w:val="18"/>
                <w:szCs w:val="18"/>
                <w:color w:val="auto"/>
              </w:rPr>
              <w:t>CVSR Holdco LLC, the indirect owner of CVSR</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DGPV Holdco 1</w:t>
            </w:r>
          </w:p>
        </w:tc>
        <w:tc>
          <w:tcPr>
            <w:tcW w:w="8620" w:type="dxa"/>
            <w:vAlign w:val="bottom"/>
          </w:tcPr>
          <w:p>
            <w:pPr>
              <w:ind w:left="220"/>
              <w:spacing w:after="0"/>
              <w:rPr>
                <w:sz w:val="20"/>
                <w:szCs w:val="20"/>
                <w:color w:val="auto"/>
              </w:rPr>
            </w:pPr>
            <w:r>
              <w:rPr>
                <w:rFonts w:ascii="Arial" w:cs="Arial" w:eastAsia="Arial" w:hAnsi="Arial"/>
                <w:sz w:val="18"/>
                <w:szCs w:val="18"/>
                <w:color w:val="auto"/>
              </w:rPr>
              <w:t>DGPV Holdco 1 LLC</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DGPV Holdco 2</w:t>
            </w:r>
          </w:p>
        </w:tc>
        <w:tc>
          <w:tcPr>
            <w:tcW w:w="8620" w:type="dxa"/>
            <w:vAlign w:val="bottom"/>
          </w:tcPr>
          <w:p>
            <w:pPr>
              <w:ind w:left="220"/>
              <w:spacing w:after="0"/>
              <w:rPr>
                <w:sz w:val="20"/>
                <w:szCs w:val="20"/>
                <w:color w:val="auto"/>
              </w:rPr>
            </w:pPr>
            <w:r>
              <w:rPr>
                <w:rFonts w:ascii="Arial" w:cs="Arial" w:eastAsia="Arial" w:hAnsi="Arial"/>
                <w:sz w:val="18"/>
                <w:szCs w:val="18"/>
                <w:color w:val="auto"/>
              </w:rPr>
              <w:t>DGPV Holdco 2 LLC</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DGPV Holdco 3</w:t>
            </w:r>
          </w:p>
        </w:tc>
        <w:tc>
          <w:tcPr>
            <w:tcW w:w="8620" w:type="dxa"/>
            <w:vAlign w:val="bottom"/>
          </w:tcPr>
          <w:p>
            <w:pPr>
              <w:ind w:left="220"/>
              <w:spacing w:after="0"/>
              <w:rPr>
                <w:sz w:val="20"/>
                <w:szCs w:val="20"/>
                <w:color w:val="auto"/>
              </w:rPr>
            </w:pPr>
            <w:r>
              <w:rPr>
                <w:rFonts w:ascii="Arial" w:cs="Arial" w:eastAsia="Arial" w:hAnsi="Arial"/>
                <w:sz w:val="18"/>
                <w:szCs w:val="18"/>
                <w:color w:val="auto"/>
              </w:rPr>
              <w:t>DGPV Holdco 3 LLC</w:t>
            </w:r>
          </w:p>
        </w:tc>
        <w:tc>
          <w:tcPr>
            <w:tcW w:w="0" w:type="dxa"/>
            <w:vAlign w:val="bottom"/>
          </w:tcPr>
          <w:p>
            <w:pPr>
              <w:spacing w:after="0"/>
              <w:rPr>
                <w:sz w:val="1"/>
                <w:szCs w:val="1"/>
                <w:color w:val="auto"/>
              </w:rPr>
            </w:pPr>
          </w:p>
        </w:tc>
      </w:tr>
      <w:tr>
        <w:trPr>
          <w:trHeight w:val="486"/>
        </w:trPr>
        <w:tc>
          <w:tcPr>
            <w:tcW w:w="2740" w:type="dxa"/>
            <w:vAlign w:val="bottom"/>
          </w:tcPr>
          <w:p>
            <w:pPr>
              <w:spacing w:after="0"/>
              <w:rPr>
                <w:sz w:val="24"/>
                <w:szCs w:val="24"/>
                <w:color w:val="auto"/>
              </w:rPr>
            </w:pPr>
          </w:p>
        </w:tc>
        <w:tc>
          <w:tcPr>
            <w:tcW w:w="8620" w:type="dxa"/>
            <w:vAlign w:val="bottom"/>
          </w:tcPr>
          <w:p>
            <w:pPr>
              <w:ind w:left="28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360"/>
          </w:cols>
          <w:pgMar w:left="280" w:top="742" w:right="25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Distributed Solar</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Solar power projects, typically less than 20 MW in size, that primarily sell power produced to customers for usage on site, or are interconnected to sell power into the local distribution grid</w:t>
      </w:r>
    </w:p>
    <w:p>
      <w:pPr>
        <w:spacing w:after="0" w:line="8" w:lineRule="exact"/>
        <w:rPr>
          <w:sz w:val="20"/>
          <w:szCs w:val="20"/>
          <w:color w:val="auto"/>
        </w:rPr>
      </w:pPr>
    </w:p>
    <w:p>
      <w:pPr>
        <w:sectPr>
          <w:pgSz w:w="11900" w:h="16838" w:orient="portrait"/>
          <w:cols w:equalWidth="0" w:num="2">
            <w:col w:w="2240" w:space="720"/>
            <w:col w:w="8400"/>
          </w:cols>
          <w:pgMar w:left="280" w:top="908" w:right="259" w:bottom="1440" w:gutter="0" w:footer="0" w:header="0"/>
        </w:sectPr>
      </w:pPr>
    </w:p>
    <w:p>
      <w:pPr>
        <w:spacing w:after="0"/>
        <w:rPr>
          <w:sz w:val="20"/>
          <w:szCs w:val="20"/>
          <w:color w:val="auto"/>
        </w:rPr>
      </w:pPr>
      <w:r>
        <w:rPr>
          <w:rFonts w:ascii="Arial" w:cs="Arial" w:eastAsia="Arial" w:hAnsi="Arial"/>
          <w:sz w:val="16"/>
          <w:szCs w:val="16"/>
          <w:color w:val="auto"/>
        </w:rPr>
        <w:t>Drop Down Assets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Collectively, assets under common control acquired by the Company from NRG from January 1, 2014 through the period ended August 31, 2018</w:t>
      </w:r>
    </w:p>
    <w:p>
      <w:pPr>
        <w:spacing w:after="0" w:line="8"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Economic Gross Margin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Energy and capacity revenue less cost of fuels</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5"/>
          <w:szCs w:val="15"/>
          <w:color w:val="auto"/>
        </w:rPr>
        <w:t>ECP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Energy Center Pittsburgh LLC, a subsidiary of the Company</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5"/>
          <w:szCs w:val="15"/>
          <w:color w:val="auto"/>
        </w:rPr>
        <w:t>EPC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Engineering, Procurement and Construction</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Exchange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Securities Exchange Act of 1934, as amended</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FASB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Financial Accounting Standards Board</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7"/>
          <w:szCs w:val="17"/>
          <w:color w:val="auto"/>
        </w:rPr>
        <w:t>GAAP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Accounting principles generally accepted in the U.S.</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GIP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Global Infrastructure Partners III, the purchaser of CEG through GIP III Zephyr Acquisition Partners, L.P.</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8"/>
          <w:szCs w:val="18"/>
          <w:color w:val="auto"/>
        </w:rPr>
        <w:t>HLBV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Hypothetical Liquidation at Book Value</w:t>
      </w:r>
    </w:p>
    <w:p>
      <w:pPr>
        <w:spacing w:after="0" w:line="8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7"/>
          <w:szCs w:val="17"/>
          <w:color w:val="auto"/>
        </w:rPr>
        <w:t>IASB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International Accounting Standards Board</w:t>
      </w:r>
    </w:p>
    <w:p>
      <w:pPr>
        <w:spacing w:after="0" w:line="140"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ISO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Independent System Operator, also referred to as RTO</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KPPH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Kilo Pascals Per Hour</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7"/>
          <w:szCs w:val="17"/>
          <w:color w:val="auto"/>
        </w:rPr>
        <w:t>LIBOR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London Inter-Bank Offered Rate</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March 2017 Drop Down Assets</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 Agua Caliente Borrower 2 LLC, which owns a 16% interest (approximately 31% of NRG's 51% interest) in the Agua Caliente solar farm and (ii) NRG's 100% ownership in the Class A equity interests in the Utah Solar Portfolio (defined below), both acquired by the Company on March 27, 2017</w:t>
      </w:r>
    </w:p>
    <w:p>
      <w:pPr>
        <w:spacing w:after="0" w:line="19" w:lineRule="exact"/>
        <w:rPr>
          <w:sz w:val="20"/>
          <w:szCs w:val="20"/>
          <w:color w:val="auto"/>
        </w:rPr>
      </w:pPr>
    </w:p>
    <w:p>
      <w:pPr>
        <w:sectPr>
          <w:pgSz w:w="11900" w:h="16838" w:orient="portrait"/>
          <w:cols w:equalWidth="0" w:num="2">
            <w:col w:w="2280" w:space="68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8"/>
          <w:szCs w:val="18"/>
          <w:color w:val="auto"/>
        </w:rPr>
        <w:t>MMBtu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Million British Thermal Units</w:t>
      </w:r>
    </w:p>
    <w:p>
      <w:pPr>
        <w:spacing w:after="0" w:line="74"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8"/>
          <w:szCs w:val="18"/>
          <w:color w:val="auto"/>
        </w:rPr>
        <w:t>MW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Megawatts</w:t>
      </w:r>
    </w:p>
    <w:p>
      <w:pPr>
        <w:spacing w:after="0" w:line="8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8"/>
          <w:szCs w:val="18"/>
          <w:color w:val="auto"/>
        </w:rPr>
        <w:t>MWh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Saleable megawatt hours, net of internal/parasitic load megawatt-hours</w:t>
      </w:r>
    </w:p>
    <w:p>
      <w:pPr>
        <w:spacing w:after="0" w:line="8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8"/>
          <w:szCs w:val="18"/>
          <w:color w:val="auto"/>
        </w:rPr>
        <w:t>MWt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Megawatts Thermal Equivalent</w:t>
      </w:r>
    </w:p>
    <w:p>
      <w:pPr>
        <w:spacing w:after="0" w:line="8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NERC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North American Electric Reliability Corporation</w:t>
      </w:r>
    </w:p>
    <w:p>
      <w:pPr>
        <w:spacing w:after="0" w:line="7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Net Exposure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Counterparty credit exposure to Clearway Energy, Inc. net of collateral</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November 2015 Drop Down Assets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75% of the Class B interests of Wind TE Holdco, which owns a portfolio of 12 wind facilities totaling 814 net MW, which was acquired by Clearway Energy Operating LLC from NRG on November 3, 2015</w:t>
      </w:r>
    </w:p>
    <w:p>
      <w:pPr>
        <w:spacing w:after="0" w:line="8" w:lineRule="exact"/>
        <w:rPr>
          <w:sz w:val="20"/>
          <w:szCs w:val="20"/>
          <w:color w:val="auto"/>
        </w:rPr>
      </w:pPr>
    </w:p>
    <w:p>
      <w:pPr>
        <w:sectPr>
          <w:pgSz w:w="11900" w:h="16838" w:orient="portrait"/>
          <w:cols w:equalWidth="0" w:num="2">
            <w:col w:w="2580" w:space="38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November 2017 Drop Down Assets</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38 MW portfolio of distributed and small utility-scale solar assets, primarily comprised of assets from NRG's Solar Power Partners (SPP) funds, in addition to other projects developed since the acquisition of SPP by NRG, which was acquired by Clearway Energy Operating LLC from NRG on November 1, 2017</w:t>
      </w:r>
    </w:p>
    <w:p>
      <w:pPr>
        <w:spacing w:after="0" w:line="19" w:lineRule="exact"/>
        <w:rPr>
          <w:sz w:val="20"/>
          <w:szCs w:val="20"/>
          <w:color w:val="auto"/>
        </w:rPr>
      </w:pPr>
    </w:p>
    <w:p>
      <w:pPr>
        <w:sectPr>
          <w:pgSz w:w="11900" w:h="16838" w:orient="portrait"/>
          <w:cols w:equalWidth="0" w:num="2">
            <w:col w:w="2580" w:space="38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7"/>
          <w:szCs w:val="17"/>
          <w:color w:val="auto"/>
        </w:rPr>
        <w:t>NRG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NRG Energy, Inc.</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NRG ROFO Agreement</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Third Amended and Restated Right of First Offer Agreement, entered into as of August 31, 2018, by and between NRG Energy, Inc. and the Company</w:t>
      </w:r>
    </w:p>
    <w:p>
      <w:pPr>
        <w:spacing w:after="0" w:line="8"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NRG Transaction</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Arial" w:cs="Arial" w:eastAsia="Arial" w:hAnsi="Arial"/>
          <w:sz w:val="18"/>
          <w:szCs w:val="18"/>
          <w:color w:val="auto"/>
        </w:rPr>
        <w:t>On August 31, 2018, NRG transferred its full ownership interest in the Company to Clearway Energy Group LLC and subsequently sold 100% of its interests in Clearway Energy Group LLC, which includes NRG's renewable energy development and operations platform to an affiliate of GIP. GIP, NRG and the Company also entered into a consent and indemnity agreement in connection with the purchase and sale agreement, which was signed on February 6, 2018</w:t>
      </w:r>
    </w:p>
    <w:p>
      <w:pPr>
        <w:spacing w:after="0" w:line="2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7"/>
          <w:szCs w:val="17"/>
          <w:color w:val="auto"/>
        </w:rPr>
        <w:t>NRG TSA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Transition Services Agreement dated as of August 31, 2018 by and between NRG Energy, Inc. and the Company</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OECD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Organization for Economic Co-operation and Development</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7"/>
          <w:szCs w:val="17"/>
          <w:color w:val="auto"/>
        </w:rPr>
        <w:t>OCI/OCL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Other comprehensive income/loss</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8"/>
          <w:szCs w:val="18"/>
          <w:color w:val="auto"/>
        </w:rPr>
        <w:t>O&amp;M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Operation and Maintenance</w:t>
      </w:r>
    </w:p>
    <w:p>
      <w:pPr>
        <w:spacing w:after="0" w:line="8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4"/>
          <w:szCs w:val="14"/>
          <w:color w:val="auto"/>
        </w:rPr>
        <w:t>PPA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Power Purchase Agreement</w:t>
      </w:r>
    </w:p>
    <w:p>
      <w:pPr>
        <w:spacing w:after="0" w:line="98"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7"/>
          <w:szCs w:val="17"/>
          <w:color w:val="auto"/>
        </w:rPr>
        <w:t>RENOM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Clearway Renewable Operation &amp; Maintenance LLC</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ROFO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Right of First Offer</w:t>
      </w:r>
    </w:p>
    <w:p>
      <w:pPr>
        <w:spacing w:after="0" w:line="7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RPV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RPV Holdco 1 LLC</w:t>
      </w:r>
    </w:p>
    <w:p>
      <w:pPr>
        <w:spacing w:after="0" w:line="7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RTO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Regional Transmission Originator</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5"/>
          <w:szCs w:val="15"/>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Securities and Exchange Commission</w:t>
      </w:r>
    </w:p>
    <w:p>
      <w:pPr>
        <w:spacing w:after="0" w:line="200"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line="10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60"/>
          </w:cols>
          <w:pgMar w:left="280" w:top="908" w:right="2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color w:val="auto"/>
        </w:rPr>
        <w:t>Senior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Collectively, the 2024 Senior Notes and the 2026 Senior Notes</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sectPr>
      </w:pPr>
    </w:p>
    <w:p>
      <w:pPr>
        <w:spacing w:after="0"/>
        <w:rPr>
          <w:sz w:val="20"/>
          <w:szCs w:val="20"/>
          <w:color w:val="auto"/>
        </w:rPr>
      </w:pPr>
      <w:r>
        <w:rPr>
          <w:rFonts w:ascii="Arial" w:cs="Arial" w:eastAsia="Arial" w:hAnsi="Arial"/>
          <w:sz w:val="14"/>
          <w:szCs w:val="14"/>
          <w:color w:val="auto"/>
        </w:rPr>
        <w:t>SPP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Solar Power Partners</w:t>
      </w:r>
    </w:p>
    <w:p>
      <w:pPr>
        <w:spacing w:after="0" w:line="98"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Tax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Tax Cuts and Jobs Act of 2017</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5"/>
          <w:szCs w:val="15"/>
          <w:color w:val="auto"/>
        </w:rPr>
        <w:t>Thermal Business</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The Company's thermal business, which consists of thermal infrastructure assets that provide steam, hot water and/or chilled water, and in some instances electricity, to commercial businesses, universities, hospitals and governmental units</w:t>
      </w:r>
    </w:p>
    <w:p>
      <w:pPr>
        <w:spacing w:after="0" w:line="19"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UPMC Thermal Project</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The University of Pittsburgh Medical Center Thermal Project, a 73 MWt district energy system that allows ECP to provide steam, chilled water and 7.5 MW of emergency backup power service to UPMC</w:t>
      </w:r>
    </w:p>
    <w:p>
      <w:pPr>
        <w:spacing w:after="0" w:line="8"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of America</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Utah Solar Portfolio</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Collection consists of Four Brothers Solar, LLC, Granite Mountain Holdings, LLC, and Iron Springs Holdings, LLC, which are equity investments owned by Four Brothers Capital, LLC, Granite Mountain Capital, LLC, and Iron Springs Capital, LLC, respectively, and are part of the March 2017 Drop Down Assets acquisition that closed on March 27, 2017</w:t>
      </w:r>
    </w:p>
    <w:p>
      <w:pPr>
        <w:spacing w:after="0" w:line="2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Utility Scale Solar</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Solar power projects, typically 20 MW or greater in size (on an alternating current, or AC, basis), that are interconnected into the transmission or distribution grid to sell power at a wholesale level</w:t>
      </w:r>
    </w:p>
    <w:p>
      <w:pPr>
        <w:spacing w:after="0" w:line="8"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5"/>
          <w:szCs w:val="15"/>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Value at Risk</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Variable Interest Entity</w:t>
      </w:r>
    </w:p>
    <w:p>
      <w:pPr>
        <w:spacing w:after="0" w:line="8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Wind TE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Wind TE Holdco LLC, an 814 net MW portfolio of twelve wind projects</w:t>
      </w:r>
    </w:p>
    <w:p>
      <w:pPr>
        <w:spacing w:after="0" w:line="200"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60"/>
          </w:cols>
          <w:pgMar w:left="280" w:top="908" w:right="25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w w:val="96"/>
              </w:rPr>
              <w:t>Three months ended September 30,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9"/>
                <w:szCs w:val="19"/>
                <w:color w:val="auto"/>
              </w:rPr>
            </w:pPr>
          </w:p>
        </w:tc>
        <w:tc>
          <w:tcPr>
            <w:tcW w:w="11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(a)</w:t>
            </w:r>
          </w:p>
        </w:tc>
        <w:tc>
          <w:tcPr>
            <w:tcW w:w="260" w:type="dxa"/>
            <w:vAlign w:val="bottom"/>
          </w:tcPr>
          <w:p>
            <w:pPr>
              <w:spacing w:after="0"/>
              <w:rPr>
                <w:sz w:val="19"/>
                <w:szCs w:val="19"/>
                <w:color w:val="auto"/>
              </w:rPr>
            </w:pPr>
          </w:p>
        </w:tc>
        <w:tc>
          <w:tcPr>
            <w:tcW w:w="1100" w:type="dxa"/>
            <w:vAlign w:val="bottom"/>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71"/>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(a)</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Revenues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7"/>
                <w:szCs w:val="17"/>
                <w:color w:val="auto"/>
              </w:rPr>
              <w:t>Total operating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778</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140"/>
              <w:spacing w:after="0"/>
              <w:rPr>
                <w:sz w:val="20"/>
                <w:szCs w:val="20"/>
                <w:color w:val="auto"/>
              </w:rPr>
            </w:pPr>
            <w:r>
              <w:rPr>
                <w:rFonts w:ascii="Arial" w:cs="Arial" w:eastAsia="Arial" w:hAnsi="Arial"/>
                <w:sz w:val="17"/>
                <w:szCs w:val="17"/>
                <w:color w:val="auto"/>
              </w:rPr>
              <w:t>Cost of operations</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140"/>
              <w:spacing w:after="0"/>
              <w:rPr>
                <w:sz w:val="20"/>
                <w:szCs w:val="20"/>
                <w:color w:val="auto"/>
              </w:rPr>
            </w:pPr>
            <w:r>
              <w:rPr>
                <w:rFonts w:ascii="Arial" w:cs="Arial" w:eastAsia="Arial" w:hAnsi="Arial"/>
                <w:sz w:val="17"/>
                <w:szCs w:val="17"/>
                <w:color w:val="auto"/>
              </w:rPr>
              <w:t>Impairment losses</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140"/>
              <w:spacing w:after="0"/>
              <w:rPr>
                <w:sz w:val="20"/>
                <w:szCs w:val="20"/>
                <w:color w:val="auto"/>
              </w:rPr>
            </w:pPr>
            <w:r>
              <w:rPr>
                <w:rFonts w:ascii="Arial" w:cs="Arial" w:eastAsia="Arial" w:hAnsi="Arial"/>
                <w:sz w:val="17"/>
                <w:szCs w:val="17"/>
                <w:color w:val="auto"/>
              </w:rPr>
              <w:t>Acquisition-related transaction and integration costs</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Development costs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5580" w:type="dxa"/>
            <w:vAlign w:val="bottom"/>
            <w:gridSpan w:val="2"/>
          </w:tcPr>
          <w:p>
            <w:pPr>
              <w:ind w:left="240"/>
              <w:spacing w:after="0"/>
              <w:rPr>
                <w:sz w:val="20"/>
                <w:szCs w:val="20"/>
                <w:color w:val="auto"/>
              </w:rPr>
            </w:pPr>
            <w:r>
              <w:rPr>
                <w:rFonts w:ascii="Arial" w:cs="Arial" w:eastAsia="Arial" w:hAnsi="Arial"/>
                <w:sz w:val="17"/>
                <w:szCs w:val="17"/>
                <w:color w:val="auto"/>
              </w:rPr>
              <w:t>Total operating costs and expenses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515</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Income</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w:t>
            </w:r>
          </w:p>
        </w:tc>
      </w:tr>
      <w:tr>
        <w:trPr>
          <w:trHeight w:val="233"/>
        </w:trPr>
        <w:tc>
          <w:tcPr>
            <w:tcW w:w="5620" w:type="dxa"/>
            <w:vAlign w:val="bottom"/>
            <w:gridSpan w:val="3"/>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31"/>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Equity in earnings of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140"/>
              <w:spacing w:after="0"/>
              <w:rPr>
                <w:sz w:val="20"/>
                <w:szCs w:val="20"/>
                <w:color w:val="auto"/>
              </w:rPr>
            </w:pPr>
            <w:r>
              <w:rPr>
                <w:rFonts w:ascii="Arial" w:cs="Arial" w:eastAsia="Arial" w:hAnsi="Arial"/>
                <w:sz w:val="17"/>
                <w:szCs w:val="17"/>
                <w:color w:val="auto"/>
              </w:rPr>
              <w:t>Other income, net</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140"/>
              <w:spacing w:after="0"/>
              <w:rPr>
                <w:sz w:val="20"/>
                <w:szCs w:val="20"/>
                <w:color w:val="auto"/>
              </w:rPr>
            </w:pPr>
            <w:r>
              <w:rPr>
                <w:rFonts w:ascii="Arial" w:cs="Arial" w:eastAsia="Arial" w:hAnsi="Arial"/>
                <w:sz w:val="17"/>
                <w:szCs w:val="17"/>
                <w:color w:val="auto"/>
              </w:rPr>
              <w:t>Interest expense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Total other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Loss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57"/>
        </w:trPr>
        <w:tc>
          <w:tcPr>
            <w:tcW w:w="562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 Attributable to Clearway Energy LLC</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154</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7"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2"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4"/>
                <w:szCs w:val="14"/>
                <w:b w:val="1"/>
                <w:bCs w:val="1"/>
                <w:color w:val="auto"/>
                <w:w w:val="92"/>
              </w:rPr>
              <w:t>Three months ended September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29"/>
        </w:trPr>
        <w:tc>
          <w:tcPr>
            <w:tcW w:w="62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9"/>
                <w:szCs w:val="19"/>
                <w:color w:val="auto"/>
              </w:rPr>
            </w:pPr>
          </w:p>
        </w:tc>
        <w:tc>
          <w:tcPr>
            <w:tcW w:w="1140" w:type="dxa"/>
            <w:vAlign w:val="bottom"/>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(a)</w:t>
            </w:r>
          </w:p>
        </w:tc>
        <w:tc>
          <w:tcPr>
            <w:tcW w:w="160" w:type="dxa"/>
            <w:vAlign w:val="bottom"/>
          </w:tcPr>
          <w:p>
            <w:pPr>
              <w:spacing w:after="0"/>
              <w:rPr>
                <w:sz w:val="19"/>
                <w:szCs w:val="19"/>
                <w:color w:val="auto"/>
              </w:rPr>
            </w:pPr>
          </w:p>
        </w:tc>
        <w:tc>
          <w:tcPr>
            <w:tcW w:w="1100" w:type="dxa"/>
            <w:vAlign w:val="bottom"/>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73"/>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(a)</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4"/>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w:t>
            </w:r>
          </w:p>
        </w:tc>
      </w:tr>
      <w:tr>
        <w:trPr>
          <w:trHeight w:val="243"/>
        </w:trPr>
        <w:tc>
          <w:tcPr>
            <w:tcW w:w="628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Comprehensive Gain</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Unrealized gain on derivatives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r>
      <w:tr>
        <w:trPr>
          <w:trHeight w:val="237"/>
        </w:trPr>
        <w:tc>
          <w:tcPr>
            <w:tcW w:w="40" w:type="dxa"/>
            <w:vAlign w:val="bottom"/>
          </w:tcPr>
          <w:p>
            <w:pPr>
              <w:spacing w:after="0"/>
              <w:rPr>
                <w:sz w:val="20"/>
                <w:szCs w:val="20"/>
                <w:color w:val="auto"/>
              </w:rPr>
            </w:pPr>
          </w:p>
        </w:tc>
        <w:tc>
          <w:tcPr>
            <w:tcW w:w="6240" w:type="dxa"/>
            <w:vAlign w:val="bottom"/>
            <w:gridSpan w:val="2"/>
          </w:tcPr>
          <w:p>
            <w:pPr>
              <w:ind w:left="560"/>
              <w:spacing w:after="0"/>
              <w:rPr>
                <w:sz w:val="20"/>
                <w:szCs w:val="20"/>
                <w:color w:val="auto"/>
              </w:rPr>
            </w:pPr>
            <w:r>
              <w:rPr>
                <w:rFonts w:ascii="Arial" w:cs="Arial" w:eastAsia="Arial" w:hAnsi="Arial"/>
                <w:sz w:val="18"/>
                <w:szCs w:val="18"/>
                <w:color w:val="auto"/>
              </w:rPr>
              <w:t>Other comprehensive gain</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w:t>
            </w:r>
          </w:p>
        </w:tc>
      </w:tr>
      <w:tr>
        <w:trPr>
          <w:trHeight w:val="237"/>
        </w:trPr>
        <w:tc>
          <w:tcPr>
            <w:tcW w:w="40" w:type="dxa"/>
            <w:vAlign w:val="bottom"/>
          </w:tcPr>
          <w:p>
            <w:pPr>
              <w:spacing w:after="0"/>
              <w:rPr>
                <w:sz w:val="20"/>
                <w:szCs w:val="20"/>
                <w:color w:val="auto"/>
              </w:rPr>
            </w:pPr>
          </w:p>
        </w:tc>
        <w:tc>
          <w:tcPr>
            <w:tcW w:w="6240" w:type="dxa"/>
            <w:vAlign w:val="bottom"/>
            <w:gridSpan w:val="2"/>
          </w:tcPr>
          <w:p>
            <w:pPr>
              <w:ind w:left="140"/>
              <w:spacing w:after="0"/>
              <w:rPr>
                <w:sz w:val="20"/>
                <w:szCs w:val="20"/>
                <w:color w:val="auto"/>
              </w:rPr>
            </w:pPr>
            <w:r>
              <w:rPr>
                <w:rFonts w:ascii="Arial" w:cs="Arial" w:eastAsia="Arial" w:hAnsi="Arial"/>
                <w:sz w:val="18"/>
                <w:szCs w:val="18"/>
                <w:color w:val="auto"/>
              </w:rPr>
              <w:t>Less: Comprehensive loss attributable to noncontrolling interests</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Clearway Energy LLC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161</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414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2" w:right="239" w:bottom="1440" w:gutter="0" w:footer="0" w:header="0"/>
        </w:sectPr>
      </w:pPr>
    </w:p>
    <w:bookmarkStart w:id="8" w:name="page9"/>
    <w:bookmarkEnd w:id="8"/>
    <w:p>
      <w:pPr>
        <w:jc w:val="center"/>
        <w:ind w:right="-11"/>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CONSOLIDATED BALANCE SHEETS</w:t>
      </w:r>
    </w:p>
    <w:p>
      <w:pPr>
        <w:spacing w:after="0" w:line="285" w:lineRule="exact"/>
        <w:rPr>
          <w:sz w:val="20"/>
          <w:szCs w:val="20"/>
          <w:color w:val="auto"/>
        </w:rPr>
      </w:pPr>
    </w:p>
    <w:tbl>
      <w:tblPr>
        <w:tblLayout w:type="fixed"/>
        <w:tblInd w:w="32" w:type="dxa"/>
        <w:tblCellMar>
          <w:top w:w="0" w:type="dxa"/>
          <w:left w:w="0" w:type="dxa"/>
          <w:bottom w:w="0" w:type="dxa"/>
          <w:right w:w="0" w:type="dxa"/>
        </w:tblCellMar>
      </w:tblPr>
      <w:tr>
        <w:trPr>
          <w:trHeight w:val="161"/>
        </w:trPr>
        <w:tc>
          <w:tcPr>
            <w:tcW w:w="76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 2018</w:t>
            </w:r>
          </w:p>
        </w:tc>
        <w:tc>
          <w:tcPr>
            <w:tcW w:w="220" w:type="dxa"/>
            <w:vAlign w:val="bottom"/>
          </w:tcPr>
          <w:p>
            <w:pPr>
              <w:spacing w:after="0"/>
              <w:rPr>
                <w:sz w:val="14"/>
                <w:szCs w:val="14"/>
                <w:color w:val="auto"/>
              </w:rPr>
            </w:pPr>
          </w:p>
        </w:tc>
        <w:tc>
          <w:tcPr>
            <w:tcW w:w="1720" w:type="dxa"/>
            <w:vAlign w:val="bottom"/>
          </w:tcPr>
          <w:p>
            <w:pPr>
              <w:jc w:val="right"/>
              <w:ind w:right="231"/>
              <w:spacing w:after="0"/>
              <w:rPr>
                <w:sz w:val="20"/>
                <w:szCs w:val="20"/>
                <w:color w:val="auto"/>
              </w:rPr>
            </w:pPr>
            <w:r>
              <w:rPr>
                <w:rFonts w:ascii="Arial" w:cs="Arial" w:eastAsia="Arial" w:hAnsi="Arial"/>
                <w:sz w:val="14"/>
                <w:szCs w:val="14"/>
                <w:b w:val="1"/>
                <w:bCs w:val="1"/>
                <w:color w:val="auto"/>
                <w:w w:val="98"/>
              </w:rPr>
              <w:t xml:space="preserve">December 31, 2017 </w:t>
            </w:r>
            <w:r>
              <w:rPr>
                <w:rFonts w:ascii="Arial" w:cs="Arial" w:eastAsia="Arial" w:hAnsi="Arial"/>
                <w:sz w:val="8"/>
                <w:szCs w:val="8"/>
                <w:b w:val="1"/>
                <w:bCs w:val="1"/>
                <w:color w:val="auto"/>
                <w:w w:val="98"/>
              </w:rPr>
              <w:t>(a)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6840" w:type="dxa"/>
            <w:vAlign w:val="bottom"/>
            <w:vMerge w:val="restart"/>
          </w:tcPr>
          <w:p>
            <w:pPr>
              <w:jc w:val="center"/>
              <w:ind w:right="714"/>
              <w:spacing w:after="0"/>
              <w:rPr>
                <w:sz w:val="20"/>
                <w:szCs w:val="20"/>
                <w:color w:val="auto"/>
              </w:rPr>
            </w:pPr>
            <w:r>
              <w:rPr>
                <w:rFonts w:ascii="Arial" w:cs="Arial" w:eastAsia="Arial" w:hAnsi="Arial"/>
                <w:sz w:val="18"/>
                <w:szCs w:val="18"/>
                <w:b w:val="1"/>
                <w:bCs w:val="1"/>
                <w:color w:val="auto"/>
                <w:w w:val="94"/>
              </w:rPr>
              <w:t>ASSETS</w:t>
            </w: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4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Accounts receivable — trade</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Accounts receivable —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Inventory</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Notes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Prepayments and other current assets</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37"/>
        </w:trPr>
        <w:tc>
          <w:tcPr>
            <w:tcW w:w="7620" w:type="dxa"/>
            <w:vAlign w:val="bottom"/>
            <w:gridSpan w:val="3"/>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5,306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Equity investments in affiliates</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Derivative instruments</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gridSpan w:val="2"/>
          </w:tcPr>
          <w:p>
            <w:pPr>
              <w:ind w:left="360"/>
              <w:spacing w:after="0"/>
              <w:rPr>
                <w:sz w:val="20"/>
                <w:szCs w:val="20"/>
                <w:color w:val="auto"/>
              </w:rPr>
            </w:pPr>
            <w:r>
              <w:rPr>
                <w:rFonts w:ascii="Arial" w:cs="Arial" w:eastAsia="Arial" w:hAnsi="Arial"/>
                <w:sz w:val="16"/>
                <w:szCs w:val="16"/>
                <w:color w:val="auto"/>
              </w:rPr>
              <w:t>Total other assets</w:t>
            </w: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2,483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8,391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vMerge w:val="restart"/>
          </w:tcPr>
          <w:p>
            <w:pPr>
              <w:jc w:val="center"/>
              <w:ind w:right="714"/>
              <w:spacing w:after="0"/>
              <w:rPr>
                <w:sz w:val="20"/>
                <w:szCs w:val="20"/>
                <w:color w:val="auto"/>
              </w:rPr>
            </w:pPr>
            <w:r>
              <w:rPr>
                <w:rFonts w:ascii="Arial" w:cs="Arial" w:eastAsia="Arial" w:hAnsi="Arial"/>
                <w:sz w:val="16"/>
                <w:szCs w:val="16"/>
                <w:b w:val="1"/>
                <w:bCs w:val="1"/>
                <w:color w:val="auto"/>
              </w:rPr>
              <w:t>LIABILITIES AND MEMBERS' EQUITY</w:t>
            </w: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Current portion of long-term debt — external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Current portion of long-term debt —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Accounts payable — trade</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Accounts payable —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Derivative instruments</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gridSpan w:val="2"/>
          </w:tcPr>
          <w:p>
            <w:pPr>
              <w:ind w:left="26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Long-term debt — external</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4,888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Long-term debt —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Derivative instruments</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gridSpan w:val="2"/>
          </w:tcPr>
          <w:p>
            <w:pPr>
              <w:ind w:left="260"/>
              <w:spacing w:after="0"/>
              <w:rPr>
                <w:sz w:val="20"/>
                <w:szCs w:val="20"/>
                <w:color w:val="auto"/>
              </w:rPr>
            </w:pPr>
            <w:r>
              <w:rPr>
                <w:rFonts w:ascii="Arial" w:cs="Arial" w:eastAsia="Arial" w:hAnsi="Arial"/>
                <w:sz w:val="16"/>
                <w:szCs w:val="16"/>
                <w:color w:val="auto"/>
              </w:rPr>
              <w:t>Total non-current liabilities</w:t>
            </w: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5,038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31"/>
        </w:trPr>
        <w:tc>
          <w:tcPr>
            <w:tcW w:w="7620" w:type="dxa"/>
            <w:vAlign w:val="bottom"/>
            <w:gridSpan w:val="3"/>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Members'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Contributed capital</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1,937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7"/>
        </w:trPr>
        <w:tc>
          <w:tcPr>
            <w:tcW w:w="7620" w:type="dxa"/>
            <w:vAlign w:val="bottom"/>
            <w:gridSpan w:val="3"/>
          </w:tcPr>
          <w:p>
            <w:pPr>
              <w:ind w:left="20"/>
              <w:spacing w:after="0"/>
              <w:rPr>
                <w:sz w:val="20"/>
                <w:szCs w:val="20"/>
                <w:color w:val="auto"/>
              </w:rPr>
            </w:pPr>
            <w:r>
              <w:rPr>
                <w:rFonts w:ascii="Arial" w:cs="Arial" w:eastAsia="Arial" w:hAnsi="Arial"/>
                <w:sz w:val="16"/>
                <w:szCs w:val="16"/>
                <w:b w:val="1"/>
                <w:bCs w:val="1"/>
                <w:color w:val="auto"/>
              </w:rPr>
              <w:t>Total Members' Equity</w:t>
            </w: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2,273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Members’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8,391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334645</wp:posOffset>
            </wp:positionV>
            <wp:extent cx="14147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52" w:hanging="152"/>
        <w:spacing w:after="0"/>
        <w:tabs>
          <w:tab w:leader="none" w:pos="152"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92"/>
          </w:cols>
          <w:pgMar w:left="248" w:top="742" w:right="259" w:bottom="977"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72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70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(a)</w:t>
            </w:r>
          </w:p>
        </w:tc>
      </w:tr>
      <w:tr>
        <w:trPr>
          <w:trHeight w:val="250"/>
        </w:trPr>
        <w:tc>
          <w:tcPr>
            <w:tcW w:w="8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21"/>
                <w:szCs w:val="21"/>
                <w:color w:val="auto"/>
              </w:rPr>
            </w:pPr>
          </w:p>
        </w:tc>
      </w:tr>
      <w:tr>
        <w:trPr>
          <w:trHeight w:val="256"/>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Equity in earnings of unconsolidated affiliates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from unconsolidated affiliates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246</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financing costs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Amortization of intangibles and out-of-market contracts</w:t>
            </w:r>
          </w:p>
        </w:tc>
        <w:tc>
          <w:tcPr>
            <w:tcW w:w="8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 for debt extinguishment</w:t>
            </w: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Impairment losses</w:t>
            </w:r>
          </w:p>
        </w:tc>
        <w:tc>
          <w:tcPr>
            <w:tcW w:w="86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Derivative interest income</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(Gain) loss on disposal of asset components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Changes in other working capital</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87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8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w:t>
            </w: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businesses, net of cash acquired</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Payments for the Drop Down Assets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(126)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Cash receipts from notes receivable</w:t>
            </w:r>
          </w:p>
        </w:tc>
        <w:tc>
          <w:tcPr>
            <w:tcW w:w="8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Return of investment from unconsolidated affiliates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Investments in unconsolidated affiliates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(175)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w:t>
            </w:r>
          </w:p>
        </w:tc>
      </w:tr>
      <w:tr>
        <w:trPr>
          <w:trHeight w:val="27"/>
        </w:trPr>
        <w:tc>
          <w:tcPr>
            <w:tcW w:w="87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Net contributions from noncontrolling interests</w:t>
            </w:r>
          </w:p>
        </w:tc>
        <w:tc>
          <w:tcPr>
            <w:tcW w:w="8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distributions and return of capital to NRG prior to the acquisition of Drop Down Assets</w:t>
            </w: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Net proceeds from the issuance of Class C units</w:t>
            </w:r>
          </w:p>
        </w:tc>
        <w:tc>
          <w:tcPr>
            <w:tcW w:w="8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distributions, net of contributions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Payments of debt issuance costs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revolving credit facility</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Payments for the revolving credit facility</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issuance of long-term debt — external</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Payments for long-term debt — external</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(369)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for long-term debt — affiliate</w:t>
            </w: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w:t>
            </w:r>
          </w:p>
        </w:tc>
      </w:tr>
      <w:tr>
        <w:trPr>
          <w:trHeight w:val="27"/>
        </w:trPr>
        <w:tc>
          <w:tcPr>
            <w:tcW w:w="87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497</w:t>
            </w:r>
          </w:p>
        </w:tc>
      </w:tr>
      <w:tr>
        <w:trPr>
          <w:trHeight w:val="27"/>
        </w:trPr>
        <w:tc>
          <w:tcPr>
            <w:tcW w:w="87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r>
      <w:tr>
        <w:trPr>
          <w:trHeight w:val="20"/>
        </w:trPr>
        <w:tc>
          <w:tcPr>
            <w:tcW w:w="8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(a) </w:t>
      </w:r>
      <w:r>
        <w:rPr>
          <w:rFonts w:ascii="Arial" w:cs="Arial" w:eastAsia="Arial" w:hAnsi="Arial"/>
          <w:sz w:val="16"/>
          <w:szCs w:val="16"/>
          <w:color w:val="auto"/>
        </w:rPr>
        <w:t>Retrospectively adjusted as discussed in Note 1,</w:t>
      </w:r>
      <w:r>
        <w:rPr>
          <w:rFonts w:ascii="Arial" w:cs="Arial" w:eastAsia="Arial" w:hAnsi="Arial"/>
          <w:sz w:val="11"/>
          <w:szCs w:val="11"/>
          <w:color w:val="auto"/>
        </w:rPr>
        <w:t xml:space="preserve"> </w:t>
      </w:r>
      <w:r>
        <w:rPr>
          <w:rFonts w:ascii="Arial" w:cs="Arial" w:eastAsia="Arial" w:hAnsi="Arial"/>
          <w:sz w:val="16"/>
          <w:szCs w:val="16"/>
          <w:i w:val="1"/>
          <w:iCs w:val="1"/>
          <w:color w:val="auto"/>
        </w:rPr>
        <w:t>Nature of Business</w:t>
      </w:r>
      <w:r>
        <w:rPr>
          <w:rFonts w:ascii="Arial" w:cs="Arial" w:eastAsia="Arial" w:hAnsi="Arial"/>
          <w:sz w:val="16"/>
          <w:szCs w:val="16"/>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i w:val="1"/>
          <w:iCs w:val="1"/>
          <w:color w:val="auto"/>
        </w:rPr>
        <w:t>Nature of Business</w:t>
      </w:r>
    </w:p>
    <w:p>
      <w:pPr>
        <w:spacing w:after="0" w:line="17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Clearway Energy LLC (formerly NRG Yield LLC), together with its consolidated subsidiaries, or the Company, was formed by NRG as a Delaware limited liability company on March 5, 2013, to serve as the primary vehicle through which NRG owns, operates and acquires contracted renewable and conventional generation and thermal infrastructure assets. On August 31, 2018, NRG Energy, or NRG, transferred its full ownership interest in Clearway Energy, Inc. (formerly NRG Yield, Inc.) to Clearway Energy Group LLC, or CEG, the holder of NRG's renewable energy development and operations platform, and subsequently sold 100% of its interest in CEG to Global Infrastructure Partners III, or GIP, referred to hereinafter as the NRG Transaction. As a result of the NRG Transaction, GIP indirectly acquired a 45.2% economic interest in Clearway Energy LLC and a 55% voting interest in the Company. GIP is an independent fund manager that invests in infrastructure assets in energy and transport sectors. The Company is sponsored by GIP through GIP's portfolio company, Clearway Energy Group.</w:t>
      </w:r>
    </w:p>
    <w:p>
      <w:pPr>
        <w:spacing w:after="0" w:line="219"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 xml:space="preserve">The Company’s environmentally-sound asset portfolio includes over </w:t>
      </w:r>
      <w:r>
        <w:rPr>
          <w:rFonts w:ascii="Arial" w:cs="Arial" w:eastAsia="Arial" w:hAnsi="Arial"/>
          <w:sz w:val="18"/>
          <w:szCs w:val="18"/>
          <w:color w:val="231F20"/>
        </w:rPr>
        <w:t>5,272</w:t>
      </w:r>
      <w:r>
        <w:rPr>
          <w:rFonts w:ascii="Arial" w:cs="Arial" w:eastAsia="Arial" w:hAnsi="Arial"/>
          <w:sz w:val="18"/>
          <w:szCs w:val="18"/>
          <w:color w:val="auto"/>
        </w:rPr>
        <w:t xml:space="preserve"> MW of wind, solar and natural gas-fired power generation facilities, as well as district energy systems. </w:t>
      </w:r>
      <w:r>
        <w:rPr>
          <w:rFonts w:ascii="Arial" w:cs="Arial" w:eastAsia="Arial" w:hAnsi="Arial"/>
          <w:sz w:val="18"/>
          <w:szCs w:val="18"/>
          <w:color w:val="231F20"/>
        </w:rPr>
        <w:t>Nearly all</w:t>
      </w:r>
      <w:r>
        <w:rPr>
          <w:rFonts w:ascii="Arial" w:cs="Arial" w:eastAsia="Arial" w:hAnsi="Arial"/>
          <w:sz w:val="18"/>
          <w:szCs w:val="18"/>
          <w:color w:val="auto"/>
        </w:rPr>
        <w:t xml:space="preserve"> of these assets sell substantially all of their output pursuant to long-term offtake agreements with creditworthy counterparties. The weighted average remaining contract duration of these offtake agreements was approximately </w:t>
      </w:r>
      <w:r>
        <w:rPr>
          <w:rFonts w:ascii="Arial" w:cs="Arial" w:eastAsia="Arial" w:hAnsi="Arial"/>
          <w:sz w:val="18"/>
          <w:szCs w:val="18"/>
          <w:color w:val="231F20"/>
        </w:rPr>
        <w:t>15 years as of</w:t>
      </w:r>
      <w:r>
        <w:rPr>
          <w:rFonts w:ascii="Arial" w:cs="Arial" w:eastAsia="Arial" w:hAnsi="Arial"/>
          <w:sz w:val="18"/>
          <w:szCs w:val="18"/>
          <w:color w:val="auto"/>
        </w:rPr>
        <w:t xml:space="preserve"> September 30, 2018 </w:t>
      </w:r>
      <w:r>
        <w:rPr>
          <w:rFonts w:ascii="Arial" w:cs="Arial" w:eastAsia="Arial" w:hAnsi="Arial"/>
          <w:sz w:val="18"/>
          <w:szCs w:val="18"/>
          <w:color w:val="231F20"/>
        </w:rPr>
        <w:t>based on</w:t>
      </w:r>
      <w:r>
        <w:rPr>
          <w:rFonts w:ascii="Arial" w:cs="Arial" w:eastAsia="Arial" w:hAnsi="Arial"/>
          <w:sz w:val="18"/>
          <w:szCs w:val="18"/>
          <w:color w:val="auto"/>
        </w:rPr>
        <w:t xml:space="preserve"> </w:t>
      </w:r>
      <w:r>
        <w:rPr>
          <w:rFonts w:ascii="Arial" w:cs="Arial" w:eastAsia="Arial" w:hAnsi="Arial"/>
          <w:sz w:val="18"/>
          <w:szCs w:val="18"/>
          <w:color w:val="231F20"/>
        </w:rPr>
        <w:t>CAFD. The Company also owns thermal infrastructure assets with an aggregate steam and chilled water capacity of 1,392 net MWt and electric generation capacity of 133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54" w:lineRule="exact"/>
        <w:rPr>
          <w:sz w:val="20"/>
          <w:szCs w:val="20"/>
          <w:color w:val="auto"/>
        </w:rPr>
      </w:pPr>
    </w:p>
    <w:p>
      <w:pPr>
        <w:jc w:val="both"/>
        <w:ind w:firstLine="392"/>
        <w:spacing w:after="0" w:line="312" w:lineRule="auto"/>
        <w:rPr>
          <w:sz w:val="20"/>
          <w:szCs w:val="20"/>
          <w:color w:val="auto"/>
        </w:rPr>
      </w:pPr>
      <w:r>
        <w:rPr>
          <w:rFonts w:ascii="Arial" w:cs="Arial" w:eastAsia="Arial" w:hAnsi="Arial"/>
          <w:sz w:val="16"/>
          <w:szCs w:val="16"/>
          <w:color w:val="auto"/>
        </w:rPr>
        <w:t>The Company consolidates the results of Clearway Energy LLC through its controlling interest, with CEG's interest shown as noncontrolling interest in the financial statements. The holders of Clearway Energy, Inc.'s outstanding shares of Class A and Class C common stock are entitled to dividends as declared. CEG receives its distributions from Clearway Energy LLC through its ownership of Clearway Energy LLC Class B and Class D units.</w:t>
      </w:r>
    </w:p>
    <w:p>
      <w:pPr>
        <w:spacing w:after="0" w:line="93"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On September 27, 2018, Clearway Energy, Inc. issued and sold 3,916,449 shares of Class C common stock for net proceeds, after underwriting discounts and expenses, of $75 million. Clearway Energy, Inc. utilized the proceeds of the offering to acquire 3,916,449 Class C units from Clearway Energy LLC and, as a result, Clearway Energy, Inc. currently owns 55.7% of the economic interests of Clearway Energy LLC, with CEG retaining 44.3% of the economic interests of Clearway Energy LLC.</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1" w:name="page12"/>
    <w:bookmarkEnd w:id="11"/>
    <w:p>
      <w:pPr>
        <w:ind w:left="400"/>
        <w:spacing w:after="0"/>
        <w:rPr>
          <w:sz w:val="20"/>
          <w:szCs w:val="20"/>
          <w:color w:val="auto"/>
        </w:rPr>
      </w:pPr>
      <w:r>
        <w:rPr>
          <w:rFonts w:ascii="Arial" w:cs="Arial" w:eastAsia="Arial" w:hAnsi="Arial"/>
          <w:sz w:val="18"/>
          <w:szCs w:val="18"/>
          <w:color w:val="auto"/>
        </w:rPr>
        <w:t>The following table represents the structure of the Company as of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118110</wp:posOffset>
            </wp:positionV>
            <wp:extent cx="5848985" cy="43910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985" cy="439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2018, the Company's operating assets are comprised of the following projects: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vMerge w:val="restart"/>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3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Offtake Counterparty</w:t>
            </w:r>
          </w:p>
        </w:tc>
        <w:tc>
          <w:tcPr>
            <w:tcW w:w="100" w:type="dxa"/>
            <w:vAlign w:val="bottom"/>
            <w:vMerge w:val="restart"/>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Ownership</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8"/>
                <w:szCs w:val="8"/>
                <w:b w:val="1"/>
                <w:bCs w:val="1"/>
                <w:color w:val="auto"/>
              </w:rPr>
              <w:t>(a)</w:t>
            </w:r>
          </w:p>
        </w:tc>
        <w:tc>
          <w:tcPr>
            <w:tcW w:w="100" w:type="dxa"/>
            <w:vAlign w:val="bottom"/>
            <w:tcBorders>
              <w:bottom w:val="single" w:sz="8" w:color="CCEEFF"/>
            </w:tcBorders>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Conventional</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El Segundo</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GenConn Devon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Connecticut Light &amp; Power</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2040</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GenConn Middletown</w:t>
            </w:r>
          </w:p>
        </w:tc>
        <w:tc>
          <w:tcPr>
            <w:tcW w:w="11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Connecticut Light &amp; Power</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2041</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Marsh Landing</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Walnut Creek</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485</w:t>
            </w:r>
          </w:p>
        </w:tc>
        <w:tc>
          <w:tcPr>
            <w:tcW w:w="10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1,945</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40" w:type="dxa"/>
            <w:vAlign w:val="bottom"/>
            <w:gridSpan w:val="2"/>
          </w:tcPr>
          <w:p>
            <w:pPr>
              <w:ind w:left="40"/>
              <w:spacing w:after="0"/>
              <w:rPr>
                <w:sz w:val="20"/>
                <w:szCs w:val="20"/>
                <w:color w:val="auto"/>
              </w:rPr>
            </w:pPr>
            <w:r>
              <w:rPr>
                <w:rFonts w:ascii="Arial" w:cs="Arial" w:eastAsia="Arial" w:hAnsi="Arial"/>
                <w:sz w:val="14"/>
                <w:szCs w:val="14"/>
                <w:i w:val="1"/>
                <w:iCs w:val="1"/>
                <w:color w:val="auto"/>
              </w:rPr>
              <w:t>Utility Scale Solar</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Agua Caliente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Alpine</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Avenal</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Avra Valley</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Tucson Electric Power</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Blythe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Borrego</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San Diego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Buckthorn Solar</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City of Georgetown, TX</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2043</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CVSR</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Desert Sunlight 250</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2034</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Desert Sunlight 300</w:t>
            </w:r>
          </w:p>
        </w:tc>
        <w:tc>
          <w:tcPr>
            <w:tcW w:w="118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Kansas South</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58"/>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Roadrunner</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El Paso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vMerge w:val="restart"/>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3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Offtake Counterparty</w:t>
            </w:r>
          </w:p>
        </w:tc>
        <w:tc>
          <w:tcPr>
            <w:tcW w:w="100" w:type="dxa"/>
            <w:vAlign w:val="bottom"/>
            <w:vMerge w:val="restart"/>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Ownership</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8"/>
                <w:szCs w:val="8"/>
                <w:b w:val="1"/>
                <w:bCs w:val="1"/>
                <w:color w:val="auto"/>
              </w:rPr>
              <w:t>(a)</w:t>
            </w:r>
          </w:p>
        </w:tc>
        <w:tc>
          <w:tcPr>
            <w:tcW w:w="100" w:type="dxa"/>
            <w:vAlign w:val="bottom"/>
            <w:tcBorders>
              <w:bottom w:val="single" w:sz="8" w:color="CCEEFF"/>
            </w:tcBorders>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TA High Desert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2"/>
                <w:szCs w:val="22"/>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 xml:space="preserve">Utah Solar Portfolio </w:t>
            </w:r>
            <w:r>
              <w:rPr>
                <w:rFonts w:ascii="Arial" w:cs="Arial" w:eastAsia="Arial" w:hAnsi="Arial"/>
                <w:sz w:val="8"/>
                <w:szCs w:val="8"/>
                <w:color w:val="auto"/>
              </w:rPr>
              <w:t>(b) (e)</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265</w:t>
            </w:r>
          </w:p>
        </w:tc>
        <w:tc>
          <w:tcPr>
            <w:tcW w:w="10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5"/>
              </w:rPr>
              <w:t>PacifiCorp</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2036</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1,075</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40" w:type="dxa"/>
            <w:vAlign w:val="bottom"/>
            <w:gridSpan w:val="2"/>
          </w:tcPr>
          <w:p>
            <w:pPr>
              <w:ind w:left="40"/>
              <w:spacing w:after="0"/>
              <w:rPr>
                <w:sz w:val="20"/>
                <w:szCs w:val="20"/>
                <w:color w:val="auto"/>
              </w:rPr>
            </w:pPr>
            <w:r>
              <w:rPr>
                <w:rFonts w:ascii="Arial" w:cs="Arial" w:eastAsia="Arial" w:hAnsi="Arial"/>
                <w:sz w:val="14"/>
                <w:szCs w:val="14"/>
                <w:i w:val="1"/>
                <w:iCs w:val="1"/>
                <w:color w:val="auto"/>
              </w:rPr>
              <w:t>Distributed Solar</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Apple I LLC Projects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AZ DG Solar Projects</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2025 - 2033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SPP Projects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2026 - 2037</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Other DG Projects</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2023 - 2039</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40" w:type="dxa"/>
            <w:vAlign w:val="bottom"/>
            <w:gridSpan w:val="2"/>
          </w:tcPr>
          <w:p>
            <w:pPr>
              <w:ind w:left="40"/>
              <w:spacing w:after="0"/>
              <w:rPr>
                <w:sz w:val="20"/>
                <w:szCs w:val="20"/>
                <w:color w:val="auto"/>
              </w:rPr>
            </w:pPr>
            <w:r>
              <w:rPr>
                <w:rFonts w:ascii="Arial" w:cs="Arial" w:eastAsia="Arial" w:hAnsi="Arial"/>
                <w:sz w:val="14"/>
                <w:szCs w:val="14"/>
                <w:i w:val="1"/>
                <w:iCs w:val="1"/>
                <w:color w:val="auto"/>
              </w:rPr>
              <w:t>Wind</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Alta I</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II</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Alta III</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IV</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Alta V</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Alta X </w:t>
            </w:r>
            <w:r>
              <w:rPr>
                <w:rFonts w:ascii="Arial" w:cs="Arial" w:eastAsia="Arial" w:hAnsi="Arial"/>
                <w:sz w:val="8"/>
                <w:szCs w:val="8"/>
                <w:color w:val="auto"/>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Alta XI </w:t>
            </w:r>
            <w:r>
              <w:rPr>
                <w:rFonts w:ascii="Arial" w:cs="Arial" w:eastAsia="Arial" w:hAnsi="Arial"/>
                <w:sz w:val="8"/>
                <w:szCs w:val="8"/>
                <w:color w:val="auto"/>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Buffalo Bear</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Western Farmers Electric Co-operative</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Crosswinds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Corn Belt Power Cooperative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Elbow Creek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NRG Power Marketing LLC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Elkhorn Ridge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Forward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Constellation NewEnergy, Inc.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Goat Wind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Dow Pipeline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Hardin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Interstate Power and Light Company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Laredo Ridge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Lookout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Maryland Electric Cooperative</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2030</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Odin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Missouri River Energy Services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157"/>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2"/>
              </w:rPr>
              <w:t>Maryland Department of General Services and</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Pinnacle</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University System of Maryland</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San Juan Mesa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Southwestern Public Service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Sleeping Bear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Public Service Company of Oklahoma</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South Trent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AEP Energy Partners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Spanish Fork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5"/>
              </w:rPr>
              <w:t>PacifiCorp</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Spring Canyon II </w:t>
            </w:r>
            <w:r>
              <w:rPr>
                <w:rFonts w:ascii="Arial" w:cs="Arial" w:eastAsia="Arial" w:hAnsi="Arial"/>
                <w:sz w:val="8"/>
                <w:szCs w:val="8"/>
                <w:color w:val="auto"/>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Spring Canyon III </w:t>
            </w:r>
            <w:r>
              <w:rPr>
                <w:rFonts w:ascii="Arial" w:cs="Arial" w:eastAsia="Arial" w:hAnsi="Arial"/>
                <w:sz w:val="8"/>
                <w:szCs w:val="8"/>
                <w:color w:val="auto"/>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Taloga</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Oklahoma Gas &amp;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 xml:space="preserve">Wildorado </w:t>
            </w:r>
            <w:r>
              <w:rPr>
                <w:rFonts w:ascii="Arial" w:cs="Arial" w:eastAsia="Arial" w:hAnsi="Arial"/>
                <w:sz w:val="8"/>
                <w:szCs w:val="8"/>
                <w:color w:val="auto"/>
              </w:rPr>
              <w:t>(b) (f)</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w:t>
            </w:r>
          </w:p>
        </w:tc>
        <w:tc>
          <w:tcPr>
            <w:tcW w:w="10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2"/>
              </w:rPr>
              <w:t>Southwestern Public Service Company</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2,200</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40" w:type="dxa"/>
            <w:vAlign w:val="bottom"/>
            <w:gridSpan w:val="2"/>
          </w:tcPr>
          <w:p>
            <w:pPr>
              <w:ind w:left="40"/>
              <w:spacing w:after="0"/>
              <w:rPr>
                <w:sz w:val="20"/>
                <w:szCs w:val="20"/>
                <w:color w:val="auto"/>
              </w:rPr>
            </w:pPr>
            <w:r>
              <w:rPr>
                <w:rFonts w:ascii="Arial" w:cs="Arial" w:eastAsia="Arial" w:hAnsi="Arial"/>
                <w:sz w:val="14"/>
                <w:szCs w:val="14"/>
                <w:i w:val="1"/>
                <w:iCs w:val="1"/>
                <w:color w:val="auto"/>
              </w:rPr>
              <w:t>Thermal</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Energy Center Dover LLC</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NRG Power Marketing LLC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Thermal generation</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3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net generation capacity</w:t>
            </w:r>
            <w:r>
              <w:rPr>
                <w:rFonts w:ascii="Arial" w:cs="Arial" w:eastAsia="Arial" w:hAnsi="Arial"/>
                <w:sz w:val="8"/>
                <w:szCs w:val="8"/>
                <w:color w:val="auto"/>
              </w:rPr>
              <w:t>(c)</w:t>
            </w: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5,405</w:t>
            </w:r>
          </w:p>
        </w:tc>
        <w:tc>
          <w:tcPr>
            <w:tcW w:w="100" w:type="dxa"/>
            <w:vAlign w:val="bottom"/>
            <w:tcBorders>
              <w:bottom w:val="single" w:sz="8" w:color="CCEEFF"/>
            </w:tcBorders>
          </w:tcPr>
          <w:p>
            <w:pPr>
              <w:spacing w:after="0"/>
              <w:rPr>
                <w:sz w:val="24"/>
                <w:szCs w:val="24"/>
                <w:color w:val="auto"/>
              </w:rPr>
            </w:pPr>
          </w:p>
        </w:tc>
        <w:tc>
          <w:tcPr>
            <w:tcW w:w="33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340" w:type="dxa"/>
            <w:vAlign w:val="bottom"/>
            <w:gridSpan w:val="2"/>
          </w:tcPr>
          <w:p>
            <w:pPr>
              <w:ind w:left="180"/>
              <w:spacing w:after="0"/>
              <w:rPr>
                <w:sz w:val="20"/>
                <w:szCs w:val="20"/>
                <w:color w:val="auto"/>
              </w:rPr>
            </w:pPr>
            <w:r>
              <w:rPr>
                <w:rFonts w:ascii="Arial" w:cs="Arial" w:eastAsia="Arial" w:hAnsi="Arial"/>
                <w:sz w:val="14"/>
                <w:szCs w:val="14"/>
                <w:color w:val="auto"/>
              </w:rPr>
              <w:t xml:space="preserve">Thermal equivalent MWt </w:t>
            </w:r>
            <w:r>
              <w:rPr>
                <w:rFonts w:ascii="Arial" w:cs="Arial" w:eastAsia="Arial" w:hAnsi="Arial"/>
                <w:sz w:val="8"/>
                <w:szCs w:val="8"/>
                <w:color w:val="auto"/>
              </w:rPr>
              <w:t>(d)</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1,392</w:t>
            </w:r>
          </w:p>
        </w:tc>
        <w:tc>
          <w:tcPr>
            <w:tcW w:w="100" w:type="dxa"/>
            <w:vAlign w:val="bottom"/>
          </w:tcPr>
          <w:p>
            <w:pPr>
              <w:spacing w:after="0"/>
              <w:rPr>
                <w:sz w:val="21"/>
                <w:szCs w:val="21"/>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8" w:lineRule="exact"/>
        <w:rPr>
          <w:sz w:val="20"/>
          <w:szCs w:val="20"/>
          <w:color w:val="auto"/>
        </w:rPr>
      </w:pPr>
    </w:p>
    <w:p>
      <w:pPr>
        <w:ind w:right="360" w:firstLine="8"/>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Net capacity represents the maximum, or rated, generating capacity of the facility multiplied by the Company's percentage ownership in the facility as of September 30, 2018.</w:t>
      </w:r>
    </w:p>
    <w:p>
      <w:pPr>
        <w:spacing w:after="0" w:line="188" w:lineRule="exact"/>
        <w:rPr>
          <w:rFonts w:ascii="Arial" w:cs="Arial" w:eastAsia="Arial" w:hAnsi="Arial"/>
          <w:sz w:val="18"/>
          <w:szCs w:val="18"/>
          <w:color w:val="auto"/>
          <w:vertAlign w:val="superscript"/>
        </w:rPr>
      </w:pPr>
    </w:p>
    <w:p>
      <w:pPr>
        <w:ind w:left="180" w:hanging="172"/>
        <w:spacing w:after="0" w:line="198"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Projects are part of tax equity arrangements</w:t>
      </w:r>
      <w:r>
        <w:rPr>
          <w:rFonts w:ascii="Arial" w:cs="Arial" w:eastAsia="Arial" w:hAnsi="Arial"/>
          <w:sz w:val="15"/>
          <w:szCs w:val="15"/>
          <w:i w:val="1"/>
          <w:iCs w:val="1"/>
          <w:color w:val="auto"/>
        </w:rPr>
        <w:t>.</w:t>
      </w:r>
    </w:p>
    <w:p>
      <w:pPr>
        <w:ind w:right="580" w:firstLine="8"/>
        <w:spacing w:after="0" w:line="232" w:lineRule="auto"/>
        <w:tabs>
          <w:tab w:leader="none" w:pos="160"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The Company's total generation capacity is net of 6 MWs for noncontrolling interest for Spring Canyon II and III. The Company's generation capacity including this noncontrolling interest was 5,411 MWs.</w:t>
      </w:r>
    </w:p>
    <w:p>
      <w:pPr>
        <w:ind w:firstLine="8"/>
        <w:spacing w:after="0" w:line="219"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For thermal energy, net capacity represents MWt for steam or chilled water and excludes 134 MWt available under the right-to-use provisions contained in agreements between two of the Company's thermal facilities and certain of its customers.</w:t>
      </w:r>
    </w:p>
    <w:p>
      <w:pPr>
        <w:ind w:right="280" w:firstLine="8"/>
        <w:spacing w:after="0" w:line="246" w:lineRule="auto"/>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Represents interests in Four Brothers Solar, LLC, Granite Mountain Holdings, LLC, and Iron Springs Holdings, LLC, all acquired as part of the March 2017 Drop Down Assets (ownership percentage is based upon cash to be distributed).</w:t>
      </w:r>
    </w:p>
    <w:p>
      <w:pPr>
        <w:ind w:left="160" w:hanging="152"/>
        <w:spacing w:after="0" w:line="182" w:lineRule="auto"/>
        <w:tabs>
          <w:tab w:leader="none" w:pos="16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Projects are part of Wind TE Holdco portfolio.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88" w:right="239" w:bottom="154" w:gutter="0" w:footer="0" w:header="0"/>
        </w:sectPr>
      </w:pPr>
    </w:p>
    <w:bookmarkStart w:id="13" w:name="page14"/>
    <w:bookmarkEnd w:id="13"/>
    <w:p>
      <w:pPr>
        <w:jc w:val="both"/>
        <w:ind w:firstLine="405"/>
        <w:spacing w:after="0" w:line="255" w:lineRule="auto"/>
        <w:rPr>
          <w:sz w:val="20"/>
          <w:szCs w:val="20"/>
          <w:color w:val="auto"/>
        </w:rPr>
      </w:pPr>
      <w:r>
        <w:rPr>
          <w:rFonts w:ascii="Arial" w:cs="Arial" w:eastAsia="Arial" w:hAnsi="Arial"/>
          <w:sz w:val="18"/>
          <w:szCs w:val="18"/>
          <w:color w:val="auto"/>
        </w:rPr>
        <w:t xml:space="preserve">In addition to the facilities owned or leased in the table above, the Company has entered into partnerships to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268 MW based on cash to be distributed pursuant to the partnership agreements as of September 30, 2018. For further discussions, see Note 4, </w:t>
      </w:r>
      <w:r>
        <w:rPr>
          <w:rFonts w:ascii="Arial" w:cs="Arial" w:eastAsia="Arial" w:hAnsi="Arial"/>
          <w:sz w:val="18"/>
          <w:szCs w:val="18"/>
          <w:i w:val="1"/>
          <w:iCs w:val="1"/>
          <w:color w:val="auto"/>
        </w:rPr>
        <w:t>Investments Accounted for by the Equity Method and Variable 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Entities </w:t>
      </w:r>
      <w:r>
        <w:rPr>
          <w:rFonts w:ascii="Arial" w:cs="Arial" w:eastAsia="Arial" w:hAnsi="Arial"/>
          <w:sz w:val="18"/>
          <w:szCs w:val="18"/>
          <w:color w:val="auto"/>
        </w:rPr>
        <w:t>of this Form 10-Q and Note 5,</w:t>
      </w:r>
      <w:r>
        <w:rPr>
          <w:rFonts w:ascii="Arial" w:cs="Arial" w:eastAsia="Arial" w:hAnsi="Arial"/>
          <w:sz w:val="18"/>
          <w:szCs w:val="18"/>
          <w:i w:val="1"/>
          <w:iCs w:val="1"/>
          <w:color w:val="auto"/>
        </w:rPr>
        <w:t xml:space="preserve"> Investments Accounted for by the Equity Method and Variable Interest Entities </w:t>
      </w:r>
      <w:r>
        <w:rPr>
          <w:rFonts w:ascii="Arial" w:cs="Arial" w:eastAsia="Arial" w:hAnsi="Arial"/>
          <w:sz w:val="18"/>
          <w:szCs w:val="18"/>
          <w:color w:val="auto"/>
        </w:rPr>
        <w:t>to the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the Company's 2017 Form 10-K.</w:t>
      </w:r>
    </w:p>
    <w:p>
      <w:pPr>
        <w:spacing w:after="0" w:line="13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Substantially all of the Company's generation assets are under long-term contractual arrangements for the output or capacity from these assets. The thermal assets are comprised of district energy systems and combined heat and power plants that produce steam, hot water and/or chilled water and, in some instances, electricity at a central plant. Certain district energy systems are subject to rate regulation by state public utility commissions (although they may negotiate certain rates) while the other district energy systems have rates determined by negotiated bilateral contracts.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Recast of the Historical Financial Statements</w:t>
      </w:r>
    </w:p>
    <w:p>
      <w:pPr>
        <w:spacing w:after="0" w:line="171"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 xml:space="preserve">Prior to the NRG Transaction on August 31, 2018, the Company completed several acquisitions of Drop Down Assets from NRG, which were accounted for as transfer of entities under common control. The accounting guidance for transfers of entities under common control requires retrospective combination of the entities for all periods presented as if the combinations had been in effect from the beginning of the financial statement period or from the date the entities were under common control (if later than the beginning of the financial statement period). The transfers of entities under common control that took place in 2017 and 2018, and affected the historical results in reporting periods in this Form 10-Q as further described in Note 3, </w:t>
      </w:r>
      <w:r>
        <w:rPr>
          <w:rFonts w:ascii="Arial" w:cs="Arial" w:eastAsia="Arial" w:hAnsi="Arial"/>
          <w:sz w:val="16"/>
          <w:szCs w:val="16"/>
          <w:i w:val="1"/>
          <w:iCs w:val="1"/>
          <w:color w:val="auto"/>
        </w:rPr>
        <w:t>Business Acquisitions</w:t>
      </w:r>
      <w:r>
        <w:rPr>
          <w:rFonts w:ascii="Arial" w:cs="Arial" w:eastAsia="Arial" w:hAnsi="Arial"/>
          <w:sz w:val="16"/>
          <w:szCs w:val="16"/>
          <w:color w:val="auto"/>
        </w:rPr>
        <w:t xml:space="preserve"> are: (i) the acquisition of 100% of NRG's interest in Buckthorn Renewables, LLC, or the Buckthorn Solar Drop Down Asset on March 30, 2018, and (ii) in 2017, the acquisition of the November 2017 November Drop Down Assets and August 2017 Drop Down Assets from NRG.</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2017 Form 10-K. Interim results are not necessarily indicative of results for a full year.</w:t>
      </w:r>
    </w:p>
    <w:p>
      <w:pPr>
        <w:spacing w:after="0" w:line="100"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The Company has elected not to push down the effects of the NRG Transaction to its consolidated financial statements and, accordingly, there was no change in basis of presentation related to the NRG transaction.</w:t>
      </w:r>
    </w:p>
    <w:p>
      <w:pPr>
        <w:spacing w:after="0" w:line="116"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September 30, 2018, and the results of operations, comprehensive income (loss) and cash flows for the nine months ended September 30, 2018 and 2017.</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Transition Services Agreement</w:t>
      </w:r>
    </w:p>
    <w:p>
      <w:pPr>
        <w:spacing w:after="0" w:line="171" w:lineRule="exact"/>
        <w:rPr>
          <w:sz w:val="20"/>
          <w:szCs w:val="20"/>
          <w:color w:val="auto"/>
        </w:rPr>
      </w:pPr>
    </w:p>
    <w:p>
      <w:pPr>
        <w:jc w:val="both"/>
        <w:ind w:left="80" w:firstLine="486"/>
        <w:spacing w:after="0" w:line="297" w:lineRule="auto"/>
        <w:rPr>
          <w:sz w:val="20"/>
          <w:szCs w:val="20"/>
          <w:color w:val="auto"/>
        </w:rPr>
      </w:pPr>
      <w:r>
        <w:rPr>
          <w:rFonts w:ascii="Arial" w:cs="Arial" w:eastAsia="Arial" w:hAnsi="Arial"/>
          <w:sz w:val="16"/>
          <w:szCs w:val="16"/>
          <w:color w:val="auto"/>
        </w:rPr>
        <w:t>As a result of the NRG Transaction, the Company entered into a Transition Services Agreement with NRG, or the NRG TSA, pursuant to which NRG or certain of its affiliates began providing certain services to the Company following the consummation of the NRG Transaction, in exchange for the payment of a fee in respect of such services. The agreement is effective until the earlier of June 30, 2019 or the date that all services are terminated by the Company. The Company may extend the term on a month-by-month basis no later than March 31, 2020 for a fixed monthly fee provided for in the agreement. Expenses related to the NRG TSA are recorded in general and administrative expenses in the consolidated statements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and the reported amounts of revenues and expenses during the reporting period. Actual results could be different from these estimates.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Accumulated Depreciation, Accumulated Amortization</w:t>
      </w:r>
    </w:p>
    <w:p>
      <w:pPr>
        <w:spacing w:after="0" w:line="17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table presents the accumulated depreciation included in the property, plant and equipment, net, and accumulated amortization included in intangible assets, net, respectively, as of September 30, 2018 and December 31, 2017: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ind w:right="157"/>
              <w:spacing w:after="0"/>
              <w:rPr>
                <w:sz w:val="20"/>
                <w:szCs w:val="20"/>
                <w:color w:val="auto"/>
              </w:rPr>
            </w:pPr>
            <w:r>
              <w:rPr>
                <w:rFonts w:ascii="Arial" w:cs="Arial" w:eastAsia="Arial" w:hAnsi="Arial"/>
                <w:sz w:val="16"/>
                <w:szCs w:val="16"/>
                <w:b w:val="1"/>
                <w:bCs w:val="1"/>
                <w:color w:val="auto"/>
                <w:w w:val="93"/>
              </w:rPr>
              <w:t>September 30, 2018</w:t>
            </w:r>
          </w:p>
        </w:tc>
        <w:tc>
          <w:tcPr>
            <w:tcW w:w="280" w:type="dxa"/>
            <w:vAlign w:val="bottom"/>
          </w:tcPr>
          <w:p>
            <w:pPr>
              <w:spacing w:after="0"/>
              <w:rPr>
                <w:sz w:val="18"/>
                <w:szCs w:val="18"/>
                <w:color w:val="auto"/>
              </w:rPr>
            </w:pPr>
          </w:p>
        </w:tc>
        <w:tc>
          <w:tcPr>
            <w:tcW w:w="1640" w:type="dxa"/>
            <w:vAlign w:val="bottom"/>
          </w:tcPr>
          <w:p>
            <w:pPr>
              <w:jc w:val="right"/>
              <w:ind w:right="173"/>
              <w:spacing w:after="0"/>
              <w:rPr>
                <w:sz w:val="20"/>
                <w:szCs w:val="20"/>
                <w:color w:val="auto"/>
              </w:rPr>
            </w:pPr>
            <w:r>
              <w:rPr>
                <w:rFonts w:ascii="Arial" w:cs="Arial" w:eastAsia="Arial" w:hAnsi="Arial"/>
                <w:sz w:val="16"/>
                <w:szCs w:val="16"/>
                <w:b w:val="1"/>
                <w:bCs w:val="1"/>
                <w:color w:val="auto"/>
                <w:w w:val="94"/>
              </w:rPr>
              <w:t>December 31, 2017</w:t>
            </w:r>
          </w:p>
        </w:tc>
      </w:tr>
      <w:tr>
        <w:trPr>
          <w:trHeight w:val="33"/>
        </w:trPr>
        <w:tc>
          <w:tcPr>
            <w:tcW w:w="7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gridSpan w:val="3"/>
          </w:tcPr>
          <w:p>
            <w:pPr>
              <w:spacing w:after="0"/>
              <w:rPr>
                <w:sz w:val="2"/>
                <w:szCs w:val="2"/>
                <w:color w:val="auto"/>
              </w:rPr>
            </w:pPr>
          </w:p>
        </w:tc>
      </w:tr>
      <w:tr>
        <w:trPr>
          <w:trHeight w:val="244"/>
        </w:trPr>
        <w:tc>
          <w:tcPr>
            <w:tcW w:w="7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580" w:type="dxa"/>
            <w:vAlign w:val="bottom"/>
            <w:gridSpan w:val="3"/>
          </w:tcPr>
          <w:p>
            <w:pPr>
              <w:jc w:val="right"/>
              <w:ind w:right="139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Accumulated Depreciation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1,507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Intangible Assets Accumulated Amortization</w:t>
            </w:r>
          </w:p>
        </w:tc>
        <w:tc>
          <w:tcPr>
            <w:tcW w:w="180" w:type="dxa"/>
            <w:vAlign w:val="bottom"/>
          </w:tcPr>
          <w:p>
            <w:pPr>
              <w:spacing w:after="0"/>
              <w:rPr>
                <w:sz w:val="21"/>
                <w:szCs w:val="21"/>
                <w:color w:val="auto"/>
              </w:rPr>
            </w:pPr>
          </w:p>
        </w:tc>
        <w:tc>
          <w:tcPr>
            <w:tcW w:w="1660" w:type="dxa"/>
            <w:vAlign w:val="bottom"/>
          </w:tcPr>
          <w:p>
            <w:pPr>
              <w:jc w:val="right"/>
              <w:ind w:right="37"/>
              <w:spacing w:after="0"/>
              <w:rPr>
                <w:sz w:val="20"/>
                <w:szCs w:val="20"/>
                <w:color w:val="auto"/>
              </w:rPr>
            </w:pPr>
            <w:r>
              <w:rPr>
                <w:rFonts w:ascii="Arial" w:cs="Arial" w:eastAsia="Arial" w:hAnsi="Arial"/>
                <w:sz w:val="18"/>
                <w:szCs w:val="18"/>
                <w:color w:val="auto"/>
              </w:rPr>
              <w:t>289</w:t>
            </w:r>
          </w:p>
        </w:tc>
        <w:tc>
          <w:tcPr>
            <w:tcW w:w="28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237</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 xml:space="preserve">Noncontrolling interests represent the equity associated with CEG's interest in Repowering Partnership LLC, as described in Note 4, </w:t>
      </w:r>
      <w:r>
        <w:rPr>
          <w:rFonts w:ascii="Arial" w:cs="Arial" w:eastAsia="Arial" w:hAnsi="Arial"/>
          <w:sz w:val="17"/>
          <w:szCs w:val="17"/>
          <w:i w:val="1"/>
          <w:iCs w:val="1"/>
          <w:color w:val="auto"/>
        </w:rPr>
        <w:t>Investments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Accounted for by the Equity Method and Variable Interest Entities, </w:t>
      </w:r>
      <w:r>
        <w:rPr>
          <w:rFonts w:ascii="Arial" w:cs="Arial" w:eastAsia="Arial" w:hAnsi="Arial"/>
          <w:sz w:val="17"/>
          <w:szCs w:val="17"/>
          <w:color w:val="auto"/>
        </w:rPr>
        <w:t>and third-party interests in the net assets under certain tax equity arrangements, which are</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by the Company, that have been entered into to finance the cost of wind facilities eligible for tax credits.</w:t>
      </w:r>
    </w:p>
    <w:p>
      <w:pPr>
        <w:spacing w:after="0" w:line="111"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The following table reflects the changes in the Company's noncontrolling interest balance for the period from January 1, 2018 through September 30, 2018:</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6"/>
                <w:szCs w:val="16"/>
                <w:b w:val="1"/>
                <w:bCs w:val="1"/>
                <w:color w:val="auto"/>
              </w:rPr>
              <w:t>(In millions)</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Balance as of December 31, 2017</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w:t>
            </w:r>
          </w:p>
        </w:tc>
      </w:tr>
      <w:tr>
        <w:trPr>
          <w:trHeight w:val="27"/>
        </w:trPr>
        <w:tc>
          <w:tcPr>
            <w:tcW w:w="9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8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Capital contributions from tax equity investors, net of distributions </w:t>
            </w:r>
            <w:r>
              <w:rPr>
                <w:rFonts w:ascii="Arial" w:cs="Arial" w:eastAsia="Arial" w:hAnsi="Arial"/>
                <w:sz w:val="25"/>
                <w:szCs w:val="25"/>
                <w:color w:val="auto"/>
                <w:vertAlign w:val="superscript"/>
              </w:rPr>
              <w:t>(a)</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9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8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Contributions from CEG </w:t>
            </w:r>
            <w:r>
              <w:rPr>
                <w:rFonts w:ascii="Arial" w:cs="Arial" w:eastAsia="Arial" w:hAnsi="Arial"/>
                <w:sz w:val="25"/>
                <w:szCs w:val="25"/>
                <w:color w:val="auto"/>
                <w:vertAlign w:val="superscript"/>
              </w:rPr>
              <w:t>(b)</w:t>
            </w:r>
          </w:p>
        </w:tc>
        <w:tc>
          <w:tcPr>
            <w:tcW w:w="2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57"/>
        </w:trPr>
        <w:tc>
          <w:tcPr>
            <w:tcW w:w="9820" w:type="dxa"/>
            <w:vAlign w:val="bottom"/>
          </w:tcPr>
          <w:p>
            <w:pPr>
              <w:ind w:left="40"/>
              <w:spacing w:after="0"/>
              <w:rPr>
                <w:sz w:val="20"/>
                <w:szCs w:val="20"/>
                <w:color w:val="auto"/>
              </w:rPr>
            </w:pPr>
            <w:r>
              <w:rPr>
                <w:rFonts w:ascii="Arial" w:cs="Arial" w:eastAsia="Arial" w:hAnsi="Arial"/>
                <w:sz w:val="18"/>
                <w:szCs w:val="18"/>
                <w:color w:val="auto"/>
              </w:rPr>
              <w:t>Balance as of September 30, 2018</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193</w:t>
            </w:r>
          </w:p>
        </w:tc>
      </w:tr>
      <w:tr>
        <w:trPr>
          <w:trHeight w:val="20"/>
        </w:trPr>
        <w:tc>
          <w:tcPr>
            <w:tcW w:w="9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200" w:hanging="192"/>
        <w:spacing w:after="0"/>
        <w:tabs>
          <w:tab w:leader="none" w:pos="20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Activity primarily relates to net capital contributions from the TE investor into Buckthorn Holdings LLC in the amount of $99 million, as further described in Note 4,</w:t>
      </w:r>
    </w:p>
    <w:p>
      <w:pPr>
        <w:spacing w:after="0" w:line="7"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6"/>
          <w:szCs w:val="16"/>
          <w:i w:val="1"/>
          <w:iCs w:val="1"/>
          <w:color w:val="auto"/>
        </w:rPr>
        <w:t>.</w:t>
      </w:r>
    </w:p>
    <w:p>
      <w:pPr>
        <w:spacing w:after="0" w:line="65" w:lineRule="exact"/>
        <w:rPr>
          <w:rFonts w:ascii="Arial" w:cs="Arial" w:eastAsia="Arial" w:hAnsi="Arial"/>
          <w:sz w:val="23"/>
          <w:szCs w:val="23"/>
          <w:color w:val="auto"/>
          <w:vertAlign w:val="superscript"/>
        </w:rPr>
      </w:pPr>
    </w:p>
    <w:p>
      <w:pPr>
        <w:ind w:right="160" w:firstLine="8"/>
        <w:spacing w:after="0" w:line="347" w:lineRule="auto"/>
        <w:tabs>
          <w:tab w:leader="none" w:pos="153"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 xml:space="preserve">Contributions from CEG are primarily comprised of non-cash contribution of $17 million made by CEG in connection with the formation of Repowering Partnership LLC, as further described in Note 4, </w:t>
      </w:r>
      <w:r>
        <w:rPr>
          <w:rFonts w:ascii="Arial" w:cs="Arial" w:eastAsia="Arial" w:hAnsi="Arial"/>
          <w:sz w:val="14"/>
          <w:szCs w:val="14"/>
          <w:i w:val="1"/>
          <w:iCs w:val="1"/>
          <w:color w:val="auto"/>
        </w:rPr>
        <w:t>Investments Accounted for by the Equity Method and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-646430</wp:posOffset>
            </wp:positionV>
            <wp:extent cx="14147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lists the distributions paid on Clearway Energy LLC's Class A, B, C and D units during the nine months ended September 30, 2018:</w:t>
      </w:r>
    </w:p>
    <w:p>
      <w:pPr>
        <w:spacing w:after="0" w:line="200" w:lineRule="exact"/>
        <w:rPr>
          <w:sz w:val="20"/>
          <w:szCs w:val="20"/>
          <w:color w:val="auto"/>
        </w:rPr>
      </w:pPr>
    </w:p>
    <w:p>
      <w:pPr>
        <w:spacing w:after="0" w:line="21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5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Third Quarter 2018</w:t>
            </w: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Second Quarter 2018</w:t>
            </w:r>
          </w:p>
        </w:tc>
        <w:tc>
          <w:tcPr>
            <w:tcW w:w="12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4"/>
                <w:szCs w:val="14"/>
                <w:b w:val="1"/>
                <w:bCs w:val="1"/>
                <w:color w:val="auto"/>
                <w:w w:val="95"/>
              </w:rPr>
              <w:t>First Quarter 2018</w:t>
            </w:r>
          </w:p>
        </w:tc>
      </w:tr>
      <w:tr>
        <w:trPr>
          <w:trHeight w:val="243"/>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Distributions per Class A, B, C and D unit</w:t>
            </w:r>
          </w:p>
        </w:tc>
        <w:tc>
          <w:tcPr>
            <w:tcW w:w="50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0.320</w:t>
            </w:r>
          </w:p>
        </w:tc>
        <w:tc>
          <w:tcPr>
            <w:tcW w:w="10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0.309</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0.298</w:t>
            </w:r>
          </w:p>
        </w:tc>
      </w:tr>
      <w:tr>
        <w:trPr>
          <w:trHeight w:val="27"/>
        </w:trPr>
        <w:tc>
          <w:tcPr>
            <w:tcW w:w="63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October 31, 2018, Clearway Energy LLC declared a distribution on its Class A, Class B, Class C and Class D units of $0.331 per unit payable on December 17, 2018 to unit holders of record as of December 3, 2018.</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Changes in Capital Structure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At-the-Market Equity Offering Program, or the ATM Program</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Clearway Energy, Inc. is party to an equity distribution agreement with Barclays Capital Inc., Credit Suisse Securities (USA) LLC, J.P. Morgan Securities LLC and RBC Capital Markets, LLC, as sales agents. Pursuant to the terms of the equity distribution agreement, Clearway Energy, Inc. may offer and sell shares of its Class C common stock par value $0.01 per share, from time to time through the sales agents up to an aggregate sales price of $150 million through an at-the-market equity offering program, or the ATM Program. Clearway Energy, Inc. may also sell shares of its Class C common stock to any of the sales agents, as principals for its own account, at a price agreed upon at the time of sale.</w:t>
      </w:r>
    </w:p>
    <w:p>
      <w:pPr>
        <w:spacing w:after="0" w:line="13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Clearway Energy, Inc. sold a total of 4,392,583 of Class C common stock for gross proceeds of $77 million during the period ended September 30, 2018. Clearway Energy, Inc. used the net proceeds to acquire 4,392,583 Class C units from the Company. As of September 30, 2018, approximately $38 million remains available for issuance under the ATM Program.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On January 1, 2018, the Company adopted the guidance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or Topic 606, using the modified retrospective method applied to contracts which were not completed as of the adoption date, with no adjustment required to the financial statements upon adoption. Following the adoption of the new standard, the Company’s revenue recognition of its contracts with customers remains materially consistent with its historical practice. The comparative information has not been restated and continues to be reported under the accounting standards in effect for those periods.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Thermal Revenues</w:t>
      </w:r>
    </w:p>
    <w:p>
      <w:pPr>
        <w:spacing w:after="0" w:line="104"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income statement.</w:t>
      </w:r>
    </w:p>
    <w:p>
      <w:pPr>
        <w:spacing w:after="0" w:line="1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As contracts for steam and chilled water are long-term contracts, the Company has performance obligations under these contracts that have not yet been satisfied. These performance obligations have transaction prices that are both fixed and variable, and that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Power Purchase Agreements, or PPAs</w:t>
      </w:r>
    </w:p>
    <w:p>
      <w:pPr>
        <w:spacing w:after="0" w:line="21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majority of the Company’s revenues are obtained through PPAs or other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leases. ASC 840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Renewable Energy Credits, or RECs</w:t>
      </w:r>
    </w:p>
    <w:p>
      <w:pPr>
        <w:spacing w:after="0" w:line="18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stated above, renewable energy credits, or RECs, are usually sold through long-term PPAs. Revenue from the sale of self-generated RECs is recognized when the related energy is generated and simultaneously delivered even in cases where there is a certification lag as it has been deemed to be perfunctory.</w:t>
      </w:r>
    </w:p>
    <w:p>
      <w:pPr>
        <w:spacing w:after="0" w:line="100"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6" w:right="239" w:bottom="1440" w:gutter="0" w:footer="0" w:header="0"/>
        </w:sectPr>
      </w:pPr>
    </w:p>
    <w:bookmarkStart w:id="16" w:name="page17"/>
    <w:bookmarkEnd w:id="16"/>
    <w:p>
      <w:pPr>
        <w:ind w:left="420"/>
        <w:spacing w:after="0"/>
        <w:rPr>
          <w:sz w:val="20"/>
          <w:szCs w:val="20"/>
          <w:color w:val="auto"/>
        </w:rPr>
      </w:pPr>
      <w:r>
        <w:rPr>
          <w:rFonts w:ascii="Arial" w:cs="Arial" w:eastAsia="Arial" w:hAnsi="Arial"/>
          <w:sz w:val="18"/>
          <w:szCs w:val="18"/>
          <w:i w:val="1"/>
          <w:iCs w:val="1"/>
          <w:color w:val="auto"/>
        </w:rPr>
        <w:t>Sale of Emission Allowances</w:t>
      </w:r>
    </w:p>
    <w:p>
      <w:pPr>
        <w:spacing w:after="0" w:line="185"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The Company records its bank of emission allowances as part of intangible assets. From time to time, management may authorize the transfer of emission allowances in excess of usage from the Company's emission bank to intangible assets held-for-sale for trading purposes. The Company records the sale of emission allowances on a net basis within operating revenue in the Company's consolidated statements of operations.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Disaggregated Revenues</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represent the Company’s disaggregation of revenue from contracts with customers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along with the reportable segment for each category: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w w:val="97"/>
              </w:rPr>
              <w:t>Three months ended September 30, 2018</w:t>
            </w:r>
          </w:p>
        </w:tc>
        <w:tc>
          <w:tcPr>
            <w:tcW w:w="4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4"/>
              </w:rPr>
              <w:t>(In millions)</w:t>
            </w:r>
          </w:p>
        </w:tc>
        <w:tc>
          <w:tcPr>
            <w:tcW w:w="526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Conventional</w:t>
            </w:r>
          </w:p>
        </w:tc>
        <w:tc>
          <w:tcPr>
            <w:tcW w:w="260" w:type="dxa"/>
            <w:vAlign w:val="bottom"/>
          </w:tcPr>
          <w:p>
            <w:pPr>
              <w:spacing w:after="0"/>
              <w:rPr>
                <w:sz w:val="14"/>
                <w:szCs w:val="14"/>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Renewables</w:t>
            </w:r>
          </w:p>
        </w:tc>
        <w:tc>
          <w:tcPr>
            <w:tcW w:w="240" w:type="dxa"/>
            <w:vAlign w:val="bottom"/>
          </w:tcPr>
          <w:p>
            <w:pPr>
              <w:spacing w:after="0"/>
              <w:rPr>
                <w:sz w:val="14"/>
                <w:szCs w:val="14"/>
                <w:color w:val="auto"/>
              </w:rPr>
            </w:pPr>
          </w:p>
        </w:tc>
        <w:tc>
          <w:tcPr>
            <w:tcW w:w="112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Thermal</w:t>
            </w:r>
          </w:p>
        </w:tc>
        <w:tc>
          <w:tcPr>
            <w:tcW w:w="460" w:type="dxa"/>
            <w:vAlign w:val="bottom"/>
          </w:tcPr>
          <w:p>
            <w:pPr>
              <w:spacing w:after="0"/>
              <w:rPr>
                <w:sz w:val="14"/>
                <w:szCs w:val="14"/>
                <w:color w:val="auto"/>
              </w:rPr>
            </w:pPr>
          </w:p>
        </w:tc>
        <w:tc>
          <w:tcPr>
            <w:tcW w:w="7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52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Generation</w:t>
            </w:r>
          </w:p>
        </w:tc>
        <w:tc>
          <w:tcPr>
            <w:tcW w:w="34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6"/>
                <w:szCs w:val="16"/>
                <w:color w:val="auto"/>
              </w:rPr>
              <w:t>Energy revenue</w:t>
            </w:r>
            <w:r>
              <w:rPr>
                <w:rFonts w:ascii="Arial" w:cs="Arial" w:eastAsia="Arial" w:hAnsi="Arial"/>
                <w:sz w:val="21"/>
                <w:szCs w:val="21"/>
                <w:color w:val="auto"/>
                <w:vertAlign w:val="superscript"/>
              </w:rPr>
              <w:t>(a)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gridSpan w:val="4"/>
          </w:tcPr>
          <w:p>
            <w:pPr>
              <w:jc w:val="right"/>
              <w:ind w:right="1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4"/>
                <w:szCs w:val="24"/>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311"/>
        </w:trPr>
        <w:tc>
          <w:tcPr>
            <w:tcW w:w="40" w:type="dxa"/>
            <w:vAlign w:val="bottom"/>
            <w:shd w:val="clear" w:color="auto" w:fill="CCEEFF"/>
          </w:tcPr>
          <w:p>
            <w:pPr>
              <w:spacing w:after="0"/>
              <w:rPr>
                <w:sz w:val="24"/>
                <w:szCs w:val="24"/>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Capacity revenue</w:t>
            </w:r>
            <w:r>
              <w:rPr>
                <w:rFonts w:ascii="Arial" w:cs="Arial" w:eastAsia="Arial" w:hAnsi="Arial"/>
                <w:sz w:val="21"/>
                <w:szCs w:val="21"/>
                <w:color w:val="auto"/>
                <w:vertAlign w:val="superscript"/>
              </w:rPr>
              <w:t>(a)</w:t>
            </w:r>
          </w:p>
        </w:tc>
        <w:tc>
          <w:tcPr>
            <w:tcW w:w="220" w:type="dxa"/>
            <w:vAlign w:val="bottom"/>
            <w:shd w:val="clear" w:color="auto" w:fill="CCEEFF"/>
          </w:tcPr>
          <w:p>
            <w:pPr>
              <w:spacing w:after="0"/>
              <w:rPr>
                <w:sz w:val="24"/>
                <w:szCs w:val="24"/>
                <w:color w:val="auto"/>
              </w:rPr>
            </w:pPr>
          </w:p>
        </w:tc>
        <w:tc>
          <w:tcPr>
            <w:tcW w:w="106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6"/>
                <w:szCs w:val="16"/>
                <w:color w:val="auto"/>
              </w:rPr>
              <w:t>Contract amortization</w:t>
            </w:r>
          </w:p>
        </w:tc>
        <w:tc>
          <w:tcPr>
            <w:tcW w:w="220" w:type="dxa"/>
            <w:vAlign w:val="bottom"/>
          </w:tcPr>
          <w:p>
            <w:pPr>
              <w:spacing w:after="0"/>
              <w:rPr>
                <w:sz w:val="24"/>
                <w:szCs w:val="24"/>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6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operating revenue</w:t>
            </w:r>
          </w:p>
        </w:tc>
        <w:tc>
          <w:tcPr>
            <w:tcW w:w="2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6"/>
                <w:szCs w:val="16"/>
                <w:color w:val="auto"/>
              </w:rPr>
              <w:t>Less: Lease revenue</w:t>
            </w:r>
          </w:p>
        </w:tc>
        <w:tc>
          <w:tcPr>
            <w:tcW w:w="220" w:type="dxa"/>
            <w:vAlign w:val="bottom"/>
          </w:tcPr>
          <w:p>
            <w:pPr>
              <w:spacing w:after="0"/>
              <w:rPr>
                <w:sz w:val="24"/>
                <w:szCs w:val="24"/>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Borders>
              <w:bottom w:val="single" w:sz="8" w:color="CCEEFF"/>
            </w:tcBorders>
            <w:shd w:val="clear" w:color="auto" w:fill="CCEEFF"/>
          </w:tcPr>
          <w:p>
            <w:pPr>
              <w:spacing w:after="0"/>
              <w:rPr>
                <w:sz w:val="24"/>
                <w:szCs w:val="24"/>
                <w:color w:val="auto"/>
              </w:rPr>
            </w:pPr>
          </w:p>
        </w:tc>
        <w:tc>
          <w:tcPr>
            <w:tcW w:w="6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Less: Contract amortization</w:t>
            </w:r>
          </w:p>
        </w:tc>
        <w:tc>
          <w:tcPr>
            <w:tcW w:w="2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6"/>
                <w:szCs w:val="16"/>
                <w:color w:val="auto"/>
              </w:rPr>
              <w:t>Total revenue from contracts with customers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ind w:left="420" w:hanging="169"/>
        <w:spacing w:after="0"/>
        <w:tabs>
          <w:tab w:leader="none" w:pos="420" w:val="left"/>
        </w:tabs>
        <w:numPr>
          <w:ilvl w:val="0"/>
          <w:numId w:val="9"/>
        </w:numPr>
        <w:rPr>
          <w:rFonts w:ascii="Arial" w:cs="Arial" w:eastAsia="Arial" w:hAnsi="Arial"/>
          <w:sz w:val="20"/>
          <w:szCs w:val="20"/>
          <w:color w:val="auto"/>
          <w:vertAlign w:val="superscript"/>
        </w:rPr>
      </w:pPr>
      <w:r>
        <w:rPr>
          <w:rFonts w:ascii="Arial" w:cs="Arial" w:eastAsia="Arial" w:hAnsi="Arial"/>
          <w:sz w:val="13"/>
          <w:szCs w:val="13"/>
          <w:color w:val="auto"/>
        </w:rPr>
        <w:t>The following amounts of energy and capacity revenue relate to leases and are accounted for under ASC 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-141605</wp:posOffset>
            </wp:positionV>
            <wp:extent cx="13804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w w:val="97"/>
              </w:rPr>
              <w:t>Conventional Generation</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rPr>
              <w:t>Renewables</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gridSpan w:val="5"/>
          </w:tcPr>
          <w:p>
            <w:pPr>
              <w:ind w:left="1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Energy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100" w:type="dxa"/>
            <w:vAlign w:val="bottom"/>
          </w:tcPr>
          <w:p>
            <w:pPr>
              <w:ind w:left="40"/>
              <w:spacing w:after="0"/>
              <w:rPr>
                <w:sz w:val="20"/>
                <w:szCs w:val="20"/>
                <w:color w:val="auto"/>
              </w:rPr>
            </w:pPr>
            <w:r>
              <w:rPr>
                <w:rFonts w:ascii="Arial" w:cs="Arial" w:eastAsia="Arial" w:hAnsi="Arial"/>
                <w:sz w:val="16"/>
                <w:szCs w:val="16"/>
                <w:color w:val="auto"/>
              </w:rPr>
              <w:t>Capacity Revenue</w:t>
            </w:r>
          </w:p>
        </w:tc>
        <w:tc>
          <w:tcPr>
            <w:tcW w:w="200" w:type="dxa"/>
            <w:vAlign w:val="bottom"/>
          </w:tcPr>
          <w:p>
            <w:pPr>
              <w:spacing w:after="0"/>
              <w:rPr>
                <w:sz w:val="21"/>
                <w:szCs w:val="21"/>
                <w:color w:val="auto"/>
              </w:rPr>
            </w:pPr>
          </w:p>
        </w:tc>
        <w:tc>
          <w:tcPr>
            <w:tcW w:w="1940" w:type="dxa"/>
            <w:vAlign w:val="bottom"/>
            <w:gridSpan w:val="4"/>
          </w:tcPr>
          <w:p>
            <w:pPr>
              <w:jc w:val="right"/>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6"/>
          </w:tcPr>
          <w:p>
            <w:pPr>
              <w:ind w:left="80"/>
              <w:spacing w:after="0"/>
              <w:rPr>
                <w:sz w:val="20"/>
                <w:szCs w:val="20"/>
                <w:color w:val="auto"/>
              </w:rPr>
            </w:pPr>
            <w:r>
              <w:rPr>
                <w:rFonts w:ascii="Arial" w:cs="Arial" w:eastAsia="Arial" w:hAnsi="Arial"/>
                <w:sz w:val="14"/>
                <w:szCs w:val="14"/>
                <w:b w:val="1"/>
                <w:bCs w:val="1"/>
                <w:color w:val="auto"/>
                <w:w w:val="99"/>
              </w:rPr>
              <w:t>Nine months ended September 30, 2018</w:t>
            </w: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4"/>
              </w:rPr>
              <w:t>(In millions)</w:t>
            </w:r>
          </w:p>
        </w:tc>
        <w:tc>
          <w:tcPr>
            <w:tcW w:w="3300" w:type="dxa"/>
            <w:vAlign w:val="bottom"/>
            <w:gridSpan w:val="2"/>
            <w:vMerge w:val="restart"/>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7"/>
          </w:tcPr>
          <w:p>
            <w:pPr>
              <w:spacing w:after="0"/>
              <w:rPr>
                <w:sz w:val="20"/>
                <w:szCs w:val="20"/>
                <w:color w:val="auto"/>
              </w:rPr>
            </w:pPr>
            <w:r>
              <w:rPr>
                <w:rFonts w:ascii="Arial" w:cs="Arial" w:eastAsia="Arial" w:hAnsi="Arial"/>
                <w:sz w:val="14"/>
                <w:szCs w:val="14"/>
                <w:b w:val="1"/>
                <w:bCs w:val="1"/>
                <w:color w:val="auto"/>
              </w:rPr>
              <w:t>Conventional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Renewables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Thermal</w:t>
            </w:r>
          </w:p>
        </w:tc>
        <w:tc>
          <w:tcPr>
            <w:tcW w:w="460" w:type="dxa"/>
            <w:vAlign w:val="bottom"/>
          </w:tcPr>
          <w:p>
            <w:pPr>
              <w:spacing w:after="0"/>
              <w:rPr>
                <w:sz w:val="14"/>
                <w:szCs w:val="14"/>
                <w:color w:val="auto"/>
              </w:rPr>
            </w:pPr>
          </w:p>
        </w:tc>
        <w:tc>
          <w:tcPr>
            <w:tcW w:w="7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33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Generation</w:t>
            </w:r>
          </w:p>
        </w:tc>
        <w:tc>
          <w:tcPr>
            <w:tcW w:w="3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6"/>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5"/>
            <w:vMerge w:val="continue"/>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0" w:type="dxa"/>
            <w:vAlign w:val="bottom"/>
          </w:tcPr>
          <w:p>
            <w:pPr>
              <w:spacing w:after="0"/>
              <w:rPr>
                <w:sz w:val="24"/>
                <w:szCs w:val="24"/>
                <w:color w:val="auto"/>
              </w:rPr>
            </w:pPr>
          </w:p>
        </w:tc>
        <w:tc>
          <w:tcPr>
            <w:tcW w:w="4060" w:type="dxa"/>
            <w:vAlign w:val="bottom"/>
            <w:gridSpan w:val="3"/>
          </w:tcPr>
          <w:p>
            <w:pPr>
              <w:spacing w:after="0"/>
              <w:rPr>
                <w:sz w:val="20"/>
                <w:szCs w:val="20"/>
                <w:color w:val="auto"/>
              </w:rPr>
            </w:pPr>
            <w:r>
              <w:rPr>
                <w:rFonts w:ascii="Arial" w:cs="Arial" w:eastAsia="Arial" w:hAnsi="Arial"/>
                <w:sz w:val="16"/>
                <w:szCs w:val="16"/>
                <w:color w:val="auto"/>
              </w:rPr>
              <w:t>Energy revenue</w:t>
            </w:r>
            <w:r>
              <w:rPr>
                <w:rFonts w:ascii="Arial" w:cs="Arial" w:eastAsia="Arial" w:hAnsi="Arial"/>
                <w:sz w:val="21"/>
                <w:szCs w:val="21"/>
                <w:color w:val="auto"/>
                <w:vertAlign w:val="superscript"/>
              </w:rPr>
              <w:t>(b)</w:t>
            </w:r>
          </w:p>
        </w:tc>
        <w:tc>
          <w:tcPr>
            <w:tcW w:w="200" w:type="dxa"/>
            <w:vAlign w:val="bottom"/>
          </w:tcPr>
          <w:p>
            <w:pPr>
              <w:spacing w:after="0"/>
              <w:rPr>
                <w:sz w:val="24"/>
                <w:szCs w:val="24"/>
                <w:color w:val="auto"/>
              </w:rPr>
            </w:pPr>
          </w:p>
        </w:tc>
        <w:tc>
          <w:tcPr>
            <w:tcW w:w="194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7"/>
          </w:tcPr>
          <w:p>
            <w:pPr>
              <w:jc w:val="right"/>
              <w:ind w:right="12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4"/>
                <w:szCs w:val="2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4"/>
                <w:szCs w:val="24"/>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311"/>
        </w:trPr>
        <w:tc>
          <w:tcPr>
            <w:tcW w:w="40" w:type="dxa"/>
            <w:vAlign w:val="bottom"/>
            <w:shd w:val="clear" w:color="auto" w:fill="CCEEFF"/>
          </w:tcPr>
          <w:p>
            <w:pPr>
              <w:spacing w:after="0"/>
              <w:rPr>
                <w:sz w:val="24"/>
                <w:szCs w:val="24"/>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Capacity revenue</w:t>
            </w:r>
            <w:r>
              <w:rPr>
                <w:rFonts w:ascii="Arial" w:cs="Arial" w:eastAsia="Arial" w:hAnsi="Arial"/>
                <w:sz w:val="21"/>
                <w:szCs w:val="21"/>
                <w:color w:val="auto"/>
                <w:vertAlign w:val="superscript"/>
              </w:rPr>
              <w:t>(b)</w:t>
            </w: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7"/>
            <w:shd w:val="clear" w:color="auto" w:fill="CCEEFF"/>
          </w:tcPr>
          <w:p>
            <w:pPr>
              <w:jc w:val="right"/>
              <w:ind w:right="120"/>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4060" w:type="dxa"/>
            <w:vAlign w:val="bottom"/>
            <w:gridSpan w:val="3"/>
          </w:tcPr>
          <w:p>
            <w:pPr>
              <w:spacing w:after="0"/>
              <w:rPr>
                <w:sz w:val="20"/>
                <w:szCs w:val="20"/>
                <w:color w:val="auto"/>
              </w:rPr>
            </w:pPr>
            <w:r>
              <w:rPr>
                <w:rFonts w:ascii="Arial" w:cs="Arial" w:eastAsia="Arial" w:hAnsi="Arial"/>
                <w:sz w:val="16"/>
                <w:szCs w:val="16"/>
                <w:color w:val="auto"/>
              </w:rPr>
              <w:t>Contract amortization</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7"/>
          </w:tcPr>
          <w:p>
            <w:pPr>
              <w:jc w:val="right"/>
              <w:ind w:right="6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4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Total operating revenue</w:t>
            </w:r>
          </w:p>
        </w:tc>
        <w:tc>
          <w:tcPr>
            <w:tcW w:w="2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7"/>
            <w:shd w:val="clear" w:color="auto" w:fill="CCEEFF"/>
          </w:tcPr>
          <w:p>
            <w:pPr>
              <w:jc w:val="right"/>
              <w:ind w:right="120"/>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824</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4060" w:type="dxa"/>
            <w:vAlign w:val="bottom"/>
            <w:gridSpan w:val="3"/>
          </w:tcPr>
          <w:p>
            <w:pPr>
              <w:spacing w:after="0"/>
              <w:rPr>
                <w:sz w:val="20"/>
                <w:szCs w:val="20"/>
                <w:color w:val="auto"/>
              </w:rPr>
            </w:pPr>
            <w:r>
              <w:rPr>
                <w:rFonts w:ascii="Arial" w:cs="Arial" w:eastAsia="Arial" w:hAnsi="Arial"/>
                <w:sz w:val="16"/>
                <w:szCs w:val="16"/>
                <w:color w:val="auto"/>
              </w:rPr>
              <w:t>Less: Lease revenue</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7"/>
          </w:tcPr>
          <w:p>
            <w:pPr>
              <w:jc w:val="right"/>
              <w:ind w:right="60"/>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Borders>
              <w:bottom w:val="single" w:sz="8" w:color="CCEEFF"/>
            </w:tcBorders>
            <w:shd w:val="clear" w:color="auto" w:fill="CCEEFF"/>
          </w:tcPr>
          <w:p>
            <w:pPr>
              <w:spacing w:after="0"/>
              <w:rPr>
                <w:sz w:val="24"/>
                <w:szCs w:val="24"/>
                <w:color w:val="auto"/>
              </w:rPr>
            </w:pPr>
          </w:p>
        </w:tc>
        <w:tc>
          <w:tcPr>
            <w:tcW w:w="4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Less: Contract amortization</w:t>
            </w:r>
          </w:p>
        </w:tc>
        <w:tc>
          <w:tcPr>
            <w:tcW w:w="2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7"/>
            <w:shd w:val="clear" w:color="auto" w:fill="CCEEFF"/>
          </w:tcPr>
          <w:p>
            <w:pPr>
              <w:jc w:val="right"/>
              <w:ind w:right="12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060" w:type="dxa"/>
            <w:vAlign w:val="bottom"/>
            <w:gridSpan w:val="3"/>
          </w:tcPr>
          <w:p>
            <w:pPr>
              <w:ind w:left="240"/>
              <w:spacing w:after="0"/>
              <w:rPr>
                <w:sz w:val="20"/>
                <w:szCs w:val="20"/>
                <w:color w:val="auto"/>
              </w:rPr>
            </w:pPr>
            <w:r>
              <w:rPr>
                <w:rFonts w:ascii="Arial" w:cs="Arial" w:eastAsia="Arial" w:hAnsi="Arial"/>
                <w:sz w:val="16"/>
                <w:szCs w:val="16"/>
                <w:color w:val="auto"/>
              </w:rPr>
              <w:t>Total revenue from contracts with customers</w:t>
            </w:r>
          </w:p>
        </w:tc>
        <w:tc>
          <w:tcPr>
            <w:tcW w:w="200" w:type="dxa"/>
            <w:vAlign w:val="bottom"/>
          </w:tcPr>
          <w:p>
            <w:pPr>
              <w:spacing w:after="0"/>
              <w:rPr>
                <w:sz w:val="21"/>
                <w:szCs w:val="21"/>
                <w:color w:val="auto"/>
              </w:rPr>
            </w:pPr>
          </w:p>
        </w:tc>
        <w:tc>
          <w:tcPr>
            <w:tcW w:w="1760" w:type="dxa"/>
            <w:vAlign w:val="bottom"/>
            <w:gridSpan w:val="3"/>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4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gridSpan w:val="4"/>
          </w:tcPr>
          <w:p>
            <w:pPr>
              <w:jc w:val="right"/>
              <w:ind w:right="100"/>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163195</wp:posOffset>
            </wp:positionV>
            <wp:extent cx="13893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90" w:lineRule="exact"/>
        <w:rPr>
          <w:sz w:val="20"/>
          <w:szCs w:val="20"/>
          <w:color w:val="auto"/>
        </w:rPr>
      </w:pPr>
    </w:p>
    <w:p>
      <w:pPr>
        <w:ind w:left="420" w:hanging="169"/>
        <w:spacing w:after="0"/>
        <w:tabs>
          <w:tab w:leader="none" w:pos="420"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The following amounts of energy and capacity revenue relate to leases and are accounted for under ASC 840:</w:t>
      </w:r>
    </w:p>
    <w:p>
      <w:pPr>
        <w:spacing w:after="0" w:line="204"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Conventional Generation</w:t>
            </w:r>
          </w:p>
        </w:tc>
        <w:tc>
          <w:tcPr>
            <w:tcW w:w="5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8"/>
              </w:rPr>
              <w:t>Renewables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Thermal</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9"/>
              </w:rPr>
              <w:t>Total</w:t>
            </w:r>
          </w:p>
        </w:tc>
      </w:tr>
      <w:tr>
        <w:trPr>
          <w:trHeight w:val="21"/>
        </w:trPr>
        <w:tc>
          <w:tcPr>
            <w:tcW w:w="3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Energy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w:t>
            </w:r>
          </w:p>
        </w:tc>
      </w:tr>
      <w:tr>
        <w:trPr>
          <w:trHeight w:val="243"/>
        </w:trPr>
        <w:tc>
          <w:tcPr>
            <w:tcW w:w="3020" w:type="dxa"/>
            <w:vAlign w:val="bottom"/>
          </w:tcPr>
          <w:p>
            <w:pPr>
              <w:ind w:left="20"/>
              <w:spacing w:after="0"/>
              <w:rPr>
                <w:sz w:val="20"/>
                <w:szCs w:val="20"/>
                <w:color w:val="auto"/>
              </w:rPr>
            </w:pPr>
            <w:r>
              <w:rPr>
                <w:rFonts w:ascii="Arial" w:cs="Arial" w:eastAsia="Arial" w:hAnsi="Arial"/>
                <w:sz w:val="16"/>
                <w:szCs w:val="16"/>
                <w:color w:val="auto"/>
              </w:rPr>
              <w:t>Capacity Revenue</w:t>
            </w:r>
          </w:p>
        </w:tc>
        <w:tc>
          <w:tcPr>
            <w:tcW w:w="300" w:type="dxa"/>
            <w:vAlign w:val="bottom"/>
          </w:tcPr>
          <w:p>
            <w:pPr>
              <w:spacing w:after="0"/>
              <w:rPr>
                <w:sz w:val="21"/>
                <w:szCs w:val="21"/>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r>
      <w:tr>
        <w:trPr>
          <w:trHeight w:val="27"/>
        </w:trPr>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3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694</w:t>
            </w:r>
          </w:p>
        </w:tc>
      </w:tr>
      <w:tr>
        <w:trPr>
          <w:trHeight w:val="27"/>
        </w:trPr>
        <w:tc>
          <w:tcPr>
            <w:tcW w:w="30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 Amortization</w:t>
      </w:r>
    </w:p>
    <w:p>
      <w:pPr>
        <w:spacing w:after="0" w:line="14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Assets and liabilities recognized from power sales agreements assumed through acquisitions related to the sale of electric capacity and energy in future periods for which the fair value has been determined to be significantly less (more) than market are amortized to revenue over the term of each underlying contract based on actual generation and/or contracted volumes or on a straight-line basis, where applicable.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0" w:right="239" w:bottom="1440" w:gutter="0" w:footer="0" w:header="0"/>
        </w:sectPr>
      </w:pPr>
    </w:p>
    <w:bookmarkStart w:id="17" w:name="page18"/>
    <w:bookmarkEnd w:id="17"/>
    <w:p>
      <w:pPr>
        <w:ind w:left="500"/>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reflects the contract assets and liabilities included on the Company’s balance sheet as of September 30, 2018:</w:t>
      </w:r>
    </w:p>
    <w:p>
      <w:pPr>
        <w:spacing w:after="0" w:line="349"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4"/>
                <w:szCs w:val="14"/>
                <w:b w:val="1"/>
                <w:bCs w:val="1"/>
                <w:color w:val="auto"/>
                <w:w w:val="94"/>
              </w:rPr>
              <w:t>(In millions)</w:t>
            </w:r>
          </w:p>
        </w:tc>
        <w:tc>
          <w:tcPr>
            <w:tcW w:w="6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September 30, 2018</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7440" w:type="dxa"/>
            <w:vAlign w:val="bottom"/>
            <w:gridSpan w:val="2"/>
          </w:tcPr>
          <w:p>
            <w:pPr>
              <w:spacing w:after="0"/>
              <w:rPr>
                <w:sz w:val="20"/>
                <w:szCs w:val="20"/>
                <w:color w:val="auto"/>
              </w:rPr>
            </w:pPr>
            <w:r>
              <w:rPr>
                <w:rFonts w:ascii="Arial" w:cs="Arial" w:eastAsia="Arial" w:hAnsi="Arial"/>
                <w:sz w:val="16"/>
                <w:szCs w:val="16"/>
                <w:color w:val="auto"/>
              </w:rPr>
              <w:t>Accounts receivable, net - Contracts with customers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35</w:t>
            </w: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Accounts receivable, net - Leases</w:t>
            </w: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r>
      <w:tr>
        <w:trPr>
          <w:trHeight w:val="297"/>
        </w:trPr>
        <w:tc>
          <w:tcPr>
            <w:tcW w:w="20" w:type="dxa"/>
            <w:vAlign w:val="bottom"/>
            <w:tcBorders>
              <w:bottom w:val="single" w:sz="8" w:color="CCEEFF"/>
            </w:tcBorders>
          </w:tcPr>
          <w:p>
            <w:pPr>
              <w:spacing w:after="0"/>
              <w:rPr>
                <w:sz w:val="24"/>
                <w:szCs w:val="24"/>
                <w:color w:val="auto"/>
              </w:rPr>
            </w:pPr>
          </w:p>
        </w:tc>
        <w:tc>
          <w:tcPr>
            <w:tcW w:w="74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accounts receivable,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141</w:t>
            </w:r>
          </w:p>
        </w:tc>
      </w:tr>
      <w:tr>
        <w:trPr>
          <w:trHeight w:val="230"/>
        </w:trPr>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r>
    </w:tbl>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prior-year amounts have been reclassified for comparative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Developments - Not Yet Adopted</w:t>
      </w:r>
    </w:p>
    <w:p>
      <w:pPr>
        <w:spacing w:after="0" w:line="144" w:lineRule="exact"/>
        <w:rPr>
          <w:sz w:val="20"/>
          <w:szCs w:val="20"/>
          <w:color w:val="auto"/>
        </w:rPr>
      </w:pPr>
    </w:p>
    <w:p>
      <w:pPr>
        <w:jc w:val="both"/>
        <w:ind w:firstLine="351"/>
        <w:spacing w:after="0" w:line="287" w:lineRule="auto"/>
        <w:rPr>
          <w:sz w:val="20"/>
          <w:szCs w:val="20"/>
          <w:color w:val="auto"/>
        </w:rPr>
      </w:pPr>
      <w:r>
        <w:rPr>
          <w:rFonts w:ascii="Arial" w:cs="Arial" w:eastAsia="Arial" w:hAnsi="Arial"/>
          <w:sz w:val="16"/>
          <w:szCs w:val="16"/>
          <w:i w:val="1"/>
          <w:iCs w:val="1"/>
          <w:color w:val="auto"/>
        </w:rPr>
        <w:t xml:space="preserve">ASU 2016-02 </w:t>
      </w:r>
      <w:r>
        <w:rPr>
          <w:rFonts w:ascii="Arial" w:cs="Arial" w:eastAsia="Arial" w:hAnsi="Arial"/>
          <w:sz w:val="16"/>
          <w:szCs w:val="16"/>
          <w:color w:val="auto"/>
        </w:rPr>
        <w:t>— In February 2016, the FASB issued ASU No. 2016-02,</w:t>
      </w:r>
      <w:r>
        <w:rPr>
          <w:rFonts w:ascii="Arial" w:cs="Arial" w:eastAsia="Arial" w:hAnsi="Arial"/>
          <w:sz w:val="16"/>
          <w:szCs w:val="16"/>
          <w:i w:val="1"/>
          <w:iCs w:val="1"/>
          <w:color w:val="auto"/>
        </w:rPr>
        <w:t xml:space="preserve"> Leases </w:t>
      </w:r>
      <w:r>
        <w:rPr>
          <w:rFonts w:ascii="Arial" w:cs="Arial" w:eastAsia="Arial" w:hAnsi="Arial"/>
          <w:sz w:val="16"/>
          <w:szCs w:val="16"/>
          <w:color w:val="auto"/>
        </w:rPr>
        <w:t>(Topic 842), or Topic 842, with the objective to increase transparency</w:t>
      </w:r>
      <w:r>
        <w:rPr>
          <w:rFonts w:ascii="Arial" w:cs="Arial" w:eastAsia="Arial" w:hAnsi="Arial"/>
          <w:sz w:val="16"/>
          <w:szCs w:val="16"/>
          <w:i w:val="1"/>
          <w:iCs w:val="1"/>
          <w:color w:val="auto"/>
        </w:rPr>
        <w:t xml:space="preserve"> </w:t>
      </w:r>
      <w:r>
        <w:rPr>
          <w:rFonts w:ascii="Arial" w:cs="Arial" w:eastAsia="Arial" w:hAnsi="Arial"/>
          <w:sz w:val="16"/>
          <w:szCs w:val="16"/>
          <w:color w:val="auto"/>
        </w:rPr>
        <w:t>and comparability among organizations by recognizing lease assets and lease liabilities on the balance sheet and to improve financial reporting by expanding the related disclosures. The guidance in Topic 842 provides that a lessee that may have previously accounted for a lease as an operating lease under current GAAP should recognize the assets and liabilities that arise from a lease on the balance sheet. In addition, Topic 842 expands the required quantitative and qualitative disclosures with regards to lease arrangements. The Company will adopt the standard effective January 1, 2019 and expects to elect certain of the practical expedients permitted, including the expedient that permits the Company to retain its existing lease assessment and classification. The Company is currently working through an adoption plan and evaluating the anticipated impact on the Company's results of operations, cash flows and financial position. While the Company is currently evaluating the impact the new guidance will have on its financial position and results of operations, the Company expects to recognize lease liabilities and right of use assets. The extent of the increase to assets and liabilities associated with these amounts remains to be determined pending the Company’s review of its existing lease contracts and service contracts which may contain embedded leases. While this review is still in process, the Company believes the adoption of Topic 842 may be material to its financial statements. The Company is continuing to monitor potential changes to Topic 842 that have been proposed by the FASB and will assess any necessary changes to the implementation as the guidance is updated.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 </w:t>
      </w:r>
      <w:r>
        <w:rPr>
          <w:rFonts w:ascii="Arial" w:cs="Arial" w:eastAsia="Arial" w:hAnsi="Arial"/>
          <w:sz w:val="18"/>
          <w:szCs w:val="18"/>
          <w:b w:val="1"/>
          <w:bCs w:val="1"/>
          <w:i w:val="1"/>
          <w:iCs w:val="1"/>
          <w:color w:val="auto"/>
        </w:rPr>
        <w:t>Business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Acquisitions</w:t>
      </w:r>
    </w:p>
    <w:p>
      <w:pPr>
        <w:spacing w:after="0" w:line="16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b w:val="1"/>
          <w:bCs w:val="1"/>
          <w:i w:val="1"/>
          <w:iCs w:val="1"/>
          <w:color w:val="auto"/>
        </w:rPr>
        <w:t xml:space="preserve">UPMC Thermal Project Asset Acquisition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June 19, 2018, upon reaching substantial completion, the Company acquired from NRG the UPMC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Thermal Project for cash consideration of $84 million, subject to working capital adjustments. The Company will pay an additional $5 million to NRG upon final completion of the project pursuant to the EPC agreement. The project adds 73 MWt of thermal equivalent capacity and 7.5 MW of emergency backup thermal capacity to the Company's portfolio. The transaction is reflected in the Company's Thermal segment. The acquisition was funded with the proceeds from the sale of the Series E Notes and Series F Notes, as further described in Note 7,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The assets transferred to the Company relate to interests under common control by NRG and were recorded at book value in accordance with ASC 805-50, </w:t>
      </w:r>
      <w:r>
        <w:rPr>
          <w:rFonts w:ascii="Arial" w:cs="Arial" w:eastAsia="Arial" w:hAnsi="Arial"/>
          <w:sz w:val="17"/>
          <w:szCs w:val="17"/>
          <w:i w:val="1"/>
          <w:iCs w:val="1"/>
          <w:color w:val="auto"/>
        </w:rPr>
        <w:t>Business Combinations - Related Issues</w:t>
      </w:r>
      <w:r>
        <w:rPr>
          <w:rFonts w:ascii="Arial" w:cs="Arial" w:eastAsia="Arial" w:hAnsi="Arial"/>
          <w:sz w:val="17"/>
          <w:szCs w:val="17"/>
          <w:color w:val="auto"/>
        </w:rPr>
        <w:t>. The difference between the purchase price and book value of the assets was recorded as a distribution to NRG and decreased the balance of contributed capital. The acquisition was determined to be an asset acquisition and not a business combination, therefore no recast of the historical financial information was deemed necessary.</w:t>
      </w:r>
    </w:p>
    <w:p>
      <w:pPr>
        <w:spacing w:after="0" w:line="120" w:lineRule="exact"/>
        <w:rPr>
          <w:sz w:val="20"/>
          <w:szCs w:val="20"/>
          <w:color w:val="auto"/>
        </w:rPr>
      </w:pPr>
    </w:p>
    <w:p>
      <w:pPr>
        <w:jc w:val="both"/>
        <w:ind w:firstLine="405"/>
        <w:spacing w:after="0" w:line="314" w:lineRule="auto"/>
        <w:rPr>
          <w:sz w:val="20"/>
          <w:szCs w:val="20"/>
          <w:color w:val="auto"/>
        </w:rPr>
      </w:pPr>
      <w:r>
        <w:rPr>
          <w:rFonts w:ascii="Arial" w:cs="Arial" w:eastAsia="Arial" w:hAnsi="Arial"/>
          <w:sz w:val="16"/>
          <w:szCs w:val="16"/>
          <w:b w:val="1"/>
          <w:bCs w:val="1"/>
          <w:i w:val="1"/>
          <w:iCs w:val="1"/>
          <w:color w:val="auto"/>
        </w:rPr>
        <w:t xml:space="preserve">Central CA Fuel Cell 1, LLC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April 18, 2018, the Company acquired the Central CA Fuel Cell 1, LLC project in Tulare, California from FuelCell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Energy Finance, Inc., for cash consideration of $11 million, subject to working capital adjustments. The project adds 2.8 MW of thermal capacity to the Company's portfolio, with a 20-year PPA contract with the City of Tulare. The transaction is reflected in the Company's Thermal segment.</w:t>
      </w:r>
    </w:p>
    <w:p>
      <w:pPr>
        <w:spacing w:after="0" w:line="8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b w:val="1"/>
          <w:bCs w:val="1"/>
          <w:i w:val="1"/>
          <w:iCs w:val="1"/>
          <w:color w:val="auto"/>
        </w:rPr>
        <w:t xml:space="preserve">Buckthorn Solar Drop Down Asset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March 30, 2018, the Company acquired 100% of NRG's interests in Buckthorn Renewables, LLC,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owned a 154 MW construction-stage utility-scale solar generation project located in Texas, or the Buckthorn Solar Drop Down Asset, for cash consideration of approximately $42 million, subject to working capital adjustments. The Company also assumed non-recourse debt of $183 million and non-controlling interest of $19 million (as of acquisition date) attributable to the Class A member, as further described below. The Company converted $132 million of non-recourse debt to a term loan and the remainder of the outstanding debt was paid down with the contribution from the Class A member in the amount of $80 million upon the project reaching substantial completion in May 2018. The purchase price for the Buckthorn Solar Drop Down Asset was funded with cash on hand and borrowings from the Company's revolving credit facility. The assets and liabilities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6" w:right="239" w:bottom="1440" w:gutter="0" w:footer="0" w:header="0"/>
        </w:sectPr>
      </w:pPr>
    </w:p>
    <w:bookmarkStart w:id="18" w:name="page19"/>
    <w:bookmarkEnd w:id="18"/>
    <w:p>
      <w:pPr>
        <w:jc w:val="both"/>
        <w:spacing w:after="0" w:line="302" w:lineRule="auto"/>
        <w:rPr>
          <w:sz w:val="20"/>
          <w:szCs w:val="20"/>
          <w:color w:val="auto"/>
        </w:rPr>
      </w:pPr>
      <w:r>
        <w:rPr>
          <w:rFonts w:ascii="Arial" w:cs="Arial" w:eastAsia="Arial" w:hAnsi="Arial"/>
          <w:sz w:val="16"/>
          <w:szCs w:val="16"/>
          <w:color w:val="auto"/>
        </w:rPr>
        <w:t xml:space="preserve">transferred to the Company related to interests under common control by NRG and were recorded at historical cost in accordance with ASC 805-50,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 - Related Issues</w:t>
      </w:r>
      <w:r>
        <w:rPr>
          <w:rFonts w:ascii="Arial" w:cs="Arial" w:eastAsia="Arial" w:hAnsi="Arial"/>
          <w:sz w:val="16"/>
          <w:szCs w:val="16"/>
          <w:color w:val="auto"/>
        </w:rPr>
        <w:t>. The difference between the cash paid and historical value of the entities' equity was recorded as a distribution to NRG and</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decreased the balance of contributed capital. Since the transaction constituted a transfer of net assets under common control, the guidance requires retrospective combination of the entities for all periods presented as if the combination had been in effect since the inception of common control.</w:t>
      </w:r>
    </w:p>
    <w:p>
      <w:pPr>
        <w:spacing w:after="0" w:line="10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Buckthorn Solar Portfolio, LLC, a wholly owned subsidiary of Buckthorn Renewables, LLC, is the Class B member in a tax equity partnership, Buckthorn Holdings, LLC, the owner of the Buckthorn Solar Drop Down Asset. The Class A member is a tax equity investor, or TE investor, who receives 99% of allocations of taxable income and other items through the six month anniversary of the placed in service date, at which time the allocations change to 67% through the last calendar year before the flip point, and then back to 99% through the flip point (which occurs when the TE Investor obtains a specified return on its initial investment), at which time the allocations to the TE Investor change to 5% for all the periods thereafter. Before the flip point, the TE investor would receive a priority distribution of distributable cash, as defined, plus a percentage of remaining distributable cash after the priority distribution subject to a percentage cap.</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project sells power under a 25-year PPA to the City of Georgetown, Texas, which commenced in July 2018.</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is a summary of net assets transferred in connection with the acquisition of the Buckthorn Solar Drop Down Asset as of March 31, 2018: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(In millions)</w:t>
            </w:r>
          </w:p>
        </w:tc>
      </w:tr>
      <w:tr>
        <w:trPr>
          <w:trHeight w:val="243"/>
        </w:trPr>
        <w:tc>
          <w:tcPr>
            <w:tcW w:w="9800" w:type="dxa"/>
            <w:vAlign w:val="bottom"/>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9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r>
      <w:tr>
        <w:trPr>
          <w:trHeight w:val="243"/>
        </w:trPr>
        <w:tc>
          <w:tcPr>
            <w:tcW w:w="98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212</w:t>
            </w:r>
          </w:p>
        </w:tc>
      </w:tr>
      <w:tr>
        <w:trPr>
          <w:trHeight w:val="27"/>
        </w:trPr>
        <w:tc>
          <w:tcPr>
            <w:tcW w:w="9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r>
      <w:tr>
        <w:trPr>
          <w:trHeight w:val="237"/>
        </w:trPr>
        <w:tc>
          <w:tcPr>
            <w:tcW w:w="980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235</w:t>
            </w:r>
          </w:p>
        </w:tc>
      </w:tr>
      <w:tr>
        <w:trPr>
          <w:trHeight w:val="27"/>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70"/>
        </w:trPr>
        <w:tc>
          <w:tcPr>
            <w:tcW w:w="9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Debt (Current and non-current) </w:t>
            </w:r>
            <w:r>
              <w:rPr>
                <w:rFonts w:ascii="Arial" w:cs="Arial" w:eastAsia="Arial" w:hAnsi="Arial"/>
                <w:sz w:val="25"/>
                <w:szCs w:val="25"/>
                <w:color w:val="auto"/>
                <w:vertAlign w:val="superscript"/>
              </w:rPr>
              <w:t>(a)</w:t>
            </w:r>
          </w:p>
        </w:tc>
        <w:tc>
          <w:tcPr>
            <w:tcW w:w="260" w:type="dxa"/>
            <w:vAlign w:val="bottom"/>
          </w:tcPr>
          <w:p>
            <w:pPr>
              <w:spacing w:after="0"/>
              <w:rPr>
                <w:sz w:val="23"/>
                <w:szCs w:val="23"/>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176</w:t>
            </w:r>
          </w:p>
        </w:tc>
      </w:tr>
      <w:tr>
        <w:trPr>
          <w:trHeight w:val="270"/>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and non-current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r>
      <w:tr>
        <w:trPr>
          <w:trHeight w:val="237"/>
        </w:trPr>
        <w:tc>
          <w:tcPr>
            <w:tcW w:w="980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191</w:t>
            </w:r>
          </w:p>
        </w:tc>
      </w:tr>
      <w:tr>
        <w:trPr>
          <w:trHeight w:val="27"/>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9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r>
      <w:tr>
        <w:trPr>
          <w:trHeight w:val="257"/>
        </w:trPr>
        <w:tc>
          <w:tcPr>
            <w:tcW w:w="9800" w:type="dxa"/>
            <w:vAlign w:val="bottom"/>
          </w:tcPr>
          <w:p>
            <w:pPr>
              <w:ind w:left="380"/>
              <w:spacing w:after="0"/>
              <w:rPr>
                <w:sz w:val="20"/>
                <w:szCs w:val="20"/>
                <w:color w:val="auto"/>
              </w:rPr>
            </w:pPr>
            <w:r>
              <w:rPr>
                <w:rFonts w:ascii="Arial" w:cs="Arial" w:eastAsia="Arial" w:hAnsi="Arial"/>
                <w:sz w:val="18"/>
                <w:szCs w:val="18"/>
                <w:color w:val="auto"/>
              </w:rPr>
              <w:t>Net assets acquired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w:t>
            </w:r>
          </w:p>
        </w:tc>
      </w:tr>
      <w:tr>
        <w:trPr>
          <w:trHeight w:val="20"/>
        </w:trPr>
        <w:tc>
          <w:tcPr>
            <w:tcW w:w="9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06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(a)</w:t>
      </w:r>
      <w:r>
        <w:rPr>
          <w:rFonts w:ascii="Arial" w:cs="Arial" w:eastAsia="Arial" w:hAnsi="Arial"/>
          <w:sz w:val="16"/>
          <w:szCs w:val="16"/>
          <w:color w:val="auto"/>
        </w:rPr>
        <w:t xml:space="preserve"> Net of $7 million of net debt issuance costs.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Acquisitions</w:t>
      </w:r>
    </w:p>
    <w:p>
      <w:pPr>
        <w:spacing w:after="0" w:line="167"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i w:val="1"/>
          <w:iCs w:val="1"/>
          <w:color w:val="auto"/>
        </w:rPr>
        <w:t xml:space="preserve">November 2017 Drop Down Assets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November 1, 2017, the Company acquired a 38 MW solar portfolio primarily comprised of assets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NRG's Solar Power Partners (SPP) funds and other projects developed by NRG, for cash consideration of $74 million, including working capital adjustments, plus assumed non-recourse debt of $26 million.</w:t>
      </w:r>
    </w:p>
    <w:p>
      <w:pPr>
        <w:spacing w:after="0" w:line="12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The purchase price for the November 2017 Drop Down Assets was funded with cash on hand. The assets and liabilities transferred to the Company relate to interests under common control by NRG and were recorded at historical cost in accordance with ASC 805-50, </w:t>
      </w:r>
      <w:r>
        <w:rPr>
          <w:rFonts w:ascii="Arial" w:cs="Arial" w:eastAsia="Arial" w:hAnsi="Arial"/>
          <w:sz w:val="18"/>
          <w:szCs w:val="18"/>
          <w:i w:val="1"/>
          <w:iCs w:val="1"/>
          <w:color w:val="auto"/>
        </w:rPr>
        <w:t>Business Combinations -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Issues</w:t>
      </w:r>
      <w:r>
        <w:rPr>
          <w:rFonts w:ascii="Arial" w:cs="Arial" w:eastAsia="Arial" w:hAnsi="Arial"/>
          <w:sz w:val="18"/>
          <w:szCs w:val="18"/>
          <w:color w:val="auto"/>
        </w:rPr>
        <w:t>. The difference between the cash paid and historical value of the entities' equity was recorded as an adjustment to contributed capital. Since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constituted a transfer of net assets under common control, the guidance requires retrospective combination of the entities for all periods presented as if the combination has been in effect since the inception of common control.</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19" w:name="page20"/>
    <w:bookmarkEnd w:id="19"/>
    <w:p>
      <w:pPr>
        <w:ind w:firstLine="405"/>
        <w:spacing w:after="0" w:line="277" w:lineRule="auto"/>
        <w:rPr>
          <w:sz w:val="20"/>
          <w:szCs w:val="20"/>
          <w:color w:val="auto"/>
        </w:rPr>
      </w:pPr>
      <w:r>
        <w:rPr>
          <w:rFonts w:ascii="Arial" w:cs="Arial" w:eastAsia="Arial" w:hAnsi="Arial"/>
          <w:sz w:val="18"/>
          <w:szCs w:val="18"/>
          <w:color w:val="auto"/>
        </w:rPr>
        <w:t>The following tables present a summary of the Company's historical information combining the financial information for the Buckthorn Solar Drop Down Asset and November 2017 Drop Down Assets transferred in connection with the acquisition: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60" w:type="dxa"/>
            <w:vAlign w:val="bottom"/>
            <w:gridSpan w:val="7"/>
          </w:tcPr>
          <w:p>
            <w:pPr>
              <w:ind w:left="120"/>
              <w:spacing w:after="0"/>
              <w:rPr>
                <w:sz w:val="20"/>
                <w:szCs w:val="20"/>
                <w:color w:val="auto"/>
              </w:rPr>
            </w:pPr>
            <w:r>
              <w:rPr>
                <w:rFonts w:ascii="Arial" w:cs="Arial" w:eastAsia="Arial" w:hAnsi="Arial"/>
                <w:sz w:val="16"/>
                <w:szCs w:val="16"/>
                <w:b w:val="1"/>
                <w:bCs w:val="1"/>
                <w:color w:val="auto"/>
                <w:w w:val="93"/>
              </w:rPr>
              <w:t>Three months ended September 30, 2017</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vMerge w:val="restart"/>
          </w:tcPr>
          <w:p>
            <w:pPr>
              <w:jc w:val="center"/>
              <w:ind w:right="101"/>
              <w:spacing w:after="0"/>
              <w:rPr>
                <w:sz w:val="20"/>
                <w:szCs w:val="20"/>
                <w:color w:val="auto"/>
              </w:rPr>
            </w:pPr>
            <w:r>
              <w:rPr>
                <w:rFonts w:ascii="Arial" w:cs="Arial" w:eastAsia="Arial" w:hAnsi="Arial"/>
                <w:sz w:val="15"/>
                <w:szCs w:val="15"/>
                <w:b w:val="1"/>
                <w:bCs w:val="1"/>
                <w:color w:val="auto"/>
                <w:w w:val="90"/>
              </w:rPr>
              <w:t>As Previously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Buckthorn Solar</w:t>
            </w:r>
          </w:p>
        </w:tc>
        <w:tc>
          <w:tcPr>
            <w:tcW w:w="1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November 2017</w:t>
            </w:r>
          </w:p>
        </w:tc>
        <w:tc>
          <w:tcPr>
            <w:tcW w:w="180" w:type="dxa"/>
            <w:vAlign w:val="bottom"/>
          </w:tcPr>
          <w:p>
            <w:pPr>
              <w:spacing w:after="0"/>
              <w:rPr>
                <w:sz w:val="18"/>
                <w:szCs w:val="18"/>
                <w:color w:val="auto"/>
              </w:rPr>
            </w:pPr>
          </w:p>
        </w:tc>
        <w:tc>
          <w:tcPr>
            <w:tcW w:w="1180" w:type="dxa"/>
            <w:vAlign w:val="bottom"/>
            <w:vMerge w:val="restart"/>
          </w:tcPr>
          <w:p>
            <w:pPr>
              <w:jc w:val="center"/>
              <w:ind w:right="80"/>
              <w:spacing w:after="0"/>
              <w:rPr>
                <w:sz w:val="20"/>
                <w:szCs w:val="20"/>
                <w:color w:val="auto"/>
              </w:rPr>
            </w:pPr>
            <w:r>
              <w:rPr>
                <w:rFonts w:ascii="Arial" w:cs="Arial" w:eastAsia="Arial" w:hAnsi="Arial"/>
                <w:sz w:val="15"/>
                <w:szCs w:val="15"/>
                <w:b w:val="1"/>
                <w:bCs w:val="1"/>
                <w:color w:val="auto"/>
                <w:w w:val="95"/>
              </w:rPr>
              <w:t>As Currently</w:t>
            </w:r>
          </w:p>
        </w:tc>
        <w:tc>
          <w:tcPr>
            <w:tcW w:w="0" w:type="dxa"/>
            <w:vAlign w:val="bottom"/>
          </w:tcPr>
          <w:p>
            <w:pPr>
              <w:spacing w:after="0"/>
              <w:rPr>
                <w:sz w:val="1"/>
                <w:szCs w:val="1"/>
                <w:color w:val="auto"/>
              </w:rPr>
            </w:pPr>
          </w:p>
        </w:tc>
      </w:tr>
      <w:tr>
        <w:trPr>
          <w:trHeight w:val="35"/>
        </w:trPr>
        <w:tc>
          <w:tcPr>
            <w:tcW w:w="5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1"/>
              </w:rPr>
              <w:t>Drop Down Asset</w:t>
            </w:r>
          </w:p>
        </w:tc>
        <w:tc>
          <w:tcPr>
            <w:tcW w:w="14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8"/>
              </w:rPr>
              <w:t>Drop Down Assets</w:t>
            </w:r>
          </w:p>
        </w:tc>
        <w:tc>
          <w:tcPr>
            <w:tcW w:w="1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121"/>
              <w:spacing w:after="0" w:line="209" w:lineRule="exact"/>
              <w:rPr>
                <w:sz w:val="20"/>
                <w:szCs w:val="20"/>
                <w:color w:val="auto"/>
              </w:rPr>
            </w:pPr>
            <w:r>
              <w:rPr>
                <w:rFonts w:ascii="Arial" w:cs="Arial" w:eastAsia="Arial" w:hAnsi="Arial"/>
                <w:sz w:val="15"/>
                <w:szCs w:val="15"/>
                <w:b w:val="1"/>
                <w:bCs w:val="1"/>
                <w:color w:val="auto"/>
                <w:w w:val="89"/>
              </w:rPr>
              <w:t xml:space="preserve">Reported </w:t>
            </w:r>
            <w:r>
              <w:rPr>
                <w:rFonts w:ascii="Arial" w:cs="Arial" w:eastAsia="Arial" w:hAnsi="Arial"/>
                <w:sz w:val="24"/>
                <w:szCs w:val="24"/>
                <w:b w:val="1"/>
                <w:bCs w:val="1"/>
                <w:color w:val="auto"/>
                <w:w w:val="89"/>
                <w:vertAlign w:val="superscript"/>
              </w:rPr>
              <w:t>(a)</w:t>
            </w:r>
          </w:p>
        </w:tc>
        <w:tc>
          <w:tcPr>
            <w:tcW w:w="120" w:type="dxa"/>
            <w:vAlign w:val="bottom"/>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80"/>
              <w:spacing w:after="0"/>
              <w:rPr>
                <w:sz w:val="20"/>
                <w:szCs w:val="20"/>
                <w:color w:val="auto"/>
              </w:rPr>
            </w:pPr>
            <w:r>
              <w:rPr>
                <w:rFonts w:ascii="Arial" w:cs="Arial" w:eastAsia="Arial" w:hAnsi="Arial"/>
                <w:sz w:val="15"/>
                <w:szCs w:val="15"/>
                <w:b w:val="1"/>
                <w:bCs w:val="1"/>
                <w:color w:val="auto"/>
                <w:w w:val="94"/>
              </w:rPr>
              <w:t>Reported</w:t>
            </w:r>
          </w:p>
        </w:tc>
        <w:tc>
          <w:tcPr>
            <w:tcW w:w="0" w:type="dxa"/>
            <w:vAlign w:val="bottom"/>
          </w:tcPr>
          <w:p>
            <w:pPr>
              <w:spacing w:after="0"/>
              <w:rPr>
                <w:sz w:val="1"/>
                <w:szCs w:val="1"/>
                <w:color w:val="auto"/>
              </w:rPr>
            </w:pPr>
          </w:p>
        </w:tc>
      </w:tr>
      <w:tr>
        <w:trPr>
          <w:trHeight w:val="258"/>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265</w:t>
            </w:r>
          </w:p>
        </w:tc>
        <w:tc>
          <w:tcPr>
            <w:tcW w:w="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spacing w:after="0"/>
              <w:rPr>
                <w:sz w:val="21"/>
                <w:szCs w:val="21"/>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Less: Loss attributable to noncontrolling interests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Clearway Energy LLC</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426"/>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6"/>
          </w:tcPr>
          <w:p>
            <w:pPr>
              <w:ind w:left="40"/>
              <w:spacing w:after="0"/>
              <w:rPr>
                <w:sz w:val="20"/>
                <w:szCs w:val="20"/>
                <w:color w:val="auto"/>
              </w:rPr>
            </w:pPr>
            <w:r>
              <w:rPr>
                <w:rFonts w:ascii="Arial" w:cs="Arial" w:eastAsia="Arial" w:hAnsi="Arial"/>
                <w:sz w:val="16"/>
                <w:szCs w:val="16"/>
                <w:b w:val="1"/>
                <w:bCs w:val="1"/>
                <w:color w:val="auto"/>
                <w:w w:val="95"/>
              </w:rPr>
              <w:t>Nine months ended September 30, 2017</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vMerge w:val="restart"/>
          </w:tcPr>
          <w:p>
            <w:pPr>
              <w:jc w:val="center"/>
              <w:ind w:right="101"/>
              <w:spacing w:after="0"/>
              <w:rPr>
                <w:sz w:val="20"/>
                <w:szCs w:val="20"/>
                <w:color w:val="auto"/>
              </w:rPr>
            </w:pPr>
            <w:r>
              <w:rPr>
                <w:rFonts w:ascii="Arial" w:cs="Arial" w:eastAsia="Arial" w:hAnsi="Arial"/>
                <w:sz w:val="15"/>
                <w:szCs w:val="15"/>
                <w:b w:val="1"/>
                <w:bCs w:val="1"/>
                <w:color w:val="auto"/>
                <w:w w:val="90"/>
              </w:rPr>
              <w:t>As Previously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Buckthorn Solar</w:t>
            </w:r>
          </w:p>
        </w:tc>
        <w:tc>
          <w:tcPr>
            <w:tcW w:w="1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November 2017</w:t>
            </w:r>
          </w:p>
        </w:tc>
        <w:tc>
          <w:tcPr>
            <w:tcW w:w="180" w:type="dxa"/>
            <w:vAlign w:val="bottom"/>
          </w:tcPr>
          <w:p>
            <w:pPr>
              <w:spacing w:after="0"/>
              <w:rPr>
                <w:sz w:val="18"/>
                <w:szCs w:val="18"/>
                <w:color w:val="auto"/>
              </w:rPr>
            </w:pPr>
          </w:p>
        </w:tc>
        <w:tc>
          <w:tcPr>
            <w:tcW w:w="1180" w:type="dxa"/>
            <w:vAlign w:val="bottom"/>
            <w:vMerge w:val="restart"/>
          </w:tcPr>
          <w:p>
            <w:pPr>
              <w:jc w:val="center"/>
              <w:ind w:right="80"/>
              <w:spacing w:after="0"/>
              <w:rPr>
                <w:sz w:val="20"/>
                <w:szCs w:val="20"/>
                <w:color w:val="auto"/>
              </w:rPr>
            </w:pPr>
            <w:r>
              <w:rPr>
                <w:rFonts w:ascii="Arial" w:cs="Arial" w:eastAsia="Arial" w:hAnsi="Arial"/>
                <w:sz w:val="15"/>
                <w:szCs w:val="15"/>
                <w:b w:val="1"/>
                <w:bCs w:val="1"/>
                <w:color w:val="auto"/>
                <w:w w:val="95"/>
              </w:rPr>
              <w:t>As Currently</w:t>
            </w:r>
          </w:p>
        </w:tc>
        <w:tc>
          <w:tcPr>
            <w:tcW w:w="0" w:type="dxa"/>
            <w:vAlign w:val="bottom"/>
          </w:tcPr>
          <w:p>
            <w:pPr>
              <w:spacing w:after="0"/>
              <w:rPr>
                <w:sz w:val="1"/>
                <w:szCs w:val="1"/>
                <w:color w:val="auto"/>
              </w:rPr>
            </w:pPr>
          </w:p>
        </w:tc>
      </w:tr>
      <w:tr>
        <w:trPr>
          <w:trHeight w:val="35"/>
        </w:trPr>
        <w:tc>
          <w:tcPr>
            <w:tcW w:w="5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1"/>
              </w:rPr>
              <w:t>Drop Down Asset</w:t>
            </w:r>
          </w:p>
        </w:tc>
        <w:tc>
          <w:tcPr>
            <w:tcW w:w="14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8"/>
              </w:rPr>
              <w:t>Drop Down Assets</w:t>
            </w:r>
          </w:p>
        </w:tc>
        <w:tc>
          <w:tcPr>
            <w:tcW w:w="1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121"/>
              <w:spacing w:after="0" w:line="209" w:lineRule="exact"/>
              <w:rPr>
                <w:sz w:val="20"/>
                <w:szCs w:val="20"/>
                <w:color w:val="auto"/>
              </w:rPr>
            </w:pPr>
            <w:r>
              <w:rPr>
                <w:rFonts w:ascii="Arial" w:cs="Arial" w:eastAsia="Arial" w:hAnsi="Arial"/>
                <w:sz w:val="15"/>
                <w:szCs w:val="15"/>
                <w:b w:val="1"/>
                <w:bCs w:val="1"/>
                <w:color w:val="auto"/>
                <w:w w:val="89"/>
              </w:rPr>
              <w:t xml:space="preserve">Reported </w:t>
            </w:r>
            <w:r>
              <w:rPr>
                <w:rFonts w:ascii="Arial" w:cs="Arial" w:eastAsia="Arial" w:hAnsi="Arial"/>
                <w:sz w:val="24"/>
                <w:szCs w:val="24"/>
                <w:b w:val="1"/>
                <w:bCs w:val="1"/>
                <w:color w:val="auto"/>
                <w:w w:val="89"/>
                <w:vertAlign w:val="superscript"/>
              </w:rPr>
              <w:t>(a)</w:t>
            </w:r>
          </w:p>
        </w:tc>
        <w:tc>
          <w:tcPr>
            <w:tcW w:w="120" w:type="dxa"/>
            <w:vAlign w:val="bottom"/>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80"/>
              <w:spacing w:after="0"/>
              <w:rPr>
                <w:sz w:val="20"/>
                <w:szCs w:val="20"/>
                <w:color w:val="auto"/>
              </w:rPr>
            </w:pPr>
            <w:r>
              <w:rPr>
                <w:rFonts w:ascii="Arial" w:cs="Arial" w:eastAsia="Arial" w:hAnsi="Arial"/>
                <w:sz w:val="15"/>
                <w:szCs w:val="15"/>
                <w:b w:val="1"/>
                <w:bCs w:val="1"/>
                <w:color w:val="auto"/>
                <w:w w:val="94"/>
              </w:rPr>
              <w:t>Reported</w:t>
            </w:r>
          </w:p>
        </w:tc>
        <w:tc>
          <w:tcPr>
            <w:tcW w:w="0" w:type="dxa"/>
            <w:vAlign w:val="bottom"/>
          </w:tcPr>
          <w:p>
            <w:pPr>
              <w:spacing w:after="0"/>
              <w:rPr>
                <w:sz w:val="1"/>
                <w:szCs w:val="1"/>
                <w:color w:val="auto"/>
              </w:rPr>
            </w:pPr>
          </w:p>
        </w:tc>
      </w:tr>
      <w:tr>
        <w:trPr>
          <w:trHeight w:val="258"/>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767</w:t>
            </w:r>
          </w:p>
        </w:tc>
        <w:tc>
          <w:tcPr>
            <w:tcW w:w="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Less: Loss attributable to noncontrolling interests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Clearway Energy LLC</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23"/>
          <w:szCs w:val="23"/>
          <w:color w:val="auto"/>
          <w:vertAlign w:val="superscript"/>
        </w:rPr>
      </w:pPr>
      <w:r>
        <w:rPr>
          <w:rFonts w:ascii="Arial" w:cs="Arial" w:eastAsia="Arial" w:hAnsi="Arial"/>
          <w:sz w:val="15"/>
          <w:szCs w:val="15"/>
          <w:color w:val="auto"/>
        </w:rPr>
        <w:t>As previously reported in the Company's Form 10-Q for the quarter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4065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130"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August 2017 Drop Down Assets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August 1, 2017, the Company acquired the remaining 25% interest in Wind TE Holdco, a portfolio of 12 wind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projects, from NRG for total cash consideration of $44 million, including working capital adjustments. The purchase agreement also included potential additional payments to NRG dependent upon actual energy prices for merchant periods beginning in 2027, which were estimated and accrued as contingent consideration in the amount of $8 million.</w:t>
      </w:r>
    </w:p>
    <w:p>
      <w:pPr>
        <w:spacing w:after="0" w:line="13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The Company originally acquired 75% of Wind TE Holdco on November 3, 2015, or November 2015 Drop Down Assets, which were consolidated with 25% of the net assets recorded as noncontrolling interest. The assets and liabilities transferred to the Company related to interests under common control by NRG and were recorded at historical cost in accordance with ASC 805-50, </w:t>
      </w:r>
      <w:r>
        <w:rPr>
          <w:rFonts w:ascii="Arial" w:cs="Arial" w:eastAsia="Arial" w:hAnsi="Arial"/>
          <w:sz w:val="16"/>
          <w:szCs w:val="16"/>
          <w:i w:val="1"/>
          <w:iCs w:val="1"/>
          <w:color w:val="auto"/>
        </w:rPr>
        <w:t>Business Combination - Related Issues.</w:t>
      </w:r>
      <w:r>
        <w:rPr>
          <w:rFonts w:ascii="Arial" w:cs="Arial" w:eastAsia="Arial" w:hAnsi="Arial"/>
          <w:sz w:val="16"/>
          <w:szCs w:val="16"/>
          <w:color w:val="auto"/>
        </w:rPr>
        <w:t xml:space="preserve"> The difference between the cash paid of $44 million, net of the contingent consideration of $8 million, and the historical value of the remaining 25% of $87 million as of July 31, 2017, was recorded as an adjustment to NRG's contributed capital. Since the transaction constituted a transfer of entities under common control,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w:t>
      </w:r>
    </w:p>
    <w:p>
      <w:pPr>
        <w:spacing w:after="0" w:line="109"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b w:val="1"/>
          <w:bCs w:val="1"/>
          <w:i w:val="1"/>
          <w:iCs w:val="1"/>
          <w:color w:val="auto"/>
        </w:rPr>
        <w:t xml:space="preserve">March 2017 Drop Down Assets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March 27, 2017, the Company acquired the following interests from NRG: (i) Agua Caliente Borrower 2 LLC,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which owns a 16% interest (approximately 31% of NRG's 51% interest) in the Agua Caliente solar farm, one of the ROFO Assets, representing ownership of approximately 46 net MW of capacity and (ii) NRG's interests in the Utah Solar Portfolio. Agua Caliente is located in Yuma County, AZ and sells power subject to a 25-year PPA with Pacific Gas and Electric, with 22 years remaining on that contract. The seven utility-scale solar farms in the Utah Solar Portfolio are owned by the following entities: Four Brothers Capital, LLC, Iron Springs Capital, LLC, and Granite Mountain Capital, LLC. These utility-scale solar farms achieved commercial operations in 2016, sell power subject to 20-year PPAs with PacifiCorp, a subsidiary of Berkshire Hathaway and are part of a tax equity structure with Dominion Solar Projects III, Inc., or Dominion, through which the Company is entitled to receive 50% of cash to be distributed, as further described below. The Company paid cash consideration of $128 million, which includes $3 million of final net working capital adjustment received by the Company from NRG. The acquisition of the March 2017 Drop Down Assets was funded with cash on hand. The Company recorded the acquired interests as equity method investments. The Company also assumed non-recourse debt of $41 million and $287 million on Agua Caliente Borrower 2 LLC and the Utah Solar Portfolio, respectively, as well as its pro-rata share of non-recourse project-level debt of Agua Caliente Solar LLC, as further described in Note 4, </w:t>
      </w:r>
      <w:r>
        <w:rPr>
          <w:rFonts w:ascii="Arial" w:cs="Arial" w:eastAsia="Arial" w:hAnsi="Arial"/>
          <w:sz w:val="17"/>
          <w:szCs w:val="17"/>
          <w:i w:val="1"/>
          <w:iCs w:val="1"/>
          <w:color w:val="auto"/>
        </w:rPr>
        <w:t>Investments Accounted for by the Equity Method and Variable Interest Entities</w:t>
      </w:r>
      <w:r>
        <w:rPr>
          <w:rFonts w:ascii="Arial" w:cs="Arial" w:eastAsia="Arial" w:hAnsi="Arial"/>
          <w:sz w:val="17"/>
          <w:szCs w:val="17"/>
          <w:color w:val="auto"/>
        </w:rPr>
        <w: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0" w:name="page21"/>
    <w:bookmarkEnd w:id="20"/>
    <w:p>
      <w:pPr>
        <w:jc w:val="both"/>
        <w:ind w:firstLine="392"/>
        <w:spacing w:after="0" w:line="297" w:lineRule="auto"/>
        <w:rPr>
          <w:sz w:val="20"/>
          <w:szCs w:val="20"/>
          <w:color w:val="auto"/>
        </w:rPr>
      </w:pPr>
      <w:r>
        <w:rPr>
          <w:rFonts w:ascii="Arial" w:cs="Arial" w:eastAsia="Arial" w:hAnsi="Arial"/>
          <w:sz w:val="16"/>
          <w:szCs w:val="16"/>
          <w:color w:val="auto"/>
        </w:rPr>
        <w:t xml:space="preserve">The assets and liabilities transferred to the Company relate to interests under common control by NRG and were recorded at historical cost in accordance with ASC 805-50, </w:t>
      </w:r>
      <w:r>
        <w:rPr>
          <w:rFonts w:ascii="Arial" w:cs="Arial" w:eastAsia="Arial" w:hAnsi="Arial"/>
          <w:sz w:val="16"/>
          <w:szCs w:val="16"/>
          <w:i w:val="1"/>
          <w:iCs w:val="1"/>
          <w:color w:val="auto"/>
        </w:rPr>
        <w:t>Business Combination - Related Issues.</w:t>
      </w:r>
      <w:r>
        <w:rPr>
          <w:rFonts w:ascii="Arial" w:cs="Arial" w:eastAsia="Arial" w:hAnsi="Arial"/>
          <w:sz w:val="16"/>
          <w:szCs w:val="16"/>
          <w:color w:val="auto"/>
        </w:rPr>
        <w:t xml:space="preserve"> The difference between the cash paid and the historical value of the entities' equity of $8 million was recorded as an adjustment to contributed capital. Since the transaction constituted a transfer of entities under common control,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w:t>
      </w:r>
    </w:p>
    <w:p>
      <w:pPr>
        <w:spacing w:after="0" w:line="154" w:lineRule="exact"/>
        <w:rPr>
          <w:sz w:val="20"/>
          <w:szCs w:val="20"/>
          <w:color w:val="auto"/>
        </w:rPr>
      </w:pPr>
    </w:p>
    <w:p>
      <w:pPr>
        <w:ind w:right="4800"/>
        <w:spacing w:after="0" w:line="282" w:lineRule="auto"/>
        <w:rPr>
          <w:sz w:val="20"/>
          <w:szCs w:val="20"/>
          <w:color w:val="auto"/>
        </w:rPr>
      </w:pPr>
      <w:r>
        <w:rPr>
          <w:rFonts w:ascii="Arial" w:cs="Arial" w:eastAsia="Arial" w:hAnsi="Arial"/>
          <w:sz w:val="18"/>
          <w:szCs w:val="18"/>
          <w:b w:val="1"/>
          <w:bCs w:val="1"/>
          <w:color w:val="auto"/>
        </w:rPr>
        <w:t xml:space="preserve">Note 4 — </w:t>
      </w:r>
      <w:r>
        <w:rPr>
          <w:rFonts w:ascii="Arial" w:cs="Arial" w:eastAsia="Arial" w:hAnsi="Arial"/>
          <w:sz w:val="18"/>
          <w:szCs w:val="18"/>
          <w:b w:val="1"/>
          <w:bCs w:val="1"/>
          <w:i w:val="1"/>
          <w:iCs w:val="1"/>
          <w:color w:val="auto"/>
        </w:rPr>
        <w:t>Investments Accounted for by the Equity Method and Variable Interest Entities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Entities that are Consolidated</w:t>
      </w:r>
    </w:p>
    <w:p>
      <w:pPr>
        <w:spacing w:after="0" w:line="1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a controlling financial interest in certain entities which have been identified as VIEs under ASC 810, </w:t>
      </w:r>
      <w:r>
        <w:rPr>
          <w:rFonts w:ascii="Arial" w:cs="Arial" w:eastAsia="Arial" w:hAnsi="Arial"/>
          <w:sz w:val="18"/>
          <w:szCs w:val="18"/>
          <w:i w:val="1"/>
          <w:iCs w:val="1"/>
          <w:color w:val="auto"/>
        </w:rPr>
        <w:t>Consolidations,</w:t>
      </w:r>
      <w:r>
        <w:rPr>
          <w:rFonts w:ascii="Arial" w:cs="Arial" w:eastAsia="Arial" w:hAnsi="Arial"/>
          <w:sz w:val="18"/>
          <w:szCs w:val="18"/>
          <w:color w:val="auto"/>
        </w:rPr>
        <w:t xml:space="preserve"> or ASC 810. These arrangements are primarily related to tax equity arrangements entered into with third parties in order to monetize certain tax credits associated with wind facilities, as further described in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w:t>
      </w:r>
      <w:r>
        <w:rPr>
          <w:rFonts w:ascii="Arial" w:cs="Arial" w:eastAsia="Arial" w:hAnsi="Arial"/>
          <w:sz w:val="18"/>
          <w:szCs w:val="18"/>
          <w:color w:val="231F20"/>
        </w:rPr>
        <w:t>to the consolidated financial</w:t>
      </w:r>
      <w:r>
        <w:rPr>
          <w:rFonts w:ascii="Arial" w:cs="Arial" w:eastAsia="Arial" w:hAnsi="Arial"/>
          <w:sz w:val="18"/>
          <w:szCs w:val="18"/>
          <w:color w:val="auto"/>
        </w:rPr>
        <w:t xml:space="preserve"> </w:t>
      </w:r>
      <w:r>
        <w:rPr>
          <w:rFonts w:ascii="Arial" w:cs="Arial" w:eastAsia="Arial" w:hAnsi="Arial"/>
          <w:sz w:val="18"/>
          <w:szCs w:val="18"/>
          <w:color w:val="231F20"/>
        </w:rPr>
        <w:t>statements included in the Company's 2017 Form 10</w:t>
      </w:r>
      <w:r>
        <w:rPr>
          <w:rFonts w:ascii="Arial" w:cs="Arial" w:eastAsia="Arial" w:hAnsi="Arial"/>
          <w:sz w:val="18"/>
          <w:szCs w:val="18"/>
          <w:color w:val="000000"/>
        </w:rPr>
        <w:t>-K.</w:t>
      </w:r>
    </w:p>
    <w:p>
      <w:pPr>
        <w:spacing w:after="0" w:line="129"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b w:val="1"/>
          <w:bCs w:val="1"/>
          <w:i w:val="1"/>
          <w:iCs w:val="1"/>
          <w:color w:val="auto"/>
        </w:rPr>
        <w:t xml:space="preserve">Buckthorn Renewables, LLC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described in Note 3,</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Business Acquisitions</w:t>
      </w:r>
      <w:r>
        <w:rPr>
          <w:rFonts w:ascii="Arial" w:cs="Arial" w:eastAsia="Arial" w:hAnsi="Arial"/>
          <w:sz w:val="16"/>
          <w:szCs w:val="16"/>
          <w:color w:val="auto"/>
        </w:rPr>
        <w:t>, on March 30, 2018, the Company acquired 100% of NRG’s interest in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154 MW construction-stage utility-scale solar generation project, Buckthorn Renewables, LLC, which owns 100% interest in Buckthorn Solar Portfolio, LLC, which in turn owns 100% of the Class B membership interests in Buckthorn Holdings, LLC . Buckthorn Holdings, LLC is a tax equity fund, which is a variable interest entity that is consolidated by Buckthorn Solar Portfolio, LLC. The Company is the primary beneficiary, through its position as managing member, and indirectly consolidates Buckthorn Holdings, LLC through Buckthorn Solar Portfolio, LLC. The Class A member is a tax equity investor who made its initial contribution of $19 million on March 30, 2018, which is reflected as noncontrolling interest on the Company’s consolidated balance sheet. The project achieved substantial completion in May 2018, at which time the remaining tax equity contributions of $80 million were funded. The Company utilizes the HLBV method to determine the net income or loss allocated to the tax equity investor noncontrolling interest. The Company recorded $55 million of loss attributable to noncontrolling interest in Buckthorn Renewables, LLC during the period ended September 30, 2018.</w:t>
      </w:r>
    </w:p>
    <w:p>
      <w:pPr>
        <w:spacing w:after="0" w:line="10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Repowering Partnership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August 30, 2018, Wind TE Holdco, an indirect subsidiary of the Company, entered into a partnership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Clearway Renew LLC, an indirect subsidiary of CEG, in order to facilitate the repowering of the Elbow Creek and Wildorado facilities. Wind TE Holdco contributed its interests in the two facilities and Clearway Renew LLC contributed a turbine supply agreement, including title to certain components that qualify for production tax credits. Clearway Renew LLC paid a $17 million deposit and had a payable for an additional $17 million due to the service provider, which will be funded by an additional contribution from Clearway Renew LLC. Wind TE Holdco is the managing member of Repowering Partnership LLC and consolidates the entity, which is a VIE. Clearway Renew LLC is entitled to allocations of 21% of income, which is reflected in Wind TE Holdco’s noncontrolling interests.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financial information for the Company's consolidated VIEs consisted of the following as of September 30, 2018:</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Wind TE Holdco</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Alta Wind TE</w:t>
            </w:r>
          </w:p>
        </w:tc>
        <w:tc>
          <w:tcPr>
            <w:tcW w:w="12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Spring Canyon</w:t>
            </w:r>
          </w:p>
        </w:tc>
        <w:tc>
          <w:tcPr>
            <w:tcW w:w="200" w:type="dxa"/>
            <w:vAlign w:val="bottom"/>
          </w:tcPr>
          <w:p>
            <w:pPr>
              <w:spacing w:after="0"/>
              <w:rPr>
                <w:sz w:val="14"/>
                <w:szCs w:val="14"/>
                <w:color w:val="auto"/>
              </w:rPr>
            </w:pPr>
          </w:p>
        </w:tc>
        <w:tc>
          <w:tcPr>
            <w:tcW w:w="1020" w:type="dxa"/>
            <w:vAlign w:val="bottom"/>
          </w:tcPr>
          <w:p>
            <w:pPr>
              <w:jc w:val="right"/>
              <w:ind w:right="192"/>
              <w:spacing w:after="0"/>
              <w:rPr>
                <w:sz w:val="20"/>
                <w:szCs w:val="20"/>
                <w:color w:val="auto"/>
              </w:rPr>
            </w:pPr>
            <w:r>
              <w:rPr>
                <w:rFonts w:ascii="Arial" w:cs="Arial" w:eastAsia="Arial" w:hAnsi="Arial"/>
                <w:sz w:val="14"/>
                <w:szCs w:val="14"/>
                <w:b w:val="1"/>
                <w:bCs w:val="1"/>
                <w:color w:val="auto"/>
              </w:rPr>
              <w:t>Buckthorn</w:t>
            </w:r>
          </w:p>
        </w:tc>
        <w:tc>
          <w:tcPr>
            <w:tcW w:w="0" w:type="dxa"/>
            <w:vAlign w:val="bottom"/>
          </w:tcPr>
          <w:p>
            <w:pPr>
              <w:spacing w:after="0"/>
              <w:rPr>
                <w:sz w:val="1"/>
                <w:szCs w:val="1"/>
                <w:color w:val="auto"/>
              </w:rPr>
            </w:pPr>
          </w:p>
        </w:tc>
      </w:tr>
      <w:tr>
        <w:trPr>
          <w:trHeight w:val="192"/>
        </w:trPr>
        <w:tc>
          <w:tcPr>
            <w:tcW w:w="4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Holdco</w:t>
            </w: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Renewables, LLC</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and non-current assets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and non-current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7"/>
        </w:trPr>
        <w:tc>
          <w:tcPr>
            <w:tcW w:w="4920" w:type="dxa"/>
            <w:vAlign w:val="bottom"/>
          </w:tcPr>
          <w:p>
            <w:pPr>
              <w:ind w:left="500"/>
              <w:spacing w:after="0"/>
              <w:rPr>
                <w:sz w:val="20"/>
                <w:szCs w:val="20"/>
                <w:color w:val="auto"/>
              </w:rPr>
            </w:pPr>
            <w:r>
              <w:rPr>
                <w:rFonts w:ascii="Arial" w:cs="Arial" w:eastAsia="Arial" w:hAnsi="Arial"/>
                <w:sz w:val="18"/>
                <w:szCs w:val="18"/>
                <w:color w:val="auto"/>
              </w:rPr>
              <w:t>Net assets less noncontrolling interests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ind w:right="932"/>
              <w:spacing w:after="0"/>
              <w:rPr>
                <w:sz w:val="20"/>
                <w:szCs w:val="20"/>
                <w:color w:val="auto"/>
              </w:rPr>
            </w:pPr>
            <w:r>
              <w:rPr>
                <w:rFonts w:ascii="Arial" w:cs="Arial" w:eastAsia="Arial" w:hAnsi="Arial"/>
                <w:sz w:val="18"/>
                <w:szCs w:val="18"/>
                <w:color w:val="auto"/>
                <w:w w:val="79"/>
              </w:rPr>
              <w:t>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Entities that are not Consolidated</w:t>
      </w:r>
    </w:p>
    <w:p>
      <w:pPr>
        <w:spacing w:after="0" w:line="33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The Company has interests in entities that are considered VIEs under ASC 810, but for which it is not considered the primary beneficiary. The Company accounts for its interests in these entities under the equity method of accounting, as further described in Note 5, </w:t>
      </w:r>
      <w:r>
        <w:rPr>
          <w:rFonts w:ascii="Arial" w:cs="Arial" w:eastAsia="Arial" w:hAnsi="Arial"/>
          <w:sz w:val="17"/>
          <w:szCs w:val="17"/>
          <w:i w:val="1"/>
          <w:iCs w:val="1"/>
          <w:color w:val="auto"/>
        </w:rPr>
        <w:t>Investments Accounted for by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Equity Method and Variable Interest Entities, </w:t>
      </w:r>
      <w:r>
        <w:rPr>
          <w:rFonts w:ascii="Arial" w:cs="Arial" w:eastAsia="Arial" w:hAnsi="Arial"/>
          <w:sz w:val="17"/>
          <w:szCs w:val="17"/>
          <w:color w:val="231F20"/>
        </w:rPr>
        <w:t>to the consolidated financial statements included in the Company's 2017 Form 10-K</w:t>
      </w:r>
      <w:r>
        <w:rPr>
          <w:rFonts w:ascii="Arial" w:cs="Arial" w:eastAsia="Arial" w:hAnsi="Arial"/>
          <w:sz w:val="17"/>
          <w:szCs w:val="17"/>
          <w:color w:val="auto"/>
        </w:rPr>
        <w:t>.</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maximum exposure to loss as of September 30, 2018, is limited to its equity investment in the unconsolidated entities, as further summarized in the table below:</w:t>
      </w:r>
    </w:p>
    <w:p>
      <w:pPr>
        <w:spacing w:after="0" w:line="96"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5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45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Maximum exposure</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vMerge w:val="continue"/>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 loss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Four Brothers Solar, LLC</w:t>
            </w:r>
          </w:p>
        </w:tc>
        <w:tc>
          <w:tcPr>
            <w:tcW w:w="3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GenConn Energy LLC</w:t>
            </w:r>
          </w:p>
        </w:tc>
        <w:tc>
          <w:tcPr>
            <w:tcW w:w="3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DGPV Holdco 3 LLC</w:t>
            </w:r>
          </w:p>
        </w:tc>
        <w:tc>
          <w:tcPr>
            <w:tcW w:w="3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DGPV Holdco 1 LLC</w:t>
            </w:r>
          </w:p>
        </w:tc>
        <w:tc>
          <w:tcPr>
            <w:tcW w:w="3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Granite Mountain Holdings, LLC</w:t>
            </w:r>
          </w:p>
        </w:tc>
        <w:tc>
          <w:tcPr>
            <w:tcW w:w="3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DGPV Holdco 2 LLC</w:t>
            </w:r>
          </w:p>
        </w:tc>
        <w:tc>
          <w:tcPr>
            <w:tcW w:w="3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Iron Springs Holdings, LLC</w:t>
            </w:r>
          </w:p>
        </w:tc>
        <w:tc>
          <w:tcPr>
            <w:tcW w:w="3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RPV Holdco 1 LLC</w:t>
            </w:r>
          </w:p>
        </w:tc>
        <w:tc>
          <w:tcPr>
            <w:tcW w:w="3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DGPV Holdco 1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invested $4 million of cash during the nine months ended September 30, 2018 into DGPV Holdco 1 LLC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$1 million due to CEG in accounts payable — affiliate as of September 30, 2018 to be funded as the project milestones are completed. The Company owns approximately 52 MW of distributed solar capacity, based on cash to be distributed, with a weighted average remaining contract life of approximately 17 years as of September 30, 2018.</w:t>
      </w:r>
    </w:p>
    <w:p>
      <w:pPr>
        <w:spacing w:after="0" w:line="126"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DGPV Holdco 3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invested $12 million of cash during the nine months ended September 30, 2018 into DGPV Holdco 3 LLC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$10 million due to CEG in accounts payable — affiliate as of September 30, 2018 to be funded in tranches as the project milestones are completed. The Company owns approximately 59 MW of distributed solar capacity, based on cash to be distributed, with a weighted average remaining contract life of approximately 21 years as of September 30, 2018.</w:t>
      </w:r>
    </w:p>
    <w:p>
      <w:pPr>
        <w:spacing w:after="0" w:line="12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Utah Solar Portfolio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described in Note 3,</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Business Acquisitions</w:t>
      </w:r>
      <w:r>
        <w:rPr>
          <w:rFonts w:ascii="Arial" w:cs="Arial" w:eastAsia="Arial" w:hAnsi="Arial"/>
          <w:sz w:val="18"/>
          <w:szCs w:val="18"/>
          <w:color w:val="auto"/>
        </w:rPr>
        <w:t>, on March 27, 2017, as part of the March 2017 Drop Down Assets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acquired from NRG 100% of the Class A equity interests in the Utah Solar Portfolio, comprised of Four Brothers Solar, LLC, Granite Mountain Holdings, LLC, and Iron Springs Holdings, LLC. The Class B interests of the Utah Solar Portfolio are owned by a tax equity investor, who receives 99% of allocations of taxable income and other items until the flip point, which occurs when the tax equity investor obtains a specified return on its initial investment, at which time the allocations to the tax equity investor change to 50%. The Company generally receives 50% of distributable cash throughout the term of the tax-equity arrangements. The three entities comprising the Utah Solar Portfolio are VIEs. As the Company is not the primary beneficiary, the Company uses the equity method of accounting to account for its interests in the Utah Solar Portfolio. The Company utilizes the HLBV method to determine its share of the income or losses in the investees.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 </w:t>
      </w:r>
      <w:r>
        <w:rPr>
          <w:rFonts w:ascii="Arial" w:cs="Arial" w:eastAsia="Arial" w:hAnsi="Arial"/>
          <w:sz w:val="18"/>
          <w:szCs w:val="18"/>
          <w:b w:val="1"/>
          <w:bCs w:val="1"/>
          <w:i w:val="1"/>
          <w:iCs w:val="1"/>
          <w:color w:val="auto"/>
        </w:rPr>
        <w:t>Fair Value of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6" w:lineRule="exact"/>
        <w:rPr>
          <w:sz w:val="20"/>
          <w:szCs w:val="20"/>
          <w:color w:val="auto"/>
        </w:rPr>
      </w:pPr>
    </w:p>
    <w:p>
      <w:pPr>
        <w:ind w:left="1220" w:right="20" w:hanging="240"/>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8" w:lineRule="exact"/>
        <w:rPr>
          <w:rFonts w:ascii="Arial" w:cs="Arial" w:eastAsia="Arial" w:hAnsi="Arial"/>
          <w:sz w:val="18"/>
          <w:szCs w:val="18"/>
          <w:color w:val="auto"/>
        </w:rPr>
      </w:pPr>
    </w:p>
    <w:p>
      <w:pPr>
        <w:ind w:left="1220" w:right="20" w:hanging="240"/>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8" w:lineRule="exact"/>
        <w:rPr>
          <w:rFonts w:ascii="Arial" w:cs="Arial" w:eastAsia="Arial" w:hAnsi="Arial"/>
          <w:sz w:val="18"/>
          <w:szCs w:val="18"/>
          <w:color w:val="auto"/>
        </w:rPr>
      </w:pPr>
    </w:p>
    <w:p>
      <w:pPr>
        <w:ind w:left="1220" w:hanging="240"/>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6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2" w:name="page23"/>
    <w:bookmarkEnd w:id="22"/>
    <w:p>
      <w:pPr>
        <w:jc w:val="both"/>
        <w:ind w:firstLine="486"/>
        <w:spacing w:after="0" w:line="264" w:lineRule="auto"/>
        <w:rPr>
          <w:sz w:val="20"/>
          <w:szCs w:val="20"/>
          <w:color w:val="auto"/>
        </w:rPr>
      </w:pPr>
      <w:r>
        <w:rPr>
          <w:rFonts w:ascii="Arial" w:cs="Arial" w:eastAsia="Arial" w:hAnsi="Arial"/>
          <w:sz w:val="18"/>
          <w:szCs w:val="18"/>
          <w:color w:val="auto"/>
        </w:rPr>
        <w:t>For cash and cash equivalents, restricted cash, accounts receivable, accounts payable, accounts payable — affiliates, accrued expenses and other liabilities, the carrying amounts approximate fair value because of the short-term maturity of those instruments and are classified as Level 1 within the fair value hierarchy.</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estimated carrying amounts and fair values of the Company’s recorded financial instruments not carried at fair market value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As of September 30, 2018</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As of December 31, 2017</w:t>
            </w:r>
          </w:p>
        </w:tc>
      </w:tr>
      <w:tr>
        <w:trPr>
          <w:trHeight w:val="263"/>
        </w:trPr>
        <w:tc>
          <w:tcPr>
            <w:tcW w:w="6040" w:type="dxa"/>
            <w:vAlign w:val="bottom"/>
          </w:tcPr>
          <w:p>
            <w:pPr>
              <w:spacing w:after="0"/>
              <w:rPr>
                <w:sz w:val="22"/>
                <w:szCs w:val="22"/>
                <w:color w:val="auto"/>
              </w:rPr>
            </w:pPr>
          </w:p>
        </w:tc>
        <w:tc>
          <w:tcPr>
            <w:tcW w:w="13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Carrying Amount</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2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Fair Value</w:t>
            </w:r>
          </w:p>
        </w:tc>
      </w:tr>
      <w:tr>
        <w:trPr>
          <w:trHeight w:val="264"/>
        </w:trPr>
        <w:tc>
          <w:tcPr>
            <w:tcW w:w="60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Notes receivable</w:t>
            </w: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13</w:t>
            </w:r>
          </w:p>
        </w:tc>
      </w:tr>
      <w:tr>
        <w:trPr>
          <w:trHeight w:val="27"/>
        </w:trPr>
        <w:tc>
          <w:tcPr>
            <w:tcW w:w="6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Long-term debt — affiliate, including current portion</w:t>
            </w:r>
          </w:p>
        </w:tc>
        <w:tc>
          <w:tcPr>
            <w:tcW w:w="34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603</w:t>
            </w:r>
          </w:p>
        </w:tc>
        <w:tc>
          <w:tcPr>
            <w:tcW w:w="30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618</w:t>
            </w:r>
          </w:p>
        </w:tc>
        <w:tc>
          <w:tcPr>
            <w:tcW w:w="28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618</w:t>
            </w:r>
          </w:p>
        </w:tc>
      </w:tr>
      <w:tr>
        <w:trPr>
          <w:trHeight w:val="27"/>
        </w:trPr>
        <w:tc>
          <w:tcPr>
            <w:tcW w:w="6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0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Long-term debt — external, including current portion </w:t>
            </w:r>
            <w:r>
              <w:rPr>
                <w:rFonts w:ascii="Arial" w:cs="Arial" w:eastAsia="Arial" w:hAnsi="Arial"/>
                <w:sz w:val="25"/>
                <w:szCs w:val="25"/>
                <w:color w:val="auto"/>
                <w:vertAlign w:val="superscript"/>
              </w:rPr>
              <w:t>(a)</w:t>
            </w: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5,253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5,218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5,450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5,466</w:t>
            </w:r>
          </w:p>
        </w:tc>
      </w:tr>
    </w:tbl>
    <w:p>
      <w:pPr>
        <w:spacing w:after="0" w:line="251"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9"/>
          <w:szCs w:val="9"/>
          <w:color w:val="auto"/>
        </w:rPr>
      </w:pPr>
      <w:r>
        <w:rPr>
          <w:rFonts w:ascii="Arial" w:cs="Arial" w:eastAsia="Arial" w:hAnsi="Arial"/>
          <w:sz w:val="14"/>
          <w:szCs w:val="14"/>
          <w:color w:val="auto"/>
        </w:rPr>
        <w:t>Excludes deferred financing costs, which are recorded as a reduction to long-term debt on the Company's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9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fair value of the Company's publicly-traded long-term debt is based on quoted market prices and is classified as Level 2 within the fair value hierarchy. The fair value of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September 30, 2018 and December 31, 2017:</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4"/>
                <w:szCs w:val="14"/>
                <w:b w:val="1"/>
                <w:bCs w:val="1"/>
                <w:color w:val="auto"/>
              </w:rPr>
              <w:t>As of September 30, 2018</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As of December 31, 2017</w:t>
            </w:r>
          </w:p>
        </w:tc>
      </w:tr>
      <w:tr>
        <w:trPr>
          <w:trHeight w:val="264"/>
        </w:trPr>
        <w:tc>
          <w:tcPr>
            <w:tcW w:w="60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96"/>
              </w:rPr>
              <w:t>Level 2</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3</w:t>
            </w:r>
          </w:p>
        </w:tc>
      </w:tr>
      <w:tr>
        <w:trPr>
          <w:trHeight w:val="196"/>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including current portion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834</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4,987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870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5,214</w:t>
            </w:r>
          </w:p>
        </w:tc>
      </w:tr>
      <w:tr>
        <w:trPr>
          <w:trHeight w:val="27"/>
        </w:trPr>
        <w:tc>
          <w:tcPr>
            <w:tcW w:w="60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Company records its derivative assets and liabilities at fair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880" w:type="dxa"/>
            <w:vAlign w:val="bottom"/>
            <w:tcBorders>
              <w:bottom w:val="single" w:sz="8" w:color="auto"/>
            </w:tcBorders>
          </w:tcPr>
          <w:p>
            <w:pPr>
              <w:jc w:val="center"/>
              <w:ind w:left="201"/>
              <w:spacing w:after="0"/>
              <w:rPr>
                <w:sz w:val="20"/>
                <w:szCs w:val="20"/>
                <w:color w:val="auto"/>
              </w:rPr>
            </w:pPr>
            <w:r>
              <w:rPr>
                <w:rFonts w:ascii="Arial" w:cs="Arial" w:eastAsia="Arial" w:hAnsi="Arial"/>
                <w:sz w:val="14"/>
                <w:szCs w:val="14"/>
                <w:b w:val="1"/>
                <w:bCs w:val="1"/>
                <w:color w:val="auto"/>
                <w:w w:val="91"/>
              </w:rPr>
              <w:t>As of September 30, 2018</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2"/>
              </w:rPr>
              <w:t>As of December 31, 2017</w:t>
            </w:r>
          </w:p>
        </w:tc>
      </w:tr>
      <w:tr>
        <w:trPr>
          <w:trHeight w:val="250"/>
        </w:trPr>
        <w:tc>
          <w:tcPr>
            <w:tcW w:w="6980" w:type="dxa"/>
            <w:vAlign w:val="bottom"/>
          </w:tcPr>
          <w:p>
            <w:pPr>
              <w:spacing w:after="0"/>
              <w:rPr>
                <w:sz w:val="21"/>
                <w:szCs w:val="21"/>
                <w:color w:val="auto"/>
              </w:rPr>
            </w:pPr>
          </w:p>
        </w:tc>
        <w:tc>
          <w:tcPr>
            <w:tcW w:w="1880" w:type="dxa"/>
            <w:vAlign w:val="bottom"/>
            <w:tcBorders>
              <w:bottom w:val="single" w:sz="8" w:color="auto"/>
            </w:tcBorders>
          </w:tcPr>
          <w:p>
            <w:pPr>
              <w:jc w:val="center"/>
              <w:ind w:left="221"/>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8"/>
                <w:szCs w:val="8"/>
                <w:b w:val="1"/>
                <w:bCs w:val="1"/>
                <w:color w:val="auto"/>
                <w:w w:val="96"/>
              </w:rPr>
              <w:t>(a)</w:t>
            </w:r>
          </w:p>
        </w:tc>
        <w:tc>
          <w:tcPr>
            <w:tcW w:w="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9"/>
              </w:rPr>
              <w:t xml:space="preserve">Fair Value </w:t>
            </w:r>
            <w:r>
              <w:rPr>
                <w:rFonts w:ascii="Arial" w:cs="Arial" w:eastAsia="Arial" w:hAnsi="Arial"/>
                <w:sz w:val="8"/>
                <w:szCs w:val="8"/>
                <w:b w:val="1"/>
                <w:bCs w:val="1"/>
                <w:color w:val="auto"/>
                <w:w w:val="99"/>
              </w:rPr>
              <w:t>(a)</w:t>
            </w:r>
          </w:p>
        </w:tc>
      </w:tr>
      <w:tr>
        <w:trPr>
          <w:trHeight w:val="250"/>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880" w:type="dxa"/>
            <w:vAlign w:val="bottom"/>
            <w:tcBorders>
              <w:bottom w:val="single" w:sz="8" w:color="auto"/>
            </w:tcBorders>
          </w:tcPr>
          <w:p>
            <w:pPr>
              <w:jc w:val="center"/>
              <w:ind w:left="201"/>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2"/>
              </w:rPr>
              <w:t>Level 2</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1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jc w:val="center"/>
              <w:ind w:right="4572"/>
              <w:spacing w:after="0"/>
              <w:rPr>
                <w:sz w:val="20"/>
                <w:szCs w:val="20"/>
                <w:color w:val="auto"/>
              </w:rPr>
            </w:pPr>
            <w:r>
              <w:rPr>
                <w:rFonts w:ascii="Arial" w:cs="Arial" w:eastAsia="Arial" w:hAnsi="Arial"/>
                <w:sz w:val="18"/>
                <w:szCs w:val="18"/>
                <w:color w:val="auto"/>
                <w:w w:val="92"/>
              </w:rPr>
              <w:t>Commodity contracts</w:t>
            </w:r>
          </w:p>
        </w:tc>
        <w:tc>
          <w:tcPr>
            <w:tcW w:w="1880" w:type="dxa"/>
            <w:vAlign w:val="bottom"/>
          </w:tcPr>
          <w:p>
            <w:pPr>
              <w:jc w:val="right"/>
              <w:ind w:right="1681"/>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6"/>
              <w:spacing w:after="0"/>
              <w:rPr>
                <w:sz w:val="20"/>
                <w:szCs w:val="20"/>
                <w:color w:val="auto"/>
              </w:rPr>
            </w:pPr>
            <w:r>
              <w:rPr>
                <w:rFonts w:ascii="Arial" w:cs="Arial" w:eastAsia="Arial" w:hAnsi="Arial"/>
                <w:sz w:val="18"/>
                <w:szCs w:val="18"/>
                <w:color w:val="auto"/>
              </w:rPr>
              <w:t>1</w:t>
            </w:r>
          </w:p>
        </w:tc>
      </w:tr>
      <w:tr>
        <w:trPr>
          <w:trHeight w:val="27"/>
        </w:trPr>
        <w:tc>
          <w:tcPr>
            <w:tcW w:w="69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jc w:val="center"/>
              <w:ind w:right="4572"/>
              <w:spacing w:after="0"/>
              <w:rPr>
                <w:sz w:val="20"/>
                <w:szCs w:val="20"/>
                <w:color w:val="auto"/>
              </w:rPr>
            </w:pPr>
            <w:r>
              <w:rPr>
                <w:rFonts w:ascii="Arial" w:cs="Arial" w:eastAsia="Arial" w:hAnsi="Arial"/>
                <w:sz w:val="18"/>
                <w:szCs w:val="18"/>
                <w:color w:val="auto"/>
                <w:w w:val="89"/>
              </w:rPr>
              <w:t>Interest rate contracts</w:t>
            </w:r>
          </w:p>
        </w:tc>
        <w:tc>
          <w:tcPr>
            <w:tcW w:w="18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r>
      <w:tr>
        <w:trPr>
          <w:trHeight w:val="297"/>
        </w:trPr>
        <w:tc>
          <w:tcPr>
            <w:tcW w:w="6980" w:type="dxa"/>
            <w:vAlign w:val="bottom"/>
            <w:tcBorders>
              <w:bottom w:val="single" w:sz="8" w:color="CCEEFF"/>
            </w:tcBorders>
          </w:tcPr>
          <w:p>
            <w:pPr>
              <w:ind w:left="600"/>
              <w:spacing w:after="0"/>
              <w:rPr>
                <w:sz w:val="20"/>
                <w:szCs w:val="20"/>
                <w:color w:val="auto"/>
              </w:rPr>
            </w:pPr>
            <w:r>
              <w:rPr>
                <w:rFonts w:ascii="Arial" w:cs="Arial" w:eastAsia="Arial" w:hAnsi="Arial"/>
                <w:sz w:val="18"/>
                <w:szCs w:val="18"/>
                <w:b w:val="1"/>
                <w:bCs w:val="1"/>
                <w:color w:val="auto"/>
              </w:rPr>
              <w:t>Total assets</w:t>
            </w:r>
          </w:p>
        </w:tc>
        <w:tc>
          <w:tcPr>
            <w:tcW w:w="188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35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9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w:t>
            </w: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18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r>
      <w:tr>
        <w:trPr>
          <w:trHeight w:val="243"/>
        </w:trPr>
        <w:tc>
          <w:tcPr>
            <w:tcW w:w="6980" w:type="dxa"/>
            <w:vAlign w:val="bottom"/>
          </w:tcPr>
          <w:p>
            <w:pPr>
              <w:jc w:val="center"/>
              <w:ind w:right="4572"/>
              <w:spacing w:after="0"/>
              <w:rPr>
                <w:sz w:val="20"/>
                <w:szCs w:val="20"/>
                <w:color w:val="auto"/>
              </w:rPr>
            </w:pPr>
            <w:r>
              <w:rPr>
                <w:rFonts w:ascii="Arial" w:cs="Arial" w:eastAsia="Arial" w:hAnsi="Arial"/>
                <w:sz w:val="18"/>
                <w:szCs w:val="18"/>
                <w:color w:val="auto"/>
                <w:w w:val="92"/>
              </w:rPr>
              <w:t>Commodity contracts</w:t>
            </w:r>
          </w:p>
        </w:tc>
        <w:tc>
          <w:tcPr>
            <w:tcW w:w="188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6"/>
              <w:spacing w:after="0"/>
              <w:rPr>
                <w:sz w:val="20"/>
                <w:szCs w:val="20"/>
                <w:color w:val="auto"/>
              </w:rPr>
            </w:pPr>
            <w:r>
              <w:rPr>
                <w:rFonts w:ascii="Arial" w:cs="Arial" w:eastAsia="Arial" w:hAnsi="Arial"/>
                <w:sz w:val="18"/>
                <w:szCs w:val="18"/>
                <w:color w:val="auto"/>
              </w:rPr>
              <w:t>1</w:t>
            </w:r>
          </w:p>
        </w:tc>
      </w:tr>
      <w:tr>
        <w:trPr>
          <w:trHeight w:val="27"/>
        </w:trPr>
        <w:tc>
          <w:tcPr>
            <w:tcW w:w="69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jc w:val="center"/>
              <w:ind w:right="4572"/>
              <w:spacing w:after="0"/>
              <w:rPr>
                <w:sz w:val="20"/>
                <w:szCs w:val="20"/>
                <w:color w:val="auto"/>
              </w:rPr>
            </w:pPr>
            <w:r>
              <w:rPr>
                <w:rFonts w:ascii="Arial" w:cs="Arial" w:eastAsia="Arial" w:hAnsi="Arial"/>
                <w:sz w:val="18"/>
                <w:szCs w:val="18"/>
                <w:color w:val="auto"/>
                <w:w w:val="89"/>
              </w:rPr>
              <w:t>Interest rate contracts</w:t>
            </w:r>
          </w:p>
        </w:tc>
        <w:tc>
          <w:tcPr>
            <w:tcW w:w="18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w:t>
            </w:r>
          </w:p>
        </w:tc>
      </w:tr>
      <w:tr>
        <w:trPr>
          <w:trHeight w:val="257"/>
        </w:trPr>
        <w:tc>
          <w:tcPr>
            <w:tcW w:w="6980" w:type="dxa"/>
            <w:vAlign w:val="bottom"/>
          </w:tcPr>
          <w:p>
            <w:pPr>
              <w:jc w:val="center"/>
              <w:ind w:right="4552"/>
              <w:spacing w:after="0"/>
              <w:rPr>
                <w:sz w:val="20"/>
                <w:szCs w:val="20"/>
                <w:color w:val="auto"/>
              </w:rPr>
            </w:pPr>
            <w:r>
              <w:rPr>
                <w:rFonts w:ascii="Arial" w:cs="Arial" w:eastAsia="Arial" w:hAnsi="Arial"/>
                <w:sz w:val="18"/>
                <w:szCs w:val="18"/>
                <w:b w:val="1"/>
                <w:bCs w:val="1"/>
                <w:color w:val="auto"/>
                <w:w w:val="91"/>
              </w:rPr>
              <w:t>Total liabilities</w:t>
            </w:r>
          </w:p>
        </w:tc>
        <w:tc>
          <w:tcPr>
            <w:tcW w:w="1880" w:type="dxa"/>
            <w:vAlign w:val="bottom"/>
            <w:tcBorders>
              <w:top w:val="single" w:sz="8" w:color="auto"/>
              <w:bottom w:val="single" w:sz="8" w:color="auto"/>
            </w:tcBorders>
          </w:tcPr>
          <w:p>
            <w:pPr>
              <w:jc w:val="right"/>
              <w:ind w:right="1681"/>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14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49</w:t>
            </w:r>
          </w:p>
        </w:tc>
      </w:tr>
      <w:tr>
        <w:trPr>
          <w:trHeight w:val="20"/>
        </w:trPr>
        <w:tc>
          <w:tcPr>
            <w:tcW w:w="69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4" w:lineRule="exact"/>
        <w:rPr>
          <w:sz w:val="20"/>
          <w:szCs w:val="20"/>
          <w:color w:val="auto"/>
        </w:rPr>
      </w:pPr>
    </w:p>
    <w:p>
      <w:pPr>
        <w:ind w:left="160" w:hanging="152"/>
        <w:spacing w:after="0"/>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There were no derivative assets or liabilities classified as Level 1 or Level 3 as of September 30, 2018 and December 31, 2017.</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Fair Value Measurements</w:t>
      </w:r>
    </w:p>
    <w:p>
      <w:pPr>
        <w:spacing w:after="0" w:line="17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Company's contracts are non-exchange-traded and valued using prices provided by external sources. For the Company’s energy markets, management receives quotes from multiple sources. To the extent that multiple quotes are received, the prices reflect the average of the bid-ask mid-point prices obtained from all sources believed to provide the most liquid market for the commodity.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3" w:name="page24"/>
    <w:bookmarkEnd w:id="23"/>
    <w:p>
      <w:pPr>
        <w:jc w:val="both"/>
        <w:ind w:firstLine="405"/>
        <w:spacing w:after="0" w:line="272" w:lineRule="auto"/>
        <w:rPr>
          <w:sz w:val="20"/>
          <w:szCs w:val="20"/>
          <w:color w:val="auto"/>
        </w:rPr>
      </w:pPr>
      <w:r>
        <w:rPr>
          <w:rFonts w:ascii="Arial" w:cs="Arial" w:eastAsia="Arial" w:hAnsi="Arial"/>
          <w:sz w:val="17"/>
          <w:szCs w:val="17"/>
          <w:color w:val="auto"/>
        </w:rPr>
        <w:t>The fair value of each contract is discounted using a risk 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September 30, 2018, the credit reserve was $1 million in interest expense. It is possible that future market prices could vary from those used in recording assets and liabilities and such variations could be material.</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92"/>
        <w:spacing w:after="0" w:line="285" w:lineRule="auto"/>
        <w:rPr>
          <w:sz w:val="20"/>
          <w:szCs w:val="20"/>
          <w:color w:val="auto"/>
        </w:rPr>
      </w:pPr>
      <w:r>
        <w:rPr>
          <w:rFonts w:ascii="Arial" w:cs="Arial" w:eastAsia="Arial" w:hAnsi="Arial"/>
          <w:sz w:val="16"/>
          <w:szCs w:val="16"/>
          <w:color w:val="auto"/>
        </w:rPr>
        <w:t xml:space="preserve">In addition to the credit risk discussion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w:t>
      </w:r>
      <w:r>
        <w:rPr>
          <w:rFonts w:ascii="Arial" w:cs="Arial" w:eastAsia="Arial" w:hAnsi="Arial"/>
          <w:sz w:val="16"/>
          <w:szCs w:val="16"/>
          <w:color w:val="231F20"/>
        </w:rPr>
        <w:t>to the consolidated financial</w:t>
      </w:r>
      <w:r>
        <w:rPr>
          <w:rFonts w:ascii="Arial" w:cs="Arial" w:eastAsia="Arial" w:hAnsi="Arial"/>
          <w:sz w:val="16"/>
          <w:szCs w:val="16"/>
          <w:color w:val="auto"/>
        </w:rPr>
        <w:t xml:space="preserve"> statements </w:t>
      </w:r>
      <w:r>
        <w:rPr>
          <w:rFonts w:ascii="Arial" w:cs="Arial" w:eastAsia="Arial" w:hAnsi="Arial"/>
          <w:sz w:val="16"/>
          <w:szCs w:val="16"/>
          <w:color w:val="231F20"/>
        </w:rPr>
        <w:t>included in the</w:t>
      </w:r>
      <w:r>
        <w:rPr>
          <w:rFonts w:ascii="Arial" w:cs="Arial" w:eastAsia="Arial" w:hAnsi="Arial"/>
          <w:sz w:val="16"/>
          <w:szCs w:val="16"/>
          <w:color w:val="auto"/>
        </w:rPr>
        <w:t xml:space="preserve"> </w:t>
      </w:r>
      <w:r>
        <w:rPr>
          <w:rFonts w:ascii="Arial" w:cs="Arial" w:eastAsia="Arial" w:hAnsi="Arial"/>
          <w:sz w:val="16"/>
          <w:szCs w:val="16"/>
          <w:color w:val="231F20"/>
        </w:rPr>
        <w:t xml:space="preserve">Company's </w:t>
      </w:r>
      <w:r>
        <w:rPr>
          <w:rFonts w:ascii="Arial" w:cs="Arial" w:eastAsia="Arial" w:hAnsi="Arial"/>
          <w:sz w:val="16"/>
          <w:szCs w:val="16"/>
          <w:color w:val="000000"/>
        </w:rPr>
        <w:t>2017 Form 10-K, the following is a discussion of the concentration of credit risk for the Company's financial instruments. Credit risk relates to the</w:t>
      </w:r>
      <w:r>
        <w:rPr>
          <w:rFonts w:ascii="Arial" w:cs="Arial" w:eastAsia="Arial" w:hAnsi="Arial"/>
          <w:sz w:val="16"/>
          <w:szCs w:val="16"/>
          <w:color w:val="231F20"/>
        </w:rPr>
        <w:t xml:space="preserve"> </w:t>
      </w:r>
      <w:r>
        <w:rPr>
          <w:rFonts w:ascii="Arial" w:cs="Arial" w:eastAsia="Arial" w:hAnsi="Arial"/>
          <w:sz w:val="16"/>
          <w:szCs w:val="16"/>
          <w:color w:val="000000"/>
        </w:rPr>
        <w:t>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(iii) the use of credit mitigation measures such as margin, collateral, prepayment arrangements, or volumetric limits; (iv) the use of payment netting agreements; and</w:t>
      </w:r>
    </w:p>
    <w:p>
      <w:pPr>
        <w:spacing w:after="0" w:line="2" w:lineRule="exact"/>
        <w:rPr>
          <w:sz w:val="20"/>
          <w:szCs w:val="20"/>
          <w:color w:val="auto"/>
        </w:rPr>
      </w:pPr>
    </w:p>
    <w:p>
      <w:pPr>
        <w:jc w:val="both"/>
        <w:ind w:firstLine="8"/>
        <w:spacing w:after="0" w:line="255" w:lineRule="auto"/>
        <w:tabs>
          <w:tab w:leader="none" w:pos="2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3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Based on these valuation techniques, as of September 30, 2018, credit risk exposure to these counterparties attributable to the Company's ownership interests was approximately $2.5 billion for the next five years. The majority of these power contracts are with utilities with strong credit quality and public utility commission or other regulatory support. However, such regulated utility counterparties can be impacted by changes in government regulations, which the Company is unable to predict.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w:t>
      </w:r>
      <w:r>
        <w:rPr>
          <w:rFonts w:ascii="Arial" w:cs="Arial" w:eastAsia="Arial" w:hAnsi="Arial"/>
          <w:sz w:val="18"/>
          <w:szCs w:val="18"/>
          <w:b w:val="1"/>
          <w:bCs w:val="1"/>
          <w:i w:val="1"/>
          <w:iCs w:val="1"/>
          <w:color w:val="auto"/>
        </w:rPr>
        <w:t>Accounting for Derivative Instruments and Hedging Activities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This footnote should be read in conjunction with the complete description under Note 7,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i w:val="1"/>
          <w:iCs w:val="1"/>
          <w:color w:val="231F20"/>
        </w:rPr>
        <w:t>,</w:t>
      </w:r>
      <w:r>
        <w:rPr>
          <w:rFonts w:ascii="Arial" w:cs="Arial" w:eastAsia="Arial" w:hAnsi="Arial"/>
          <w:sz w:val="18"/>
          <w:szCs w:val="18"/>
          <w:color w:val="auto"/>
        </w:rPr>
        <w:t xml:space="preserve"> </w:t>
      </w:r>
      <w:r>
        <w:rPr>
          <w:rFonts w:ascii="Arial" w:cs="Arial" w:eastAsia="Arial" w:hAnsi="Arial"/>
          <w:sz w:val="18"/>
          <w:szCs w:val="18"/>
          <w:color w:val="231F20"/>
        </w:rPr>
        <w:t xml:space="preserve">to the consolidated financial statements included in the Company's </w:t>
      </w:r>
      <w:r>
        <w:rPr>
          <w:rFonts w:ascii="Arial" w:cs="Arial" w:eastAsia="Arial" w:hAnsi="Arial"/>
          <w:sz w:val="18"/>
          <w:szCs w:val="18"/>
          <w:color w:val="000000"/>
        </w:rPr>
        <w:t>2017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Energy-Related Commodities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September 30, 2018, the Company had energy-related derivative instruments extending through 2020. At September 30, 2018, these contracts were not designated as cash flow or fair value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September 30, 2018, the Company had interest rate derivative instruments on non-recourse debt extending through 2041, a portion of which are designated as cash flow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Volumetric Underlying Derivative Transactions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net notional volume buy of the Company's open derivative transactions broken out by type: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3"/>
          </w:tcPr>
          <w:p>
            <w:pPr>
              <w:jc w:val="right"/>
              <w:ind w:right="1376"/>
              <w:spacing w:after="0"/>
              <w:rPr>
                <w:sz w:val="20"/>
                <w:szCs w:val="20"/>
                <w:color w:val="auto"/>
              </w:rPr>
            </w:pPr>
            <w:r>
              <w:rPr>
                <w:rFonts w:ascii="Arial" w:cs="Arial" w:eastAsia="Arial" w:hAnsi="Arial"/>
                <w:sz w:val="14"/>
                <w:szCs w:val="14"/>
                <w:b w:val="1"/>
                <w:bCs w:val="1"/>
                <w:color w:val="auto"/>
              </w:rPr>
              <w:t>Total Volume</w:t>
            </w:r>
          </w:p>
        </w:tc>
      </w:tr>
      <w:tr>
        <w:trPr>
          <w:trHeight w:val="264"/>
        </w:trPr>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w w:val="97"/>
              </w:rPr>
              <w:t>September 30, 2018</w:t>
            </w:r>
          </w:p>
        </w:tc>
        <w:tc>
          <w:tcPr>
            <w:tcW w:w="3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9"/>
              </w:rPr>
              <w:t>December 31, 2017</w:t>
            </w:r>
          </w:p>
        </w:tc>
      </w:tr>
      <w:tr>
        <w:trPr>
          <w:trHeight w:val="216"/>
        </w:trPr>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Commodity</w:t>
            </w:r>
          </w:p>
        </w:tc>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Units</w:t>
            </w:r>
          </w:p>
        </w:tc>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40" w:type="dxa"/>
            <w:vAlign w:val="bottom"/>
            <w:gridSpan w:val="3"/>
          </w:tcPr>
          <w:p>
            <w:pPr>
              <w:jc w:val="right"/>
              <w:ind w:right="1396"/>
              <w:spacing w:after="0"/>
              <w:rPr>
                <w:sz w:val="20"/>
                <w:szCs w:val="20"/>
                <w:color w:val="auto"/>
              </w:rPr>
            </w:pPr>
            <w:r>
              <w:rPr>
                <w:rFonts w:ascii="Arial" w:cs="Arial" w:eastAsia="Arial" w:hAnsi="Arial"/>
                <w:sz w:val="14"/>
                <w:szCs w:val="14"/>
                <w:b w:val="1"/>
                <w:bCs w:val="1"/>
                <w:color w:val="auto"/>
              </w:rPr>
              <w:t>(In millions)</w:t>
            </w:r>
          </w:p>
        </w:tc>
      </w:tr>
      <w:tr>
        <w:trPr>
          <w:trHeight w:val="21"/>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2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MMBtu</w:t>
            </w:r>
          </w:p>
        </w:tc>
        <w:tc>
          <w:tcPr>
            <w:tcW w:w="3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Interest</w:t>
            </w:r>
          </w:p>
        </w:tc>
        <w:tc>
          <w:tcPr>
            <w:tcW w:w="2380" w:type="dxa"/>
            <w:vAlign w:val="bottom"/>
            <w:gridSpan w:val="2"/>
          </w:tcPr>
          <w:p>
            <w:pPr>
              <w:spacing w:after="0"/>
              <w:rPr>
                <w:sz w:val="20"/>
                <w:szCs w:val="20"/>
                <w:color w:val="auto"/>
              </w:rPr>
            </w:pPr>
            <w:r>
              <w:rPr>
                <w:rFonts w:ascii="Arial" w:cs="Arial" w:eastAsia="Arial" w:hAnsi="Arial"/>
                <w:sz w:val="18"/>
                <w:szCs w:val="18"/>
                <w:color w:val="auto"/>
              </w:rPr>
              <w:t>Dollars</w:t>
            </w:r>
          </w:p>
        </w:tc>
        <w:tc>
          <w:tcPr>
            <w:tcW w:w="4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41"/>
              <w:spacing w:after="0"/>
              <w:rPr>
                <w:sz w:val="20"/>
                <w:szCs w:val="20"/>
                <w:color w:val="auto"/>
              </w:rPr>
            </w:pPr>
            <w:r>
              <w:rPr>
                <w:rFonts w:ascii="Arial" w:cs="Arial" w:eastAsia="Arial" w:hAnsi="Arial"/>
                <w:sz w:val="18"/>
                <w:szCs w:val="18"/>
                <w:color w:val="auto"/>
              </w:rPr>
              <w:t>1,909</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2,050</w:t>
            </w:r>
          </w:p>
        </w:tc>
      </w:tr>
      <w:tr>
        <w:trPr>
          <w:trHeight w:val="648"/>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860" w:type="dxa"/>
            <w:vAlign w:val="bottom"/>
          </w:tcPr>
          <w:p>
            <w:pPr>
              <w:jc w:val="right"/>
              <w:ind w:right="177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 within the derivative instrument valuation on the balance sheet: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49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4"/>
          </w:tcPr>
          <w:p>
            <w:pPr>
              <w:jc w:val="right"/>
              <w:ind w:right="915"/>
              <w:spacing w:after="0"/>
              <w:rPr>
                <w:sz w:val="20"/>
                <w:szCs w:val="20"/>
                <w:color w:val="auto"/>
              </w:rPr>
            </w:pPr>
            <w:r>
              <w:rPr>
                <w:rFonts w:ascii="Arial" w:cs="Arial" w:eastAsia="Arial" w:hAnsi="Arial"/>
                <w:sz w:val="14"/>
                <w:szCs w:val="14"/>
                <w:b w:val="1"/>
                <w:bCs w:val="1"/>
                <w:color w:val="auto"/>
              </w:rPr>
              <w:t xml:space="preserve">Derivative Assets </w:t>
            </w:r>
            <w:r>
              <w:rPr>
                <w:rFonts w:ascii="Arial" w:cs="Arial" w:eastAsia="Arial" w:hAnsi="Arial"/>
                <w:sz w:val="8"/>
                <w:szCs w:val="8"/>
                <w:b w:val="1"/>
                <w:bCs w:val="1"/>
                <w:color w:val="auto"/>
              </w:rPr>
              <w:t>(a)</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04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b w:val="1"/>
                <w:bCs w:val="1"/>
                <w:color w:val="auto"/>
              </w:rPr>
              <w:t>Derivative Liabilities</w:t>
            </w:r>
          </w:p>
        </w:tc>
      </w:tr>
      <w:tr>
        <w:trPr>
          <w:trHeight w:val="264"/>
        </w:trPr>
        <w:tc>
          <w:tcPr>
            <w:tcW w:w="49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2017</w:t>
            </w: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4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Cash Flow Hedges:</w:t>
            </w: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 Derivatives Designated as Cash Flow Hedges</w:t>
            </w: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4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Derivatives Not Designated as Cash Flow Hedges: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1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Commodity contracts current</w:t>
            </w:r>
          </w:p>
        </w:tc>
        <w:tc>
          <w:tcPr>
            <w:tcW w:w="1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4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 Not Designated as Cash Flow Hedges</w:t>
            </w: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 Derivatives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49</w:t>
            </w: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260" w:right="20" w:hanging="252"/>
        <w:spacing w:after="0" w:line="273" w:lineRule="auto"/>
        <w:tabs>
          <w:tab w:leader="none" w:pos="179" w:val="left"/>
        </w:tabs>
        <w:numPr>
          <w:ilvl w:val="0"/>
          <w:numId w:val="16"/>
        </w:numPr>
        <w:rPr>
          <w:rFonts w:ascii="Arial" w:cs="Arial" w:eastAsia="Arial" w:hAnsi="Arial"/>
          <w:sz w:val="9"/>
          <w:szCs w:val="9"/>
          <w:color w:val="auto"/>
        </w:rPr>
      </w:pPr>
      <w:r>
        <w:rPr>
          <w:rFonts w:ascii="Arial" w:cs="Arial" w:eastAsia="Arial" w:hAnsi="Arial"/>
          <w:sz w:val="14"/>
          <w:szCs w:val="14"/>
          <w:color w:val="auto"/>
        </w:rPr>
        <w:t>Derivative Assets balances classified as current are included within the prepayments and other current assets line item of the consolidated balance sheets as of September 30, 2018 and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14147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10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Company has elected to present derivative assets and liabilities on the balance sheet on a trade-by-trade basis and does not offset amounts at the counterparty master agreement level. As of September 30, 2018 and December 31, 2017, there was no outstanding collateral paid or received. The following tables summarize the offsetting of derivatives by the counterparty master agreement level as of September 30, 2018 and December 31,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September 30, 2018</w:t>
            </w:r>
          </w:p>
        </w:tc>
        <w:tc>
          <w:tcPr>
            <w:tcW w:w="240" w:type="dxa"/>
            <w:vAlign w:val="bottom"/>
          </w:tcPr>
          <w:p>
            <w:pPr>
              <w:spacing w:after="0"/>
              <w:rPr>
                <w:sz w:val="14"/>
                <w:szCs w:val="1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14"/>
                <w:szCs w:val="14"/>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 Instruments</w:t>
            </w:r>
          </w:p>
        </w:tc>
        <w:tc>
          <w:tcPr>
            <w:tcW w:w="320" w:type="dxa"/>
            <w:vAlign w:val="bottom"/>
          </w:tcPr>
          <w:p>
            <w:pPr>
              <w:spacing w:after="0"/>
              <w:rPr>
                <w:sz w:val="14"/>
                <w:szCs w:val="14"/>
                <w:color w:val="auto"/>
              </w:rPr>
            </w:pPr>
          </w:p>
        </w:tc>
        <w:tc>
          <w:tcPr>
            <w:tcW w:w="15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Recognized Assets/Liabilities</w:t>
            </w: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5720" w:type="dxa"/>
            <w:vAlign w:val="bottom"/>
          </w:tcPr>
          <w:p>
            <w:pPr>
              <w:ind w:left="40"/>
              <w:spacing w:after="0" w:line="269" w:lineRule="exact"/>
              <w:rPr>
                <w:sz w:val="20"/>
                <w:szCs w:val="20"/>
                <w:color w:val="auto"/>
              </w:rPr>
            </w:pPr>
            <w:r>
              <w:rPr>
                <w:rFonts w:ascii="Arial" w:cs="Arial" w:eastAsia="Arial" w:hAnsi="Arial"/>
                <w:sz w:val="18"/>
                <w:szCs w:val="18"/>
                <w:b w:val="1"/>
                <w:bCs w:val="1"/>
                <w:color w:val="auto"/>
              </w:rPr>
              <w:t>Commodity contracts</w:t>
            </w:r>
            <w:r>
              <w:rPr>
                <w:rFonts w:ascii="Arial" w:cs="Arial" w:eastAsia="Arial" w:hAnsi="Arial"/>
                <w:sz w:val="25"/>
                <w:szCs w:val="25"/>
                <w:b w:val="1"/>
                <w:bCs w:val="1"/>
                <w:color w:val="auto"/>
                <w:vertAlign w:val="superscript"/>
              </w:rPr>
              <w:t>(a)</w:t>
            </w:r>
            <w:r>
              <w:rPr>
                <w:rFonts w:ascii="Arial" w:cs="Arial" w:eastAsia="Arial" w:hAnsi="Arial"/>
                <w:sz w:val="18"/>
                <w:szCs w:val="18"/>
                <w:b w:val="1"/>
                <w:bCs w:val="1"/>
                <w:color w:val="auto"/>
              </w:rPr>
              <w:t>:</w:t>
            </w: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80"/>
              <w:spacing w:after="0"/>
              <w:rPr>
                <w:sz w:val="20"/>
                <w:szCs w:val="20"/>
                <w:color w:val="auto"/>
              </w:rPr>
            </w:pPr>
            <w:r>
              <w:rPr>
                <w:rFonts w:ascii="Arial" w:cs="Arial" w:eastAsia="Arial" w:hAnsi="Arial"/>
                <w:sz w:val="18"/>
                <w:szCs w:val="18"/>
                <w:color w:val="auto"/>
              </w:rPr>
              <w:t>Derivative liabilities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commodity contracts</w:t>
            </w: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Interest rate contracts: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assets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Derivative liabilities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interest rate contracts</w:t>
            </w: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Total derivative instruments</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159"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8"/>
          <w:szCs w:val="8"/>
          <w:color w:val="auto"/>
        </w:rPr>
      </w:pPr>
      <w:r>
        <w:rPr>
          <w:rFonts w:ascii="Arial" w:cs="Arial" w:eastAsia="Arial" w:hAnsi="Arial"/>
          <w:sz w:val="12"/>
          <w:szCs w:val="12"/>
          <w:color w:val="auto"/>
        </w:rPr>
        <w:t>There were no commodity contracts classified as derivative assets as of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14147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 of December 31, 2017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Commodity contracts:</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Derivative assets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Derivative liabilities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commodity contracts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Interest rate contracts: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14"/>
                <w:szCs w:val="14"/>
                <w:color w:val="auto"/>
              </w:rPr>
            </w:pPr>
          </w:p>
        </w:tc>
        <w:tc>
          <w:tcPr>
            <w:tcW w:w="210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5"/>
              </w:rPr>
              <w:t>Derivative Instruments</w:t>
            </w:r>
          </w:p>
        </w:tc>
        <w:tc>
          <w:tcPr>
            <w:tcW w:w="15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Recognized Assets/Liabilities</w:t>
            </w: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6"/>
              </w:rPr>
              <w:t>(In millions)</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gridSpan w:val="3"/>
          </w:tcPr>
          <w:p>
            <w:pPr>
              <w:ind w:left="1380"/>
              <w:spacing w:after="0"/>
              <w:rPr>
                <w:sz w:val="20"/>
                <w:szCs w:val="20"/>
                <w:color w:val="auto"/>
              </w:rPr>
            </w:pPr>
            <w:r>
              <w:rPr>
                <w:rFonts w:ascii="Arial" w:cs="Arial" w:eastAsia="Arial" w:hAnsi="Arial"/>
                <w:sz w:val="18"/>
                <w:szCs w:val="18"/>
                <w:color w:val="auto"/>
              </w:rPr>
              <w:t>—   $</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00" w:type="dxa"/>
            <w:vAlign w:val="bottom"/>
            <w:gridSpan w:val="3"/>
          </w:tcPr>
          <w:p>
            <w:pPr>
              <w:ind w:left="138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100" w:type="dxa"/>
            <w:vAlign w:val="bottom"/>
            <w:gridSpan w:val="3"/>
          </w:tcPr>
          <w:p>
            <w:pPr>
              <w:ind w:left="13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-359410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-8255</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5480" w:space="240"/>
            <w:col w:w="5700"/>
          </w:cols>
          <w:pgMar w:left="240" w:top="746"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3920" w:type="dxa"/>
            <w:vAlign w:val="bottom"/>
          </w:tcPr>
          <w:p>
            <w:pPr>
              <w:ind w:left="280"/>
              <w:spacing w:after="0"/>
              <w:rPr>
                <w:sz w:val="20"/>
                <w:szCs w:val="20"/>
                <w:color w:val="auto"/>
              </w:rPr>
            </w:pPr>
            <w:r>
              <w:rPr>
                <w:rFonts w:ascii="Arial" w:cs="Arial" w:eastAsia="Arial" w:hAnsi="Arial"/>
                <w:sz w:val="18"/>
                <w:szCs w:val="18"/>
                <w:color w:val="auto"/>
              </w:rPr>
              <w:t>Derivative assets</w:t>
            </w:r>
          </w:p>
        </w:tc>
        <w:tc>
          <w:tcPr>
            <w:tcW w:w="1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18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Total interest rate contracts</w:t>
            </w:r>
          </w:p>
        </w:tc>
        <w:tc>
          <w:tcPr>
            <w:tcW w:w="18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39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 instruments</w:t>
            </w:r>
          </w:p>
        </w:tc>
        <w:tc>
          <w:tcPr>
            <w:tcW w:w="2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9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608"/>
        </w:trPr>
        <w:tc>
          <w:tcPr>
            <w:tcW w:w="3920" w:type="dxa"/>
            <w:vAlign w:val="bottom"/>
          </w:tcPr>
          <w:p>
            <w:pPr>
              <w:spacing w:after="0"/>
              <w:rPr>
                <w:sz w:val="24"/>
                <w:szCs w:val="24"/>
                <w:color w:val="auto"/>
              </w:rPr>
            </w:pPr>
          </w:p>
        </w:tc>
        <w:tc>
          <w:tcPr>
            <w:tcW w:w="2600" w:type="dxa"/>
            <w:vAlign w:val="bottom"/>
            <w:gridSpan w:val="2"/>
          </w:tcPr>
          <w:p>
            <w:pPr>
              <w:jc w:val="right"/>
              <w:ind w:right="720"/>
              <w:spacing w:after="0"/>
              <w:rPr>
                <w:sz w:val="20"/>
                <w:szCs w:val="20"/>
                <w:color w:val="auto"/>
              </w:rPr>
            </w:pPr>
            <w:r>
              <w:rPr>
                <w:rFonts w:ascii="Arial" w:cs="Arial" w:eastAsia="Arial" w:hAnsi="Arial"/>
                <w:sz w:val="18"/>
                <w:szCs w:val="18"/>
                <w:color w:val="auto"/>
              </w:rPr>
              <w:t>25</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effects on the Company’s accumulated OCL balance attributable to interest rate swaps designated as cash flow hedge derivatives</w:t>
      </w:r>
      <w:r>
        <w:rPr>
          <w:rFonts w:ascii="Arial" w:cs="Arial" w:eastAsia="Arial" w:hAnsi="Arial"/>
          <w:sz w:val="18"/>
          <w:szCs w:val="18"/>
          <w:b w:val="1"/>
          <w:bCs w:val="1"/>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74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42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64"/>
        </w:trPr>
        <w:tc>
          <w:tcPr>
            <w:tcW w:w="606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20" w:type="dxa"/>
            <w:vAlign w:val="bottom"/>
            <w:gridSpan w:val="5"/>
          </w:tcPr>
          <w:p>
            <w:pPr>
              <w:ind w:left="6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beginning balance</w:t>
            </w:r>
          </w:p>
        </w:tc>
        <w:tc>
          <w:tcPr>
            <w:tcW w:w="84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6060" w:type="dxa"/>
            <w:vAlign w:val="bottom"/>
          </w:tcPr>
          <w:p>
            <w:pPr>
              <w:ind w:left="200"/>
              <w:spacing w:after="0"/>
              <w:rPr>
                <w:sz w:val="20"/>
                <w:szCs w:val="20"/>
                <w:color w:val="auto"/>
              </w:rPr>
            </w:pPr>
            <w:r>
              <w:rPr>
                <w:rFonts w:ascii="Arial" w:cs="Arial" w:eastAsia="Arial" w:hAnsi="Arial"/>
                <w:sz w:val="18"/>
                <w:szCs w:val="18"/>
                <w:color w:val="auto"/>
                <w:w w:val="94"/>
              </w:rPr>
              <w:t>Reclassified from accumulated OCL to income due to realization of previously</w:t>
            </w: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060" w:type="dxa"/>
            <w:vAlign w:val="bottom"/>
          </w:tcPr>
          <w:p>
            <w:pPr>
              <w:ind w:left="360"/>
              <w:spacing w:after="0"/>
              <w:rPr>
                <w:sz w:val="20"/>
                <w:szCs w:val="20"/>
                <w:color w:val="auto"/>
              </w:rPr>
            </w:pPr>
            <w:r>
              <w:rPr>
                <w:rFonts w:ascii="Arial" w:cs="Arial" w:eastAsia="Arial" w:hAnsi="Arial"/>
                <w:sz w:val="18"/>
                <w:szCs w:val="18"/>
                <w:color w:val="auto"/>
              </w:rPr>
              <w:t>deferred amounts</w:t>
            </w:r>
          </w:p>
        </w:tc>
        <w:tc>
          <w:tcPr>
            <w:tcW w:w="84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13</w:t>
            </w: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Mark-to-market of cash flow hedge accounting contracts</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OCL ending balance</w:t>
            </w:r>
          </w:p>
        </w:tc>
        <w:tc>
          <w:tcPr>
            <w:tcW w:w="84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attributable to noncontrolling interests</w:t>
            </w:r>
          </w:p>
        </w:tc>
        <w:tc>
          <w:tcPr>
            <w:tcW w:w="8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OCL attributable to Clearway Energy LLC</w:t>
            </w:r>
          </w:p>
        </w:tc>
        <w:tc>
          <w:tcPr>
            <w:tcW w:w="84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expected to be realized from OCL during the next 12 months</w:t>
            </w:r>
          </w:p>
        </w:tc>
        <w:tc>
          <w:tcPr>
            <w:tcW w:w="84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7"/>
        </w:trPr>
        <w:tc>
          <w:tcPr>
            <w:tcW w:w="60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The Company's regression analysis for Marsh Landing, Walnut Creek and Avra Valley interest rate swaps, while positively correlated, no longer contain matching terms for cash flow hedge accounting. As a result, the Company voluntarily de-designated the Marsh Landing, Walnut Creek and Avra Valley cash flow hedges as of April 28, 2017, and will prospectively mark these derivatives to market through the income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Derivative Instruments on the Statements of Operations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has interest rate derivative instruments that are not designated as cash flow hedges. The effect of interest rate hedges is recorded to interest expense. For the three months ended September 30, 2018 and 2017, the impact to the consolidated statements of operations was a gain of $9 million and a gain of $7 million, respectively. For the nine months ended September 30, 2018 and 2017, the impact to the consolidated statements of operations was a gain of $40 million and a loss of $2 million, respectively.</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portion of the Company’s derivative commodity contracts relates to its Thermal Business for the purchase of fuel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operations for these contracts.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Note 7 — </w:t>
      </w:r>
      <w:r>
        <w:rPr>
          <w:rFonts w:ascii="Arial" w:cs="Arial" w:eastAsia="Arial" w:hAnsi="Arial"/>
          <w:sz w:val="18"/>
          <w:szCs w:val="18"/>
          <w:b w:val="1"/>
          <w:bCs w:val="1"/>
          <w:i w:val="1"/>
          <w:iCs w:val="1"/>
          <w:color w:val="auto"/>
        </w:rPr>
        <w:t>Long-term Debt</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This footnote should be read in conjunction with the complete description under Note 10,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w:t>
      </w:r>
      <w:r>
        <w:rPr>
          <w:rFonts w:ascii="Arial" w:cs="Arial" w:eastAsia="Arial" w:hAnsi="Arial"/>
          <w:sz w:val="18"/>
          <w:szCs w:val="18"/>
          <w:color w:val="231F20"/>
        </w:rPr>
        <w:t>to the consolidated financial statements</w:t>
      </w:r>
      <w:r>
        <w:rPr>
          <w:rFonts w:ascii="Arial" w:cs="Arial" w:eastAsia="Arial" w:hAnsi="Arial"/>
          <w:sz w:val="18"/>
          <w:szCs w:val="18"/>
          <w:color w:val="auto"/>
        </w:rPr>
        <w:t xml:space="preserve"> </w:t>
      </w:r>
      <w:r>
        <w:rPr>
          <w:rFonts w:ascii="Arial" w:cs="Arial" w:eastAsia="Arial" w:hAnsi="Arial"/>
          <w:sz w:val="18"/>
          <w:szCs w:val="18"/>
          <w:color w:val="231F20"/>
        </w:rPr>
        <w:t xml:space="preserve">included in the Company's </w:t>
      </w:r>
      <w:r>
        <w:rPr>
          <w:rFonts w:ascii="Arial" w:cs="Arial" w:eastAsia="Arial" w:hAnsi="Arial"/>
          <w:sz w:val="18"/>
          <w:szCs w:val="18"/>
          <w:color w:val="000000"/>
        </w:rPr>
        <w:t>2017 Form 10-K. Long-term debt consisted of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0"/>
              </w:rPr>
              <w:t>December 31,</w:t>
            </w:r>
          </w:p>
        </w:tc>
        <w:tc>
          <w:tcPr>
            <w:tcW w:w="19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8"/>
              </w:rPr>
              <w:t>September 30, 2018, interest</w:t>
            </w:r>
          </w:p>
        </w:tc>
        <w:tc>
          <w:tcPr>
            <w:tcW w:w="200" w:type="dxa"/>
            <w:vAlign w:val="bottom"/>
          </w:tcPr>
          <w:p>
            <w:pPr>
              <w:spacing w:after="0"/>
              <w:rPr>
                <w:sz w:val="14"/>
                <w:szCs w:val="14"/>
                <w:color w:val="auto"/>
              </w:rPr>
            </w:pPr>
          </w:p>
        </w:tc>
        <w:tc>
          <w:tcPr>
            <w:tcW w:w="1220" w:type="dxa"/>
            <w:vAlign w:val="bottom"/>
          </w:tcPr>
          <w:p>
            <w:pPr>
              <w:jc w:val="center"/>
              <w:ind w:right="56"/>
              <w:spacing w:after="0"/>
              <w:rPr>
                <w:sz w:val="20"/>
                <w:szCs w:val="20"/>
                <w:color w:val="auto"/>
              </w:rPr>
            </w:pPr>
            <w:r>
              <w:rPr>
                <w:rFonts w:ascii="Arial" w:cs="Arial" w:eastAsia="Arial" w:hAnsi="Arial"/>
                <w:sz w:val="14"/>
                <w:szCs w:val="14"/>
                <w:b w:val="1"/>
                <w:bCs w:val="1"/>
                <w:color w:val="auto"/>
                <w:w w:val="96"/>
              </w:rPr>
              <w:t>Letters of Credit</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9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3"/>
              </w:rPr>
              <w:t>Outstanding at</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9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 xml:space="preserve">rate % </w:t>
            </w:r>
            <w:r>
              <w:rPr>
                <w:rFonts w:ascii="Arial" w:cs="Arial" w:eastAsia="Arial" w:hAnsi="Arial"/>
                <w:sz w:val="8"/>
                <w:szCs w:val="8"/>
                <w:b w:val="1"/>
                <w:bCs w:val="1"/>
                <w:color w:val="auto"/>
              </w:rPr>
              <w:t>(a)</w:t>
            </w: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0" w:type="dxa"/>
            <w:vAlign w:val="bottom"/>
          </w:tcPr>
          <w:p>
            <w:pPr>
              <w:spacing w:after="0"/>
              <w:rPr>
                <w:sz w:val="1"/>
                <w:szCs w:val="1"/>
                <w:color w:val="auto"/>
              </w:rPr>
            </w:pPr>
          </w:p>
        </w:tc>
      </w:tr>
      <w:tr>
        <w:trPr>
          <w:trHeight w:val="250"/>
        </w:trPr>
        <w:tc>
          <w:tcPr>
            <w:tcW w:w="5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80" w:type="dxa"/>
            <w:vAlign w:val="bottom"/>
            <w:gridSpan w:val="2"/>
          </w:tcPr>
          <w:p>
            <w:pPr>
              <w:jc w:val="right"/>
              <w:ind w:right="656"/>
              <w:spacing w:after="0"/>
              <w:rPr>
                <w:sz w:val="20"/>
                <w:szCs w:val="20"/>
                <w:color w:val="auto"/>
              </w:rPr>
            </w:pPr>
            <w:r>
              <w:rPr>
                <w:rFonts w:ascii="Arial" w:cs="Arial" w:eastAsia="Arial" w:hAnsi="Arial"/>
                <w:sz w:val="14"/>
                <w:szCs w:val="14"/>
                <w:b w:val="1"/>
                <w:bCs w:val="1"/>
                <w:color w:val="auto"/>
              </w:rPr>
              <w:t>(In millions, except rates)</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debt - affiliate, due 2019</w:t>
            </w: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337</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3.580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Long-term debt - affiliate, due 2020</w:t>
            </w:r>
          </w:p>
        </w:tc>
        <w:tc>
          <w:tcPr>
            <w:tcW w:w="44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281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281</w:t>
            </w:r>
          </w:p>
        </w:tc>
        <w:tc>
          <w:tcPr>
            <w:tcW w:w="1980" w:type="dxa"/>
            <w:vAlign w:val="bottom"/>
          </w:tcPr>
          <w:p>
            <w:pPr>
              <w:jc w:val="right"/>
              <w:spacing w:after="0"/>
              <w:rPr>
                <w:sz w:val="20"/>
                <w:szCs w:val="20"/>
                <w:color w:val="auto"/>
              </w:rPr>
            </w:pPr>
            <w:r>
              <w:rPr>
                <w:rFonts w:ascii="Arial" w:cs="Arial" w:eastAsia="Arial" w:hAnsi="Arial"/>
                <w:sz w:val="17"/>
                <w:szCs w:val="17"/>
                <w:color w:val="auto"/>
              </w:rPr>
              <w:t>3.325</w:t>
            </w:r>
          </w:p>
        </w:tc>
        <w:tc>
          <w:tcPr>
            <w:tcW w:w="20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2024 Senior Notes</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500</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5.375</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2026 Senior Notes</w:t>
            </w:r>
          </w:p>
        </w:tc>
        <w:tc>
          <w:tcPr>
            <w:tcW w:w="44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350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350</w:t>
            </w:r>
          </w:p>
        </w:tc>
        <w:tc>
          <w:tcPr>
            <w:tcW w:w="1980" w:type="dxa"/>
            <w:vAlign w:val="bottom"/>
          </w:tcPr>
          <w:p>
            <w:pPr>
              <w:jc w:val="right"/>
              <w:spacing w:after="0"/>
              <w:rPr>
                <w:sz w:val="20"/>
                <w:szCs w:val="20"/>
                <w:color w:val="auto"/>
              </w:rPr>
            </w:pPr>
            <w:r>
              <w:rPr>
                <w:rFonts w:ascii="Arial" w:cs="Arial" w:eastAsia="Arial" w:hAnsi="Arial"/>
                <w:sz w:val="17"/>
                <w:szCs w:val="17"/>
                <w:color w:val="auto"/>
              </w:rPr>
              <w:t>5.000</w:t>
            </w:r>
          </w:p>
        </w:tc>
        <w:tc>
          <w:tcPr>
            <w:tcW w:w="20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Clearway Energy LLC and Clearway Energy Operating LLC Revolving</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500" w:type="dxa"/>
            <w:vAlign w:val="bottom"/>
            <w:shd w:val="clear" w:color="auto" w:fill="CCEEFF"/>
          </w:tcPr>
          <w:p>
            <w:pPr>
              <w:ind w:left="40"/>
              <w:spacing w:after="0" w:line="247" w:lineRule="exact"/>
              <w:rPr>
                <w:sz w:val="20"/>
                <w:szCs w:val="20"/>
                <w:color w:val="auto"/>
              </w:rPr>
            </w:pPr>
            <w:r>
              <w:rPr>
                <w:rFonts w:ascii="Arial" w:cs="Arial" w:eastAsia="Arial" w:hAnsi="Arial"/>
                <w:sz w:val="17"/>
                <w:szCs w:val="17"/>
                <w:color w:val="auto"/>
              </w:rPr>
              <w:t xml:space="preserve">Credit Facility, due 2023 </w:t>
            </w:r>
            <w:r>
              <w:rPr>
                <w:rFonts w:ascii="Arial" w:cs="Arial" w:eastAsia="Arial" w:hAnsi="Arial"/>
                <w:sz w:val="28"/>
                <w:szCs w:val="28"/>
                <w:color w:val="auto"/>
                <w:vertAlign w:val="superscript"/>
              </w:rPr>
              <w:t>(b)</w:t>
            </w:r>
          </w:p>
        </w:tc>
        <w:tc>
          <w:tcPr>
            <w:tcW w:w="4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55</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L+1.50</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b w:val="1"/>
                <w:bCs w:val="1"/>
                <w:color w:val="auto"/>
              </w:rPr>
              <w:t>Project-level debt:</w:t>
            </w: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Agua Caliente Borrower 2, due 2038</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41</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5.430</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Alpine, due 2022</w:t>
            </w:r>
          </w:p>
        </w:tc>
        <w:tc>
          <w:tcPr>
            <w:tcW w:w="44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129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135</w:t>
            </w:r>
          </w:p>
        </w:tc>
        <w:tc>
          <w:tcPr>
            <w:tcW w:w="1980" w:type="dxa"/>
            <w:vAlign w:val="bottom"/>
          </w:tcPr>
          <w:p>
            <w:pPr>
              <w:jc w:val="right"/>
              <w:spacing w:after="0"/>
              <w:rPr>
                <w:sz w:val="20"/>
                <w:szCs w:val="20"/>
                <w:color w:val="auto"/>
              </w:rPr>
            </w:pPr>
            <w:r>
              <w:rPr>
                <w:rFonts w:ascii="Arial" w:cs="Arial" w:eastAsia="Arial" w:hAnsi="Arial"/>
                <w:sz w:val="17"/>
                <w:szCs w:val="17"/>
                <w:color w:val="auto"/>
              </w:rPr>
              <w:t>L+1.750</w:t>
            </w:r>
          </w:p>
        </w:tc>
        <w:tc>
          <w:tcPr>
            <w:tcW w:w="20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Alta Wind I - V lease financing arrangements, due 2034 and 2035</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926</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5.696 - 7.015</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Buckthorn Solar, due 2025</w:t>
            </w:r>
          </w:p>
        </w:tc>
        <w:tc>
          <w:tcPr>
            <w:tcW w:w="44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169</w:t>
            </w:r>
          </w:p>
        </w:tc>
        <w:tc>
          <w:tcPr>
            <w:tcW w:w="1980" w:type="dxa"/>
            <w:vAlign w:val="bottom"/>
          </w:tcPr>
          <w:p>
            <w:pPr>
              <w:jc w:val="right"/>
              <w:spacing w:after="0"/>
              <w:rPr>
                <w:sz w:val="20"/>
                <w:szCs w:val="20"/>
                <w:color w:val="auto"/>
              </w:rPr>
            </w:pPr>
            <w:r>
              <w:rPr>
                <w:rFonts w:ascii="Arial" w:cs="Arial" w:eastAsia="Arial" w:hAnsi="Arial"/>
                <w:sz w:val="17"/>
                <w:szCs w:val="17"/>
                <w:color w:val="auto"/>
              </w:rPr>
              <w:t>L+1.750</w:t>
            </w:r>
          </w:p>
        </w:tc>
        <w:tc>
          <w:tcPr>
            <w:tcW w:w="20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CVSR, due 2037</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746</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2.339 - 3.775</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CVSR Holdco Notes, due 2037</w:t>
            </w:r>
          </w:p>
        </w:tc>
        <w:tc>
          <w:tcPr>
            <w:tcW w:w="44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188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194</w:t>
            </w:r>
          </w:p>
        </w:tc>
        <w:tc>
          <w:tcPr>
            <w:tcW w:w="1980" w:type="dxa"/>
            <w:vAlign w:val="bottom"/>
          </w:tcPr>
          <w:p>
            <w:pPr>
              <w:jc w:val="right"/>
              <w:spacing w:after="0"/>
              <w:rPr>
                <w:sz w:val="20"/>
                <w:szCs w:val="20"/>
                <w:color w:val="auto"/>
              </w:rPr>
            </w:pPr>
            <w:r>
              <w:rPr>
                <w:rFonts w:ascii="Arial" w:cs="Arial" w:eastAsia="Arial" w:hAnsi="Arial"/>
                <w:sz w:val="17"/>
                <w:szCs w:val="17"/>
                <w:color w:val="auto"/>
              </w:rPr>
              <w:t>4.680</w:t>
            </w:r>
          </w:p>
        </w:tc>
        <w:tc>
          <w:tcPr>
            <w:tcW w:w="20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El Segundo Energy Center, due 2023</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400</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L+1.75 - L+2.375</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Energy Center Minneapolis Series C Notes, due 2025</w:t>
            </w:r>
          </w:p>
        </w:tc>
        <w:tc>
          <w:tcPr>
            <w:tcW w:w="4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83</w:t>
            </w:r>
          </w:p>
        </w:tc>
        <w:tc>
          <w:tcPr>
            <w:tcW w:w="1980" w:type="dxa"/>
            <w:vAlign w:val="bottom"/>
          </w:tcPr>
          <w:p>
            <w:pPr>
              <w:jc w:val="right"/>
              <w:spacing w:after="0"/>
              <w:rPr>
                <w:sz w:val="20"/>
                <w:szCs w:val="20"/>
                <w:color w:val="auto"/>
              </w:rPr>
            </w:pPr>
            <w:r>
              <w:rPr>
                <w:rFonts w:ascii="Arial" w:cs="Arial" w:eastAsia="Arial" w:hAnsi="Arial"/>
                <w:sz w:val="17"/>
                <w:szCs w:val="17"/>
                <w:color w:val="auto"/>
              </w:rPr>
              <w:t>5.950</w:t>
            </w:r>
          </w:p>
        </w:tc>
        <w:tc>
          <w:tcPr>
            <w:tcW w:w="20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Energy Center Minneapolis Series D Notes, due 2031</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125</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3.550</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Energy Center Minneapolis Series E, F, G, H Notes</w:t>
            </w:r>
          </w:p>
        </w:tc>
        <w:tc>
          <w:tcPr>
            <w:tcW w:w="44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203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980" w:type="dxa"/>
            <w:vAlign w:val="bottom"/>
          </w:tcPr>
          <w:p>
            <w:pPr>
              <w:jc w:val="right"/>
              <w:spacing w:after="0"/>
              <w:rPr>
                <w:sz w:val="20"/>
                <w:szCs w:val="20"/>
                <w:color w:val="auto"/>
              </w:rPr>
            </w:pPr>
            <w:r>
              <w:rPr>
                <w:rFonts w:ascii="Arial" w:cs="Arial" w:eastAsia="Arial" w:hAnsi="Arial"/>
                <w:sz w:val="17"/>
                <w:szCs w:val="17"/>
                <w:color w:val="auto"/>
              </w:rPr>
              <w:t>various</w:t>
            </w:r>
          </w:p>
        </w:tc>
        <w:tc>
          <w:tcPr>
            <w:tcW w:w="20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Laredo Ridge, due 2028</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95</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L+1.875</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Marsh Landing, due 2023</w:t>
            </w:r>
          </w:p>
        </w:tc>
        <w:tc>
          <w:tcPr>
            <w:tcW w:w="44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280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318</w:t>
            </w:r>
          </w:p>
        </w:tc>
        <w:tc>
          <w:tcPr>
            <w:tcW w:w="1980" w:type="dxa"/>
            <w:vAlign w:val="bottom"/>
          </w:tcPr>
          <w:p>
            <w:pPr>
              <w:jc w:val="right"/>
              <w:spacing w:after="0"/>
              <w:rPr>
                <w:sz w:val="20"/>
                <w:szCs w:val="20"/>
                <w:color w:val="auto"/>
              </w:rPr>
            </w:pPr>
            <w:r>
              <w:rPr>
                <w:rFonts w:ascii="Arial" w:cs="Arial" w:eastAsia="Arial" w:hAnsi="Arial"/>
                <w:sz w:val="17"/>
                <w:szCs w:val="17"/>
                <w:color w:val="auto"/>
              </w:rPr>
              <w:t>L+2.125</w:t>
            </w:r>
          </w:p>
        </w:tc>
        <w:tc>
          <w:tcPr>
            <w:tcW w:w="20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Tapestry, due 2021</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162</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L+1.625</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Utah Solar Portfolio, due 2022</w:t>
            </w:r>
          </w:p>
        </w:tc>
        <w:tc>
          <w:tcPr>
            <w:tcW w:w="44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273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278</w:t>
            </w:r>
          </w:p>
        </w:tc>
        <w:tc>
          <w:tcPr>
            <w:tcW w:w="1980" w:type="dxa"/>
            <w:vAlign w:val="bottom"/>
          </w:tcPr>
          <w:p>
            <w:pPr>
              <w:jc w:val="right"/>
              <w:spacing w:after="0"/>
              <w:rPr>
                <w:sz w:val="20"/>
                <w:szCs w:val="20"/>
                <w:color w:val="auto"/>
              </w:rPr>
            </w:pPr>
            <w:r>
              <w:rPr>
                <w:rFonts w:ascii="Arial" w:cs="Arial" w:eastAsia="Arial" w:hAnsi="Arial"/>
                <w:sz w:val="17"/>
                <w:szCs w:val="17"/>
                <w:color w:val="auto"/>
              </w:rPr>
              <w:t>various</w:t>
            </w:r>
          </w:p>
        </w:tc>
        <w:tc>
          <w:tcPr>
            <w:tcW w:w="20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Viento, due 2023</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163</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L+3.00</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Walnut Creek, due 2023</w:t>
            </w:r>
          </w:p>
        </w:tc>
        <w:tc>
          <w:tcPr>
            <w:tcW w:w="44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235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267</w:t>
            </w:r>
          </w:p>
        </w:tc>
        <w:tc>
          <w:tcPr>
            <w:tcW w:w="1980" w:type="dxa"/>
            <w:vAlign w:val="bottom"/>
          </w:tcPr>
          <w:p>
            <w:pPr>
              <w:jc w:val="right"/>
              <w:spacing w:after="0"/>
              <w:rPr>
                <w:sz w:val="20"/>
                <w:szCs w:val="20"/>
                <w:color w:val="auto"/>
              </w:rPr>
            </w:pPr>
            <w:r>
              <w:rPr>
                <w:rFonts w:ascii="Arial" w:cs="Arial" w:eastAsia="Arial" w:hAnsi="Arial"/>
                <w:sz w:val="17"/>
                <w:szCs w:val="17"/>
                <w:color w:val="auto"/>
              </w:rPr>
              <w:t>L+1.625</w:t>
            </w:r>
          </w:p>
        </w:tc>
        <w:tc>
          <w:tcPr>
            <w:tcW w:w="20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443</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various</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9"/>
        </w:trPr>
        <w:tc>
          <w:tcPr>
            <w:tcW w:w="5500" w:type="dxa"/>
            <w:vAlign w:val="bottom"/>
          </w:tcPr>
          <w:p>
            <w:pPr>
              <w:ind w:left="280"/>
              <w:spacing w:after="0"/>
              <w:rPr>
                <w:sz w:val="20"/>
                <w:szCs w:val="20"/>
                <w:color w:val="auto"/>
              </w:rPr>
            </w:pPr>
            <w:r>
              <w:rPr>
                <w:rFonts w:ascii="Arial" w:cs="Arial" w:eastAsia="Arial" w:hAnsi="Arial"/>
                <w:sz w:val="17"/>
                <w:szCs w:val="17"/>
                <w:color w:val="auto"/>
              </w:rPr>
              <w:t>Subtotal project-level debt:</w:t>
            </w:r>
          </w:p>
        </w:tc>
        <w:tc>
          <w:tcPr>
            <w:tcW w:w="4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4,403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4,545</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55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Total debt</w:t>
            </w:r>
          </w:p>
        </w:tc>
        <w:tc>
          <w:tcPr>
            <w:tcW w:w="4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5,856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6,068</w:t>
            </w:r>
          </w:p>
        </w:tc>
        <w:tc>
          <w:tcPr>
            <w:tcW w:w="19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120"/>
              <w:spacing w:after="0" w:line="270" w:lineRule="exact"/>
              <w:rPr>
                <w:sz w:val="20"/>
                <w:szCs w:val="20"/>
                <w:color w:val="auto"/>
              </w:rPr>
            </w:pPr>
            <w:r>
              <w:rPr>
                <w:rFonts w:ascii="Arial" w:cs="Arial" w:eastAsia="Arial" w:hAnsi="Arial"/>
                <w:sz w:val="17"/>
                <w:szCs w:val="17"/>
                <w:color w:val="auto"/>
              </w:rPr>
              <w:t xml:space="preserve">Less current maturities </w:t>
            </w:r>
            <w:r>
              <w:rPr>
                <w:rFonts w:ascii="Arial" w:cs="Arial" w:eastAsia="Arial" w:hAnsi="Arial"/>
                <w:sz w:val="28"/>
                <w:szCs w:val="28"/>
                <w:color w:val="auto"/>
                <w:vertAlign w:val="superscript"/>
              </w:rPr>
              <w:t>(c)</w:t>
            </w:r>
          </w:p>
        </w:tc>
        <w:tc>
          <w:tcPr>
            <w:tcW w:w="4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(868)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(339)</w:t>
            </w:r>
          </w:p>
        </w:tc>
        <w:tc>
          <w:tcPr>
            <w:tcW w:w="1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Less net debt issuance costs</w:t>
            </w: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9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5500" w:type="dxa"/>
            <w:vAlign w:val="bottom"/>
          </w:tcPr>
          <w:p>
            <w:pPr>
              <w:ind w:left="180"/>
              <w:spacing w:after="0"/>
              <w:rPr>
                <w:sz w:val="20"/>
                <w:szCs w:val="20"/>
                <w:color w:val="auto"/>
              </w:rPr>
            </w:pPr>
            <w:r>
              <w:rPr>
                <w:rFonts w:ascii="Arial" w:cs="Arial" w:eastAsia="Arial" w:hAnsi="Arial"/>
                <w:sz w:val="17"/>
                <w:szCs w:val="17"/>
                <w:color w:val="auto"/>
              </w:rPr>
              <w:t>Total long-term debt</w:t>
            </w: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4,932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5,667</w:t>
            </w:r>
          </w:p>
        </w:tc>
        <w:tc>
          <w:tcPr>
            <w:tcW w:w="1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27959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48" w:lineRule="exact"/>
        <w:rPr>
          <w:sz w:val="20"/>
          <w:szCs w:val="20"/>
          <w:color w:val="auto"/>
        </w:rPr>
      </w:pPr>
    </w:p>
    <w:p>
      <w:pPr>
        <w:ind w:left="80" w:right="20" w:hanging="4"/>
        <w:spacing w:after="0" w:line="246" w:lineRule="auto"/>
        <w:tabs>
          <w:tab w:leader="none" w:pos="227" w:val="left"/>
        </w:tabs>
        <w:numPr>
          <w:ilvl w:val="1"/>
          <w:numId w:val="18"/>
        </w:numPr>
        <w:rPr>
          <w:rFonts w:ascii="Arial" w:cs="Arial" w:eastAsia="Arial" w:hAnsi="Arial"/>
          <w:sz w:val="18"/>
          <w:szCs w:val="18"/>
          <w:color w:val="auto"/>
          <w:vertAlign w:val="superscript"/>
        </w:rPr>
      </w:pPr>
      <w:r>
        <w:rPr>
          <w:rFonts w:ascii="Arial" w:cs="Arial" w:eastAsia="Arial" w:hAnsi="Arial"/>
          <w:sz w:val="14"/>
          <w:szCs w:val="14"/>
          <w:color w:val="auto"/>
        </w:rPr>
        <w:t>As of September 30, 2018, L+ equals 3 month LIBOR plus x%, except for Viento, due 2023 where L+ equals 6 month LIBOR plus 3.00% and Utah Solar Portfolio, where L+ equals 1 month LIBOR plus x%.</w:t>
      </w:r>
    </w:p>
    <w:p>
      <w:pPr>
        <w:spacing w:after="0" w:line="1" w:lineRule="exact"/>
        <w:rPr>
          <w:rFonts w:ascii="Arial" w:cs="Arial" w:eastAsia="Arial" w:hAnsi="Arial"/>
          <w:sz w:val="18"/>
          <w:szCs w:val="18"/>
          <w:color w:val="auto"/>
          <w:vertAlign w:val="superscript"/>
        </w:rPr>
      </w:pPr>
    </w:p>
    <w:p>
      <w:pPr>
        <w:ind w:left="160" w:hanging="152"/>
        <w:spacing w:after="0" w:line="229" w:lineRule="auto"/>
        <w:tabs>
          <w:tab w:leader="none" w:pos="160" w:val="left"/>
        </w:tabs>
        <w:numPr>
          <w:ilvl w:val="0"/>
          <w:numId w:val="19"/>
        </w:numPr>
        <w:rPr>
          <w:rFonts w:ascii="Arial" w:cs="Arial" w:eastAsia="Arial" w:hAnsi="Arial"/>
          <w:sz w:val="11"/>
          <w:szCs w:val="11"/>
          <w:color w:val="auto"/>
        </w:rPr>
      </w:pPr>
      <w:r>
        <w:rPr>
          <w:rFonts w:ascii="Arial" w:cs="Arial" w:eastAsia="Arial" w:hAnsi="Arial"/>
          <w:sz w:val="16"/>
          <w:szCs w:val="16"/>
          <w:color w:val="auto"/>
        </w:rPr>
        <w:t>Applicable rate is determined by the borrower leverage ratio, as defined in the credit agreement.</w:t>
      </w:r>
    </w:p>
    <w:p>
      <w:pPr>
        <w:ind w:left="160" w:hanging="152"/>
        <w:spacing w:after="0" w:line="211" w:lineRule="auto"/>
        <w:tabs>
          <w:tab w:leader="none" w:pos="160" w:val="left"/>
        </w:tabs>
        <w:numPr>
          <w:ilvl w:val="0"/>
          <w:numId w:val="19"/>
        </w:numPr>
        <w:rPr>
          <w:rFonts w:ascii="Arial" w:cs="Arial" w:eastAsia="Arial" w:hAnsi="Arial"/>
          <w:sz w:val="19"/>
          <w:szCs w:val="19"/>
          <w:color w:val="auto"/>
          <w:vertAlign w:val="superscript"/>
        </w:rPr>
      </w:pPr>
      <w:r>
        <w:rPr>
          <w:rFonts w:ascii="Arial" w:cs="Arial" w:eastAsia="Arial" w:hAnsi="Arial"/>
          <w:sz w:val="15"/>
          <w:szCs w:val="15"/>
          <w:color w:val="auto"/>
        </w:rPr>
        <w:t xml:space="preserve">Current maturities reflect the results of the </w:t>
      </w:r>
      <w:r>
        <w:rPr>
          <w:rFonts w:ascii="Arial" w:cs="Arial" w:eastAsia="Arial" w:hAnsi="Arial"/>
          <w:sz w:val="13"/>
          <w:szCs w:val="13"/>
          <w:color w:val="auto"/>
        </w:rPr>
        <w:t>2019 Convertible Notes and 2020 Convertible Notes</w:t>
      </w:r>
      <w:r>
        <w:rPr>
          <w:rFonts w:ascii="Arial" w:cs="Arial" w:eastAsia="Arial" w:hAnsi="Arial"/>
          <w:sz w:val="15"/>
          <w:szCs w:val="15"/>
          <w:color w:val="auto"/>
        </w:rPr>
        <w:t xml:space="preserve"> tender offer, as further described below.</w:t>
      </w:r>
    </w:p>
    <w:p>
      <w:pPr>
        <w:spacing w:after="0" w:line="154"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financing arrangements listed above contain certain covenants, including financial covenants that the Company is required to be in compliance with during the term of the respective arrangement. As of September 30, 2018, the Company was in compliance with all of the required covenants.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discussion below describes material changes to or additions of long-term debt for the nine months ended September 30,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2" w:right="239" w:bottom="1440" w:gutter="0" w:footer="0" w:header="0"/>
        </w:sectPr>
      </w:pPr>
    </w:p>
    <w:bookmarkStart w:id="27" w:name="page28"/>
    <w:bookmarkEnd w:id="27"/>
    <w:p>
      <w:pPr>
        <w:ind w:left="420"/>
        <w:spacing w:after="0"/>
        <w:rPr>
          <w:sz w:val="20"/>
          <w:szCs w:val="20"/>
          <w:color w:val="auto"/>
        </w:rPr>
      </w:pPr>
      <w:r>
        <w:rPr>
          <w:rFonts w:ascii="Arial" w:cs="Arial" w:eastAsia="Arial" w:hAnsi="Arial"/>
          <w:sz w:val="18"/>
          <w:szCs w:val="18"/>
          <w:b w:val="1"/>
          <w:bCs w:val="1"/>
          <w:i w:val="1"/>
          <w:iCs w:val="1"/>
          <w:color w:val="auto"/>
        </w:rPr>
        <w:t>Clearway Energy LLC and Clearway Energy Operating LLC Revolving Credit Facility</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2018</w:t>
      </w:r>
      <w:r>
        <w:rPr>
          <w:rFonts w:ascii="Arial" w:cs="Arial" w:eastAsia="Arial" w:hAnsi="Arial"/>
          <w:sz w:val="18"/>
          <w:szCs w:val="18"/>
          <w:color w:val="231F20"/>
        </w:rPr>
        <w:t>, there were no outstanding borrowings under the revolving credit facility and the Company had $70 million of letters of credit outstanding. On October 9, 2018, the Company terminated certain letters of credit relating to certain project PPAs in exchange for a one-time payment, which reduced the outstanding letters of credit under the revolving credit facility to $45 million as of October 31, 2018.</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April 30, 2018, the Company closed on the refinancing of the revolving credit facility, which extended the maturity of the facility to April 28, 2023, and decreased the Company's overall cost of borrowing from L+2.50% to L+1.75%. The applicable rate is determined by the borrower leverage ratio, as defined in the credit agreement, and was L+1.50% as of September 30, 2018. The facility will continue to be used for general corporate purposes including financing of future acquisitions and posting letters of credit.</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Bridge Credit Agreement</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August 31, 2018, the Company entered into a senior unsecured 364-day bridge credit agreement, or the Bridge Credit Agreement, which provides total borrowings of up to a maximum amount of $1.5 billion at a rate per annum equal to LIBOR or a base rate plus an applicable margin equal to 3.00% in the case of LIBOR loans and 2.00% in the case of base rate loans, in each case subject to an additional 0.25% on the 90th day following the effective date of the Bridge Credit Agreement, 0.25% on the 180th day following such effective date and 0.50% on each 90th day thereafter while any loans remain outstanding. The obligation of the lenders to fund loans under the Bridge Credit Agreement will expire on the date that is 110 days after the effective date of the Bridge Credit Agreement. Loans under the Bridge Credit Agreement will mature 364 days after the effective date of the agreement, provided that Clearway Energy Operating LLC may elect in its sole discretion to extend the maturity as provided for in the Bridge Credit Agreement. Borrowings under the Bridge Credit Agreement are guaranteed by Clearway Energy LLC and certain subsidiaries of Clearway Energy Operating LLC. As of September 30, 2018, there were no borrowings under the Bridge Credit Agreement.</w:t>
      </w:r>
    </w:p>
    <w:p>
      <w:pPr>
        <w:spacing w:after="0" w:line="12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October 2018, the Company reduced the lenders' commitments under the bridge agreement from $1.5 billion to $867.5 million following the offering of the 2025 Senior Notes and the convertible notes tender offer results, each described below. On October 31, 2018, the Company terminated the Bridge Credit Agreement.</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2025 Senior Notes</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October 1, 2018, Clearway Energy Operating LLC issued $600 million of senior unsecured notes, or the 2025 Senior Notes. The 2025 Senior Notes bear interest at 5.750% and mature on October 15, 2025. Interest on the 2025 Senior Notes is payable semi-annually on April 15 and October 15 of each year, and interest payments will commence on April 15, 2019. The 2025 Senior Notes are unsecured obligations of Clearway Energy Operating LLC and are guaranteed by Clearway Energy LLC and by certain of Clearway Energy Operating LLC's wholly owned current and future subsidiaries.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2019 Convertible Notes Open Market Repurchases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August 2018, Clearway Energy, Inc. repurchased an aggregate principal amount of $16 million of the 2019 Convertible Notes in open market transactions. The repurchases were funded through a partial repayment of the intercompany note between Clearway Energy Operating LLC and Clearway Energy, Inc., which was reduced by $16 million.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2019 Convertible Notes and 2020 Convertible Notes Tender Offer</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September 10, 2018, pursuant to the 2019 Convertible Notes and the 2020 Convertible Notes indentures, Clearway Energy, Inc. delivered to the holders of the 2019 Convertible Notes and the 2020 Convertible Notes a fundamental change notice and offer to repurchase any and all of the 2019 Convertible Notes and 2020 Convertible Notes for cash at a price equal to 100% of the principal amount of the Convertible Notes plus any accrued and unpaid interest. The tender offer expired on October 9, 2018. An aggregate principal amount of $109 million of the 2019 Convertible Notes and $243 million of the 2020 Convertible Notes were tendered on or prior to the expiration date and accepted by the Company for purchase. After the expiration of the tender offer, $216 million aggregate principal amount of the long-term debt - affiliate due 2019 remains outstanding and $44 million aggregate principal amount of the long-term debt - affiliate due 2020 remains outstanding.</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28" w:name="page29"/>
    <w:bookmarkEnd w:id="28"/>
    <w:p>
      <w:pPr>
        <w:spacing w:after="0"/>
        <w:rPr>
          <w:sz w:val="20"/>
          <w:szCs w:val="20"/>
          <w:color w:val="auto"/>
        </w:rPr>
      </w:pPr>
      <w:r>
        <w:rPr>
          <w:rFonts w:ascii="Arial" w:cs="Arial" w:eastAsia="Arial" w:hAnsi="Arial"/>
          <w:sz w:val="20"/>
          <w:szCs w:val="20"/>
          <w:b w:val="1"/>
          <w:bCs w:val="1"/>
          <w:i w:val="1"/>
          <w:iCs w:val="1"/>
          <w:color w:val="auto"/>
        </w:rPr>
        <w:t>Project - level Debt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Center Minneapolis Series E, F, G, H Notes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June 19, 2018, Energy Center Minneapolis LLC, a subsidiary of the Company, entered into an amended and restated Thermal note purchase and private shelf agreement under which it authorized the issuance of the Series E Notes, Series F Notes, Series G Notes, and Series H Notes, as further described in the table below:</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ind w:left="40"/>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20"/>
                <w:szCs w:val="20"/>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900" w:type="dxa"/>
            <w:vAlign w:val="bottom"/>
          </w:tcPr>
          <w:p>
            <w:pPr>
              <w:jc w:val="right"/>
              <w:ind w:right="310"/>
              <w:spacing w:after="0"/>
              <w:rPr>
                <w:sz w:val="20"/>
                <w:szCs w:val="20"/>
                <w:color w:val="auto"/>
              </w:rPr>
            </w:pPr>
            <w:r>
              <w:rPr>
                <w:rFonts w:ascii="Arial" w:cs="Arial" w:eastAsia="Arial" w:hAnsi="Arial"/>
                <w:sz w:val="18"/>
                <w:szCs w:val="18"/>
                <w:b w:val="1"/>
                <w:bCs w:val="1"/>
                <w:color w:val="auto"/>
              </w:rPr>
              <w:t>Interest Rate</w:t>
            </w:r>
          </w:p>
        </w:tc>
      </w:tr>
      <w:tr>
        <w:trPr>
          <w:trHeight w:val="27"/>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 Center Minneapolis Series E Notes, due 2033</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Energy Center Minneapolis Series F Notes, due 2033</w:t>
            </w: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90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7"/>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 Center Minneapolis Series G Notes, due 2035</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Energy Center Minneapolis Series H Notes, due 2037</w:t>
            </w: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90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7"/>
        </w:trPr>
        <w:tc>
          <w:tcPr>
            <w:tcW w:w="7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proceeds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203</w:t>
            </w:r>
          </w:p>
        </w:tc>
        <w:tc>
          <w:tcPr>
            <w:tcW w:w="1900" w:type="dxa"/>
            <w:vAlign w:val="bottom"/>
            <w:tcBorders>
              <w:bottom w:val="single" w:sz="8" w:color="CCEEFF"/>
            </w:tcBorders>
            <w:shd w:val="clear" w:color="auto" w:fill="CCEEFF"/>
          </w:tcPr>
          <w:p>
            <w:pPr>
              <w:spacing w:after="0"/>
              <w:rPr>
                <w:sz w:val="22"/>
                <w:szCs w:val="22"/>
                <w:color w:val="auto"/>
              </w:rPr>
            </w:pPr>
          </w:p>
        </w:tc>
      </w:tr>
      <w:tr>
        <w:trPr>
          <w:trHeight w:val="20"/>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30"/>
        </w:trPr>
        <w:tc>
          <w:tcPr>
            <w:tcW w:w="7940" w:type="dxa"/>
            <w:vAlign w:val="bottom"/>
          </w:tcPr>
          <w:p>
            <w:pPr>
              <w:ind w:left="40"/>
              <w:spacing w:after="0"/>
              <w:rPr>
                <w:sz w:val="20"/>
                <w:szCs w:val="20"/>
                <w:color w:val="auto"/>
              </w:rPr>
            </w:pPr>
            <w:r>
              <w:rPr>
                <w:rFonts w:ascii="Arial" w:cs="Arial" w:eastAsia="Arial" w:hAnsi="Arial"/>
                <w:sz w:val="18"/>
                <w:szCs w:val="18"/>
                <w:color w:val="auto"/>
              </w:rPr>
              <w:t>Repayment of Energy Center Minneapolis Series C Notes, due 2025</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w:t>
            </w:r>
          </w:p>
        </w:tc>
        <w:tc>
          <w:tcPr>
            <w:tcW w:w="190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7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borrowings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120</w:t>
            </w:r>
          </w:p>
        </w:tc>
        <w:tc>
          <w:tcPr>
            <w:tcW w:w="1900" w:type="dxa"/>
            <w:vAlign w:val="bottom"/>
            <w:tcBorders>
              <w:bottom w:val="single" w:sz="8" w:color="CCEEFF"/>
            </w:tcBorders>
            <w:shd w:val="clear" w:color="auto" w:fill="CCEEFF"/>
          </w:tcPr>
          <w:p>
            <w:pPr>
              <w:spacing w:after="0"/>
              <w:rPr>
                <w:sz w:val="22"/>
                <w:szCs w:val="22"/>
                <w:color w:val="auto"/>
              </w:rPr>
            </w:pPr>
          </w:p>
        </w:tc>
      </w:tr>
      <w:tr>
        <w:trPr>
          <w:trHeight w:val="20"/>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The proceeds from the sale of the Series E Notes and the Series F Notes were utilized to finance the acquisition of the UPMC Thermal Project as described in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The Series G Notes were used to refinance the Series C Notes as noted above in the table. The Series H Notes were used to make a dividend to Clearway Energy Operating LLC.</w:t>
      </w:r>
    </w:p>
    <w:p>
      <w:pPr>
        <w:spacing w:after="0" w:line="12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amended and restated Thermal note purchase and private shelf agreement also established a private shelf facility for the future issuance of notes in the amount of $40 million.</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Buckthorn Solar Drop Down Asset Debt</w:t>
      </w:r>
    </w:p>
    <w:p>
      <w:pPr>
        <w:spacing w:after="0" w:line="171"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 xml:space="preserve">As part of the Buckthorn Solar Drop Down Asset acquisition, as further described in Note 3, </w:t>
      </w:r>
      <w:r>
        <w:rPr>
          <w:rFonts w:ascii="Arial" w:cs="Arial" w:eastAsia="Arial" w:hAnsi="Arial"/>
          <w:sz w:val="17"/>
          <w:szCs w:val="17"/>
          <w:i w:val="1"/>
          <w:iCs w:val="1"/>
          <w:color w:val="auto"/>
        </w:rPr>
        <w:t>Business Acquisitions</w:t>
      </w:r>
      <w:r>
        <w:rPr>
          <w:rFonts w:ascii="Arial" w:cs="Arial" w:eastAsia="Arial" w:hAnsi="Arial"/>
          <w:sz w:val="17"/>
          <w:szCs w:val="17"/>
          <w:color w:val="auto"/>
        </w:rPr>
        <w:t>, the Company assumed non-recourse debt of $183 million relating to Buckthorn Solar Portfolio, LLC as of the date of the acquisition, March 30, 2018. The assumed debt consisted of a construction loan and an Investment Tax Credits, or ITC, bridge loan, both at an interest rate of LIBOR plus 1.75%. On May 31, 2018, $132 million of non-recourse debt was converted to a term loan with an expected maturity of May 2025, and the remainder of the non-recourse debt was repaid with the final contribution from the Class A member in the amount of $80 million upon the project reaching substantial completion in May 2018.</w:t>
      </w:r>
    </w:p>
    <w:p>
      <w:pPr>
        <w:spacing w:after="0" w:line="11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Buckthorn Solar entered into a series of fixed for floating interest rate swaps that would fix the interest rate for a minimum of 80% of the outstanding notional amount. All interest rate swap payments by Buckthorn Solar and its counterparties are made quarterly and LIBOR is determined in advance of each interest period.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 xml:space="preserve">Note 8 — </w:t>
      </w:r>
      <w:r>
        <w:rPr>
          <w:rFonts w:ascii="Arial" w:cs="Arial" w:eastAsia="Arial" w:hAnsi="Arial"/>
          <w:sz w:val="18"/>
          <w:szCs w:val="18"/>
          <w:b w:val="1"/>
          <w:bCs w:val="1"/>
          <w:i w:val="1"/>
          <w:iCs w:val="1"/>
          <w:color w:val="auto"/>
        </w:rPr>
        <w:t>Segment Reporting</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segment structure reflects how management currently operates and allocates resources. The Company's businesses are segregated based on conventional power generation, renewable businesses which consist of solar and wind, and the thermal and chilled water business. The Corporate segment reflects the Company's corporate costs.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rPr>
              <w:t>Three months ended September 30, 2018</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Conventional</w:t>
            </w:r>
          </w:p>
        </w:tc>
        <w:tc>
          <w:tcPr>
            <w:tcW w:w="180" w:type="dxa"/>
            <w:vAlign w:val="bottom"/>
          </w:tcPr>
          <w:p>
            <w:pPr>
              <w:spacing w:after="0"/>
              <w:rPr>
                <w:sz w:val="13"/>
                <w:szCs w:val="13"/>
                <w:color w:val="auto"/>
              </w:rPr>
            </w:pPr>
          </w:p>
        </w:tc>
        <w:tc>
          <w:tcPr>
            <w:tcW w:w="10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1"/>
              </w:rPr>
              <w:t>Generation</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Development costs</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2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1,811</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5,952</w:t>
            </w:r>
          </w:p>
        </w:tc>
        <w:tc>
          <w:tcPr>
            <w:tcW w:w="12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8,391</w:t>
            </w:r>
          </w:p>
        </w:tc>
        <w:tc>
          <w:tcPr>
            <w:tcW w:w="0" w:type="dxa"/>
            <w:vAlign w:val="bottom"/>
          </w:tcPr>
          <w:p>
            <w:pPr>
              <w:spacing w:after="0"/>
              <w:rPr>
                <w:sz w:val="1"/>
                <w:szCs w:val="1"/>
                <w:color w:val="auto"/>
              </w:rPr>
            </w:pPr>
          </w:p>
        </w:tc>
      </w:tr>
      <w:tr>
        <w:trPr>
          <w:trHeight w:val="594"/>
        </w:trPr>
        <w:tc>
          <w:tcPr>
            <w:tcW w:w="4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rPr>
              <w:t>Three months ended September 30, 2017</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Conventional</w:t>
            </w:r>
          </w:p>
        </w:tc>
        <w:tc>
          <w:tcPr>
            <w:tcW w:w="180" w:type="dxa"/>
            <w:vAlign w:val="bottom"/>
          </w:tcPr>
          <w:p>
            <w:pPr>
              <w:spacing w:after="0"/>
              <w:rPr>
                <w:sz w:val="13"/>
                <w:szCs w:val="13"/>
                <w:color w:val="auto"/>
              </w:rPr>
            </w:pPr>
          </w:p>
        </w:tc>
        <w:tc>
          <w:tcPr>
            <w:tcW w:w="10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1"/>
              </w:rPr>
              <w:t>Generation</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Impairment losses</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2"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Nine months ended September 30, 2018</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Conventional</w:t>
            </w:r>
          </w:p>
        </w:tc>
        <w:tc>
          <w:tcPr>
            <w:tcW w:w="180" w:type="dxa"/>
            <w:vAlign w:val="bottom"/>
          </w:tcPr>
          <w:p>
            <w:pPr>
              <w:spacing w:after="0"/>
              <w:rPr>
                <w:sz w:val="13"/>
                <w:szCs w:val="13"/>
                <w:color w:val="auto"/>
              </w:rPr>
            </w:pPr>
          </w:p>
        </w:tc>
        <w:tc>
          <w:tcPr>
            <w:tcW w:w="10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1"/>
              </w:rPr>
              <w:t>Generation</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251</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824</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Development costs</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131</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2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1,811</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5,952</w:t>
            </w:r>
          </w:p>
        </w:tc>
        <w:tc>
          <w:tcPr>
            <w:tcW w:w="12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8,391</w:t>
            </w:r>
          </w:p>
        </w:tc>
        <w:tc>
          <w:tcPr>
            <w:tcW w:w="0" w:type="dxa"/>
            <w:vAlign w:val="bottom"/>
          </w:tcPr>
          <w:p>
            <w:pPr>
              <w:spacing w:after="0"/>
              <w:rPr>
                <w:sz w:val="1"/>
                <w:szCs w:val="1"/>
                <w:color w:val="auto"/>
              </w:rPr>
            </w:pPr>
          </w:p>
        </w:tc>
      </w:tr>
      <w:tr>
        <w:trPr>
          <w:trHeight w:val="648"/>
        </w:trPr>
        <w:tc>
          <w:tcPr>
            <w:tcW w:w="4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Nine months ended September 30, 2017</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Conventional</w:t>
            </w:r>
          </w:p>
        </w:tc>
        <w:tc>
          <w:tcPr>
            <w:tcW w:w="180" w:type="dxa"/>
            <w:vAlign w:val="bottom"/>
          </w:tcPr>
          <w:p>
            <w:pPr>
              <w:spacing w:after="0"/>
              <w:rPr>
                <w:sz w:val="13"/>
                <w:szCs w:val="13"/>
                <w:color w:val="auto"/>
              </w:rPr>
            </w:pPr>
          </w:p>
        </w:tc>
        <w:tc>
          <w:tcPr>
            <w:tcW w:w="10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1"/>
              </w:rPr>
              <w:t>Generation</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246</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778</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53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Impairment losses</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116</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Loss on debt extinguishment</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44"/>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87</w:t>
            </w:r>
          </w:p>
        </w:tc>
        <w:tc>
          <w:tcPr>
            <w:tcW w:w="1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 </w:t>
      </w: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Related Party Transactions with CEG entities</w:t>
      </w:r>
    </w:p>
    <w:p>
      <w:pPr>
        <w:spacing w:after="0" w:line="171"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b w:val="1"/>
          <w:bCs w:val="1"/>
          <w:i w:val="1"/>
          <w:iCs w:val="1"/>
          <w:color w:val="auto"/>
        </w:rPr>
        <w:t>Administrative Services Agreements by and between the Company and Clearway Renewable Operation &amp; Maintenance LLC (formerly NRG Renew Operation &amp; Maintenance LLC)</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Various wholly-owned subsidiaries of the Company in the Renewables segment are party to administrative services agreements with Clearway Renewable Operation &amp; Maintenance LLC (formerly NRG Renew Operation &amp; Maintenance LLC), or RENOM, a wholly-owned subsidiary of CEG, which provides Operation and Maintenance, O&amp;M, services to these subsidiaries. The Company incurred total expenses for these services of $7 million and $22 million for the three and nine months ended September 30, 2018, respectively. The Company incurred total expenses for these services of $5 million and $17 million for the three and nine months ended September 30, 2017, respectively. There was a balance of $5 million due to RENOM as of September 30, 2018 and December 31, 2017.</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CEG Master Services Agreements</w:t>
      </w:r>
    </w:p>
    <w:p>
      <w:pPr>
        <w:spacing w:after="0" w:line="266" w:lineRule="exact"/>
        <w:rPr>
          <w:sz w:val="20"/>
          <w:szCs w:val="20"/>
          <w:color w:val="auto"/>
        </w:rPr>
      </w:pPr>
    </w:p>
    <w:p>
      <w:pPr>
        <w:jc w:val="both"/>
        <w:ind w:firstLine="486"/>
        <w:spacing w:after="0" w:line="329" w:lineRule="auto"/>
        <w:rPr>
          <w:sz w:val="20"/>
          <w:szCs w:val="20"/>
          <w:color w:val="auto"/>
        </w:rPr>
      </w:pPr>
      <w:r>
        <w:rPr>
          <w:rFonts w:ascii="Arial" w:cs="Arial" w:eastAsia="Arial" w:hAnsi="Arial"/>
          <w:sz w:val="16"/>
          <w:szCs w:val="16"/>
          <w:color w:val="auto"/>
        </w:rPr>
        <w:t>Following the consummation of the NRG Transaction, Clearway Energy, Inc. along with Clearway Energy LLC and Clearway Energy Operating LLC entered into Master Services Agreements with CEG, pursuant to which CEG and certain of its affiliates or third party service providers began providing certain services to the Company, and the Company began providing certain services to CEG, in exchange for the payment of fees in respect of such services.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968" w:right="239" w:bottom="1440" w:gutter="0" w:footer="0" w:header="0"/>
        </w:sectPr>
      </w:pPr>
    </w:p>
    <w:bookmarkStart w:id="31" w:name="page32"/>
    <w:bookmarkEnd w:id="31"/>
    <w:p>
      <w:pPr>
        <w:jc w:val="both"/>
        <w:ind w:firstLine="405"/>
        <w:spacing w:after="0" w:line="277" w:lineRule="auto"/>
        <w:rPr>
          <w:sz w:val="20"/>
          <w:szCs w:val="20"/>
          <w:color w:val="auto"/>
        </w:rPr>
      </w:pPr>
      <w:r>
        <w:rPr>
          <w:rFonts w:ascii="Arial" w:cs="Arial" w:eastAsia="Arial" w:hAnsi="Arial"/>
          <w:sz w:val="18"/>
          <w:szCs w:val="18"/>
          <w:color w:val="auto"/>
        </w:rPr>
        <w:t>Amounts due to CEG or its subsidiaries are recorded as accounts payable - affiliate and amounts due to the Company from CEG and subsidiaries are recorded as accounts receivable - affiliate on the Company's consolidated balance sheet.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Related Party Transactions with NRG entities prior to the NRG Transaction</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transactions relate to the period prior to sale of NRG's interest in CEG to GIP on August 31, 2018 and therefore were considered to be related party transactions for all the periods prior to August 31, 2018.</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Power Purchase Agreements (PPAs) between the Company and NRG Power Marketing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Elbow Creek and Dover are parties to PPAs with NRG Power Marketing, a wholly-owned subsidiary of NRG, and generate revenue under the PPAs, which are recorded to operating revenues in the Company's consolidated statements of operations. For the two and eight months ended August 31, 2018, Elbow Creek and Dover, collectively, generated revenues of $2 million and $8 million, respectively. For the three and nine months ended September 30, 2017, Elbow Creek and Dover, collectively, generated revenue of $3 million and $10 million, respectively.</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Energy Marketing Services Agreement by and between Thermal entities and NRG Power Marketing</w:t>
      </w:r>
    </w:p>
    <w:p>
      <w:pPr>
        <w:spacing w:after="0" w:line="63"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Energy Center Dover LLC, Energy Center Minneapolis, Energy Center Phoenix LLC, and Energy Center Paxton LLC, or Thermal entities, which are subsidiaries of the Company, are parties to Energy Marketing Services Agreements with NRG Power Marketing. Under the agreements, NRG Power Marketing procures fuel and fuel transportation for the operation of the Thermal entities. For the two and eight months ended August 31, 2018, the Thermal entities purchased $1 million and $7 million, respectively, of natural gas from NRG Power Marketing. For the three and nine months ended September 30, 2017, the Thermal entities purchased $1 million and $7 million, respectively, of natural gas from NRG Power Marketing.</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O&amp;M Services Agreements by and between the Company's subsidiaries and NRG</w:t>
      </w:r>
    </w:p>
    <w:p>
      <w:pPr>
        <w:spacing w:after="0" w:line="6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Certain of the Company's subsidiaries are party to O&amp;M Service Agreements with NRG, pursuant to which NRG subsidiaries provide necessary and appropriate services to operate and maintain the subsidiaries' plant operations, businesses and thermal facilities. NRG is reimbursed for the provided services, as well as for all reasonable and related expenses and expenditures, and payments to third parties for services and materials rendered to or on behalf of the parties to the agreements. NRG is not entitled to any management fee or mark-up under the agreements.</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fees incurred under these agreements were $7 million and $27 million for the two and eight months ended August 31, 2018, respectively. The fees incurred under these agreements were $10 million and $29 million for the three and nine months ended September 30, 2017, respectively.</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O&amp;M Services Agreements by and between GenConn and NRG</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GenConn incurs fees under two O&amp;M agreements with wholly-owned subsidiaries of NRG. For the two and eight months ended August 31, 2018, the aggregate fees incurred under the agreements were $1 million and $4 million, respectively. For the three and nine months ended September 30, 2017, the aggregate fees incurred under the agreements were $1 million and $4 million, respectively.</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Administrative Services Agreement by and between Marsh Landing and NRG West Coast LLC</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Marsh Landing is a party to an administrative services agreement with NRG West Coast LLC, a wholly owned subsidiary of NRG. The Company reimbursed costs under this agreement of $2 million and $11 million for the two and eight months ended August 31, 2018, respectively. The Company reimbursed costs under the agreement of $4 million and $10 million for the three and nine months ended September 30, 2017, respectively.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6" w:right="239" w:bottom="1440" w:gutter="0" w:footer="0" w:header="0"/>
        </w:sectPr>
      </w:pPr>
    </w:p>
    <w:bookmarkStart w:id="32" w:name="page33"/>
    <w:bookmarkEnd w:id="32"/>
    <w:p>
      <w:pPr>
        <w:ind w:left="420"/>
        <w:spacing w:after="0"/>
        <w:rPr>
          <w:sz w:val="20"/>
          <w:szCs w:val="20"/>
          <w:color w:val="auto"/>
        </w:rPr>
      </w:pPr>
      <w:r>
        <w:rPr>
          <w:rFonts w:ascii="Arial" w:cs="Arial" w:eastAsia="Arial" w:hAnsi="Arial"/>
          <w:sz w:val="18"/>
          <w:szCs w:val="18"/>
          <w:b w:val="1"/>
          <w:bCs w:val="1"/>
          <w:i w:val="1"/>
          <w:iCs w:val="1"/>
          <w:color w:val="auto"/>
        </w:rPr>
        <w:t>Management Services Agreement by and between the Company and NRG</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Prior to the NRG Transaction, NRG provided the Company with various operational, management, and administrative services, which include human resources, accounting, tax, legal, information systems, treasury, and risk management, as set forth in the Management Services Agreement. As of August 31, 2018, the base management fee was approximately $9 million per year. Costs incurred under this agreement were $2 million and $7 million for the two and eight months ended August 31, 2018, respectively. Costs incurred under this agreement for the three and nine months ended September 30, 2017 were $2 million and $8 million, respectively. The costs incurred under the Management Services Agreement included certain direct expenses incurred by NRG on behalf of the Company in addition to the base management fee. Subsequent to the NRG Transaction, the Company entered into a Transition Services Agreement with NRG, or the NRG TSA, pursuant to which NRG or certain of its affiliates began providing certain services to the Company following the consummation of the NRG Transaction, in exchange for the payment of a fee in respect of such services. Expenses related to the NRG TSA are recorded in general and administrative expenses in the consolidated statements of operations.</w:t>
      </w:r>
    </w:p>
    <w:p>
      <w:pPr>
        <w:spacing w:after="0" w:line="20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August 31, 2018, in connection with the consummation of the NRG Transaction, the Company entered into a Termination Agreement with Clearway Energy LLC, Clearway Energy Operating LLC and NRG terminating the Management Services Agreement, dated as of July 22, 2013 by and among the Company, Clearway Energy LLC, Clearway Energy Operating LLC and NRG.</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EPC Agreement by and between ECP and NRG</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 xml:space="preserve">NRG Business Services LLC, a subsidiary of NRG, and Energy Center Pittsburgh LLC, or ECP, a wholly owned subsidiary of the Company, entered into an EPC agreement for the construction of a 73 MWt district energy system for ECP to provide 150 kpph of steam, 6,750 tons of chilled water and 7.5 MW of emergency backup power service to UPMC Mercy. The initial term of the energy services agreement with UPMC Mercy will be for a period of twenty years from the service commencement date. On June 19, 2018, as discussed in Note 3, </w:t>
      </w:r>
      <w:r>
        <w:rPr>
          <w:rFonts w:ascii="Arial" w:cs="Arial" w:eastAsia="Arial" w:hAnsi="Arial"/>
          <w:sz w:val="16"/>
          <w:szCs w:val="16"/>
          <w:i w:val="1"/>
          <w:iCs w:val="1"/>
          <w:color w:val="auto"/>
        </w:rPr>
        <w:t>Business Acquisitions</w:t>
      </w:r>
      <w:r>
        <w:rPr>
          <w:rFonts w:ascii="Arial" w:cs="Arial" w:eastAsia="Arial" w:hAnsi="Arial"/>
          <w:sz w:val="16"/>
          <w:szCs w:val="16"/>
          <w:color w:val="auto"/>
        </w:rPr>
        <w:t>, ECP purchased the UPMC Thermal Project assets from NRG Business Services LLC for cash consideration of $84 million, subject to working capital adjustments. The Company also recorded a payable of approximately $5 million to be paid to NRG upon final completion of the project, which is included in accounts payable as of September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5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i w:val="1"/>
          <w:iCs w:val="1"/>
          <w:color w:val="auto"/>
        </w:rPr>
        <w:t>Condensed Consolidating Financial Information</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As of September 30, 2018, Clearway Energy Operating LLC had outstanding $500 million of the 2024 Senior Notes and $350 million of the 2026 Senior Notes, collectively Senior Notes, as described in Note 10,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 consolidated financial statements included in the Company's 2017 Form 10-K. These Senior Notes are guaranteed by Clearway Energy LLC, as well as certain of the Company's subsidiaries, or guarantor subsidiaries. These guarantees are both joint and several. The non-guarantor subsidiaries include the rest of the Company's subsidiaries, including those that are subject to project financing.</w:t>
      </w:r>
    </w:p>
    <w:p>
      <w:pPr>
        <w:spacing w:after="0" w:line="13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Unless otherwise noted below, each of the following guarantor subsidiaries fully and unconditionally guaranteed the Senior Notes as of September 30, 2018:</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Alta Wind 1-5 Holding Company,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Alta Wind Company,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Central CA Fuel Cell 1,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Clearway Energy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Clearway Energy Operating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Clearway Solar Star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DGPV Holding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Fuel Cell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Portfolio Solar I,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RPV Holding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Solar Flagstaff One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Solar Iguana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Solar Las Vegas MB 1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Solar Tabernacle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South Trent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SPP Asset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SPP Fund II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SPP Fund II,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SPP Fund II-B,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SPP Fund III,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Thermal Canada Infrastructure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Thermal Infrastructure Development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UB Fuel Cell, LLC</w:t>
      </w:r>
    </w:p>
    <w:p>
      <w:pPr>
        <w:spacing w:after="0" w:line="19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Clearway Energy Operating LLC conducts its business through and derives its income from its subsidiaries. Therefore, its ability to make required payments with respect to its indebtedness and other obligations depends on the financial results and condition of its subsidiaries and Clearway Energy Operating LLC's ability to receive funds from its subsidiaries. There are no restrictions on the ability of any of the guarantor subsidiaries to transfer funds to Clearway Energy Operating LLC. However, there may be restrictions for certain non-guarantor subsidiaries.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following condensed consolidating financial information presents the financial information of Clearway Energy LLC, Clearway Energy Operating LLC, the issuer of the Senior Notes, the guarantor subsidiaries and the non-guarantor subsidiaries in accordance with Rule 3-10 under the SEC Regulation S-X. The financial information may not necessarily be indicative of results of operations or financial position had the guarantor subsidiaries or non-guarantor subsidiaries operated as independent entities.</w:t>
      </w:r>
    </w:p>
    <w:p>
      <w:pPr>
        <w:spacing w:after="0" w:line="133"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 xml:space="preserve">In this presentation, Clearway Energy LLC consists of parent company operations. Guarantor subsidiaries and non-guarantor subsidiaries of Clearway Energy LLC are reported on an equity basis. For companies acquired, the fair values of the assets and liabilities acquired have been presented on a push-down accounting basis. As described in Note 1, </w:t>
      </w:r>
      <w:r>
        <w:rPr>
          <w:rFonts w:ascii="Arial" w:cs="Arial" w:eastAsia="Arial" w:hAnsi="Arial"/>
          <w:sz w:val="16"/>
          <w:szCs w:val="16"/>
          <w:i w:val="1"/>
          <w:iCs w:val="1"/>
          <w:color w:val="auto"/>
        </w:rPr>
        <w:t>Nature of Business</w:t>
      </w:r>
      <w:r>
        <w:rPr>
          <w:rFonts w:ascii="Arial" w:cs="Arial" w:eastAsia="Arial" w:hAnsi="Arial"/>
          <w:sz w:val="16"/>
          <w:szCs w:val="16"/>
          <w:color w:val="auto"/>
        </w:rPr>
        <w:t>, the Company completed the acquisitions of the Buckthorn Solar Drop Down Asset on March 30, 2018 and the November 2017 Drop Down Assets on November 1, 2017. The guidance requires retrospective combination of the entities for all periods presented as if the combination has been in effect since the inception of common control. Accordingly, the Company prepared its condensed consolidating financial statements to reflect the transfers as if they had taken place from the beginning of the financial statements period.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42" w:right="239" w:bottom="1440" w:gutter="0" w:footer="0" w:header="0"/>
        </w:sectPr>
      </w:pPr>
    </w:p>
    <w:bookmarkStart w:id="34" w:name="page35"/>
    <w:bookmarkEnd w:id="34"/>
    <w:p>
      <w:pPr>
        <w:jc w:val="center"/>
        <w:ind w:right="-71"/>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71"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For the Three Months Ended September 30, 2018</w:t>
      </w:r>
    </w:p>
    <w:p>
      <w:pPr>
        <w:spacing w:after="0" w:line="171"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72"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Clearway</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Clearway Energy</w:t>
            </w: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Energy</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Operating LLC</w:t>
            </w:r>
          </w:p>
        </w:tc>
        <w:tc>
          <w:tcPr>
            <w:tcW w:w="180" w:type="dxa"/>
            <w:vAlign w:val="bottom"/>
          </w:tcPr>
          <w:p>
            <w:pPr>
              <w:spacing w:after="0"/>
              <w:rPr>
                <w:sz w:val="12"/>
                <w:szCs w:val="1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40" w:type="dxa"/>
            <w:vAlign w:val="bottom"/>
          </w:tcPr>
          <w:p>
            <w:pPr>
              <w:spacing w:after="0"/>
              <w:rPr>
                <w:sz w:val="12"/>
                <w:szCs w:val="1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LLC</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(Note Issuer)</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2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Acquisition-related transaction and integration</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Development costs</w:t>
            </w:r>
          </w:p>
        </w:tc>
        <w:tc>
          <w:tcPr>
            <w:tcW w:w="2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7"/>
        </w:trPr>
        <w:tc>
          <w:tcPr>
            <w:tcW w:w="372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180"/>
              <w:spacing w:after="0"/>
              <w:rPr>
                <w:sz w:val="20"/>
                <w:szCs w:val="20"/>
                <w:color w:val="auto"/>
              </w:rPr>
            </w:pPr>
            <w:r>
              <w:rPr>
                <w:rFonts w:ascii="Arial" w:cs="Arial" w:eastAsia="Arial" w:hAnsi="Arial"/>
                <w:sz w:val="18"/>
                <w:szCs w:val="18"/>
                <w:color w:val="auto"/>
              </w:rPr>
              <w:t>Equity in earnings (losses) of consolidated</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340"/>
              <w:spacing w:after="0"/>
              <w:rPr>
                <w:sz w:val="20"/>
                <w:szCs w:val="20"/>
                <w:color w:val="auto"/>
              </w:rPr>
            </w:pPr>
            <w:r>
              <w:rPr>
                <w:rFonts w:ascii="Arial" w:cs="Arial" w:eastAsia="Arial" w:hAnsi="Arial"/>
                <w:sz w:val="18"/>
                <w:szCs w:val="18"/>
                <w:color w:val="auto"/>
              </w:rPr>
              <w:t>affiliates</w:t>
            </w:r>
          </w:p>
        </w:tc>
        <w:tc>
          <w:tcPr>
            <w:tcW w:w="2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Equity in earnings of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7"/>
        </w:trPr>
        <w:tc>
          <w:tcPr>
            <w:tcW w:w="3720" w:type="dxa"/>
            <w:vAlign w:val="bottom"/>
          </w:tcPr>
          <w:p>
            <w:pPr>
              <w:ind w:left="28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3720" w:type="dxa"/>
            <w:vAlign w:val="bottom"/>
          </w:tcPr>
          <w:p>
            <w:pPr>
              <w:ind w:left="40"/>
              <w:spacing w:after="0"/>
              <w:rPr>
                <w:sz w:val="20"/>
                <w:szCs w:val="20"/>
                <w:color w:val="auto"/>
              </w:rPr>
            </w:pPr>
            <w:r>
              <w:rPr>
                <w:rFonts w:ascii="Arial" w:cs="Arial" w:eastAsia="Arial" w:hAnsi="Arial"/>
                <w:sz w:val="18"/>
                <w:szCs w:val="18"/>
                <w:color w:val="auto"/>
              </w:rPr>
              <w:t>Less: Net loss attributable to noncontrolling</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2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7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7"/>
              </w:rPr>
              <w:t>Net Income Attributable to Clearway Energy</w:t>
            </w:r>
          </w:p>
        </w:tc>
        <w:tc>
          <w:tcPr>
            <w:tcW w:w="2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1"/>
        </w:trPr>
        <w:tc>
          <w:tcPr>
            <w:tcW w:w="3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LLC</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14147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53" w:lineRule="exact"/>
        <w:rPr>
          <w:sz w:val="20"/>
          <w:szCs w:val="20"/>
          <w:color w:val="auto"/>
        </w:rPr>
      </w:pPr>
    </w:p>
    <w:p>
      <w:pPr>
        <w:ind w:left="152" w:hanging="152"/>
        <w:spacing w:after="0"/>
        <w:tabs>
          <w:tab w:leader="none" w:pos="152"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5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32"/>
          </w:cols>
          <w:pgMar w:left="248" w:top="742" w:right="319" w:bottom="1440" w:gutter="0" w:footer="0" w:header="0"/>
        </w:sectPr>
      </w:pPr>
    </w:p>
    <w:bookmarkStart w:id="35" w:name="page36"/>
    <w:bookmarkEnd w:id="35"/>
    <w:p>
      <w:pPr>
        <w:ind w:left="3720"/>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7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For the Nine Months ended September 30, 2018</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3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Clearway Energy</w:t>
            </w: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Other Guarantor</w:t>
            </w:r>
          </w:p>
        </w:tc>
        <w:tc>
          <w:tcPr>
            <w:tcW w:w="12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Clearway Energy</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Operating LLC</w:t>
            </w:r>
          </w:p>
        </w:tc>
        <w:tc>
          <w:tcPr>
            <w:tcW w:w="14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80" w:type="dxa"/>
            <w:vAlign w:val="bottom"/>
          </w:tcPr>
          <w:p>
            <w:pPr>
              <w:spacing w:after="0"/>
              <w:rPr>
                <w:sz w:val="12"/>
                <w:szCs w:val="12"/>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LLC</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transaction and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integration costs</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Development costs</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180"/>
              <w:spacing w:after="0"/>
              <w:rPr>
                <w:sz w:val="20"/>
                <w:szCs w:val="20"/>
                <w:color w:val="auto"/>
              </w:rPr>
            </w:pPr>
            <w:r>
              <w:rPr>
                <w:rFonts w:ascii="Arial" w:cs="Arial" w:eastAsia="Arial" w:hAnsi="Arial"/>
                <w:sz w:val="18"/>
                <w:szCs w:val="18"/>
                <w:color w:val="auto"/>
              </w:rPr>
              <w:t>Equity in earnings of consolidated</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340"/>
              <w:spacing w:after="0"/>
              <w:rPr>
                <w:sz w:val="20"/>
                <w:szCs w:val="20"/>
                <w:color w:val="auto"/>
              </w:rPr>
            </w:pPr>
            <w:r>
              <w:rPr>
                <w:rFonts w:ascii="Arial" w:cs="Arial" w:eastAsia="Arial" w:hAnsi="Arial"/>
                <w:sz w:val="18"/>
                <w:szCs w:val="18"/>
                <w:color w:val="auto"/>
              </w:rPr>
              <w:t>affiliates</w:t>
            </w:r>
          </w:p>
        </w:tc>
        <w:tc>
          <w:tcPr>
            <w:tcW w:w="3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earnings of unconsolidated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affiliates</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7"/>
        </w:trPr>
        <w:tc>
          <w:tcPr>
            <w:tcW w:w="3260" w:type="dxa"/>
            <w:vAlign w:val="bottom"/>
          </w:tcPr>
          <w:p>
            <w:pPr>
              <w:ind w:left="28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9"/>
        </w:trPr>
        <w:tc>
          <w:tcPr>
            <w:tcW w:w="3260" w:type="dxa"/>
            <w:vAlign w:val="bottom"/>
          </w:tcPr>
          <w:p>
            <w:pPr>
              <w:ind w:left="40"/>
              <w:spacing w:after="0"/>
              <w:rPr>
                <w:sz w:val="20"/>
                <w:szCs w:val="20"/>
                <w:color w:val="auto"/>
              </w:rPr>
            </w:pPr>
            <w:r>
              <w:rPr>
                <w:rFonts w:ascii="Arial" w:cs="Arial" w:eastAsia="Arial" w:hAnsi="Arial"/>
                <w:sz w:val="18"/>
                <w:szCs w:val="18"/>
                <w:color w:val="auto"/>
                <w:w w:val="92"/>
              </w:rPr>
              <w:t>Less: Net loss attributable to noncontrolling</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 Clearway</w:t>
            </w:r>
          </w:p>
        </w:tc>
        <w:tc>
          <w:tcPr>
            <w:tcW w:w="30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41"/>
        </w:trPr>
        <w:tc>
          <w:tcPr>
            <w:tcW w:w="3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Energy LLC</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7" w:lineRule="exact"/>
        <w:rPr>
          <w:sz w:val="20"/>
          <w:szCs w:val="20"/>
          <w:color w:val="auto"/>
        </w:rPr>
      </w:pPr>
    </w:p>
    <w:p>
      <w:pPr>
        <w:ind w:left="160" w:hanging="152"/>
        <w:spacing w:after="0"/>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742" w:right="439" w:bottom="1440" w:gutter="0" w:footer="0" w:header="0"/>
        </w:sectPr>
      </w:pPr>
    </w:p>
    <w:bookmarkStart w:id="36" w:name="page37"/>
    <w:bookmarkEnd w:id="36"/>
    <w:p>
      <w:pPr>
        <w:jc w:val="center"/>
        <w:ind w:left="260" w:right="2340"/>
        <w:spacing w:after="0" w:line="475" w:lineRule="auto"/>
        <w:rPr>
          <w:sz w:val="20"/>
          <w:szCs w:val="20"/>
          <w:color w:val="auto"/>
        </w:rPr>
      </w:pPr>
      <w:r>
        <w:rPr>
          <w:rFonts w:ascii="Arial" w:cs="Arial" w:eastAsia="Arial" w:hAnsi="Arial"/>
          <w:sz w:val="18"/>
          <w:szCs w:val="18"/>
          <w:b w:val="1"/>
          <w:bCs w:val="1"/>
          <w:color w:val="auto"/>
        </w:rPr>
        <w:t>CLEARWAY ENERGY LLC AND SUBSIDIARIES CONDENSED CONSOLIDATING STATEMENTS OF COMPREHENSIVE INCOME For the Three Months Ended September 30, 2018 (Unaudited)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Clearway Energy</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Clearway Energy</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80" w:type="dxa"/>
            <w:vAlign w:val="bottom"/>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40" w:type="dxa"/>
            <w:vAlign w:val="bottom"/>
          </w:tcPr>
          <w:p>
            <w:pPr>
              <w:spacing w:after="0"/>
              <w:rPr>
                <w:sz w:val="12"/>
                <w:szCs w:val="12"/>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LLC</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derivatives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3880" w:type="dxa"/>
            <w:vAlign w:val="bottom"/>
          </w:tcPr>
          <w:p>
            <w:pPr>
              <w:ind w:left="380"/>
              <w:spacing w:after="0"/>
              <w:rPr>
                <w:sz w:val="20"/>
                <w:szCs w:val="20"/>
                <w:color w:val="auto"/>
              </w:rPr>
            </w:pPr>
            <w:r>
              <w:rPr>
                <w:rFonts w:ascii="Arial" w:cs="Arial" w:eastAsia="Arial" w:hAnsi="Arial"/>
                <w:sz w:val="18"/>
                <w:szCs w:val="18"/>
                <w:color w:val="auto"/>
              </w:rPr>
              <w:t>Other comprehensive income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9"/>
        </w:trPr>
        <w:tc>
          <w:tcPr>
            <w:tcW w:w="3880" w:type="dxa"/>
            <w:vAlign w:val="bottom"/>
          </w:tcPr>
          <w:p>
            <w:pPr>
              <w:ind w:left="180"/>
              <w:spacing w:after="0"/>
              <w:rPr>
                <w:sz w:val="20"/>
                <w:szCs w:val="20"/>
                <w:color w:val="auto"/>
              </w:rPr>
            </w:pPr>
            <w:r>
              <w:rPr>
                <w:rFonts w:ascii="Arial" w:cs="Arial" w:eastAsia="Arial" w:hAnsi="Arial"/>
                <w:sz w:val="18"/>
                <w:szCs w:val="18"/>
                <w:color w:val="auto"/>
              </w:rPr>
              <w:t>Less: Comprehensive loss attributable to</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8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2"/>
              </w:rPr>
              <w:t>Comprehensive Income Attributable to Clearway</w:t>
            </w: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1"/>
        </w:trPr>
        <w:tc>
          <w:tcPr>
            <w:tcW w:w="3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Energy LLC</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880" w:type="dxa"/>
            <w:vAlign w:val="bottom"/>
          </w:tcPr>
          <w:p>
            <w:pPr>
              <w:spacing w:after="0"/>
              <w:rPr>
                <w:sz w:val="24"/>
                <w:szCs w:val="24"/>
                <w:color w:val="auto"/>
              </w:rPr>
            </w:pPr>
          </w:p>
        </w:tc>
        <w:tc>
          <w:tcPr>
            <w:tcW w:w="3720" w:type="dxa"/>
            <w:vAlign w:val="bottom"/>
            <w:gridSpan w:val="9"/>
          </w:tcPr>
          <w:p>
            <w:pPr>
              <w:spacing w:after="0"/>
              <w:rPr>
                <w:sz w:val="20"/>
                <w:szCs w:val="20"/>
                <w:color w:val="auto"/>
              </w:rPr>
            </w:pPr>
            <w:r>
              <w:rPr>
                <w:rFonts w:ascii="Arial" w:cs="Arial" w:eastAsia="Arial" w:hAnsi="Arial"/>
                <w:sz w:val="18"/>
                <w:szCs w:val="18"/>
                <w:b w:val="1"/>
                <w:bCs w:val="1"/>
                <w:color w:val="auto"/>
                <w:w w:val="91"/>
              </w:rPr>
              <w:t>For the Nine Months ended September 30, 2018</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(Unaudited)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880" w:type="dxa"/>
            <w:vAlign w:val="bottom"/>
          </w:tcPr>
          <w:p>
            <w:pPr>
              <w:spacing w:after="0"/>
              <w:rPr>
                <w:sz w:val="24"/>
                <w:szCs w:val="24"/>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Clearway Energy</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Clearway Energy</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80" w:type="dxa"/>
            <w:vAlign w:val="bottom"/>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40" w:type="dxa"/>
            <w:vAlign w:val="bottom"/>
          </w:tcPr>
          <w:p>
            <w:pPr>
              <w:spacing w:after="0"/>
              <w:rPr>
                <w:sz w:val="12"/>
                <w:szCs w:val="12"/>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LLC</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derivatives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3880" w:type="dxa"/>
            <w:vAlign w:val="bottom"/>
          </w:tcPr>
          <w:p>
            <w:pPr>
              <w:ind w:left="380"/>
              <w:spacing w:after="0"/>
              <w:rPr>
                <w:sz w:val="20"/>
                <w:szCs w:val="20"/>
                <w:color w:val="auto"/>
              </w:rPr>
            </w:pPr>
            <w:r>
              <w:rPr>
                <w:rFonts w:ascii="Arial" w:cs="Arial" w:eastAsia="Arial" w:hAnsi="Arial"/>
                <w:sz w:val="18"/>
                <w:szCs w:val="18"/>
                <w:color w:val="auto"/>
              </w:rPr>
              <w:t>Other comprehensive income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9"/>
        </w:trPr>
        <w:tc>
          <w:tcPr>
            <w:tcW w:w="3880" w:type="dxa"/>
            <w:vAlign w:val="bottom"/>
          </w:tcPr>
          <w:p>
            <w:pPr>
              <w:ind w:left="180"/>
              <w:spacing w:after="0"/>
              <w:rPr>
                <w:sz w:val="20"/>
                <w:szCs w:val="20"/>
                <w:color w:val="auto"/>
              </w:rPr>
            </w:pPr>
            <w:r>
              <w:rPr>
                <w:rFonts w:ascii="Arial" w:cs="Arial" w:eastAsia="Arial" w:hAnsi="Arial"/>
                <w:sz w:val="18"/>
                <w:szCs w:val="18"/>
                <w:color w:val="auto"/>
              </w:rPr>
              <w:t>Less: Comprehensive loss attributable to</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8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2"/>
              </w:rPr>
              <w:t>Comprehensive Income Attributable to Clearway</w:t>
            </w: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1"/>
        </w:trPr>
        <w:tc>
          <w:tcPr>
            <w:tcW w:w="3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Energy LLC</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7" w:lineRule="exact"/>
        <w:rPr>
          <w:sz w:val="20"/>
          <w:szCs w:val="20"/>
          <w:color w:val="auto"/>
        </w:rPr>
      </w:pPr>
    </w:p>
    <w:p>
      <w:pPr>
        <w:ind w:left="160" w:hanging="152"/>
        <w:spacing w:after="0"/>
        <w:tabs>
          <w:tab w:leader="none" w:pos="16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42" w:right="239" w:bottom="1440" w:gutter="0" w:footer="0" w:header="0"/>
        </w:sectPr>
      </w:pPr>
    </w:p>
    <w:bookmarkStart w:id="37" w:name="page38"/>
    <w:bookmarkEnd w:id="37"/>
    <w:p>
      <w:pPr>
        <w:jc w:val="center"/>
        <w:ind w:right="-119"/>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September 30, 2018</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Clearway</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Clearway Energy</w:t>
            </w: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Energy</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40" w:type="dxa"/>
            <w:vAlign w:val="bottom"/>
          </w:tcPr>
          <w:p>
            <w:pPr>
              <w:spacing w:after="0"/>
              <w:rPr>
                <w:sz w:val="12"/>
                <w:szCs w:val="1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LLC</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860" w:type="dxa"/>
            <w:vAlign w:val="bottom"/>
          </w:tcPr>
          <w:p>
            <w:pPr>
              <w:ind w:left="15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00" w:type="dxa"/>
            <w:vAlign w:val="bottom"/>
            <w:gridSpan w:val="5"/>
          </w:tcPr>
          <w:p>
            <w:pPr>
              <w:ind w:left="70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Accounts receivable — trade</w:t>
            </w:r>
          </w:p>
        </w:tc>
        <w:tc>
          <w:tcPr>
            <w:tcW w:w="2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Notes receivable</w:t>
            </w:r>
          </w:p>
        </w:tc>
        <w:tc>
          <w:tcPr>
            <w:tcW w:w="2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Prepayments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38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5,306</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consolidated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Equity investments in affiliates</w:t>
            </w:r>
          </w:p>
        </w:tc>
        <w:tc>
          <w:tcPr>
            <w:tcW w:w="2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Derivative instruments</w:t>
            </w:r>
          </w:p>
        </w:tc>
        <w:tc>
          <w:tcPr>
            <w:tcW w:w="2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7"/>
        </w:trPr>
        <w:tc>
          <w:tcPr>
            <w:tcW w:w="3860" w:type="dxa"/>
            <w:vAlign w:val="bottom"/>
          </w:tcPr>
          <w:p>
            <w:pPr>
              <w:ind w:left="380"/>
              <w:spacing w:after="0"/>
              <w:rPr>
                <w:sz w:val="20"/>
                <w:szCs w:val="20"/>
                <w:color w:val="auto"/>
              </w:rPr>
            </w:pPr>
            <w:r>
              <w:rPr>
                <w:rFonts w:ascii="Arial" w:cs="Arial" w:eastAsia="Arial" w:hAnsi="Arial"/>
                <w:sz w:val="18"/>
                <w:szCs w:val="18"/>
                <w:color w:val="auto"/>
              </w:rPr>
              <w:t>Total other assets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1,969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1,831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3,661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2,080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7,556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8,391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4147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220" w:hanging="158"/>
        <w:spacing w:after="0"/>
        <w:tabs>
          <w:tab w:leader="none" w:pos="220" w:val="left"/>
        </w:tabs>
        <w:numPr>
          <w:ilvl w:val="0"/>
          <w:numId w:val="23"/>
        </w:numPr>
        <w:rPr>
          <w:rFonts w:ascii="Arial" w:cs="Arial" w:eastAsia="Arial" w:hAnsi="Arial"/>
          <w:sz w:val="19"/>
          <w:szCs w:val="19"/>
          <w:color w:val="auto"/>
          <w:vertAlign w:val="superscript"/>
        </w:rPr>
      </w:pPr>
      <w:r>
        <w:rPr>
          <w:rFonts w:ascii="Arial" w:cs="Arial" w:eastAsia="Arial" w:hAnsi="Arial"/>
          <w:sz w:val="15"/>
          <w:szCs w:val="15"/>
          <w:color w:val="auto"/>
        </w:rPr>
        <w:t>All significant intercompany transactions have been eliminated in consolidation.</w:t>
      </w: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00"/>
          </w:cols>
          <w:pgMar w:left="240" w:top="742" w:right="3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Clearway</w:t>
            </w: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Clearway Energy</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2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9"/>
              </w:rPr>
              <w:t>Energy LLC</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840" w:type="dxa"/>
            <w:vAlign w:val="bottom"/>
          </w:tcPr>
          <w:p>
            <w:pPr>
              <w:ind w:left="160"/>
              <w:spacing w:after="0"/>
              <w:rPr>
                <w:sz w:val="20"/>
                <w:szCs w:val="20"/>
                <w:color w:val="auto"/>
              </w:rPr>
            </w:pPr>
            <w:r>
              <w:rPr>
                <w:rFonts w:ascii="Arial" w:cs="Arial" w:eastAsia="Arial" w:hAnsi="Arial"/>
                <w:sz w:val="16"/>
                <w:szCs w:val="16"/>
                <w:b w:val="1"/>
                <w:bCs w:val="1"/>
                <w:color w:val="auto"/>
              </w:rPr>
              <w:t>LIABILITIES AND MEMBERS' EQUITY</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20" w:type="dxa"/>
            <w:vAlign w:val="bottom"/>
            <w:gridSpan w:val="5"/>
          </w:tcPr>
          <w:p>
            <w:pPr>
              <w:ind w:left="8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Current portion of long-term debt — external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 — affiliate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payable — affiliate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Derivative instruments</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7"/>
        </w:trPr>
        <w:tc>
          <w:tcPr>
            <w:tcW w:w="384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Long-term debt — external</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4,047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4,888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debt — affiliate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Derivative instruments</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7"/>
        </w:trPr>
        <w:tc>
          <w:tcPr>
            <w:tcW w:w="3840" w:type="dxa"/>
            <w:vAlign w:val="bottom"/>
          </w:tcPr>
          <w:p>
            <w:pPr>
              <w:ind w:left="260"/>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4,143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5,038</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6,118</w:t>
            </w:r>
          </w:p>
        </w:tc>
        <w:tc>
          <w:tcPr>
            <w:tcW w:w="0" w:type="dxa"/>
            <w:vAlign w:val="bottom"/>
          </w:tcPr>
          <w:p>
            <w:pPr>
              <w:spacing w:after="0"/>
              <w:rPr>
                <w:sz w:val="1"/>
                <w:szCs w:val="1"/>
                <w:color w:val="auto"/>
              </w:rPr>
            </w:pPr>
          </w:p>
        </w:tc>
      </w:tr>
      <w:tr>
        <w:trPr>
          <w:trHeight w:val="237"/>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Members' Equity</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Contributed capital</w:t>
            </w:r>
          </w:p>
        </w:tc>
        <w:tc>
          <w:tcPr>
            <w:tcW w:w="1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1,937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Retained earnings (accumulated deficit)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7"/>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Total Members' Equity</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2,080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2,942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Members’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2,080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7,556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3,663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8,391</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291465</wp:posOffset>
            </wp:positionV>
            <wp:extent cx="14147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60" w:hanging="158"/>
        <w:spacing w:after="0"/>
        <w:tabs>
          <w:tab w:leader="none" w:pos="160" w:val="left"/>
        </w:tabs>
        <w:numPr>
          <w:ilvl w:val="0"/>
          <w:numId w:val="24"/>
        </w:numPr>
        <w:rPr>
          <w:rFonts w:ascii="Arial" w:cs="Arial" w:eastAsia="Arial" w:hAnsi="Arial"/>
          <w:sz w:val="19"/>
          <w:szCs w:val="19"/>
          <w:color w:val="auto"/>
          <w:vertAlign w:val="superscript"/>
        </w:rPr>
      </w:pPr>
      <w:r>
        <w:rPr>
          <w:rFonts w:ascii="Arial" w:cs="Arial" w:eastAsia="Arial" w:hAnsi="Arial"/>
          <w:sz w:val="15"/>
          <w:szCs w:val="15"/>
          <w:color w:val="auto"/>
        </w:rPr>
        <w:t>All significant intercompany transactions have been eliminated in consolidation.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00"/>
          </w:cols>
          <w:pgMar w:left="300" w:top="958" w:right="299" w:bottom="1440" w:gutter="0" w:footer="0" w:header="0"/>
        </w:sectPr>
      </w:pPr>
    </w:p>
    <w:bookmarkStart w:id="39" w:name="page40"/>
    <w:bookmarkEnd w:id="39"/>
    <w:p>
      <w:pPr>
        <w:jc w:val="center"/>
        <w:ind w:right="-59"/>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Nine Months ended September 30, 2018</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2C2C2C"/>
                <w:w w:val="97"/>
              </w:rPr>
              <w:t>Clearway</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2C2C2C"/>
                <w:w w:val="92"/>
              </w:rPr>
              <w:t>Energy</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Clearway</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2C2C2C"/>
                <w:w w:val="96"/>
              </w:rPr>
              <w:t>Operating</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2C2C2C"/>
              </w:rPr>
              <w:t>LLC (Note</w:t>
            </w: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9"/>
              </w:rPr>
              <w:t>Energy LLC</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2C2C2C"/>
                <w:w w:val="91"/>
              </w:rPr>
              <w:t>Issuer)</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429</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Intercompany transactions between Clearway Energy LLC and</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Acquisition of business, net of cash acquired</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for the Drop Down Assets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receipts from notes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Return of investment from unconsolidated affiliates</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investments in unconsolidated affiliates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Transfer of funds under intercompany cash management arrangement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Net contributions from noncontrolling interests</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of) proceeds from distributions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Payment of debt issuance costs</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Class C units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Proceeds from the revolving credit facility</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for the revolving credit facility</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Proceeds from the issuance of long-term debt — external</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for long-term debt — external</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Payments for long-term debt — affiliate</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5"/>
        </w:trPr>
        <w:tc>
          <w:tcPr>
            <w:tcW w:w="558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7"/>
              </w:rPr>
              <w:t>Net Increase (Decrease) in Cash, Cash Equivalents and Restricted</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Cash</w:t>
            </w:r>
          </w:p>
        </w:tc>
        <w:tc>
          <w:tcPr>
            <w:tcW w:w="1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5"/>
              </w:rPr>
              <w:t>Cash, Cash Equivalents and Restricted Cash at Beginning of Period</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558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742" w:right="29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Clearway</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1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6"/>
              </w:rPr>
              <w:t>Non-Guarantor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(b)</w:t>
            </w:r>
          </w:p>
        </w:tc>
        <w:tc>
          <w:tcPr>
            <w:tcW w:w="160" w:type="dxa"/>
            <w:vAlign w:val="bottom"/>
          </w:tcPr>
          <w:p>
            <w:pPr>
              <w:spacing w:after="0"/>
              <w:rPr>
                <w:sz w:val="12"/>
                <w:szCs w:val="12"/>
                <w:color w:val="auto"/>
              </w:rPr>
            </w:pPr>
          </w:p>
        </w:tc>
        <w:tc>
          <w:tcPr>
            <w:tcW w:w="12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3"/>
              </w:rPr>
              <w:t xml:space="preserve">Consolidated </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1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 xml:space="preserve">Energy LLC </w:t>
            </w:r>
            <w:r>
              <w:rPr>
                <w:rFonts w:ascii="Arial" w:cs="Arial" w:eastAsia="Arial" w:hAnsi="Arial"/>
                <w:sz w:val="8"/>
                <w:szCs w:val="8"/>
                <w:b w:val="1"/>
                <w:bCs w:val="1"/>
                <w:color w:val="auto"/>
              </w:rPr>
              <w:t>(a)</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 xml:space="preserve">Subsidiaries </w:t>
            </w:r>
            <w:r>
              <w:rPr>
                <w:rFonts w:ascii="Arial" w:cs="Arial" w:eastAsia="Arial" w:hAnsi="Arial"/>
                <w:sz w:val="8"/>
                <w:szCs w:val="8"/>
                <w:b w:val="1"/>
                <w:bCs w:val="1"/>
                <w:color w:val="auto"/>
                <w:w w:val="96"/>
              </w:rPr>
              <w:t>(a)</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 xml:space="preserve">(Note Issuer) </w:t>
            </w:r>
            <w:r>
              <w:rPr>
                <w:rFonts w:ascii="Arial" w:cs="Arial" w:eastAsia="Arial" w:hAnsi="Arial"/>
                <w:sz w:val="8"/>
                <w:szCs w:val="8"/>
                <w:b w:val="1"/>
                <w:bCs w:val="1"/>
                <w:color w:val="auto"/>
                <w:w w:val="92"/>
              </w:rPr>
              <w:t>(a)</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266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18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Impairment losses</w:t>
            </w:r>
          </w:p>
        </w:tc>
        <w:tc>
          <w:tcPr>
            <w:tcW w:w="18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8"/>
                <w:szCs w:val="18"/>
                <w:color w:val="auto"/>
              </w:rPr>
              <w:t>Total operating costs and expenses</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Equity in earnings of consolidated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w w:val="92"/>
              </w:rPr>
              <w:t>Equity in earnings of unconsolidated affiliates</w:t>
            </w:r>
          </w:p>
        </w:tc>
        <w:tc>
          <w:tcPr>
            <w:tcW w:w="18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income (expense), net</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Less: Net loss attributable to noncontrolling</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5"/>
        </w:trPr>
        <w:tc>
          <w:tcPr>
            <w:tcW w:w="354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4"/>
              </w:rPr>
              <w:t>Net Income (Loss) Attributable to Clearway</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ind w:left="60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vMerge w:val="restart"/>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6"/>
        </w:trPr>
        <w:tc>
          <w:tcPr>
            <w:tcW w:w="3540" w:type="dxa"/>
            <w:vAlign w:val="bottom"/>
          </w:tcPr>
          <w:p>
            <w:pPr>
              <w:ind w:left="200"/>
              <w:spacing w:after="0"/>
              <w:rPr>
                <w:sz w:val="20"/>
                <w:szCs w:val="20"/>
                <w:color w:val="auto"/>
              </w:rPr>
            </w:pPr>
            <w:r>
              <w:rPr>
                <w:rFonts w:ascii="Arial" w:cs="Arial" w:eastAsia="Arial" w:hAnsi="Arial"/>
                <w:sz w:val="18"/>
                <w:szCs w:val="18"/>
                <w:b w:val="1"/>
                <w:bCs w:val="1"/>
                <w:color w:val="auto"/>
              </w:rPr>
              <w:t>Energy LLC</w:t>
            </w:r>
          </w:p>
        </w:tc>
        <w:tc>
          <w:tcPr>
            <w:tcW w:w="18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34" w:lineRule="exact"/>
        <w:rPr>
          <w:sz w:val="20"/>
          <w:szCs w:val="20"/>
          <w:color w:val="auto"/>
        </w:rPr>
      </w:pPr>
    </w:p>
    <w:p>
      <w:pPr>
        <w:ind w:left="160" w:hanging="152"/>
        <w:spacing w:after="0"/>
        <w:tabs>
          <w:tab w:leader="none" w:pos="160" w:val="left"/>
        </w:tabs>
        <w:numPr>
          <w:ilvl w:val="0"/>
          <w:numId w:val="25"/>
        </w:numPr>
        <w:rPr>
          <w:rFonts w:ascii="Arial" w:cs="Arial" w:eastAsia="Arial" w:hAnsi="Arial"/>
          <w:sz w:val="18"/>
          <w:szCs w:val="18"/>
          <w:color w:val="auto"/>
          <w:vertAlign w:val="superscript"/>
        </w:rPr>
      </w:pPr>
      <w:r>
        <w:rPr>
          <w:rFonts w:ascii="Arial" w:cs="Arial" w:eastAsia="Arial" w:hAnsi="Arial"/>
          <w:sz w:val="12"/>
          <w:szCs w:val="12"/>
          <w:color w:val="auto"/>
        </w:rPr>
        <w:t xml:space="preserve">Retrospectively adjusted as discussed in Note 1, </w:t>
      </w:r>
      <w:r>
        <w:rPr>
          <w:rFonts w:ascii="Arial" w:cs="Arial" w:eastAsia="Arial" w:hAnsi="Arial"/>
          <w:sz w:val="12"/>
          <w:szCs w:val="12"/>
          <w:i w:val="1"/>
          <w:iCs w:val="1"/>
          <w:color w:val="auto"/>
        </w:rPr>
        <w:t>Nature of Business</w:t>
      </w:r>
      <w:r>
        <w:rPr>
          <w:rFonts w:ascii="Arial" w:cs="Arial" w:eastAsia="Arial" w:hAnsi="Arial"/>
          <w:sz w:val="12"/>
          <w:szCs w:val="12"/>
          <w:color w:val="auto"/>
        </w:rPr>
        <w:t>.</w:t>
      </w:r>
    </w:p>
    <w:p>
      <w:pPr>
        <w:spacing w:after="0" w:line="32" w:lineRule="exact"/>
        <w:rPr>
          <w:rFonts w:ascii="Arial" w:cs="Arial" w:eastAsia="Arial" w:hAnsi="Arial"/>
          <w:sz w:val="18"/>
          <w:szCs w:val="18"/>
          <w:color w:val="auto"/>
          <w:vertAlign w:val="superscript"/>
        </w:rPr>
      </w:pPr>
    </w:p>
    <w:p>
      <w:pPr>
        <w:ind w:left="180" w:hanging="172"/>
        <w:spacing w:after="0" w:line="187" w:lineRule="auto"/>
        <w:tabs>
          <w:tab w:leader="none" w:pos="180" w:val="left"/>
        </w:tabs>
        <w:numPr>
          <w:ilvl w:val="0"/>
          <w:numId w:val="25"/>
        </w:numPr>
        <w:rPr>
          <w:rFonts w:ascii="Arial" w:cs="Arial" w:eastAsia="Arial" w:hAnsi="Arial"/>
          <w:sz w:val="19"/>
          <w:szCs w:val="19"/>
          <w:color w:val="auto"/>
          <w:vertAlign w:val="superscript"/>
        </w:rPr>
      </w:pPr>
      <w:r>
        <w:rPr>
          <w:rFonts w:ascii="Arial" w:cs="Arial" w:eastAsia="Arial" w:hAnsi="Arial"/>
          <w:sz w:val="13"/>
          <w:szCs w:val="13"/>
          <w:color w:val="auto"/>
        </w:rPr>
        <w:t>All significant intercompany transactions have been eliminated in consolidation.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42"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Clearway</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1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6"/>
              </w:rPr>
              <w:t>Non-Guarantor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(b)</w:t>
            </w:r>
          </w:p>
        </w:tc>
        <w:tc>
          <w:tcPr>
            <w:tcW w:w="160" w:type="dxa"/>
            <w:vAlign w:val="bottom"/>
          </w:tcPr>
          <w:p>
            <w:pPr>
              <w:spacing w:after="0"/>
              <w:rPr>
                <w:sz w:val="12"/>
                <w:szCs w:val="12"/>
                <w:color w:val="auto"/>
              </w:rPr>
            </w:pPr>
          </w:p>
        </w:tc>
        <w:tc>
          <w:tcPr>
            <w:tcW w:w="12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3"/>
              </w:rPr>
              <w:t xml:space="preserve">Consolidated </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1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 xml:space="preserve">Energy LLC </w:t>
            </w:r>
            <w:r>
              <w:rPr>
                <w:rFonts w:ascii="Arial" w:cs="Arial" w:eastAsia="Arial" w:hAnsi="Arial"/>
                <w:sz w:val="8"/>
                <w:szCs w:val="8"/>
                <w:b w:val="1"/>
                <w:bCs w:val="1"/>
                <w:color w:val="auto"/>
              </w:rPr>
              <w:t>(a)</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 xml:space="preserve">Subsidiaries </w:t>
            </w:r>
            <w:r>
              <w:rPr>
                <w:rFonts w:ascii="Arial" w:cs="Arial" w:eastAsia="Arial" w:hAnsi="Arial"/>
                <w:sz w:val="8"/>
                <w:szCs w:val="8"/>
                <w:b w:val="1"/>
                <w:bCs w:val="1"/>
                <w:color w:val="auto"/>
                <w:w w:val="96"/>
              </w:rPr>
              <w:t>(a)</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 xml:space="preserve">(Note Issuer) </w:t>
            </w:r>
            <w:r>
              <w:rPr>
                <w:rFonts w:ascii="Arial" w:cs="Arial" w:eastAsia="Arial" w:hAnsi="Arial"/>
                <w:sz w:val="8"/>
                <w:szCs w:val="8"/>
                <w:b w:val="1"/>
                <w:bCs w:val="1"/>
                <w:color w:val="auto"/>
                <w:w w:val="92"/>
              </w:rPr>
              <w:t>(a)</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770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Impairment losses</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540" w:type="dxa"/>
            <w:vAlign w:val="bottom"/>
          </w:tcPr>
          <w:p>
            <w:pPr>
              <w:ind w:left="180"/>
              <w:spacing w:after="0"/>
              <w:rPr>
                <w:sz w:val="20"/>
                <w:szCs w:val="20"/>
                <w:color w:val="auto"/>
              </w:rPr>
            </w:pPr>
            <w:r>
              <w:rPr>
                <w:rFonts w:ascii="Arial" w:cs="Arial" w:eastAsia="Arial" w:hAnsi="Arial"/>
                <w:sz w:val="18"/>
                <w:szCs w:val="18"/>
                <w:color w:val="auto"/>
              </w:rPr>
              <w:t>Acquisition-related transaction and</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340"/>
              <w:spacing w:after="0"/>
              <w:rPr>
                <w:sz w:val="20"/>
                <w:szCs w:val="20"/>
                <w:color w:val="auto"/>
              </w:rPr>
            </w:pPr>
            <w:r>
              <w:rPr>
                <w:rFonts w:ascii="Arial" w:cs="Arial" w:eastAsia="Arial" w:hAnsi="Arial"/>
                <w:sz w:val="18"/>
                <w:szCs w:val="18"/>
                <w:color w:val="auto"/>
              </w:rPr>
              <w:t>integration costs</w:t>
            </w:r>
          </w:p>
        </w:tc>
        <w:tc>
          <w:tcPr>
            <w:tcW w:w="1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costs and expenses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Equity in income of consolidated affiliates</w:t>
            </w:r>
          </w:p>
        </w:tc>
        <w:tc>
          <w:tcPr>
            <w:tcW w:w="1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Equity in earnings of unconsolidated</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affiliates</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debt extinguishment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 (expense), net</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Less: Net loss attributable to noncontrolling</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interests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5"/>
        </w:trPr>
        <w:tc>
          <w:tcPr>
            <w:tcW w:w="354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2"/>
              </w:rPr>
              <w:t>Net Income Attributable to Clearway Energy</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vMerge w:val="restart"/>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6"/>
        </w:trPr>
        <w:tc>
          <w:tcPr>
            <w:tcW w:w="3540" w:type="dxa"/>
            <w:vAlign w:val="bottom"/>
          </w:tcPr>
          <w:p>
            <w:pPr>
              <w:ind w:left="200"/>
              <w:spacing w:after="0"/>
              <w:rPr>
                <w:sz w:val="20"/>
                <w:szCs w:val="20"/>
                <w:color w:val="auto"/>
              </w:rPr>
            </w:pPr>
            <w:r>
              <w:rPr>
                <w:rFonts w:ascii="Arial" w:cs="Arial" w:eastAsia="Arial" w:hAnsi="Arial"/>
                <w:sz w:val="18"/>
                <w:szCs w:val="18"/>
                <w:b w:val="1"/>
                <w:bCs w:val="1"/>
                <w:color w:val="auto"/>
              </w:rPr>
              <w:t>LLC</w:t>
            </w:r>
          </w:p>
        </w:tc>
        <w:tc>
          <w:tcPr>
            <w:tcW w:w="18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42" w:lineRule="exact"/>
        <w:rPr>
          <w:sz w:val="20"/>
          <w:szCs w:val="20"/>
          <w:color w:val="auto"/>
        </w:rPr>
      </w:pPr>
    </w:p>
    <w:p>
      <w:pPr>
        <w:ind w:left="160" w:hanging="152"/>
        <w:spacing w:after="0"/>
        <w:tabs>
          <w:tab w:leader="none" w:pos="160" w:val="left"/>
        </w:tabs>
        <w:numPr>
          <w:ilvl w:val="0"/>
          <w:numId w:val="26"/>
        </w:numPr>
        <w:rPr>
          <w:rFonts w:ascii="Arial" w:cs="Arial" w:eastAsia="Arial" w:hAnsi="Arial"/>
          <w:sz w:val="18"/>
          <w:szCs w:val="18"/>
          <w:color w:val="auto"/>
          <w:vertAlign w:val="superscript"/>
        </w:rPr>
      </w:pPr>
      <w:r>
        <w:rPr>
          <w:rFonts w:ascii="Arial" w:cs="Arial" w:eastAsia="Arial" w:hAnsi="Arial"/>
          <w:sz w:val="12"/>
          <w:szCs w:val="12"/>
          <w:color w:val="auto"/>
        </w:rPr>
        <w:t xml:space="preserve">Retrospectively adjusted as discussed in Note 1, </w:t>
      </w:r>
      <w:r>
        <w:rPr>
          <w:rFonts w:ascii="Arial" w:cs="Arial" w:eastAsia="Arial" w:hAnsi="Arial"/>
          <w:sz w:val="12"/>
          <w:szCs w:val="12"/>
          <w:i w:val="1"/>
          <w:iCs w:val="1"/>
          <w:color w:val="auto"/>
        </w:rPr>
        <w:t>Nature of Business</w:t>
      </w:r>
      <w:r>
        <w:rPr>
          <w:rFonts w:ascii="Arial" w:cs="Arial" w:eastAsia="Arial" w:hAnsi="Arial"/>
          <w:sz w:val="12"/>
          <w:szCs w:val="12"/>
          <w:color w:val="auto"/>
        </w:rPr>
        <w:t>.</w:t>
      </w:r>
    </w:p>
    <w:p>
      <w:pPr>
        <w:spacing w:after="0" w:line="32" w:lineRule="exact"/>
        <w:rPr>
          <w:rFonts w:ascii="Arial" w:cs="Arial" w:eastAsia="Arial" w:hAnsi="Arial"/>
          <w:sz w:val="18"/>
          <w:szCs w:val="18"/>
          <w:color w:val="auto"/>
          <w:vertAlign w:val="superscript"/>
        </w:rPr>
      </w:pPr>
    </w:p>
    <w:p>
      <w:pPr>
        <w:ind w:left="180" w:hanging="172"/>
        <w:spacing w:after="0" w:line="187" w:lineRule="auto"/>
        <w:tabs>
          <w:tab w:leader="none" w:pos="180" w:val="left"/>
        </w:tabs>
        <w:numPr>
          <w:ilvl w:val="0"/>
          <w:numId w:val="26"/>
        </w:numPr>
        <w:rPr>
          <w:rFonts w:ascii="Arial" w:cs="Arial" w:eastAsia="Arial" w:hAnsi="Arial"/>
          <w:sz w:val="19"/>
          <w:szCs w:val="19"/>
          <w:color w:val="auto"/>
          <w:vertAlign w:val="superscript"/>
        </w:rPr>
      </w:pPr>
      <w:r>
        <w:rPr>
          <w:rFonts w:ascii="Arial" w:cs="Arial" w:eastAsia="Arial" w:hAnsi="Arial"/>
          <w:sz w:val="13"/>
          <w:szCs w:val="13"/>
          <w:color w:val="auto"/>
        </w:rPr>
        <w:t>All significant intercompany transactions have been eliminated in consolidation.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42" w:right="239" w:bottom="1440" w:gutter="0" w:footer="0" w:header="0"/>
        </w:sectPr>
      </w:pPr>
    </w:p>
    <w:bookmarkStart w:id="42" w:name="page43"/>
    <w:bookmarkEnd w:id="42"/>
    <w:p>
      <w:pPr>
        <w:jc w:val="center"/>
        <w:spacing w:after="0" w:line="475" w:lineRule="auto"/>
        <w:rPr>
          <w:sz w:val="20"/>
          <w:szCs w:val="20"/>
          <w:color w:val="auto"/>
        </w:rPr>
      </w:pPr>
      <w:r>
        <w:rPr>
          <w:rFonts w:ascii="Arial" w:cs="Arial" w:eastAsia="Arial" w:hAnsi="Arial"/>
          <w:sz w:val="18"/>
          <w:szCs w:val="18"/>
          <w:b w:val="1"/>
          <w:bCs w:val="1"/>
          <w:color w:val="auto"/>
        </w:rPr>
        <w:t>CLEARWAY ENERGY LLC AND SUBSIDIARIES CONDENSED CONSOLIDATING STATEMENTS OF COMPREHENSIVE INCOME (LOSS) For the Three Months Ended September 30, 2017 (Unaudited)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Clearway</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Clearway Energy</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200" w:type="dxa"/>
            <w:vAlign w:val="bottom"/>
          </w:tcPr>
          <w:p>
            <w:pPr>
              <w:spacing w:after="0"/>
              <w:rPr>
                <w:sz w:val="12"/>
                <w:szCs w:val="12"/>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(b)</w:t>
            </w:r>
          </w:p>
        </w:tc>
        <w:tc>
          <w:tcPr>
            <w:tcW w:w="160" w:type="dxa"/>
            <w:vAlign w:val="bottom"/>
          </w:tcPr>
          <w:p>
            <w:pPr>
              <w:spacing w:after="0"/>
              <w:rPr>
                <w:sz w:val="12"/>
                <w:szCs w:val="12"/>
                <w:color w:val="auto"/>
              </w:rPr>
            </w:pPr>
          </w:p>
        </w:tc>
        <w:tc>
          <w:tcPr>
            <w:tcW w:w="12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5"/>
              </w:rPr>
              <w:t xml:space="preserve">Consolidated </w:t>
            </w:r>
            <w:r>
              <w:rPr>
                <w:rFonts w:ascii="Arial" w:cs="Arial" w:eastAsia="Arial" w:hAnsi="Arial"/>
                <w:sz w:val="8"/>
                <w:szCs w:val="8"/>
                <w:b w:val="1"/>
                <w:bCs w:val="1"/>
                <w:color w:val="auto"/>
                <w:w w:val="95"/>
              </w:rPr>
              <w:t>(a)</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11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 xml:space="preserve">Energy LLC </w:t>
            </w:r>
            <w:r>
              <w:rPr>
                <w:rFonts w:ascii="Arial" w:cs="Arial" w:eastAsia="Arial" w:hAnsi="Arial"/>
                <w:sz w:val="8"/>
                <w:szCs w:val="8"/>
                <w:b w:val="1"/>
                <w:bCs w:val="1"/>
                <w:color w:val="auto"/>
              </w:rPr>
              <w:t>(a)</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 xml:space="preserve">Subsidiaries </w:t>
            </w:r>
            <w:r>
              <w:rPr>
                <w:rFonts w:ascii="Arial" w:cs="Arial" w:eastAsia="Arial" w:hAnsi="Arial"/>
                <w:sz w:val="8"/>
                <w:szCs w:val="8"/>
                <w:b w:val="1"/>
                <w:bCs w:val="1"/>
                <w:color w:val="auto"/>
                <w:w w:val="92"/>
              </w:rPr>
              <w:t>(a)</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 xml:space="preserve">(Note Issuer) </w:t>
            </w:r>
            <w:r>
              <w:rPr>
                <w:rFonts w:ascii="Arial" w:cs="Arial" w:eastAsia="Arial" w:hAnsi="Arial"/>
                <w:sz w:val="8"/>
                <w:szCs w:val="8"/>
                <w:b w:val="1"/>
                <w:bCs w:val="1"/>
                <w:color w:val="auto"/>
                <w:w w:val="94"/>
              </w:rPr>
              <w:t>(a)</w:t>
            </w: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28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380"/>
              <w:spacing w:after="0"/>
              <w:rPr>
                <w:sz w:val="20"/>
                <w:szCs w:val="20"/>
                <w:color w:val="auto"/>
              </w:rPr>
            </w:pPr>
            <w:r>
              <w:rPr>
                <w:rFonts w:ascii="Arial" w:cs="Arial" w:eastAsia="Arial" w:hAnsi="Arial"/>
                <w:sz w:val="18"/>
                <w:szCs w:val="18"/>
                <w:color w:val="auto"/>
              </w:rPr>
              <w:t>Unrealized loss on derivatives</w:t>
            </w: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32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Less: Comprehensive loss attributable to</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5"/>
        </w:trPr>
        <w:tc>
          <w:tcPr>
            <w:tcW w:w="328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Comprehensive Income (Loss)</w:t>
            </w:r>
          </w:p>
        </w:tc>
        <w:tc>
          <w:tcPr>
            <w:tcW w:w="18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6"/>
        </w:trPr>
        <w:tc>
          <w:tcPr>
            <w:tcW w:w="3280" w:type="dxa"/>
            <w:vAlign w:val="bottom"/>
          </w:tcPr>
          <w:p>
            <w:pPr>
              <w:ind w:left="200"/>
              <w:spacing w:after="0"/>
              <w:rPr>
                <w:sz w:val="20"/>
                <w:szCs w:val="20"/>
                <w:color w:val="auto"/>
              </w:rPr>
            </w:pPr>
            <w:r>
              <w:rPr>
                <w:rFonts w:ascii="Arial" w:cs="Arial" w:eastAsia="Arial" w:hAnsi="Arial"/>
                <w:sz w:val="18"/>
                <w:szCs w:val="18"/>
                <w:b w:val="1"/>
                <w:bCs w:val="1"/>
                <w:color w:val="auto"/>
                <w:w w:val="97"/>
              </w:rPr>
              <w:t>Attributable to Clearway Energy LLC</w:t>
            </w:r>
          </w:p>
        </w:tc>
        <w:tc>
          <w:tcPr>
            <w:tcW w:w="1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40" w:type="dxa"/>
            <w:vAlign w:val="bottom"/>
            <w:gridSpan w:val="11"/>
          </w:tcPr>
          <w:p>
            <w:pPr>
              <w:jc w:val="center"/>
              <w:ind w:right="440"/>
              <w:spacing w:after="0"/>
              <w:rPr>
                <w:sz w:val="20"/>
                <w:szCs w:val="20"/>
                <w:color w:val="auto"/>
              </w:rPr>
            </w:pPr>
            <w:r>
              <w:rPr>
                <w:rFonts w:ascii="Arial" w:cs="Arial" w:eastAsia="Arial" w:hAnsi="Arial"/>
                <w:sz w:val="18"/>
                <w:szCs w:val="18"/>
                <w:b w:val="1"/>
                <w:bCs w:val="1"/>
                <w:color w:val="auto"/>
                <w:w w:val="90"/>
              </w:rPr>
              <w:t>For the Nine Months Ended September 30, 2017</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Clearway</w:t>
            </w:r>
          </w:p>
        </w:tc>
        <w:tc>
          <w:tcPr>
            <w:tcW w:w="14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24"/>
                <w:szCs w:val="24"/>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Clearway Energy</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200" w:type="dxa"/>
            <w:vAlign w:val="bottom"/>
          </w:tcPr>
          <w:p>
            <w:pPr>
              <w:spacing w:after="0"/>
              <w:rPr>
                <w:sz w:val="12"/>
                <w:szCs w:val="12"/>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(b)</w:t>
            </w:r>
          </w:p>
        </w:tc>
        <w:tc>
          <w:tcPr>
            <w:tcW w:w="160" w:type="dxa"/>
            <w:vAlign w:val="bottom"/>
          </w:tcPr>
          <w:p>
            <w:pPr>
              <w:spacing w:after="0"/>
              <w:rPr>
                <w:sz w:val="12"/>
                <w:szCs w:val="12"/>
                <w:color w:val="auto"/>
              </w:rPr>
            </w:pPr>
          </w:p>
        </w:tc>
        <w:tc>
          <w:tcPr>
            <w:tcW w:w="12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5"/>
              </w:rPr>
              <w:t xml:space="preserve">Consolidated </w:t>
            </w:r>
            <w:r>
              <w:rPr>
                <w:rFonts w:ascii="Arial" w:cs="Arial" w:eastAsia="Arial" w:hAnsi="Arial"/>
                <w:sz w:val="8"/>
                <w:szCs w:val="8"/>
                <w:b w:val="1"/>
                <w:bCs w:val="1"/>
                <w:color w:val="auto"/>
                <w:w w:val="95"/>
              </w:rPr>
              <w:t>(a)</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11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 xml:space="preserve">Energy LLC </w:t>
            </w:r>
            <w:r>
              <w:rPr>
                <w:rFonts w:ascii="Arial" w:cs="Arial" w:eastAsia="Arial" w:hAnsi="Arial"/>
                <w:sz w:val="8"/>
                <w:szCs w:val="8"/>
                <w:b w:val="1"/>
                <w:bCs w:val="1"/>
                <w:color w:val="auto"/>
              </w:rPr>
              <w:t>(a)</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 xml:space="preserve">Subsidiaries </w:t>
            </w:r>
            <w:r>
              <w:rPr>
                <w:rFonts w:ascii="Arial" w:cs="Arial" w:eastAsia="Arial" w:hAnsi="Arial"/>
                <w:sz w:val="8"/>
                <w:szCs w:val="8"/>
                <w:b w:val="1"/>
                <w:bCs w:val="1"/>
                <w:color w:val="auto"/>
                <w:w w:val="92"/>
              </w:rPr>
              <w:t>(a)</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 xml:space="preserve">(Note Issuer) </w:t>
            </w:r>
            <w:r>
              <w:rPr>
                <w:rFonts w:ascii="Arial" w:cs="Arial" w:eastAsia="Arial" w:hAnsi="Arial"/>
                <w:sz w:val="8"/>
                <w:szCs w:val="8"/>
                <w:b w:val="1"/>
                <w:bCs w:val="1"/>
                <w:color w:val="auto"/>
                <w:w w:val="94"/>
              </w:rPr>
              <w:t>(a)</w:t>
            </w: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28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380"/>
              <w:spacing w:after="0"/>
              <w:rPr>
                <w:sz w:val="20"/>
                <w:szCs w:val="20"/>
                <w:color w:val="auto"/>
              </w:rPr>
            </w:pPr>
            <w:r>
              <w:rPr>
                <w:rFonts w:ascii="Arial" w:cs="Arial" w:eastAsia="Arial" w:hAnsi="Arial"/>
                <w:sz w:val="18"/>
                <w:szCs w:val="18"/>
                <w:color w:val="auto"/>
              </w:rPr>
              <w:t>Unrealized gain on derivatives</w:t>
            </w: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32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Less: Comprehensive loss attributable to</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5"/>
        </w:trPr>
        <w:tc>
          <w:tcPr>
            <w:tcW w:w="328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7"/>
              </w:rPr>
              <w:t>Comprehensive Income Attributable to</w:t>
            </w:r>
          </w:p>
        </w:tc>
        <w:tc>
          <w:tcPr>
            <w:tcW w:w="18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6"/>
        </w:trPr>
        <w:tc>
          <w:tcPr>
            <w:tcW w:w="3280" w:type="dxa"/>
            <w:vAlign w:val="bottom"/>
          </w:tcPr>
          <w:p>
            <w:pPr>
              <w:ind w:left="200"/>
              <w:spacing w:after="0"/>
              <w:rPr>
                <w:sz w:val="20"/>
                <w:szCs w:val="20"/>
                <w:color w:val="auto"/>
              </w:rPr>
            </w:pPr>
            <w:r>
              <w:rPr>
                <w:rFonts w:ascii="Arial" w:cs="Arial" w:eastAsia="Arial" w:hAnsi="Arial"/>
                <w:sz w:val="18"/>
                <w:szCs w:val="18"/>
                <w:b w:val="1"/>
                <w:bCs w:val="1"/>
                <w:color w:val="auto"/>
              </w:rPr>
              <w:t>Clearway Energy LLC</w:t>
            </w:r>
          </w:p>
        </w:tc>
        <w:tc>
          <w:tcPr>
            <w:tcW w:w="1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722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99" w:lineRule="exact"/>
        <w:rPr>
          <w:sz w:val="20"/>
          <w:szCs w:val="20"/>
          <w:color w:val="auto"/>
        </w:rPr>
      </w:pPr>
    </w:p>
    <w:p>
      <w:pPr>
        <w:ind w:left="140" w:hanging="132"/>
        <w:spacing w:after="0"/>
        <w:tabs>
          <w:tab w:leader="none" w:pos="140" w:val="left"/>
        </w:tabs>
        <w:numPr>
          <w:ilvl w:val="0"/>
          <w:numId w:val="27"/>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1" w:lineRule="exact"/>
        <w:rPr>
          <w:rFonts w:ascii="Arial" w:cs="Arial" w:eastAsia="Arial" w:hAnsi="Arial"/>
          <w:sz w:val="9"/>
          <w:szCs w:val="9"/>
          <w:color w:val="auto"/>
        </w:rPr>
      </w:pPr>
    </w:p>
    <w:p>
      <w:pPr>
        <w:ind w:left="140" w:hanging="132"/>
        <w:spacing w:after="0" w:line="229" w:lineRule="auto"/>
        <w:tabs>
          <w:tab w:leader="none" w:pos="140" w:val="left"/>
        </w:tabs>
        <w:numPr>
          <w:ilvl w:val="0"/>
          <w:numId w:val="27"/>
        </w:numPr>
        <w:rPr>
          <w:rFonts w:ascii="Arial" w:cs="Arial" w:eastAsia="Arial" w:hAnsi="Arial"/>
          <w:sz w:val="16"/>
          <w:szCs w:val="16"/>
          <w:color w:val="auto"/>
          <w:vertAlign w:val="superscript"/>
        </w:rPr>
      </w:pPr>
      <w:r>
        <w:rPr>
          <w:rFonts w:ascii="Arial" w:cs="Arial" w:eastAsia="Arial" w:hAnsi="Arial"/>
          <w:sz w:val="13"/>
          <w:szCs w:val="13"/>
          <w:color w:val="auto"/>
        </w:rPr>
        <w:t>All significant intercompany transactions have been eliminated in consolidation.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42"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Clearway</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1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6"/>
              </w:rPr>
              <w:t>Non-Guarantor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(b)</w:t>
            </w:r>
          </w:p>
        </w:tc>
        <w:tc>
          <w:tcPr>
            <w:tcW w:w="160" w:type="dxa"/>
            <w:vAlign w:val="bottom"/>
          </w:tcPr>
          <w:p>
            <w:pPr>
              <w:spacing w:after="0"/>
              <w:rPr>
                <w:sz w:val="12"/>
                <w:szCs w:val="12"/>
                <w:color w:val="auto"/>
              </w:rPr>
            </w:pPr>
          </w:p>
        </w:tc>
        <w:tc>
          <w:tcPr>
            <w:tcW w:w="12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5"/>
              </w:rPr>
              <w:t xml:space="preserve">Consolidated </w:t>
            </w:r>
            <w:r>
              <w:rPr>
                <w:rFonts w:ascii="Arial" w:cs="Arial" w:eastAsia="Arial" w:hAnsi="Arial"/>
                <w:sz w:val="8"/>
                <w:szCs w:val="8"/>
                <w:b w:val="1"/>
                <w:bCs w:val="1"/>
                <w:color w:val="auto"/>
                <w:w w:val="95"/>
              </w:rPr>
              <w:t>(a)</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11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 xml:space="preserve">Energy LLC </w:t>
            </w:r>
            <w:r>
              <w:rPr>
                <w:rFonts w:ascii="Arial" w:cs="Arial" w:eastAsia="Arial" w:hAnsi="Arial"/>
                <w:sz w:val="8"/>
                <w:szCs w:val="8"/>
                <w:b w:val="1"/>
                <w:bCs w:val="1"/>
                <w:color w:val="auto"/>
              </w:rPr>
              <w:t>(a)</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 xml:space="preserve">Subsidiaries </w:t>
            </w:r>
            <w:r>
              <w:rPr>
                <w:rFonts w:ascii="Arial" w:cs="Arial" w:eastAsia="Arial" w:hAnsi="Arial"/>
                <w:sz w:val="8"/>
                <w:szCs w:val="8"/>
                <w:b w:val="1"/>
                <w:bCs w:val="1"/>
                <w:color w:val="auto"/>
                <w:w w:val="96"/>
              </w:rPr>
              <w:t>(a)</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 xml:space="preserve">(Note Issuer) </w:t>
            </w:r>
            <w:r>
              <w:rPr>
                <w:rFonts w:ascii="Arial" w:cs="Arial" w:eastAsia="Arial" w:hAnsi="Arial"/>
                <w:sz w:val="8"/>
                <w:szCs w:val="8"/>
                <w:b w:val="1"/>
                <w:bCs w:val="1"/>
                <w:color w:val="auto"/>
                <w:w w:val="92"/>
              </w:rPr>
              <w:t>(a)</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560" w:type="dxa"/>
            <w:vAlign w:val="bottom"/>
          </w:tcPr>
          <w:p>
            <w:pPr>
              <w:ind w:left="138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Accounts receivable — trade</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 affiliate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Prepayments and other current assets</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97"/>
        </w:trPr>
        <w:tc>
          <w:tcPr>
            <w:tcW w:w="3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5,410</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consolidated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Equity investments in affiliates</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Derivative instruments</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7"/>
        </w:trPr>
        <w:tc>
          <w:tcPr>
            <w:tcW w:w="3560" w:type="dxa"/>
            <w:vAlign w:val="bottom"/>
          </w:tcPr>
          <w:p>
            <w:pPr>
              <w:ind w:left="380"/>
              <w:spacing w:after="0"/>
              <w:rPr>
                <w:sz w:val="20"/>
                <w:szCs w:val="20"/>
                <w:color w:val="auto"/>
              </w:rPr>
            </w:pPr>
            <w:r>
              <w:rPr>
                <w:rFonts w:ascii="Arial" w:cs="Arial" w:eastAsia="Arial" w:hAnsi="Arial"/>
                <w:sz w:val="18"/>
                <w:szCs w:val="18"/>
                <w:color w:val="auto"/>
              </w:rPr>
              <w:t>Total other assets</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3,566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1,867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7,662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3,568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8,360</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48" w:lineRule="exact"/>
        <w:rPr>
          <w:sz w:val="20"/>
          <w:szCs w:val="20"/>
          <w:color w:val="auto"/>
        </w:rPr>
      </w:pPr>
    </w:p>
    <w:p>
      <w:pPr>
        <w:ind w:left="140" w:hanging="132"/>
        <w:spacing w:after="0"/>
        <w:tabs>
          <w:tab w:leader="none" w:pos="140" w:val="left"/>
        </w:tabs>
        <w:numPr>
          <w:ilvl w:val="0"/>
          <w:numId w:val="28"/>
        </w:numPr>
        <w:rPr>
          <w:rFonts w:ascii="Arial" w:cs="Arial" w:eastAsia="Arial" w:hAnsi="Arial"/>
          <w:sz w:val="16"/>
          <w:szCs w:val="16"/>
          <w:color w:val="auto"/>
          <w:vertAlign w:val="superscript"/>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32"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8"/>
        </w:numPr>
        <w:rPr>
          <w:rFonts w:ascii="Arial" w:cs="Arial" w:eastAsia="Arial" w:hAnsi="Arial"/>
          <w:sz w:val="16"/>
          <w:szCs w:val="16"/>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42"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Clearway</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1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6"/>
              </w:rPr>
              <w:t>Non-Guarantor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(b)</w:t>
            </w:r>
          </w:p>
        </w:tc>
        <w:tc>
          <w:tcPr>
            <w:tcW w:w="160" w:type="dxa"/>
            <w:vAlign w:val="bottom"/>
          </w:tcPr>
          <w:p>
            <w:pPr>
              <w:spacing w:after="0"/>
              <w:rPr>
                <w:sz w:val="12"/>
                <w:szCs w:val="12"/>
                <w:color w:val="auto"/>
              </w:rPr>
            </w:pPr>
          </w:p>
        </w:tc>
        <w:tc>
          <w:tcPr>
            <w:tcW w:w="12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5"/>
              </w:rPr>
              <w:t xml:space="preserve">Consolidated </w:t>
            </w:r>
            <w:r>
              <w:rPr>
                <w:rFonts w:ascii="Arial" w:cs="Arial" w:eastAsia="Arial" w:hAnsi="Arial"/>
                <w:sz w:val="8"/>
                <w:szCs w:val="8"/>
                <w:b w:val="1"/>
                <w:bCs w:val="1"/>
                <w:color w:val="auto"/>
                <w:w w:val="95"/>
              </w:rPr>
              <w:t>(a)</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11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 xml:space="preserve">Energy LLC </w:t>
            </w:r>
            <w:r>
              <w:rPr>
                <w:rFonts w:ascii="Arial" w:cs="Arial" w:eastAsia="Arial" w:hAnsi="Arial"/>
                <w:sz w:val="8"/>
                <w:szCs w:val="8"/>
                <w:b w:val="1"/>
                <w:bCs w:val="1"/>
                <w:color w:val="auto"/>
              </w:rPr>
              <w:t>(a)</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 xml:space="preserve">Subsidiaries </w:t>
            </w:r>
            <w:r>
              <w:rPr>
                <w:rFonts w:ascii="Arial" w:cs="Arial" w:eastAsia="Arial" w:hAnsi="Arial"/>
                <w:sz w:val="8"/>
                <w:szCs w:val="8"/>
                <w:b w:val="1"/>
                <w:bCs w:val="1"/>
                <w:color w:val="auto"/>
                <w:w w:val="96"/>
              </w:rPr>
              <w:t>(a)</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 xml:space="preserve">(Note Issuer) </w:t>
            </w:r>
            <w:r>
              <w:rPr>
                <w:rFonts w:ascii="Arial" w:cs="Arial" w:eastAsia="Arial" w:hAnsi="Arial"/>
                <w:sz w:val="8"/>
                <w:szCs w:val="8"/>
                <w:b w:val="1"/>
                <w:bCs w:val="1"/>
                <w:color w:val="auto"/>
                <w:w w:val="92"/>
              </w:rPr>
              <w:t>(a)</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560" w:type="dxa"/>
            <w:vAlign w:val="bottom"/>
          </w:tcPr>
          <w:p>
            <w:pPr>
              <w:ind w:left="40"/>
              <w:spacing w:after="0"/>
              <w:rPr>
                <w:sz w:val="20"/>
                <w:szCs w:val="20"/>
                <w:color w:val="auto"/>
              </w:rPr>
            </w:pPr>
            <w:r>
              <w:rPr>
                <w:rFonts w:ascii="Arial" w:cs="Arial" w:eastAsia="Arial" w:hAnsi="Arial"/>
                <w:sz w:val="16"/>
                <w:szCs w:val="16"/>
                <w:b w:val="1"/>
                <w:bCs w:val="1"/>
                <w:color w:val="auto"/>
              </w:rPr>
              <w:t>LIABILITIES AND MEMBERS' EQUITY</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20" w:type="dxa"/>
            <w:vAlign w:val="bottom"/>
            <w:gridSpan w:val="5"/>
          </w:tcPr>
          <w:p>
            <w:pPr>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180"/>
              <w:spacing w:after="0"/>
              <w:rPr>
                <w:sz w:val="20"/>
                <w:szCs w:val="20"/>
                <w:color w:val="auto"/>
              </w:rPr>
            </w:pPr>
            <w:r>
              <w:rPr>
                <w:rFonts w:ascii="Arial" w:cs="Arial" w:eastAsia="Arial" w:hAnsi="Arial"/>
                <w:sz w:val="18"/>
                <w:szCs w:val="18"/>
                <w:color w:val="auto"/>
              </w:rPr>
              <w:t>Current portion of long-term debt —</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340"/>
              <w:spacing w:after="0"/>
              <w:rPr>
                <w:sz w:val="20"/>
                <w:szCs w:val="20"/>
                <w:color w:val="auto"/>
              </w:rPr>
            </w:pPr>
            <w:r>
              <w:rPr>
                <w:rFonts w:ascii="Arial" w:cs="Arial" w:eastAsia="Arial" w:hAnsi="Arial"/>
                <w:sz w:val="18"/>
                <w:szCs w:val="18"/>
                <w:color w:val="auto"/>
              </w:rPr>
              <w:t>external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339</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Accounts payable — affiliate</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3560" w:type="dxa"/>
            <w:vAlign w:val="bottom"/>
          </w:tcPr>
          <w:p>
            <w:pPr>
              <w:ind w:left="180"/>
              <w:spacing w:after="0"/>
              <w:rPr>
                <w:sz w:val="20"/>
                <w:szCs w:val="20"/>
                <w:color w:val="auto"/>
              </w:rPr>
            </w:pPr>
            <w:r>
              <w:rPr>
                <w:rFonts w:ascii="Arial" w:cs="Arial" w:eastAsia="Arial" w:hAnsi="Arial"/>
                <w:sz w:val="18"/>
                <w:szCs w:val="18"/>
                <w:color w:val="auto"/>
              </w:rPr>
              <w:t>Accrued expenses and other current</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34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 external</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Long-term debt — affiliate</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non-current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4,269</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37"/>
        </w:trPr>
        <w:tc>
          <w:tcPr>
            <w:tcW w:w="3560" w:type="dxa"/>
            <w:vAlign w:val="bottom"/>
          </w:tcPr>
          <w:p>
            <w:pPr>
              <w:ind w:left="18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1,562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Members' Equity</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Contributed capital</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Retained earnings (Accumulated deficit)</w:t>
            </w:r>
          </w:p>
        </w:tc>
        <w:tc>
          <w:tcPr>
            <w:tcW w:w="1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Members' Equity</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57"/>
        </w:trPr>
        <w:tc>
          <w:tcPr>
            <w:tcW w:w="3560" w:type="dxa"/>
            <w:vAlign w:val="bottom"/>
          </w:tcPr>
          <w:p>
            <w:pPr>
              <w:ind w:left="180"/>
              <w:spacing w:after="0"/>
              <w:rPr>
                <w:sz w:val="20"/>
                <w:szCs w:val="20"/>
                <w:color w:val="auto"/>
              </w:rPr>
            </w:pPr>
            <w:r>
              <w:rPr>
                <w:rFonts w:ascii="Arial" w:cs="Arial" w:eastAsia="Arial" w:hAnsi="Arial"/>
                <w:sz w:val="18"/>
                <w:szCs w:val="18"/>
                <w:b w:val="1"/>
                <w:bCs w:val="1"/>
                <w:color w:val="auto"/>
              </w:rPr>
              <w:t>Total Liabilities and Members’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7,662</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3,568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8,360</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140" w:hanging="132"/>
        <w:spacing w:after="0"/>
        <w:tabs>
          <w:tab w:leader="none" w:pos="140" w:val="left"/>
        </w:tabs>
        <w:numPr>
          <w:ilvl w:val="0"/>
          <w:numId w:val="29"/>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1" w:lineRule="exact"/>
        <w:rPr>
          <w:rFonts w:ascii="Arial" w:cs="Arial" w:eastAsia="Arial" w:hAnsi="Arial"/>
          <w:sz w:val="9"/>
          <w:szCs w:val="9"/>
          <w:color w:val="auto"/>
        </w:rPr>
      </w:pPr>
    </w:p>
    <w:p>
      <w:pPr>
        <w:ind w:left="140" w:hanging="132"/>
        <w:spacing w:after="0"/>
        <w:tabs>
          <w:tab w:leader="none" w:pos="140" w:val="left"/>
        </w:tabs>
        <w:numPr>
          <w:ilvl w:val="0"/>
          <w:numId w:val="29"/>
        </w:numPr>
        <w:rPr>
          <w:rFonts w:ascii="Arial" w:cs="Arial" w:eastAsia="Arial" w:hAnsi="Arial"/>
          <w:sz w:val="16"/>
          <w:szCs w:val="16"/>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14147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42"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Clearway Energy</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Clearway Energy</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2"/>
                <w:szCs w:val="12"/>
                <w:color w:val="auto"/>
              </w:rPr>
            </w:pPr>
          </w:p>
        </w:tc>
        <w:tc>
          <w:tcPr>
            <w:tcW w:w="12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5"/>
              </w:rPr>
              <w:t xml:space="preserve">Consolidated </w:t>
            </w:r>
            <w:r>
              <w:rPr>
                <w:rFonts w:ascii="Arial" w:cs="Arial" w:eastAsia="Arial" w:hAnsi="Arial"/>
                <w:sz w:val="8"/>
                <w:szCs w:val="8"/>
                <w:b w:val="1"/>
                <w:bCs w:val="1"/>
                <w:color w:val="auto"/>
                <w:w w:val="95"/>
              </w:rPr>
              <w:t>(a)</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 xml:space="preserve">LLC </w:t>
            </w:r>
            <w:r>
              <w:rPr>
                <w:rFonts w:ascii="Arial" w:cs="Arial" w:eastAsia="Arial" w:hAnsi="Arial"/>
                <w:sz w:val="8"/>
                <w:szCs w:val="8"/>
                <w:b w:val="1"/>
                <w:bCs w:val="1"/>
                <w:color w:val="auto"/>
              </w:rPr>
              <w:t>(a)</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 xml:space="preserve">Subsidiaries </w:t>
            </w:r>
            <w:r>
              <w:rPr>
                <w:rFonts w:ascii="Arial" w:cs="Arial" w:eastAsia="Arial" w:hAnsi="Arial"/>
                <w:sz w:val="8"/>
                <w:szCs w:val="8"/>
                <w:b w:val="1"/>
                <w:bCs w:val="1"/>
                <w:color w:val="auto"/>
                <w:w w:val="92"/>
              </w:rPr>
              <w:t>(a)</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 xml:space="preserve">(Note Issuer) </w:t>
            </w:r>
            <w:r>
              <w:rPr>
                <w:rFonts w:ascii="Arial" w:cs="Arial" w:eastAsia="Arial" w:hAnsi="Arial"/>
                <w:sz w:val="8"/>
                <w:szCs w:val="8"/>
                <w:b w:val="1"/>
                <w:bCs w:val="1"/>
                <w:color w:val="auto"/>
                <w:w w:val="94"/>
              </w:rPr>
              <w:t>(a)</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5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3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180"/>
              <w:spacing w:after="0"/>
              <w:rPr>
                <w:sz w:val="20"/>
                <w:szCs w:val="20"/>
                <w:color w:val="auto"/>
              </w:rPr>
            </w:pPr>
            <w:r>
              <w:rPr>
                <w:rFonts w:ascii="Arial" w:cs="Arial" w:eastAsia="Arial" w:hAnsi="Arial"/>
                <w:sz w:val="18"/>
                <w:szCs w:val="18"/>
                <w:color w:val="auto"/>
                <w:w w:val="96"/>
              </w:rPr>
              <w:t>Intercompany transactions from Clearway Energy LLC to</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340"/>
              <w:spacing w:after="0"/>
              <w:rPr>
                <w:sz w:val="20"/>
                <w:szCs w:val="20"/>
                <w:color w:val="auto"/>
              </w:rPr>
            </w:pPr>
            <w:r>
              <w:rPr>
                <w:rFonts w:ascii="Arial" w:cs="Arial" w:eastAsia="Arial" w:hAnsi="Arial"/>
                <w:sz w:val="18"/>
                <w:szCs w:val="18"/>
                <w:color w:val="auto"/>
              </w:rPr>
              <w:t>subsidiaries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for the Drop Down Assets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receipts from notes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Return of investment from unconsolidated affiliates</w:t>
            </w:r>
          </w:p>
        </w:tc>
        <w:tc>
          <w:tcPr>
            <w:tcW w:w="2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investments in unconsolidated affiliates</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180"/>
              <w:spacing w:after="0"/>
              <w:rPr>
                <w:sz w:val="20"/>
                <w:szCs w:val="20"/>
                <w:color w:val="auto"/>
              </w:rPr>
            </w:pPr>
            <w:r>
              <w:rPr>
                <w:rFonts w:ascii="Arial" w:cs="Arial" w:eastAsia="Arial" w:hAnsi="Arial"/>
                <w:sz w:val="18"/>
                <w:szCs w:val="18"/>
                <w:color w:val="auto"/>
                <w:w w:val="96"/>
              </w:rPr>
              <w:t>Transfer of funds under intercompany cash management</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340"/>
              <w:spacing w:after="0"/>
              <w:rPr>
                <w:sz w:val="20"/>
                <w:szCs w:val="20"/>
                <w:color w:val="auto"/>
              </w:rPr>
            </w:pPr>
            <w:r>
              <w:rPr>
                <w:rFonts w:ascii="Arial" w:cs="Arial" w:eastAsia="Arial" w:hAnsi="Arial"/>
                <w:sz w:val="18"/>
                <w:szCs w:val="18"/>
                <w:color w:val="auto"/>
              </w:rPr>
              <w:t>arrangement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contributions from 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4580" w:type="dxa"/>
            <w:vAlign w:val="bottom"/>
          </w:tcPr>
          <w:p>
            <w:pPr>
              <w:ind w:left="180"/>
              <w:spacing w:after="0"/>
              <w:rPr>
                <w:sz w:val="20"/>
                <w:szCs w:val="20"/>
                <w:color w:val="auto"/>
              </w:rPr>
            </w:pPr>
            <w:r>
              <w:rPr>
                <w:rFonts w:ascii="Arial" w:cs="Arial" w:eastAsia="Arial" w:hAnsi="Arial"/>
                <w:sz w:val="18"/>
                <w:szCs w:val="18"/>
                <w:color w:val="auto"/>
                <w:w w:val="97"/>
              </w:rPr>
              <w:t>Net distributions and return of capital to NRG prior to the</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340"/>
              <w:spacing w:after="0"/>
              <w:rPr>
                <w:sz w:val="20"/>
                <w:szCs w:val="20"/>
                <w:color w:val="auto"/>
              </w:rPr>
            </w:pPr>
            <w:r>
              <w:rPr>
                <w:rFonts w:ascii="Arial" w:cs="Arial" w:eastAsia="Arial" w:hAnsi="Arial"/>
                <w:sz w:val="18"/>
                <w:szCs w:val="18"/>
                <w:color w:val="auto"/>
              </w:rPr>
              <w:t>acquisition of Drop Down Assets</w:t>
            </w:r>
          </w:p>
        </w:tc>
        <w:tc>
          <w:tcPr>
            <w:tcW w:w="2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the issuance of Class C units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(Payments of) proceeds from distributions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w w:val="98"/>
              </w:rPr>
              <w:t>Proceeds from the issuance of long-term debt - external</w:t>
            </w:r>
          </w:p>
        </w:tc>
        <w:tc>
          <w:tcPr>
            <w:tcW w:w="2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for long-term debt — external</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5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5"/>
              </w:rPr>
              <w:t>Net Decrease in Cash, Cash Equivalents and Restricted</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5"/>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at</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Beginning of Period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5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7"/>
              </w:rPr>
              <w:t>Cash, Cash Equivalents and Restricted Cash at End of</w:t>
            </w:r>
          </w:p>
        </w:tc>
        <w:tc>
          <w:tcPr>
            <w:tcW w:w="280" w:type="dxa"/>
            <w:vAlign w:val="bottom"/>
            <w:vMerge w:val="restart"/>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41"/>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Period</w:t>
            </w:r>
          </w:p>
        </w:tc>
        <w:tc>
          <w:tcPr>
            <w:tcW w:w="28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140" w:hanging="132"/>
        <w:spacing w:after="0"/>
        <w:tabs>
          <w:tab w:leader="none" w:pos="140" w:val="left"/>
        </w:tabs>
        <w:numPr>
          <w:ilvl w:val="0"/>
          <w:numId w:val="30"/>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42"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 xml:space="preserve">Note 11 — </w:t>
      </w:r>
      <w:r>
        <w:rPr>
          <w:rFonts w:ascii="Arial" w:cs="Arial" w:eastAsia="Arial" w:hAnsi="Arial"/>
          <w:sz w:val="18"/>
          <w:szCs w:val="18"/>
          <w:b w:val="1"/>
          <w:bCs w:val="1"/>
          <w:i w:val="1"/>
          <w:iCs w:val="1"/>
          <w:color w:val="auto"/>
        </w:rPr>
        <w:t>Contingencies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This note should be read in conjunction with the complete description under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Company's 2017 Form 10-K.</w:t>
      </w:r>
    </w:p>
    <w:p>
      <w:pPr>
        <w:spacing w:after="0" w:line="11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1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2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i w:val="1"/>
          <w:iCs w:val="1"/>
          <w:color w:val="auto"/>
        </w:rPr>
        <w:t xml:space="preserve">Braun Litigation </w:t>
      </w:r>
      <w:r>
        <w:rPr>
          <w:rFonts w:ascii="Arial" w:cs="Arial" w:eastAsia="Arial" w:hAnsi="Arial"/>
          <w:sz w:val="17"/>
          <w:szCs w:val="17"/>
          <w:color w:val="auto"/>
        </w:rPr>
        <w:t>— On April 19, 2016, plaintiffs filed a putative class action lawsuit against NRG Yield, Inc., the current and former members of its</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individually, and other parties in California Superior Court in Kern County, California. Plaintiffs allege various violations of the Securities Act due to the defendants’ alleged failure to disclose material facts related to low wind production prior to the NRG Yield, Inc.'s June 22, 2015 Class C common stock offering. Plaintiffs seek compensatory damages, rescission, attorney’s fees and costs. The defendants filed demurrers and a motion challenging jurisdiction on October 18, 2016. On July 30, 2018, the plaintiffs filed an opposition to the defendants’ motion to quash service of the summons and an opposition to the defendants’ demurrer. On October 5, 2018, the defendants filed a reply memorandum of points and authorities in support of defendants' demurrer to the first amended complaint, and a reply memorandum of points and authorities in support of defendants' motion to quash service of summons. On November 1, 2018, the court issued a ruling granting the defendants' motion to quash service of summons.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42"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the Results of Operations</w:t>
      </w:r>
    </w:p>
    <w:p>
      <w:pPr>
        <w:spacing w:after="0" w:line="33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discussion analyzes the Company's historical financial condition and results of operations, which were recast to include the effect of the Buckthorn Solar Drop Down Asset and November 2017 Drop Down Assets.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As you read this discussion and analysis, refer to the Company's Consolidated Financial Statements to this Form 10-Q, which present the results of operations for the nine months ended September 30, 2018 and 2017. Also refer to the </w:t>
      </w:r>
      <w:r>
        <w:rPr>
          <w:rFonts w:ascii="Arial" w:cs="Arial" w:eastAsia="Arial" w:hAnsi="Arial"/>
          <w:sz w:val="18"/>
          <w:szCs w:val="18"/>
          <w:color w:val="231F20"/>
        </w:rPr>
        <w:t>Company's</w:t>
      </w:r>
      <w:r>
        <w:rPr>
          <w:rFonts w:ascii="Arial" w:cs="Arial" w:eastAsia="Arial" w:hAnsi="Arial"/>
          <w:sz w:val="18"/>
          <w:szCs w:val="18"/>
          <w:color w:val="auto"/>
        </w:rPr>
        <w:t xml:space="preserve"> 2017 Form 10-K, which includes detailed discussions of various items impacting the Company's business, results of operations and financial condition.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71" w:lineRule="exact"/>
        <w:rPr>
          <w:sz w:val="20"/>
          <w:szCs w:val="20"/>
          <w:color w:val="auto"/>
        </w:rPr>
      </w:pPr>
    </w:p>
    <w:p>
      <w:pPr>
        <w:ind w:left="1300" w:right="640" w:hanging="320"/>
        <w:spacing w:after="0" w:line="277" w:lineRule="auto"/>
        <w:tabs>
          <w:tab w:leader="none" w:pos="130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8" w:lineRule="exact"/>
        <w:rPr>
          <w:rFonts w:ascii="Arial" w:cs="Arial" w:eastAsia="Arial" w:hAnsi="Arial"/>
          <w:sz w:val="18"/>
          <w:szCs w:val="18"/>
          <w:color w:val="231F20"/>
        </w:rPr>
      </w:pPr>
    </w:p>
    <w:p>
      <w:pPr>
        <w:ind w:left="1300" w:hanging="320"/>
        <w:spacing w:after="0"/>
        <w:tabs>
          <w:tab w:leader="none" w:pos="130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Known trends that may affect the Company’s results of operations and financial condition in the future;</w:t>
      </w:r>
    </w:p>
    <w:p>
      <w:pPr>
        <w:spacing w:after="0" w:line="63" w:lineRule="exact"/>
        <w:rPr>
          <w:rFonts w:ascii="Arial" w:cs="Arial" w:eastAsia="Arial" w:hAnsi="Arial"/>
          <w:sz w:val="18"/>
          <w:szCs w:val="18"/>
          <w:color w:val="231F20"/>
        </w:rPr>
      </w:pPr>
    </w:p>
    <w:p>
      <w:pPr>
        <w:ind w:left="1300" w:right="180" w:hanging="320"/>
        <w:spacing w:after="0" w:line="277" w:lineRule="auto"/>
        <w:tabs>
          <w:tab w:leader="none" w:pos="130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Results of operations, including an explanation of significant differences between the periods in the specific line items of the consolidated statements of income;</w:t>
      </w:r>
    </w:p>
    <w:p>
      <w:pPr>
        <w:spacing w:after="0" w:line="8" w:lineRule="exact"/>
        <w:rPr>
          <w:rFonts w:ascii="Arial" w:cs="Arial" w:eastAsia="Arial" w:hAnsi="Arial"/>
          <w:sz w:val="18"/>
          <w:szCs w:val="18"/>
          <w:color w:val="231F20"/>
        </w:rPr>
      </w:pPr>
    </w:p>
    <w:p>
      <w:pPr>
        <w:ind w:left="1300" w:right="460" w:hanging="320"/>
        <w:spacing w:after="0" w:line="277" w:lineRule="auto"/>
        <w:tabs>
          <w:tab w:leader="none" w:pos="130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 and</w:t>
      </w:r>
    </w:p>
    <w:p>
      <w:pPr>
        <w:spacing w:after="0" w:line="8" w:lineRule="exact"/>
        <w:rPr>
          <w:rFonts w:ascii="Arial" w:cs="Arial" w:eastAsia="Arial" w:hAnsi="Arial"/>
          <w:sz w:val="18"/>
          <w:szCs w:val="18"/>
          <w:color w:val="231F20"/>
        </w:rPr>
      </w:pPr>
    </w:p>
    <w:p>
      <w:pPr>
        <w:ind w:left="1300" w:right="180" w:hanging="320"/>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4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Clearway Energy LLC (formerly NRG Yield LLC), together with its consolidated subsidiaries, or the Company, was formed by NRG as a Delaware limited liability company on March 5, 2013, to serve as the primary vehicle through which NRG owns, operates and acquires contracted renewable and conventional generation and thermal infrastructure assets. On August 31, 2018, NRG transferred its full ownership interest in Clearway Energy, Inc. (formerly NRG Yield, Inc.) to CEG the holder of NRG 's renewable energy development and operations platform, and NRG subsequently sold 100% of its interest in CEG to an affiliate of Global Infrastructure Partners III, or GIP, referred to hereinafter as the NRG Transaction. As a result of the NRG Transaction, GIP indirectly acquired a 45.2% economic interest in Clearway Energy LLC and a 55% voting interest in the Company. Global Infrastructure Management, LLC is an independent fund manager of funds that invests in infrastructure assets in the energy and transport sectors and Global Infrastructure Partners III is its third equity fund. The Company is sponsored by GIP through GIP's portfolio company, Clearway Energy Group.</w:t>
      </w:r>
    </w:p>
    <w:p>
      <w:pPr>
        <w:spacing w:after="0" w:line="1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The Company’s environmentally sound asset portfolio includes over </w:t>
      </w:r>
      <w:r>
        <w:rPr>
          <w:rFonts w:ascii="Arial" w:cs="Arial" w:eastAsia="Arial" w:hAnsi="Arial"/>
          <w:sz w:val="18"/>
          <w:szCs w:val="18"/>
          <w:color w:val="231F20"/>
        </w:rPr>
        <w:t>5,272</w:t>
      </w:r>
      <w:r>
        <w:rPr>
          <w:rFonts w:ascii="Arial" w:cs="Arial" w:eastAsia="Arial" w:hAnsi="Arial"/>
          <w:sz w:val="18"/>
          <w:szCs w:val="18"/>
          <w:color w:val="auto"/>
        </w:rPr>
        <w:t xml:space="preserve"> MW of wind, solar and natural gas-fired power generation facilities, as well as district energy systems. </w:t>
      </w:r>
      <w:r>
        <w:rPr>
          <w:rFonts w:ascii="Arial" w:cs="Arial" w:eastAsia="Arial" w:hAnsi="Arial"/>
          <w:sz w:val="18"/>
          <w:szCs w:val="18"/>
          <w:color w:val="231F20"/>
        </w:rPr>
        <w:t>Nearly all</w:t>
      </w:r>
      <w:r>
        <w:rPr>
          <w:rFonts w:ascii="Arial" w:cs="Arial" w:eastAsia="Arial" w:hAnsi="Arial"/>
          <w:sz w:val="18"/>
          <w:szCs w:val="18"/>
          <w:color w:val="auto"/>
        </w:rPr>
        <w:t xml:space="preserve"> of these assets sell substantially all of their output pursuant to long-term offtake agreements with creditworthy counterparties. The weighted average remaining contract duration of these offtake agreements was approximately </w:t>
      </w:r>
      <w:r>
        <w:rPr>
          <w:rFonts w:ascii="Arial" w:cs="Arial" w:eastAsia="Arial" w:hAnsi="Arial"/>
          <w:sz w:val="18"/>
          <w:szCs w:val="18"/>
          <w:color w:val="231F20"/>
        </w:rPr>
        <w:t>15 years as of September 30, 2018</w:t>
      </w:r>
      <w:r>
        <w:rPr>
          <w:rFonts w:ascii="Arial" w:cs="Arial" w:eastAsia="Arial" w:hAnsi="Arial"/>
          <w:sz w:val="18"/>
          <w:szCs w:val="18"/>
          <w:color w:val="auto"/>
        </w:rPr>
        <w:t xml:space="preserve"> based on CAFD</w:t>
      </w:r>
      <w:r>
        <w:rPr>
          <w:rFonts w:ascii="Arial" w:cs="Arial" w:eastAsia="Arial" w:hAnsi="Arial"/>
          <w:sz w:val="18"/>
          <w:szCs w:val="18"/>
          <w:color w:val="231F20"/>
        </w:rPr>
        <w:t>. The Company also owns thermal infrastructure assets with an aggregate steam and chilled water capacity of 1,392 net MWt and electric generation</w:t>
      </w:r>
      <w:r>
        <w:rPr>
          <w:rFonts w:ascii="Arial" w:cs="Arial" w:eastAsia="Arial" w:hAnsi="Arial"/>
          <w:sz w:val="18"/>
          <w:szCs w:val="18"/>
          <w:color w:val="auto"/>
        </w:rPr>
        <w:t xml:space="preserve"> </w:t>
      </w:r>
      <w:r>
        <w:rPr>
          <w:rFonts w:ascii="Arial" w:cs="Arial" w:eastAsia="Arial" w:hAnsi="Arial"/>
          <w:sz w:val="18"/>
          <w:szCs w:val="18"/>
          <w:color w:val="231F20"/>
        </w:rPr>
        <w:t>capacity of 133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Sponsorship with Global Infrastructure Partners</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August 31, 2018, NRG transferred its full ownership interest in Clearway Energy, Inc. (formerly NRG Yield, Inc.) to Clearway Energy Group LLC, or CEG, the holder of NRG's renewable energy development and operations platform and subsequently sold 100% of its interest in CEG to an affiliate of GIP. As a result of the NRG Transaction, GIP indirectly acquired a 45.2% economic interest in Clearway Energy LLC and a 55% voting interest in the Company as of August 31, 2018.</w:t>
      </w:r>
    </w:p>
    <w:p>
      <w:pPr>
        <w:spacing w:after="0" w:line="13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 xml:space="preserve">In connection with the NRG Transaction, the Company entered into a Consent and Indemnity Agreement with NRG and GIP setting forth key terms and conditions of the Company's consent to the NRG Transaction. The key provisions of the Consent and Indemnity Agreement are described in the Company's 2017 Form 10-K in Item 7, </w:t>
      </w:r>
      <w:r>
        <w:rPr>
          <w:rFonts w:ascii="Arial" w:cs="Arial" w:eastAsia="Arial" w:hAnsi="Arial"/>
          <w:sz w:val="17"/>
          <w:szCs w:val="17"/>
          <w:i w:val="1"/>
          <w:iCs w:val="1"/>
          <w:color w:val="auto"/>
        </w:rPr>
        <w:t>Management's Discussion and Analysis of Financial Condition and the Results of Operations.</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Also in connection with the NRG Transaction, the Company entered into the following agreements on August 31,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CEG Master Services Agreements</w:t>
      </w:r>
    </w:p>
    <w:p>
      <w:pPr>
        <w:spacing w:after="0" w:line="171"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The Company, along with Clearway Energy LLC and Clearway Energy Operating LLC, entered into Master Services Agreements with CEG, pursuant to which CEG and certain of its affiliates or third party service providers began providing certain services to the Company and certain of its subsidiaries, and the Company and certain of its subsidiaries began providing certain services to CEG, in exchange for the payment of fees in respect of such services.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ROFO Agreements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entered into a ROFO Agreement with CEG, or the CEG ROFO Agreement, pursuant to which CEG granted the Company and its subsidiaries a right of first offer on any proposed sale or transfer of certain assets owned by CEG. The CEG ROFO Agreement also provides the Company the right to make an equity investment of up to $190 million in one or more distributed generation portfolios developed or owned by CEG or its subsidiaries after August 31, 2018.</w:t>
      </w:r>
    </w:p>
    <w:p>
      <w:pPr>
        <w:spacing w:after="0" w:line="133"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Company also entered into the Third Amended and Restated ROFO Agreement with NRG, pursuant to which NRG will provide the Company and its subsidiaries a right of first offer on any proposed sale or transfer of 100% of the membership interests in Agua Caliente Borrower 1 LLC.</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42"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Voting and Governance Agreement</w:t>
      </w:r>
    </w:p>
    <w:p>
      <w:pPr>
        <w:spacing w:after="0" w:line="1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entered into a Voting and Governance Agreement with CEG, relating to certain governance matters of the Company, including the composition of the board of directors of the Company, or the Board, implementation of a stockholder proposal at the next annual meeting of the Company to amend the restated certificate of incorporation of the Company to stagger the Board, and employment status of the CEO of the Company.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Limited Liability Company Agreement</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entered into the Fourth Amended and Restated Limited Liability Company Agreement of Clearway Energy LLC with CEG, which sets forth the rights and obligations of the Company, as managing member, and CEG, as member, of Clearway Energy LLC.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Services Agreement</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entered into the NRG TSA, pursuant to which NRG or certain of its affiliates began providing certain services to the Company following the consummation of the NRG Transaction, in exchange for the payment of a fee in respect of such services. The agreement is effective until the earlier of June 30, 2019 or the date that all services are terminated by the Company. The Company may extend the term on a month-by-month basis no later than March 31, 2020 for a fixed monthly fee provided for in the agreement.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Bridge Credit Agreement</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August 31, 2018, the Company entered into a senior unsecured 364-day bridge credit agreement, or the Bridge Credit Agreement, which provides total borrowings of up to a maximum amount of $1.5 billion at a rate per annum equal to LIBOR or a base rate plus an applicable margin equal to 3.00% in the case of LIBOR loans and 2.00% in the case of base rate loans, in each case subject to an additional 0.25% on the 90th day following the effective date of the Bridge Credit Agreement, 0.25% on the 180th day following such effective date and 0.50% on each 90th day thereafter while any loans remain outstanding. The obligation of the lenders to fund loans under the Bridge Credit Agreement will expire on the date that is 110 days after the effective date of the Bridge Credit Agreement. Loans under the Bridge Credit Agreement will mature 364 days after the effective date of the agreement, provided that Clearway Energy Operating LLC may elect in its sole discretion to extend the maturity as provided for in the Bridge Credit Agreement. Borrowings under the Bridge Credit Agreement are guaranteed by Clearway Energy LLC and certain subsidiaries of Clearway Energy Operating LLC. As of September 30, 2018, there were no borrowings under the Bridge Credit Agreement.</w:t>
      </w:r>
    </w:p>
    <w:p>
      <w:pPr>
        <w:spacing w:after="0" w:line="12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October 2018, the Company reduced the lenders' commitments under the bridge agreement from $1.5 billion to $867.5 million following the offering of the 2025 Senior Notes and the convertible notes tender offer results, each described below. On October 31, 2018, the Company terminated the Bridge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827"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Significant Events During the Quarter</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significant events have occurred since the beginning of the third quarter of 2018, as further described within this Management's Discussion and Analysis and the Condensed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Sponsorship with GIP</w:t>
      </w:r>
    </w:p>
    <w:p>
      <w:pPr>
        <w:spacing w:after="0" w:line="171" w:lineRule="exact"/>
        <w:rPr>
          <w:sz w:val="20"/>
          <w:szCs w:val="20"/>
          <w:color w:val="auto"/>
        </w:rPr>
      </w:pPr>
    </w:p>
    <w:p>
      <w:pPr>
        <w:jc w:val="both"/>
        <w:ind w:left="340" w:hanging="332"/>
        <w:spacing w:after="0" w:line="312" w:lineRule="auto"/>
        <w:tabs>
          <w:tab w:leader="none" w:pos="340" w:val="left"/>
        </w:tabs>
        <w:numPr>
          <w:ilvl w:val="0"/>
          <w:numId w:val="32"/>
        </w:numPr>
        <w:rPr>
          <w:rFonts w:ascii="Arial" w:cs="Arial" w:eastAsia="Arial" w:hAnsi="Arial"/>
          <w:sz w:val="16"/>
          <w:szCs w:val="16"/>
          <w:i w:val="1"/>
          <w:iCs w:val="1"/>
          <w:color w:val="auto"/>
        </w:rPr>
      </w:pPr>
      <w:r>
        <w:rPr>
          <w:rFonts w:ascii="Arial" w:cs="Arial" w:eastAsia="Arial" w:hAnsi="Arial"/>
          <w:sz w:val="16"/>
          <w:szCs w:val="16"/>
          <w:color w:val="auto"/>
        </w:rPr>
        <w:t>As discussed above, on August 31, 2018, NRG transferred its full ownership interest in the Company to CEG, the holder of NRG's renewable energy development and operations platform and subsequently sold 100% of its interest in CEG to an affiliate of GIP. As a result of the NRG Transaction, GIP indirectly acquired a 45.2% economic interest in Clearway Energy LLC and a 55% voting interest in the Company as of August 31, 2018.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Open Market Repurchases</w:t>
      </w:r>
    </w:p>
    <w:p>
      <w:pPr>
        <w:spacing w:after="0" w:line="171" w:lineRule="exact"/>
        <w:rPr>
          <w:sz w:val="20"/>
          <w:szCs w:val="20"/>
          <w:color w:val="auto"/>
        </w:rPr>
      </w:pPr>
    </w:p>
    <w:p>
      <w:pPr>
        <w:jc w:val="both"/>
        <w:ind w:left="340" w:hanging="264"/>
        <w:spacing w:after="0" w:line="264"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August 2018, Clearway Energy, Inc. repurchased an aggregate principal amount of $16 million of the 2019 Convertible Notes in open market transactions. The repurchases were funded through a partial repayment of the intercompany note between Clearway Operating LLC and Clearway Energy, Inc., which was reduced by $16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Tender Offer</w:t>
      </w:r>
    </w:p>
    <w:p>
      <w:pPr>
        <w:spacing w:after="0" w:line="171" w:lineRule="exact"/>
        <w:rPr>
          <w:sz w:val="20"/>
          <w:szCs w:val="20"/>
          <w:color w:val="auto"/>
        </w:rPr>
      </w:pPr>
    </w:p>
    <w:p>
      <w:pPr>
        <w:jc w:val="both"/>
        <w:ind w:left="340" w:hanging="332"/>
        <w:spacing w:after="0" w:line="255"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September 10, 2018, pursuant to the terms of the 2019 Convertible Notes and the 2020 Convertible Notes indentures, the Company delivered to the holders of the Convertible Notes a fundamental change notice and offer to repurchase any and all of the 2019 Convertible Notes and 2020 Convertible Notes for cash at a price equal to 100% of the principal amount of the Convertible Notes plus any accrued and unpaid interest. The tender offer expired on October 9, 2018. An aggregate principal amount of $109 million of the 2019 Convertible Notes and $243 million of the 2020 Convertible Notes were tendered on or prior to the expiration date and accepted by the Company for purchase. Concurrently with the 2019 Convertible Notes and 2020 Convertible Notes tender offer results, Clearway Energy LLC reduced its Long-term debt - affiliate due 2019 and Long - term debt - affiliate due 2020 by the corresponding amounts.</w:t>
      </w:r>
    </w:p>
    <w:p>
      <w:pPr>
        <w:spacing w:after="0" w:line="135" w:lineRule="exact"/>
        <w:rPr>
          <w:rFonts w:ascii="Arial" w:cs="Arial" w:eastAsia="Arial" w:hAnsi="Arial"/>
          <w:sz w:val="18"/>
          <w:szCs w:val="18"/>
          <w:color w:val="auto"/>
        </w:rPr>
      </w:pPr>
    </w:p>
    <w:p>
      <w:pPr>
        <w:jc w:val="both"/>
        <w:ind w:left="340" w:hanging="332"/>
        <w:spacing w:after="0" w:line="302"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On October 9, 2018, the Clearway Energy, Inc. received a notice of conversion with respect to $395,000 aggregate principal amount of the 2020 Convertible Notes. The Clearway Energy, Inc. elected, pursuant to the terms of the 2020 Convertible Notes indenture, to settle the conversion of such 2020 Convertible Notes in Class C common stock, par value $0.01 per share. The conversion of the 2020 Convertible Notes resulted in the issuance by the Clearway Energy, Inc. on October 12, 2018 of 14,363 shares of Class C common stock and 14,363 of the Company's Class C common units.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Clearway Energy, Inc. Equity Offering</w:t>
      </w:r>
    </w:p>
    <w:p>
      <w:pPr>
        <w:spacing w:after="0" w:line="171" w:lineRule="exact"/>
        <w:rPr>
          <w:sz w:val="20"/>
          <w:szCs w:val="20"/>
          <w:color w:val="auto"/>
        </w:rPr>
      </w:pPr>
    </w:p>
    <w:p>
      <w:pPr>
        <w:jc w:val="both"/>
        <w:ind w:left="340" w:hanging="332"/>
        <w:spacing w:after="0" w:line="259"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September 27, 2018, Clearway Energy, Inc. issued and sold an additional 3,916,449 shares of Class C common stock for net proceeds of $75 million. Clearway Energy, Inc. utilized the proceeds of the offering to acquire additional 3,916,449 Class C units of Clearway Energy LLC and, as a result, it currently owns 55.7% of the economic interests of Clearway Energy LLC, with GIP indirectly retaining 44.3% of the economic interests of Clearway Energy LLC.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Financings</w:t>
      </w:r>
    </w:p>
    <w:p>
      <w:pPr>
        <w:spacing w:after="0" w:line="171" w:lineRule="exact"/>
        <w:rPr>
          <w:sz w:val="20"/>
          <w:szCs w:val="20"/>
          <w:color w:val="auto"/>
        </w:rPr>
      </w:pPr>
    </w:p>
    <w:p>
      <w:pPr>
        <w:ind w:left="340" w:right="2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discussed above, the Company entered into the Bridge Credit Agreement on August 31, 2018. On October 31, 2018, the Company terminated the Bridge Credit Agreement.</w:t>
      </w:r>
    </w:p>
    <w:p>
      <w:pPr>
        <w:spacing w:after="0" w:line="116" w:lineRule="exact"/>
        <w:rPr>
          <w:rFonts w:ascii="Arial" w:cs="Arial" w:eastAsia="Arial" w:hAnsi="Arial"/>
          <w:sz w:val="18"/>
          <w:szCs w:val="18"/>
          <w:color w:val="auto"/>
        </w:rPr>
      </w:pPr>
    </w:p>
    <w:p>
      <w:pPr>
        <w:jc w:val="both"/>
        <w:ind w:left="340" w:hanging="332"/>
        <w:spacing w:after="0" w:line="302"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On October 1, 2018, Clearway Energy Operating LLC issued $600 million of senior unsecured notes, or the 2025 Senior Notes. The 2025 Senior Notes bear interest at 5.750% and mature on October 15, 2025. Interest on the notes is payable semi-annually on April 15 and October 15 of each year, and interest payments will commence on April 15, 2019. The 2025 Senior Notes are unsecured obligations of Clearway Energy Operating LLC and are guaranteed by Clearway Energy LLC and by certain of Clearway Energy Operating LLC's wholly owned current and future subsidiaries.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Drop Down Transactions</w:t>
      </w:r>
    </w:p>
    <w:p>
      <w:pPr>
        <w:spacing w:after="0" w:line="171" w:lineRule="exact"/>
        <w:rPr>
          <w:sz w:val="20"/>
          <w:szCs w:val="20"/>
          <w:color w:val="auto"/>
        </w:rPr>
      </w:pPr>
    </w:p>
    <w:p>
      <w:pPr>
        <w:jc w:val="both"/>
        <w:ind w:left="340" w:hanging="332"/>
        <w:spacing w:after="0" w:line="264"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August 31, 2018, the Company entered into a binding agreement with CEG to acquire 80 MW of utility-scale solar projects located in Kawailoa and Oahu, Hawaii for approximately $28 million in cash consideration, subject to customary working capital and other adjustments, as well as the assumption of non-recourse debt of $169 million. The transaction is expected to close in summer of 2019.</w:t>
      </w:r>
    </w:p>
    <w:p>
      <w:pPr>
        <w:spacing w:after="0" w:line="12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November 1, 2018, NRG offered the Company the opportunity to acquire Agua Caliente Borrower 1, which owns a 35% interest in Agua Caliente, a 290 MW utility-scale solar project located in Yuma, Arizona. The closing of this transaction is subject to customary closing conditions and is expected to be completed in the first quarter of 2019.</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42"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Repowering Partnership</w:t>
      </w:r>
    </w:p>
    <w:p>
      <w:pPr>
        <w:spacing w:after="0" w:line="171" w:lineRule="exact"/>
        <w:rPr>
          <w:sz w:val="20"/>
          <w:szCs w:val="20"/>
          <w:color w:val="auto"/>
        </w:rPr>
      </w:pPr>
    </w:p>
    <w:p>
      <w:pPr>
        <w:jc w:val="both"/>
        <w:ind w:left="340" w:hanging="332"/>
        <w:spacing w:after="0" w:line="264" w:lineRule="auto"/>
        <w:tabs>
          <w:tab w:leader="none" w:pos="340" w:val="left"/>
        </w:tabs>
        <w:numPr>
          <w:ilvl w:val="0"/>
          <w:numId w:val="38"/>
        </w:numPr>
        <w:rPr>
          <w:rFonts w:ascii="Arial" w:cs="Arial" w:eastAsia="Arial" w:hAnsi="Arial"/>
          <w:sz w:val="18"/>
          <w:szCs w:val="18"/>
          <w:i w:val="1"/>
          <w:iCs w:val="1"/>
          <w:color w:val="auto"/>
        </w:rPr>
      </w:pPr>
      <w:r>
        <w:rPr>
          <w:rFonts w:ascii="Arial" w:cs="Arial" w:eastAsia="Arial" w:hAnsi="Arial"/>
          <w:sz w:val="18"/>
          <w:szCs w:val="18"/>
          <w:color w:val="auto"/>
        </w:rPr>
        <w:t>On August 30, 2018, Wind TE Holdco entered into a partnership with CEG in order to facilitate the repowering of the Elbow Creek and Wildorado facilities. As part of the repowering partnership, the Company agreed to buy out an existing tax equity partner of Wind TE Holdco for $19 million on January 2, 2019, subject to certain purchase price adjustments.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and Regulatory Matters</w:t>
      </w:r>
    </w:p>
    <w:p>
      <w:pPr>
        <w:spacing w:after="0" w:line="17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 xml:space="preserve">The Company’s environmental matters and regulatory matters are described in the Company’s 2017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Matters </w:t>
      </w:r>
      <w:r>
        <w:rPr>
          <w:rFonts w:ascii="Arial" w:cs="Arial" w:eastAsia="Arial" w:hAnsi="Arial"/>
          <w:sz w:val="18"/>
          <w:szCs w:val="18"/>
          <w:color w:val="auto"/>
        </w:rPr>
        <w:t>and Item 1A,</w:t>
      </w:r>
      <w:r>
        <w:rPr>
          <w:rFonts w:ascii="Arial" w:cs="Arial" w:eastAsia="Arial" w:hAnsi="Arial"/>
          <w:sz w:val="18"/>
          <w:szCs w:val="18"/>
          <w:i w:val="1"/>
          <w:iCs w:val="1"/>
          <w:color w:val="auto"/>
        </w:rPr>
        <w:t xml:space="preserve"> Risk 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Results of Operations and Future Business Performance</w:t>
      </w:r>
    </w:p>
    <w:p>
      <w:pPr>
        <w:spacing w:after="0" w:line="17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 xml:space="preserve">The Company’s trends are described in the Company’s 2017 Form 10-K in Item 7,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 - Trends Affecting Results of Operations and Future Business Performance.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46"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10"/>
          </w:tcPr>
          <w:p>
            <w:pPr>
              <w:jc w:val="center"/>
              <w:ind w:right="200"/>
              <w:spacing w:after="0"/>
              <w:rPr>
                <w:sz w:val="20"/>
                <w:szCs w:val="20"/>
                <w:color w:val="auto"/>
              </w:rPr>
            </w:pPr>
            <w:r>
              <w:rPr>
                <w:rFonts w:ascii="Arial" w:cs="Arial" w:eastAsia="Arial" w:hAnsi="Arial"/>
                <w:sz w:val="14"/>
                <w:szCs w:val="14"/>
                <w:b w:val="1"/>
                <w:bCs w:val="1"/>
                <w:color w:val="auto"/>
                <w:w w:val="91"/>
              </w:rPr>
              <w:t>Three months ended September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10"/>
          </w:tcPr>
          <w:p>
            <w:pPr>
              <w:jc w:val="center"/>
              <w:ind w:right="91"/>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229"/>
        </w:trPr>
        <w:tc>
          <w:tcPr>
            <w:tcW w:w="53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3"/>
          </w:tcPr>
          <w:p>
            <w:pPr>
              <w:jc w:val="center"/>
              <w:ind w:right="150"/>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9"/>
                <w:szCs w:val="19"/>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3"/>
          </w:tcPr>
          <w:p>
            <w:pPr>
              <w:jc w:val="center"/>
              <w:ind w:right="150"/>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31"/>
              <w:spacing w:after="0"/>
              <w:rPr>
                <w:sz w:val="20"/>
                <w:szCs w:val="20"/>
                <w:color w:val="auto"/>
              </w:rPr>
            </w:pPr>
            <w:r>
              <w:rPr>
                <w:rFonts w:ascii="Arial" w:cs="Arial" w:eastAsia="Arial" w:hAnsi="Arial"/>
                <w:sz w:val="14"/>
                <w:szCs w:val="14"/>
                <w:b w:val="1"/>
                <w:bCs w:val="1"/>
                <w:color w:val="auto"/>
                <w:w w:val="97"/>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Energy and capacity revenues</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309</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876</w:t>
            </w:r>
          </w:p>
        </w:tc>
        <w:tc>
          <w:tcPr>
            <w:tcW w:w="4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Contract amortization</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5340" w:type="dxa"/>
            <w:vAlign w:val="bottom"/>
            <w:gridSpan w:val="2"/>
          </w:tcPr>
          <w:p>
            <w:pPr>
              <w:ind w:left="240"/>
              <w:spacing w:after="0"/>
              <w:rPr>
                <w:sz w:val="20"/>
                <w:szCs w:val="20"/>
                <w:color w:val="auto"/>
              </w:rPr>
            </w:pPr>
            <w:r>
              <w:rPr>
                <w:rFonts w:ascii="Arial" w:cs="Arial" w:eastAsia="Arial" w:hAnsi="Arial"/>
                <w:sz w:val="18"/>
                <w:szCs w:val="18"/>
                <w:color w:val="auto"/>
              </w:rPr>
              <w:t>Total operating revenues</w:t>
            </w: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Cost of fuels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3"/>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Operations and maintenance</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Other costs of operations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3"/>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7"/>
                <w:szCs w:val="17"/>
                <w:color w:val="auto"/>
              </w:rPr>
              <w:t>Impairment losses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3"/>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Acquisition-related transaction and integration costs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Development costs</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37"/>
        </w:trPr>
        <w:tc>
          <w:tcPr>
            <w:tcW w:w="40" w:type="dxa"/>
            <w:vAlign w:val="bottom"/>
          </w:tcPr>
          <w:p>
            <w:pPr>
              <w:spacing w:after="0"/>
              <w:rPr>
                <w:sz w:val="20"/>
                <w:szCs w:val="20"/>
                <w:color w:val="auto"/>
              </w:rPr>
            </w:pPr>
          </w:p>
        </w:tc>
        <w:tc>
          <w:tcPr>
            <w:tcW w:w="5340" w:type="dxa"/>
            <w:vAlign w:val="bottom"/>
            <w:gridSpan w:val="2"/>
          </w:tcPr>
          <w:p>
            <w:pPr>
              <w:ind w:left="240"/>
              <w:spacing w:after="0"/>
              <w:rPr>
                <w:sz w:val="20"/>
                <w:szCs w:val="20"/>
                <w:color w:val="auto"/>
              </w:rPr>
            </w:pPr>
            <w:r>
              <w:rPr>
                <w:rFonts w:ascii="Arial" w:cs="Arial" w:eastAsia="Arial" w:hAnsi="Arial"/>
                <w:sz w:val="18"/>
                <w:szCs w:val="18"/>
                <w:color w:val="auto"/>
              </w:rPr>
              <w:t>Total operating costs and expenses</w:t>
            </w: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r>
      <w:tr>
        <w:trPr>
          <w:trHeight w:val="237"/>
        </w:trPr>
        <w:tc>
          <w:tcPr>
            <w:tcW w:w="538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Other income, net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3"/>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39</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other expense, net</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37"/>
        </w:trPr>
        <w:tc>
          <w:tcPr>
            <w:tcW w:w="538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w:t>
            </w: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Loss attributable to noncontrolling interests</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57"/>
        </w:trPr>
        <w:tc>
          <w:tcPr>
            <w:tcW w:w="538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 Attributable to Clearway Energy LLC</w:t>
            </w: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113</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r>
      <w:tr>
        <w:trPr>
          <w:trHeight w:val="548"/>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11"/>
          </w:tcPr>
          <w:p>
            <w:pPr>
              <w:jc w:val="center"/>
              <w:ind w:right="260"/>
              <w:spacing w:after="0"/>
              <w:rPr>
                <w:sz w:val="20"/>
                <w:szCs w:val="20"/>
                <w:color w:val="auto"/>
              </w:rPr>
            </w:pPr>
            <w:r>
              <w:rPr>
                <w:rFonts w:ascii="Arial" w:cs="Arial" w:eastAsia="Arial" w:hAnsi="Arial"/>
                <w:sz w:val="14"/>
                <w:szCs w:val="14"/>
                <w:b w:val="1"/>
                <w:bCs w:val="1"/>
                <w:color w:val="auto"/>
                <w:w w:val="91"/>
              </w:rPr>
              <w:t>Three months ended September 30,</w:t>
            </w:r>
          </w:p>
        </w:tc>
        <w:tc>
          <w:tcPr>
            <w:tcW w:w="220" w:type="dxa"/>
            <w:vAlign w:val="bottom"/>
          </w:tcPr>
          <w:p>
            <w:pPr>
              <w:spacing w:after="0"/>
              <w:rPr>
                <w:sz w:val="24"/>
                <w:szCs w:val="24"/>
                <w:color w:val="auto"/>
              </w:rPr>
            </w:pPr>
          </w:p>
        </w:tc>
        <w:tc>
          <w:tcPr>
            <w:tcW w:w="2720" w:type="dxa"/>
            <w:vAlign w:val="bottom"/>
            <w:gridSpan w:val="10"/>
          </w:tcPr>
          <w:p>
            <w:pPr>
              <w:jc w:val="center"/>
              <w:ind w:right="91"/>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264"/>
        </w:trPr>
        <w:tc>
          <w:tcPr>
            <w:tcW w:w="53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Business metrics:</w:t>
            </w:r>
          </w:p>
        </w:tc>
        <w:tc>
          <w:tcPr>
            <w:tcW w:w="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gridSpan w:val="2"/>
          </w:tcPr>
          <w:p>
            <w:pPr>
              <w:jc w:val="right"/>
              <w:ind w:right="471"/>
              <w:spacing w:after="0"/>
              <w:rPr>
                <w:sz w:val="20"/>
                <w:szCs w:val="20"/>
                <w:color w:val="auto"/>
              </w:rPr>
            </w:pPr>
            <w:r>
              <w:rPr>
                <w:rFonts w:ascii="Arial" w:cs="Arial" w:eastAsia="Arial" w:hAnsi="Arial"/>
                <w:sz w:val="14"/>
                <w:szCs w:val="14"/>
                <w:b w:val="1"/>
                <w:bCs w:val="1"/>
                <w:color w:val="auto"/>
              </w:rPr>
              <w:t>2017</w:t>
            </w:r>
          </w:p>
        </w:tc>
      </w:tr>
      <w:tr>
        <w:trPr>
          <w:trHeight w:val="270"/>
        </w:trPr>
        <w:tc>
          <w:tcPr>
            <w:tcW w:w="53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Renewables MWh generated/sold (in thousands) </w:t>
            </w:r>
            <w:r>
              <w:rPr>
                <w:rFonts w:ascii="Arial" w:cs="Arial" w:eastAsia="Arial" w:hAnsi="Arial"/>
                <w:sz w:val="25"/>
                <w:szCs w:val="25"/>
                <w:color w:val="auto"/>
                <w:vertAlign w:val="superscript"/>
              </w:rPr>
              <w:t>(a)</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1,565</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5,725</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5,354</w:t>
            </w: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Thermal MWt sold (in thousands)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499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91"/>
              <w:spacing w:after="0"/>
              <w:rPr>
                <w:sz w:val="20"/>
                <w:szCs w:val="20"/>
                <w:color w:val="auto"/>
              </w:rPr>
            </w:pPr>
            <w:r>
              <w:rPr>
                <w:rFonts w:ascii="Arial" w:cs="Arial" w:eastAsia="Arial" w:hAnsi="Arial"/>
                <w:sz w:val="18"/>
                <w:szCs w:val="18"/>
                <w:color w:val="auto"/>
              </w:rPr>
              <w:t>463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1,578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1,450</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53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Thermal MWh sold (in thousands) </w:t>
            </w:r>
            <w:r>
              <w:rPr>
                <w:rFonts w:ascii="Arial" w:cs="Arial" w:eastAsia="Arial" w:hAnsi="Arial"/>
                <w:sz w:val="25"/>
                <w:szCs w:val="25"/>
                <w:color w:val="auto"/>
                <w:vertAlign w:val="superscript"/>
              </w:rPr>
              <w:t>(b)</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27</w:t>
            </w:r>
          </w:p>
        </w:tc>
      </w:tr>
      <w:tr>
        <w:trPr>
          <w:trHeight w:val="270"/>
        </w:trPr>
        <w:tc>
          <w:tcPr>
            <w:tcW w:w="538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Conventional MWh generated (in thousands) </w:t>
            </w:r>
            <w:r>
              <w:rPr>
                <w:rFonts w:ascii="Arial" w:cs="Arial" w:eastAsia="Arial" w:hAnsi="Arial"/>
                <w:sz w:val="25"/>
                <w:szCs w:val="25"/>
                <w:color w:val="auto"/>
                <w:vertAlign w:val="superscript"/>
              </w:rPr>
              <w:t>(a)(c)</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611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91"/>
              <w:spacing w:after="0"/>
              <w:rPr>
                <w:sz w:val="20"/>
                <w:szCs w:val="20"/>
                <w:color w:val="auto"/>
              </w:rPr>
            </w:pPr>
            <w:r>
              <w:rPr>
                <w:rFonts w:ascii="Arial" w:cs="Arial" w:eastAsia="Arial" w:hAnsi="Arial"/>
                <w:sz w:val="18"/>
                <w:szCs w:val="18"/>
                <w:color w:val="auto"/>
              </w:rPr>
              <w:t>717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1,416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1,172</w:t>
            </w:r>
          </w:p>
        </w:tc>
      </w:tr>
      <w:tr>
        <w:trPr>
          <w:trHeight w:val="243"/>
        </w:trPr>
        <w:tc>
          <w:tcPr>
            <w:tcW w:w="5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Conventional equivalent availability factor</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97.0%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3"/>
              </w:rPr>
              <w:t>93.2%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r>
      <w:tr>
        <w:trPr>
          <w:trHeight w:val="27"/>
        </w:trPr>
        <w:tc>
          <w:tcPr>
            <w:tcW w:w="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5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28" w:lineRule="exact"/>
        <w:rPr>
          <w:sz w:val="20"/>
          <w:szCs w:val="20"/>
          <w:color w:val="auto"/>
        </w:rPr>
      </w:pPr>
    </w:p>
    <w:p>
      <w:pPr>
        <w:ind w:left="160" w:hanging="152"/>
        <w:spacing w:after="0"/>
        <w:tabs>
          <w:tab w:leader="none" w:pos="160" w:val="left"/>
        </w:tabs>
        <w:numPr>
          <w:ilvl w:val="0"/>
          <w:numId w:val="39"/>
        </w:numPr>
        <w:rPr>
          <w:rFonts w:ascii="Arial" w:cs="Arial" w:eastAsia="Arial" w:hAnsi="Arial"/>
          <w:sz w:val="18"/>
          <w:szCs w:val="18"/>
          <w:color w:val="auto"/>
          <w:vertAlign w:val="superscript"/>
        </w:rPr>
      </w:pPr>
      <w:r>
        <w:rPr>
          <w:rFonts w:ascii="Arial" w:cs="Arial" w:eastAsia="Arial" w:hAnsi="Arial"/>
          <w:sz w:val="12"/>
          <w:szCs w:val="12"/>
          <w:color w:val="auto"/>
        </w:rPr>
        <w:t>Volumes do not include the MWh generated/sold by the Company's equity method investments.</w:t>
      </w:r>
    </w:p>
    <w:p>
      <w:pPr>
        <w:spacing w:after="0" w:line="18" w:lineRule="exact"/>
        <w:rPr>
          <w:rFonts w:ascii="Arial" w:cs="Arial" w:eastAsia="Arial" w:hAnsi="Arial"/>
          <w:sz w:val="18"/>
          <w:szCs w:val="18"/>
          <w:color w:val="auto"/>
          <w:vertAlign w:val="superscript"/>
        </w:rPr>
      </w:pPr>
    </w:p>
    <w:p>
      <w:pPr>
        <w:jc w:val="both"/>
        <w:ind w:right="760" w:firstLine="8"/>
        <w:spacing w:after="0" w:line="396" w:lineRule="auto"/>
        <w:tabs>
          <w:tab w:leader="none" w:pos="153" w:val="left"/>
        </w:tabs>
        <w:numPr>
          <w:ilvl w:val="0"/>
          <w:numId w:val="39"/>
        </w:numPr>
        <w:rPr>
          <w:rFonts w:ascii="Arial" w:cs="Arial" w:eastAsia="Arial" w:hAnsi="Arial"/>
          <w:sz w:val="17"/>
          <w:szCs w:val="17"/>
          <w:color w:val="auto"/>
          <w:vertAlign w:val="superscript"/>
        </w:rPr>
      </w:pPr>
      <w:r>
        <w:rPr>
          <w:rFonts w:ascii="Arial" w:cs="Arial" w:eastAsia="Arial" w:hAnsi="Arial"/>
          <w:sz w:val="12"/>
          <w:szCs w:val="12"/>
          <w:color w:val="auto"/>
        </w:rPr>
        <w:t xml:space="preserve">MWh sold do not include 56 MWh and 34 MWh during the three months ended September 30, 2018 and 2017, respectively, and 85 MWh and 52 MWh during the nine months ended September 30, 2018 and 2017, respectively, generated by Dover, a subsidiary of the Company, under the PPA with NRG Power Marketing, as further described in Note 9, </w:t>
      </w:r>
      <w:r>
        <w:rPr>
          <w:rFonts w:ascii="Arial" w:cs="Arial" w:eastAsia="Arial" w:hAnsi="Arial"/>
          <w:sz w:val="12"/>
          <w:szCs w:val="12"/>
          <w:i w:val="1"/>
          <w:iCs w:val="1"/>
          <w:color w:val="auto"/>
        </w:rPr>
        <w:t>Related Party</w:t>
      </w:r>
      <w:r>
        <w:rPr>
          <w:rFonts w:ascii="Arial" w:cs="Arial" w:eastAsia="Arial" w:hAnsi="Arial"/>
          <w:sz w:val="12"/>
          <w:szCs w:val="12"/>
          <w:color w:val="auto"/>
        </w:rPr>
        <w:t xml:space="preserve"> </w:t>
      </w:r>
      <w:r>
        <w:rPr>
          <w:rFonts w:ascii="Arial" w:cs="Arial" w:eastAsia="Arial" w:hAnsi="Arial"/>
          <w:sz w:val="12"/>
          <w:szCs w:val="12"/>
          <w:i w:val="1"/>
          <w:iCs w:val="1"/>
          <w:color w:val="auto"/>
        </w:rPr>
        <w:t>Transactions</w:t>
      </w:r>
      <w:r>
        <w:rPr>
          <w:rFonts w:ascii="Arial" w:cs="Arial" w:eastAsia="Arial" w:hAnsi="Arial"/>
          <w:sz w:val="12"/>
          <w:szCs w:val="12"/>
          <w:color w:val="auto"/>
        </w:rPr>
        <w:t>.</w:t>
      </w:r>
    </w:p>
    <w:p>
      <w:pPr>
        <w:ind w:left="160" w:hanging="152"/>
        <w:spacing w:after="0" w:line="207" w:lineRule="auto"/>
        <w:tabs>
          <w:tab w:leader="none" w:pos="160" w:val="left"/>
        </w:tabs>
        <w:numPr>
          <w:ilvl w:val="0"/>
          <w:numId w:val="39"/>
        </w:numPr>
        <w:rPr>
          <w:rFonts w:ascii="Arial" w:cs="Arial" w:eastAsia="Arial" w:hAnsi="Arial"/>
          <w:sz w:val="19"/>
          <w:szCs w:val="19"/>
          <w:color w:val="auto"/>
          <w:vertAlign w:val="superscript"/>
        </w:rPr>
      </w:pPr>
      <w:r>
        <w:rPr>
          <w:rFonts w:ascii="Arial" w:cs="Arial" w:eastAsia="Arial" w:hAnsi="Arial"/>
          <w:sz w:val="13"/>
          <w:szCs w:val="13"/>
          <w:color w:val="auto"/>
        </w:rPr>
        <w:t>Volumes generated are not sold by the Company as the Conventional facilities sell capacity rather than energy.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42"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Management’s Discussion of the Results of Operations for the Three Months Ended September 30, 2018 and 2017</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4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4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below tables present the composition of gross margin, as well as the reconciliation to economic gross margin,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2017:</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2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Renewables</w:t>
            </w:r>
          </w:p>
        </w:tc>
        <w:tc>
          <w:tcPr>
            <w:tcW w:w="22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Thermal</w:t>
            </w:r>
          </w:p>
        </w:tc>
        <w:tc>
          <w:tcPr>
            <w:tcW w:w="260" w:type="dxa"/>
            <w:vAlign w:val="bottom"/>
          </w:tcPr>
          <w:p>
            <w:pPr>
              <w:spacing w:after="0"/>
              <w:rPr>
                <w:sz w:val="14"/>
                <w:szCs w:val="14"/>
                <w:color w:val="auto"/>
              </w:rPr>
            </w:pPr>
          </w:p>
        </w:tc>
        <w:tc>
          <w:tcPr>
            <w:tcW w:w="8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2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Generation</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Three months ended September 30, 2018</w:t>
            </w:r>
          </w:p>
        </w:tc>
        <w:tc>
          <w:tcPr>
            <w:tcW w:w="2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Energy and capacity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43"/>
        </w:trPr>
        <w:tc>
          <w:tcPr>
            <w:tcW w:w="6260" w:type="dxa"/>
            <w:vAlign w:val="bottom"/>
          </w:tcPr>
          <w:p>
            <w:pPr>
              <w:ind w:left="160"/>
              <w:spacing w:after="0"/>
              <w:rPr>
                <w:sz w:val="20"/>
                <w:szCs w:val="20"/>
                <w:color w:val="auto"/>
              </w:rPr>
            </w:pPr>
            <w:r>
              <w:rPr>
                <w:rFonts w:ascii="Arial" w:cs="Arial" w:eastAsia="Arial" w:hAnsi="Arial"/>
                <w:sz w:val="18"/>
                <w:szCs w:val="18"/>
                <w:color w:val="auto"/>
              </w:rPr>
              <w:t>Cost of fuels</w:t>
            </w:r>
          </w:p>
        </w:tc>
        <w:tc>
          <w:tcPr>
            <w:tcW w:w="2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Contract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6260" w:type="dxa"/>
            <w:vAlign w:val="bottom"/>
          </w:tcPr>
          <w:p>
            <w:pPr>
              <w:ind w:left="280"/>
              <w:spacing w:after="0"/>
              <w:rPr>
                <w:sz w:val="20"/>
                <w:szCs w:val="20"/>
                <w:color w:val="auto"/>
              </w:rPr>
            </w:pPr>
            <w:r>
              <w:rPr>
                <w:rFonts w:ascii="Arial" w:cs="Arial" w:eastAsia="Arial" w:hAnsi="Arial"/>
                <w:sz w:val="18"/>
                <w:szCs w:val="18"/>
                <w:b w:val="1"/>
                <w:bCs w:val="1"/>
                <w:color w:val="auto"/>
              </w:rPr>
              <w:t>Gross margin</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Contract amortization</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97"/>
        </w:trPr>
        <w:tc>
          <w:tcPr>
            <w:tcW w:w="6260" w:type="dxa"/>
            <w:vAlign w:val="bottom"/>
            <w:tcBorders>
              <w:bottom w:val="single" w:sz="8" w:color="CCEEFF"/>
            </w:tcBorders>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84"/>
        </w:trPr>
        <w:tc>
          <w:tcPr>
            <w:tcW w:w="6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Three months ended September 30, 2017</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Energy and capacity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43"/>
        </w:trPr>
        <w:tc>
          <w:tcPr>
            <w:tcW w:w="6260" w:type="dxa"/>
            <w:vAlign w:val="bottom"/>
          </w:tcPr>
          <w:p>
            <w:pPr>
              <w:ind w:left="160"/>
              <w:spacing w:after="0"/>
              <w:rPr>
                <w:sz w:val="20"/>
                <w:szCs w:val="20"/>
                <w:color w:val="auto"/>
              </w:rPr>
            </w:pPr>
            <w:r>
              <w:rPr>
                <w:rFonts w:ascii="Arial" w:cs="Arial" w:eastAsia="Arial" w:hAnsi="Arial"/>
                <w:sz w:val="18"/>
                <w:szCs w:val="18"/>
                <w:color w:val="auto"/>
              </w:rPr>
              <w:t>Cost of fuels</w:t>
            </w:r>
          </w:p>
        </w:tc>
        <w:tc>
          <w:tcPr>
            <w:tcW w:w="2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Contract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6260" w:type="dxa"/>
            <w:vAlign w:val="bottom"/>
          </w:tcPr>
          <w:p>
            <w:pPr>
              <w:ind w:left="280"/>
              <w:spacing w:after="0"/>
              <w:rPr>
                <w:sz w:val="20"/>
                <w:szCs w:val="20"/>
                <w:color w:val="auto"/>
              </w:rPr>
            </w:pPr>
            <w:r>
              <w:rPr>
                <w:rFonts w:ascii="Arial" w:cs="Arial" w:eastAsia="Arial" w:hAnsi="Arial"/>
                <w:sz w:val="18"/>
                <w:szCs w:val="18"/>
                <w:b w:val="1"/>
                <w:bCs w:val="1"/>
                <w:color w:val="auto"/>
              </w:rPr>
              <w:t>Gross margin</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Contract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64"/>
        </w:trPr>
        <w:tc>
          <w:tcPr>
            <w:tcW w:w="6260" w:type="dxa"/>
            <w:vAlign w:val="bottom"/>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Gross margin increased by $18 million during the three months ended September 30, 2018, compared to the same period in 2017, due to a combination of the drivers summarized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20" w:type="dxa"/>
            <w:vAlign w:val="bottom"/>
          </w:tcPr>
          <w:p>
            <w:pPr>
              <w:spacing w:after="0"/>
              <w:rPr>
                <w:sz w:val="17"/>
                <w:szCs w:val="17"/>
                <w:color w:val="auto"/>
              </w:rPr>
            </w:pPr>
          </w:p>
        </w:tc>
        <w:tc>
          <w:tcPr>
            <w:tcW w:w="800" w:type="dxa"/>
            <w:vAlign w:val="bottom"/>
          </w:tcPr>
          <w:p>
            <w:pPr>
              <w:ind w:left="40"/>
              <w:spacing w:after="0"/>
              <w:rPr>
                <w:sz w:val="20"/>
                <w:szCs w:val="20"/>
                <w:color w:val="auto"/>
              </w:rPr>
            </w:pPr>
            <w:r>
              <w:rPr>
                <w:rFonts w:ascii="Arial" w:cs="Arial" w:eastAsia="Arial" w:hAnsi="Arial"/>
                <w:sz w:val="16"/>
                <w:szCs w:val="16"/>
                <w:b w:val="1"/>
                <w:bCs w:val="1"/>
                <w:color w:val="auto"/>
              </w:rPr>
              <w:t>Increase</w:t>
            </w:r>
          </w:p>
        </w:tc>
        <w:tc>
          <w:tcPr>
            <w:tcW w:w="340" w:type="dxa"/>
            <w:vAlign w:val="bottom"/>
          </w:tcPr>
          <w:p>
            <w:pPr>
              <w:spacing w:after="0"/>
              <w:rPr>
                <w:sz w:val="17"/>
                <w:szCs w:val="17"/>
                <w:color w:val="auto"/>
              </w:rPr>
            </w:pPr>
          </w:p>
        </w:tc>
        <w:tc>
          <w:tcPr>
            <w:tcW w:w="8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40"/>
              <w:spacing w:after="0"/>
              <w:rPr>
                <w:sz w:val="20"/>
                <w:szCs w:val="20"/>
                <w:color w:val="auto"/>
              </w:rPr>
            </w:pPr>
            <w:r>
              <w:rPr>
                <w:rFonts w:ascii="Arial" w:cs="Arial" w:eastAsia="Arial" w:hAnsi="Arial"/>
                <w:sz w:val="16"/>
                <w:szCs w:val="16"/>
                <w:b w:val="1"/>
                <w:bCs w:val="1"/>
                <w:color w:val="auto"/>
              </w:rPr>
              <w:t>Segment</w:t>
            </w:r>
          </w:p>
        </w:tc>
        <w:tc>
          <w:tcPr>
            <w:tcW w:w="800" w:type="dxa"/>
            <w:vAlign w:val="bottom"/>
          </w:tcPr>
          <w:p>
            <w:pPr>
              <w:ind w:left="40"/>
              <w:spacing w:after="0"/>
              <w:rPr>
                <w:sz w:val="20"/>
                <w:szCs w:val="20"/>
                <w:color w:val="auto"/>
              </w:rPr>
            </w:pPr>
            <w:r>
              <w:rPr>
                <w:rFonts w:ascii="Arial" w:cs="Arial" w:eastAsia="Arial" w:hAnsi="Arial"/>
                <w:sz w:val="16"/>
                <w:szCs w:val="16"/>
                <w:b w:val="1"/>
                <w:bCs w:val="1"/>
                <w:color w:val="auto"/>
                <w:w w:val="90"/>
              </w:rPr>
              <w:t>(Decrease)</w:t>
            </w:r>
          </w:p>
        </w:tc>
        <w:tc>
          <w:tcPr>
            <w:tcW w:w="340" w:type="dxa"/>
            <w:vAlign w:val="bottom"/>
          </w:tcPr>
          <w:p>
            <w:pPr>
              <w:spacing w:after="0"/>
              <w:rPr>
                <w:sz w:val="18"/>
                <w:szCs w:val="18"/>
                <w:color w:val="auto"/>
              </w:rPr>
            </w:pPr>
          </w:p>
        </w:tc>
        <w:tc>
          <w:tcPr>
            <w:tcW w:w="8500" w:type="dxa"/>
            <w:vAlign w:val="bottom"/>
          </w:tcPr>
          <w:p>
            <w:pPr>
              <w:ind w:left="20"/>
              <w:spacing w:after="0"/>
              <w:rPr>
                <w:sz w:val="20"/>
                <w:szCs w:val="20"/>
                <w:color w:val="auto"/>
              </w:rPr>
            </w:pPr>
            <w:r>
              <w:rPr>
                <w:rFonts w:ascii="Arial" w:cs="Arial" w:eastAsia="Arial" w:hAnsi="Arial"/>
                <w:sz w:val="16"/>
                <w:szCs w:val="16"/>
                <w:b w:val="1"/>
                <w:bCs w:val="1"/>
                <w:color w:val="auto"/>
              </w:rPr>
              <w:t>Reason for Increase</w:t>
            </w:r>
          </w:p>
        </w:tc>
        <w:tc>
          <w:tcPr>
            <w:tcW w:w="0" w:type="dxa"/>
            <w:vAlign w:val="bottom"/>
          </w:tcPr>
          <w:p>
            <w:pPr>
              <w:spacing w:after="0"/>
              <w:rPr>
                <w:sz w:val="1"/>
                <w:szCs w:val="1"/>
                <w:color w:val="auto"/>
              </w:rPr>
            </w:pPr>
          </w:p>
        </w:tc>
      </w:tr>
      <w:tr>
        <w:trPr>
          <w:trHeight w:val="33"/>
        </w:trPr>
        <w:tc>
          <w:tcPr>
            <w:tcW w:w="17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7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Increase of $11 million related to a 10% increase in wind generation volume, primarily at the Alta Wind projects,</w:t>
            </w:r>
          </w:p>
        </w:tc>
        <w:tc>
          <w:tcPr>
            <w:tcW w:w="0" w:type="dxa"/>
            <w:vAlign w:val="bottom"/>
          </w:tcPr>
          <w:p>
            <w:pPr>
              <w:spacing w:after="0"/>
              <w:rPr>
                <w:sz w:val="1"/>
                <w:szCs w:val="1"/>
                <w:color w:val="auto"/>
              </w:rPr>
            </w:pPr>
          </w:p>
        </w:tc>
      </w:tr>
      <w:tr>
        <w:trPr>
          <w:trHeight w:val="216"/>
        </w:trPr>
        <w:tc>
          <w:tcPr>
            <w:tcW w:w="172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Renewables:</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and $6 million in solar revenue attributable primarily to the Buckthorn Solar project, which achieved COD in July</w:t>
            </w: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vMerge w:val="continue"/>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17</w:t>
            </w:r>
          </w:p>
        </w:tc>
        <w:tc>
          <w:tcPr>
            <w:tcW w:w="8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9"/>
        </w:trPr>
        <w:tc>
          <w:tcPr>
            <w:tcW w:w="1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Thermal:</w:t>
            </w: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500" w:type="dxa"/>
            <w:vAlign w:val="bottom"/>
          </w:tcPr>
          <w:p>
            <w:pPr>
              <w:ind w:left="20"/>
              <w:spacing w:after="0"/>
              <w:rPr>
                <w:sz w:val="20"/>
                <w:szCs w:val="20"/>
                <w:color w:val="auto"/>
              </w:rPr>
            </w:pPr>
            <w:r>
              <w:rPr>
                <w:rFonts w:ascii="Arial" w:cs="Arial" w:eastAsia="Arial" w:hAnsi="Arial"/>
                <w:sz w:val="18"/>
                <w:szCs w:val="18"/>
                <w:color w:val="auto"/>
                <w:w w:val="91"/>
              </w:rPr>
              <w:t>Revenues generated at the UPMC Thermal Project pursuant to the Energy Sales Agreement between the Company</w:t>
            </w: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8500" w:type="dxa"/>
            <w:vAlign w:val="bottom"/>
          </w:tcPr>
          <w:p>
            <w:pPr>
              <w:ind w:left="180"/>
              <w:spacing w:after="0"/>
              <w:rPr>
                <w:sz w:val="20"/>
                <w:szCs w:val="20"/>
                <w:color w:val="auto"/>
              </w:rPr>
            </w:pPr>
            <w:r>
              <w:rPr>
                <w:rFonts w:ascii="Arial" w:cs="Arial" w:eastAsia="Arial" w:hAnsi="Arial"/>
                <w:sz w:val="18"/>
                <w:szCs w:val="18"/>
                <w:color w:val="auto"/>
              </w:rPr>
              <w:t>and UPMC Mercy, which commenced operations in March 2018</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2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Conventional :</w:t>
            </w: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Lower plant availability at Walnut Creek and El Segundo during the summer of 2018, partially offset by higher start</w:t>
            </w:r>
          </w:p>
        </w:tc>
        <w:tc>
          <w:tcPr>
            <w:tcW w:w="0" w:type="dxa"/>
            <w:vAlign w:val="bottom"/>
          </w:tcPr>
          <w:p>
            <w:pPr>
              <w:spacing w:after="0"/>
              <w:rPr>
                <w:sz w:val="1"/>
                <w:szCs w:val="1"/>
                <w:color w:val="auto"/>
              </w:rPr>
            </w:pPr>
          </w:p>
        </w:tc>
      </w:tr>
      <w:tr>
        <w:trPr>
          <w:trHeight w:val="257"/>
        </w:trPr>
        <w:tc>
          <w:tcPr>
            <w:tcW w:w="1720" w:type="dxa"/>
            <w:vAlign w:val="bottom"/>
            <w:tcBorders>
              <w:bottom w:val="single" w:sz="8" w:color="CCEEFF"/>
            </w:tcBorders>
            <w:vMerge w:val="continue"/>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8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(1)   revenues generated at El Segundo</w:t>
            </w: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18</w:t>
            </w:r>
          </w:p>
        </w:tc>
        <w:tc>
          <w:tcPr>
            <w:tcW w:w="8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500" w:type="dxa"/>
            <w:vAlign w:val="bottom"/>
            <w:vMerge w:val="restart"/>
          </w:tcPr>
          <w:p>
            <w:pPr>
              <w:ind w:left="27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Operations and Maintenance</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Operations and maintenance expense decreased by $2 million during the three months ended September 30, 2018, primarily driven by outages at Walnut Creek in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Depreciation and amortization expense decreased by $6 million during the three months ended September 30, 2018, compared to the same period in 2017, due to certain components being fully depreciated after the third quarter of 2017, as well as impairment of Forward in the fourth quarter of 2017.</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General and administrative expense increased by $2 million during the three months ended September 30, 2018, primarily driven by additional employee expenses resulting from the NRG Transaction.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Transaction and Integration Costs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Acquisition-related transaction and integration costs of $17 million during the three months ended September 30, 2018 primarily reflect fees paid to advisors and other costs associated with the NRG Transaction.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Costs</w:t>
      </w:r>
    </w:p>
    <w:p>
      <w:pPr>
        <w:spacing w:after="0" w:line="171"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Development costs increased by $1 million during the three months ended September 30, 2018, compared to the same period in 2017, primarily due to expenses incurred related to the implementation and evaluation of black start services at the Marsh Landing natural gas project.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right="20" w:firstLine="405"/>
        <w:spacing w:after="0" w:line="312" w:lineRule="auto"/>
        <w:rPr>
          <w:sz w:val="20"/>
          <w:szCs w:val="20"/>
          <w:color w:val="auto"/>
        </w:rPr>
      </w:pPr>
      <w:r>
        <w:rPr>
          <w:rFonts w:ascii="Arial" w:cs="Arial" w:eastAsia="Arial" w:hAnsi="Arial"/>
          <w:sz w:val="16"/>
          <w:szCs w:val="16"/>
          <w:color w:val="auto"/>
        </w:rPr>
        <w:t>Equity in earnings of unconsolidated affiliates increased by $4 million during the three months ended September 30, 2018, compared to the same period in 2017, primarily due to income allocated to the Company in DGPV Holdco 3, which was formed in September 2017. The HLBV method of accounting generally allocates more losses to the TE investors in the first several years after fund formation, and conversely, more income to the Company.</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For the three months ended September 30, 2018, the Company had a loss of $1 million attributable to CEG's economic interest in Repowering LLC and a loss of $1 million attributable to noncontrolling interests with respect to its tax equity financing arrangements and the application of the HLBV method. For the three months ended September 30, 2017, the Company had a loss of $23 million attributable to noncontrolling interests with respect to its tax equity financing arrangements and the application of the HLBV method, which generally allocates more loss to the noncontrolling interest in the first several years after fund formation, reflecting the allocation of tax items such as production tax credits and tax depreciation to the fund investors.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46"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Management’s Discussion of the Results of Operations for the Nine Months Ended September 30, 2018 and 2017</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44"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below tables present the composition of gross margin, as well as the reconciliation to economic gross margin,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Conventional</w:t>
            </w:r>
          </w:p>
        </w:tc>
        <w:tc>
          <w:tcPr>
            <w:tcW w:w="200" w:type="dxa"/>
            <w:vAlign w:val="bottom"/>
          </w:tcPr>
          <w:p>
            <w:pPr>
              <w:spacing w:after="0"/>
              <w:rPr>
                <w:sz w:val="14"/>
                <w:szCs w:val="14"/>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Renewables</w:t>
            </w:r>
          </w:p>
        </w:tc>
        <w:tc>
          <w:tcPr>
            <w:tcW w:w="260" w:type="dxa"/>
            <w:vAlign w:val="bottom"/>
          </w:tcPr>
          <w:p>
            <w:pPr>
              <w:spacing w:after="0"/>
              <w:rPr>
                <w:sz w:val="14"/>
                <w:szCs w:val="14"/>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Thermal</w:t>
            </w:r>
          </w:p>
        </w:tc>
        <w:tc>
          <w:tcPr>
            <w:tcW w:w="32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Generation</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Nine months ended September 30, 2018</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margin</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37"/>
        </w:trPr>
        <w:tc>
          <w:tcPr>
            <w:tcW w:w="5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253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473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819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Nine months ended September 30, 2017</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margin</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37"/>
        </w:trPr>
        <w:tc>
          <w:tcPr>
            <w:tcW w:w="5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250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785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Gross margin increased by $34 million during the nine months ended September 30, 2018, compared to the same period in 2017, due to a combination of the drivers summarized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20" w:type="dxa"/>
            <w:vAlign w:val="bottom"/>
          </w:tcPr>
          <w:p>
            <w:pPr>
              <w:ind w:left="40"/>
              <w:spacing w:after="0"/>
              <w:rPr>
                <w:sz w:val="20"/>
                <w:szCs w:val="20"/>
                <w:color w:val="auto"/>
              </w:rPr>
            </w:pPr>
            <w:r>
              <w:rPr>
                <w:rFonts w:ascii="Arial" w:cs="Arial" w:eastAsia="Arial" w:hAnsi="Arial"/>
                <w:sz w:val="16"/>
                <w:szCs w:val="16"/>
                <w:b w:val="1"/>
                <w:bCs w:val="1"/>
                <w:color w:val="auto"/>
              </w:rPr>
              <w:t>Segment</w:t>
            </w:r>
          </w:p>
        </w:tc>
        <w:tc>
          <w:tcPr>
            <w:tcW w:w="860" w:type="dxa"/>
            <w:vAlign w:val="bottom"/>
          </w:tcPr>
          <w:p>
            <w:pPr>
              <w:ind w:left="40"/>
              <w:spacing w:after="0"/>
              <w:rPr>
                <w:sz w:val="20"/>
                <w:szCs w:val="20"/>
                <w:color w:val="auto"/>
              </w:rPr>
            </w:pPr>
            <w:r>
              <w:rPr>
                <w:rFonts w:ascii="Arial" w:cs="Arial" w:eastAsia="Arial" w:hAnsi="Arial"/>
                <w:sz w:val="16"/>
                <w:szCs w:val="16"/>
                <w:b w:val="1"/>
                <w:bCs w:val="1"/>
                <w:color w:val="auto"/>
              </w:rPr>
              <w:t>Increase</w:t>
            </w:r>
          </w:p>
        </w:tc>
        <w:tc>
          <w:tcPr>
            <w:tcW w:w="520" w:type="dxa"/>
            <w:vAlign w:val="bottom"/>
          </w:tcPr>
          <w:p>
            <w:pPr>
              <w:spacing w:after="0"/>
              <w:rPr>
                <w:sz w:val="18"/>
                <w:szCs w:val="18"/>
                <w:color w:val="auto"/>
              </w:rPr>
            </w:pPr>
          </w:p>
        </w:tc>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Reason for Increase</w:t>
            </w:r>
          </w:p>
        </w:tc>
        <w:tc>
          <w:tcPr>
            <w:tcW w:w="0" w:type="dxa"/>
            <w:vAlign w:val="bottom"/>
          </w:tcPr>
          <w:p>
            <w:pPr>
              <w:spacing w:after="0"/>
              <w:rPr>
                <w:sz w:val="1"/>
                <w:szCs w:val="1"/>
                <w:color w:val="auto"/>
              </w:rPr>
            </w:pPr>
          </w:p>
        </w:tc>
      </w:tr>
      <w:tr>
        <w:trPr>
          <w:trHeight w:val="33"/>
        </w:trPr>
        <w:tc>
          <w:tcPr>
            <w:tcW w:w="17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7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Increase of $15 million related to a 4% increase in wind generation volume, primarily at the Alta Wind projects,</w:t>
            </w:r>
          </w:p>
        </w:tc>
        <w:tc>
          <w:tcPr>
            <w:tcW w:w="0" w:type="dxa"/>
            <w:vAlign w:val="bottom"/>
          </w:tcPr>
          <w:p>
            <w:pPr>
              <w:spacing w:after="0"/>
              <w:rPr>
                <w:sz w:val="1"/>
                <w:szCs w:val="1"/>
                <w:color w:val="auto"/>
              </w:rPr>
            </w:pPr>
          </w:p>
        </w:tc>
      </w:tr>
      <w:tr>
        <w:trPr>
          <w:trHeight w:val="216"/>
        </w:trPr>
        <w:tc>
          <w:tcPr>
            <w:tcW w:w="172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Renewables: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and an increase of $10 million in solar revenue primarily related to the Buckthorn Solar project which achieved</w:t>
            </w: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vMerge w:val="continue"/>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COD in July 2018</w:t>
            </w:r>
          </w:p>
        </w:tc>
        <w:tc>
          <w:tcPr>
            <w:tcW w:w="0" w:type="dxa"/>
            <w:vAlign w:val="bottom"/>
          </w:tcPr>
          <w:p>
            <w:pPr>
              <w:spacing w:after="0"/>
              <w:rPr>
                <w:sz w:val="1"/>
                <w:szCs w:val="1"/>
                <w:color w:val="auto"/>
              </w:rPr>
            </w:pPr>
          </w:p>
        </w:tc>
      </w:tr>
      <w:tr>
        <w:trPr>
          <w:trHeight w:val="243"/>
        </w:trPr>
        <w:tc>
          <w:tcPr>
            <w:tcW w:w="1720" w:type="dxa"/>
            <w:vAlign w:val="bottom"/>
          </w:tcPr>
          <w:p>
            <w:pPr>
              <w:ind w:left="40"/>
              <w:spacing w:after="0"/>
              <w:rPr>
                <w:sz w:val="20"/>
                <w:szCs w:val="20"/>
                <w:color w:val="auto"/>
              </w:rPr>
            </w:pPr>
            <w:r>
              <w:rPr>
                <w:rFonts w:ascii="Arial" w:cs="Arial" w:eastAsia="Arial" w:hAnsi="Arial"/>
                <w:sz w:val="18"/>
                <w:szCs w:val="18"/>
                <w:b w:val="1"/>
                <w:bCs w:val="1"/>
                <w:color w:val="auto"/>
              </w:rPr>
              <w:t>Conventional:</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8320" w:type="dxa"/>
            <w:vAlign w:val="bottom"/>
          </w:tcPr>
          <w:p>
            <w:pPr>
              <w:ind w:left="20"/>
              <w:spacing w:after="0"/>
              <w:rPr>
                <w:sz w:val="20"/>
                <w:szCs w:val="20"/>
                <w:color w:val="auto"/>
              </w:rPr>
            </w:pPr>
            <w:r>
              <w:rPr>
                <w:rFonts w:ascii="Arial" w:cs="Arial" w:eastAsia="Arial" w:hAnsi="Arial"/>
                <w:sz w:val="18"/>
                <w:szCs w:val="18"/>
                <w:color w:val="auto"/>
                <w:w w:val="98"/>
              </w:rPr>
              <w:t>Higher plant availability at Walnut Creek and El Segundo due to lower outages in 2018 compared to 2017</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2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Thermal:</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Increased consumption across the portfolio in the third quarter of 2018, as well as revenues generated at the</w:t>
            </w:r>
          </w:p>
        </w:tc>
        <w:tc>
          <w:tcPr>
            <w:tcW w:w="0" w:type="dxa"/>
            <w:vAlign w:val="bottom"/>
          </w:tcPr>
          <w:p>
            <w:pPr>
              <w:spacing w:after="0"/>
              <w:rPr>
                <w:sz w:val="1"/>
                <w:szCs w:val="1"/>
                <w:color w:val="auto"/>
              </w:rPr>
            </w:pPr>
          </w:p>
        </w:tc>
      </w:tr>
      <w:tr>
        <w:trPr>
          <w:trHeight w:val="257"/>
        </w:trPr>
        <w:tc>
          <w:tcPr>
            <w:tcW w:w="1720" w:type="dxa"/>
            <w:vAlign w:val="bottom"/>
            <w:tcBorders>
              <w:bottom w:val="single" w:sz="8" w:color="CCEEFF"/>
            </w:tcBorders>
            <w:vMerge w:val="continue"/>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UPMC Thermal Project pursuant to the Energy Sales Agreement between the Company and UPMC Mercy</w:t>
            </w: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8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w:t>
            </w:r>
          </w:p>
        </w:tc>
        <w:tc>
          <w:tcPr>
            <w:tcW w:w="8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320" w:type="dxa"/>
            <w:vAlign w:val="bottom"/>
            <w:vMerge w:val="restart"/>
          </w:tcPr>
          <w:p>
            <w:pPr>
              <w:ind w:left="25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Operations and Maintenance</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Operations and maintenance expense decreased by $6 million during the nine months ended September 30, 2018, compared to the same period in 2017, primarily due to lower outages at El Segundo in 2018 compared to outages at Walnut Creek in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General and administrative expense increased by $3 million during the nine months ended September 30, 2018, primarily driven by additional employee expenses resulting from the NRG Transaction.</w:t>
      </w:r>
    </w:p>
    <w:p>
      <w:pPr>
        <w:spacing w:after="0" w:line="116"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Acquisition-Related Transaction and Integration Costs</w:t>
      </w:r>
    </w:p>
    <w:p>
      <w:pPr>
        <w:spacing w:after="0" w:line="171"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 xml:space="preserve">Acquisition-related transaction and integration costs of $19 million during the nine months ended September 30, 2018, primarily reflect fees paid to advisors and other costs associated with the NRG Transaction, as well as fees paid in connection with the acquisitions that took place in 2018, as further described in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w:t>
      </w:r>
    </w:p>
    <w:p>
      <w:pPr>
        <w:spacing w:after="0" w:line="127"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Development Costs</w:t>
      </w:r>
    </w:p>
    <w:p>
      <w:pPr>
        <w:spacing w:after="0" w:line="171" w:lineRule="exact"/>
        <w:rPr>
          <w:sz w:val="20"/>
          <w:szCs w:val="20"/>
          <w:color w:val="auto"/>
        </w:rPr>
      </w:pPr>
    </w:p>
    <w:p>
      <w:pPr>
        <w:ind w:right="220" w:firstLine="405"/>
        <w:spacing w:after="0" w:line="308" w:lineRule="auto"/>
        <w:rPr>
          <w:sz w:val="20"/>
          <w:szCs w:val="20"/>
          <w:color w:val="auto"/>
        </w:rPr>
      </w:pPr>
      <w:r>
        <w:rPr>
          <w:rFonts w:ascii="Arial" w:cs="Arial" w:eastAsia="Arial" w:hAnsi="Arial"/>
          <w:sz w:val="17"/>
          <w:szCs w:val="17"/>
          <w:color w:val="auto"/>
        </w:rPr>
        <w:t>Development costs increased by $1 million during the nine months ended September 30, 2018, compared to the same period in 2017, primarily due to expenses incurred related to the implementation and evaluation of black start services at the Marsh Landing natural gas project.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Equity in earnings of unconsolidated affiliates increased by $2 million during the nine months ended September 30, 2018, compared to the same period in 2017, primarily driven by the increase in HLBV income allocated to the Company's interests in DGPV funds, partially offset by losses allocated to the Company in Utah Portfolio.</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Interest expense decreased by $39 million during the nine months ended September 30, 2018, compared to the same period in 2017, primarily due to changes in the fair value of interest rate swaps during the first half of 2018 and lower project level debt balances in 2018 compared to 2017.</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For the nine months ended September 30, 2018, the Company had a loss of $1 million attributable to CEG's economic interest in Repowering LLC and a loss of $94 million attributable to noncontrolling interests with respect to its tax equity financing arrangements and the application of the HLBV method. For the nine months ended September 30, 2017, the Company had a loss of $56 million attributable to noncontrolling interests with respect to its tax equity financing arrangements and application of the HLBV method, which generally allocates more loss to the noncontrolling interest in the first several years after fund formation, reflecting the allocation of tax items such as production tax credits and tax depreciation to the fund investors.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46"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 xml:space="preserve">The Company's principal liquidity requirements are to meet its financial commitments, finance current operations, fund capital expenditures, including acquisitions from time to time, service debt and pay distributions. </w:t>
      </w:r>
      <w:r>
        <w:rPr>
          <w:rFonts w:ascii="Arial" w:cs="Arial" w:eastAsia="Arial" w:hAnsi="Arial"/>
          <w:sz w:val="17"/>
          <w:szCs w:val="17"/>
          <w:color w:val="000000"/>
        </w:rPr>
        <w:t>As a normal part of the Company's business, depending on market conditions, the Company</w:t>
      </w:r>
      <w:r>
        <w:rPr>
          <w:rFonts w:ascii="Arial" w:cs="Arial" w:eastAsia="Arial" w:hAnsi="Arial"/>
          <w:sz w:val="17"/>
          <w:szCs w:val="17"/>
          <w:color w:val="231F20"/>
        </w:rPr>
        <w:t xml:space="preserve"> </w:t>
      </w:r>
      <w:r>
        <w:rPr>
          <w:rFonts w:ascii="Arial" w:cs="Arial" w:eastAsia="Arial" w:hAnsi="Arial"/>
          <w:sz w:val="17"/>
          <w:szCs w:val="17"/>
          <w:color w:val="000000"/>
        </w:rPr>
        <w:t>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Liquidity Position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 xml:space="preserve">As of </w:t>
      </w:r>
      <w:r>
        <w:rPr>
          <w:rFonts w:ascii="Arial" w:cs="Arial" w:eastAsia="Arial" w:hAnsi="Arial"/>
          <w:sz w:val="17"/>
          <w:szCs w:val="17"/>
          <w:color w:val="000000"/>
        </w:rPr>
        <w:t>September 30, 2018</w:t>
      </w:r>
      <w:r>
        <w:rPr>
          <w:rFonts w:ascii="Arial" w:cs="Arial" w:eastAsia="Arial" w:hAnsi="Arial"/>
          <w:sz w:val="17"/>
          <w:szCs w:val="17"/>
          <w:color w:val="231F20"/>
        </w:rPr>
        <w:t xml:space="preserve">, the Company had $425 million of available borrowings under its revolving credit facility. As of </w:t>
      </w:r>
      <w:r>
        <w:rPr>
          <w:rFonts w:ascii="Arial" w:cs="Arial" w:eastAsia="Arial" w:hAnsi="Arial"/>
          <w:sz w:val="17"/>
          <w:szCs w:val="17"/>
          <w:color w:val="000000"/>
        </w:rPr>
        <w:t>September 30, 2018</w:t>
      </w:r>
      <w:r>
        <w:rPr>
          <w:rFonts w:ascii="Arial" w:cs="Arial" w:eastAsia="Arial" w:hAnsi="Arial"/>
          <w:sz w:val="17"/>
          <w:szCs w:val="17"/>
          <w:color w:val="231F20"/>
        </w:rPr>
        <w:t xml:space="preserv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r>
        <w:rPr>
          <w:rFonts w:ascii="Arial" w:cs="Arial" w:eastAsia="Arial" w:hAnsi="Arial"/>
          <w:sz w:val="18"/>
          <w:szCs w:val="18"/>
          <w:color w:val="231F20"/>
        </w:rPr>
        <w:t>, the Company's liquidity was $813 million and $680 million, respectively, comprised of the following: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18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2018</w:t>
            </w:r>
          </w:p>
        </w:tc>
        <w:tc>
          <w:tcPr>
            <w:tcW w:w="260" w:type="dxa"/>
            <w:vAlign w:val="bottom"/>
          </w:tcPr>
          <w:p>
            <w:pPr>
              <w:spacing w:after="0"/>
              <w:rPr>
                <w:sz w:val="16"/>
                <w:szCs w:val="16"/>
                <w:color w:val="auto"/>
              </w:rPr>
            </w:pPr>
          </w:p>
        </w:tc>
        <w:tc>
          <w:tcPr>
            <w:tcW w:w="1680" w:type="dxa"/>
            <w:vAlign w:val="bottom"/>
          </w:tcPr>
          <w:p>
            <w:pPr>
              <w:jc w:val="right"/>
              <w:ind w:right="292"/>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Clearway Energy LLC, excluding subsidiaries</w:t>
            </w:r>
          </w:p>
        </w:tc>
        <w:tc>
          <w:tcPr>
            <w:tcW w:w="24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22</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Restricted cash:</w:t>
            </w: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accounts</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w w:val="98"/>
              </w:rPr>
              <w:t>Reserves, including debt service, distributions, performance obligations and other reserves</w:t>
            </w:r>
          </w:p>
        </w:tc>
        <w:tc>
          <w:tcPr>
            <w:tcW w:w="24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143</w:t>
            </w: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w:t>
            </w: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Revolving credit facility availability</w:t>
            </w: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366</w:t>
            </w: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liquidity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680</w:t>
            </w:r>
          </w:p>
        </w:tc>
      </w:tr>
      <w:tr>
        <w:trPr>
          <w:trHeight w:val="20"/>
        </w:trPr>
        <w:tc>
          <w:tcPr>
            <w:tcW w:w="7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2018</w:t>
      </w:r>
      <w:r>
        <w:rPr>
          <w:rFonts w:ascii="Arial" w:cs="Arial" w:eastAsia="Arial" w:hAnsi="Arial"/>
          <w:sz w:val="18"/>
          <w:szCs w:val="18"/>
          <w:color w:val="231F20"/>
        </w:rPr>
        <w:t>, there were no outstanding borrowings and $70 million of letters of credit outstanding under the Company's revolving credit facility. On October 9, 2018, the Company terminated certain letters of credit relating to certain project PPAs in exchange for a one-time payment, which reduced the outstanding letters of credit under the revolving credit facility to $45 million as of October 31, 2018.</w:t>
      </w:r>
    </w:p>
    <w:p>
      <w:pPr>
        <w:spacing w:after="0" w:line="127"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231F20"/>
        </w:rPr>
        <w:t xml:space="preserve">As described in </w:t>
      </w:r>
      <w:r>
        <w:rPr>
          <w:rFonts w:ascii="Arial" w:cs="Arial" w:eastAsia="Arial" w:hAnsi="Arial"/>
          <w:sz w:val="18"/>
          <w:szCs w:val="18"/>
          <w:color w:val="000000"/>
        </w:rPr>
        <w:t>Note 7</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231F20"/>
        </w:rPr>
        <w:t>, o</w:t>
      </w:r>
      <w:r>
        <w:rPr>
          <w:rFonts w:ascii="Arial" w:cs="Arial" w:eastAsia="Arial" w:hAnsi="Arial"/>
          <w:sz w:val="18"/>
          <w:szCs w:val="18"/>
          <w:color w:val="000000"/>
        </w:rPr>
        <w:t>n October 1, 2018, Clearway Energy Operating LLC issued $600 million of 2025 Senior Notes. Additionally,</w:t>
      </w:r>
      <w:r>
        <w:rPr>
          <w:rFonts w:ascii="Arial" w:cs="Arial" w:eastAsia="Arial" w:hAnsi="Arial"/>
          <w:sz w:val="18"/>
          <w:szCs w:val="18"/>
          <w:color w:val="231F20"/>
        </w:rPr>
        <w:t xml:space="preserve"> </w:t>
      </w:r>
      <w:r>
        <w:rPr>
          <w:rFonts w:ascii="Arial" w:cs="Arial" w:eastAsia="Arial" w:hAnsi="Arial"/>
          <w:sz w:val="18"/>
          <w:szCs w:val="18"/>
          <w:color w:val="000000"/>
        </w:rPr>
        <w:t>pursuant to the results of the tender offer for the 2019 Convertible Notes and 2020 Convertible Notes, which expired on October 9, 2018, Clearway Energy, Inc. repurchased an aggregate principal amount of $109 million of the 2019 Convertible Notes and $243 million of the 2020 Convertible Notes. The Clearway Energy, Inc. partially financed the repurchases with the proceeds from the 2025 Senior Notes.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Clearway Energy, Inc. and CEG. Management continues to regularly monitor the Company's ability to finance the needs of its operating, financing and investing activity within the dictates of prudent balance sheet management.</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Credit Ratings</w:t>
      </w:r>
    </w:p>
    <w:p>
      <w:pPr>
        <w:spacing w:after="0" w:line="18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8"/>
          <w:szCs w:val="18"/>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11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2018, the Company's 2024 Senior Notes and 2026 Senior Notes are rated BB by S&amp;P and Ba2 by Moody's, respectively. S&amp;P and</w:t>
      </w:r>
      <w:r>
        <w:rPr>
          <w:rFonts w:ascii="Arial" w:cs="Arial" w:eastAsia="Arial" w:hAnsi="Arial"/>
          <w:sz w:val="18"/>
          <w:szCs w:val="18"/>
          <w:color w:val="231F20"/>
        </w:rPr>
        <w:t xml:space="preserve"> </w:t>
      </w:r>
      <w:r>
        <w:rPr>
          <w:rFonts w:ascii="Arial" w:cs="Arial" w:eastAsia="Arial" w:hAnsi="Arial"/>
          <w:sz w:val="18"/>
          <w:szCs w:val="18"/>
          <w:color w:val="000000"/>
        </w:rPr>
        <w:t>Moody's reaffirmed the ratings outlook as stable on September 10, 2018 and October 18, 2018, respectively.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742" w:right="239" w:bottom="1440" w:gutter="0" w:footer="0" w:header="0"/>
        </w:sectPr>
      </w:pPr>
    </w:p>
    <w:bookmarkStart w:id="58" w:name="page59"/>
    <w:bookmarkEnd w:id="58"/>
    <w:p>
      <w:pPr>
        <w:ind w:left="420"/>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The Company's principal sources of liquidity include cash on hand, cash generated from operations, borrowings under new and existing financing arrangements and the issuance of additional equity and debt securities as appropriate given market conditions. As described in Item 1— Note 7, </w:t>
      </w:r>
      <w:r>
        <w:rPr>
          <w:rFonts w:ascii="Arial" w:cs="Arial" w:eastAsia="Arial" w:hAnsi="Arial"/>
          <w:sz w:val="18"/>
          <w:szCs w:val="18"/>
          <w:i w:val="1"/>
          <w:iCs w:val="1"/>
          <w:color w:val="231F20"/>
        </w:rPr>
        <w:t>Long-term</w:t>
      </w:r>
      <w:r>
        <w:rPr>
          <w:rFonts w:ascii="Arial" w:cs="Arial" w:eastAsia="Arial" w:hAnsi="Arial"/>
          <w:sz w:val="18"/>
          <w:szCs w:val="18"/>
          <w:color w:val="231F20"/>
        </w:rPr>
        <w:t xml:space="preserve"> </w:t>
      </w:r>
      <w:r>
        <w:rPr>
          <w:rFonts w:ascii="Arial" w:cs="Arial" w:eastAsia="Arial" w:hAnsi="Arial"/>
          <w:sz w:val="18"/>
          <w:szCs w:val="18"/>
          <w:i w:val="1"/>
          <w:iCs w:val="1"/>
          <w:color w:val="231F20"/>
        </w:rPr>
        <w:t>Debt</w:t>
      </w:r>
      <w:r>
        <w:rPr>
          <w:rFonts w:ascii="Arial" w:cs="Arial" w:eastAsia="Arial" w:hAnsi="Arial"/>
          <w:sz w:val="18"/>
          <w:szCs w:val="18"/>
          <w:color w:val="231F20"/>
        </w:rPr>
        <w:t>, to this Form 10-Q and Note 10,</w:t>
      </w:r>
      <w:r>
        <w:rPr>
          <w:rFonts w:ascii="Arial" w:cs="Arial" w:eastAsia="Arial" w:hAnsi="Arial"/>
          <w:sz w:val="18"/>
          <w:szCs w:val="18"/>
          <w:i w:val="1"/>
          <w:iCs w:val="1"/>
          <w:color w:val="231F20"/>
        </w:rPr>
        <w:t xml:space="preserve"> Long-term Debt</w:t>
      </w:r>
      <w:r>
        <w:rPr>
          <w:rFonts w:ascii="Arial" w:cs="Arial" w:eastAsia="Arial" w:hAnsi="Arial"/>
          <w:sz w:val="18"/>
          <w:szCs w:val="18"/>
          <w:color w:val="231F20"/>
        </w:rPr>
        <w:t>, to the consolidated financial statements included in the Company's</w:t>
      </w:r>
      <w:r>
        <w:rPr>
          <w:rFonts w:ascii="Arial" w:cs="Arial" w:eastAsia="Arial" w:hAnsi="Arial"/>
          <w:sz w:val="18"/>
          <w:szCs w:val="18"/>
          <w:i w:val="1"/>
          <w:iCs w:val="1"/>
          <w:color w:val="231F20"/>
        </w:rPr>
        <w:t xml:space="preserve"> </w:t>
      </w:r>
      <w:r>
        <w:rPr>
          <w:rFonts w:ascii="Arial" w:cs="Arial" w:eastAsia="Arial" w:hAnsi="Arial"/>
          <w:sz w:val="18"/>
          <w:szCs w:val="18"/>
          <w:color w:val="000000"/>
        </w:rPr>
        <w:t>2017 Form 10-K</w:t>
      </w:r>
      <w:r>
        <w:rPr>
          <w:rFonts w:ascii="Arial" w:cs="Arial" w:eastAsia="Arial" w:hAnsi="Arial"/>
          <w:sz w:val="18"/>
          <w:szCs w:val="18"/>
          <w:color w:val="231F20"/>
        </w:rPr>
        <w:t>, the Company's</w:t>
      </w:r>
      <w:r>
        <w:rPr>
          <w:rFonts w:ascii="Arial" w:cs="Arial" w:eastAsia="Arial" w:hAnsi="Arial"/>
          <w:sz w:val="18"/>
          <w:szCs w:val="18"/>
          <w:i w:val="1"/>
          <w:iCs w:val="1"/>
          <w:color w:val="231F20"/>
        </w:rPr>
        <w:t xml:space="preserve"> </w:t>
      </w:r>
      <w:r>
        <w:rPr>
          <w:rFonts w:ascii="Arial" w:cs="Arial" w:eastAsia="Arial" w:hAnsi="Arial"/>
          <w:sz w:val="18"/>
          <w:szCs w:val="18"/>
          <w:color w:val="231F20"/>
        </w:rPr>
        <w:t>financing arrangements consist of Clearway Energy, Inc.'s equity offering of Class C common stock on September 27, 2018, bridge financing, the revolving credit facility, the Senior Notes, the ATM Program, its intercompany borrowings with Clearway Energy, Inc. and project-level financings for its various assets.</w:t>
      </w:r>
    </w:p>
    <w:p>
      <w:pPr>
        <w:spacing w:after="0" w:line="139"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i w:val="1"/>
          <w:iCs w:val="1"/>
          <w:color w:val="auto"/>
        </w:rPr>
        <w:t xml:space="preserve">2025 Senior Notes </w:t>
      </w:r>
      <w:r>
        <w:rPr>
          <w:rFonts w:ascii="Arial" w:cs="Arial" w:eastAsia="Arial" w:hAnsi="Arial"/>
          <w:sz w:val="16"/>
          <w:szCs w:val="16"/>
          <w:i w:val="1"/>
          <w:iCs w:val="1"/>
          <w:color w:val="231F20"/>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On October 1, 2018, Clearway Energy Operating LLC issued $600 million of senior unsecured notes, or the 2025 Senior Notes.</w:t>
      </w:r>
      <w:r>
        <w:rPr>
          <w:rFonts w:ascii="Arial" w:cs="Arial" w:eastAsia="Arial" w:hAnsi="Arial"/>
          <w:sz w:val="16"/>
          <w:szCs w:val="16"/>
          <w:i w:val="1"/>
          <w:iCs w:val="1"/>
          <w:color w:val="auto"/>
        </w:rPr>
        <w:t xml:space="preserve"> </w:t>
      </w:r>
      <w:r>
        <w:rPr>
          <w:rFonts w:ascii="Arial" w:cs="Arial" w:eastAsia="Arial" w:hAnsi="Arial"/>
          <w:sz w:val="16"/>
          <w:szCs w:val="16"/>
          <w:color w:val="auto"/>
        </w:rPr>
        <w:t>The 2025 Senior Notes bear interest at 5.750% and mature on October 15, 2025. Interest on the notes is payable semi-annually on April 15 and October 15 of each year, and interest payments will commence on April 15, 2019. The 2025 Senior Notes are unsecured obligations of Clearway Energy Operating LLC and are guaranteed by Clearway Energy LLC and by certain of Clearway Energy Operating LLC's wholly owned current and future subsidiaries.</w:t>
      </w:r>
    </w:p>
    <w:p>
      <w:pPr>
        <w:spacing w:after="0" w:line="100"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i w:val="1"/>
          <w:iCs w:val="1"/>
          <w:color w:val="auto"/>
        </w:rPr>
        <w:t xml:space="preserve">Clearway Energy, Inc. 2018 Equity Offering </w:t>
      </w:r>
      <w:r>
        <w:rPr>
          <w:rFonts w:ascii="Arial" w:cs="Arial" w:eastAsia="Arial" w:hAnsi="Arial"/>
          <w:sz w:val="18"/>
          <w:szCs w:val="18"/>
          <w:i w:val="1"/>
          <w:iCs w:val="1"/>
          <w:color w:val="231F20"/>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September 27, 2018, Clearway Energy, Inc. issued and sold an additional 3,916,449 shares of Class</w:t>
      </w:r>
      <w:r>
        <w:rPr>
          <w:rFonts w:ascii="Arial" w:cs="Arial" w:eastAsia="Arial" w:hAnsi="Arial"/>
          <w:sz w:val="18"/>
          <w:szCs w:val="18"/>
          <w:i w:val="1"/>
          <w:iCs w:val="1"/>
          <w:color w:val="auto"/>
        </w:rPr>
        <w:t xml:space="preserve"> </w:t>
      </w:r>
      <w:r>
        <w:rPr>
          <w:rFonts w:ascii="Arial" w:cs="Arial" w:eastAsia="Arial" w:hAnsi="Arial"/>
          <w:sz w:val="18"/>
          <w:szCs w:val="18"/>
          <w:color w:val="auto"/>
        </w:rPr>
        <w:t>C common stock for net proceeds of $75 million. Clearway Energy, Inc. utilized the proceeds of the offering to acquire 3,916,449 Class C units of Clearway Energy LLC and, as a result, it currently owns 55.7% of the economic interests of Clearway Energy LLC, with GIP indirectly retaining 44.3% of the economic interests of Clearway Energy LLC.</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i w:val="1"/>
          <w:iCs w:val="1"/>
          <w:color w:val="231F20"/>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April 30, 2018, the Company closed on the refinancing of the revolving credit facility, which extended the maturity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facility to April 28, 2023 and decreased the Company's overall cost of borrowing. The facility will continue to be used for general corporate purposes including financing of future acquisitions and posting letters of credit.</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231F20"/>
        </w:rPr>
        <w:t xml:space="preserve">ATM Sales — </w:t>
      </w:r>
      <w:r>
        <w:rPr>
          <w:rFonts w:ascii="Arial" w:cs="Arial" w:eastAsia="Arial" w:hAnsi="Arial"/>
          <w:sz w:val="18"/>
          <w:szCs w:val="18"/>
          <w:color w:val="231F20"/>
        </w:rPr>
        <w:t>Clearway Energy, Inc.</w:t>
      </w:r>
      <w:r>
        <w:rPr>
          <w:rFonts w:ascii="Arial" w:cs="Arial" w:eastAsia="Arial" w:hAnsi="Arial"/>
          <w:sz w:val="18"/>
          <w:szCs w:val="18"/>
          <w:i w:val="1"/>
          <w:iCs w:val="1"/>
          <w:color w:val="231F20"/>
        </w:rPr>
        <w:t xml:space="preserve"> </w:t>
      </w:r>
      <w:r>
        <w:rPr>
          <w:rFonts w:ascii="Arial" w:cs="Arial" w:eastAsia="Arial" w:hAnsi="Arial"/>
          <w:sz w:val="18"/>
          <w:szCs w:val="18"/>
          <w:color w:val="000000"/>
        </w:rPr>
        <w:t>sold a total of 4,392,583 of Class C common stock under the ATM program for gross proceeds of $77 million</w:t>
      </w:r>
      <w:r>
        <w:rPr>
          <w:rFonts w:ascii="Arial" w:cs="Arial" w:eastAsia="Arial" w:hAnsi="Arial"/>
          <w:sz w:val="18"/>
          <w:szCs w:val="18"/>
          <w:i w:val="1"/>
          <w:iCs w:val="1"/>
          <w:color w:val="231F20"/>
        </w:rPr>
        <w:t xml:space="preserve"> </w:t>
      </w:r>
      <w:r>
        <w:rPr>
          <w:rFonts w:ascii="Arial" w:cs="Arial" w:eastAsia="Arial" w:hAnsi="Arial"/>
          <w:sz w:val="18"/>
          <w:szCs w:val="18"/>
          <w:color w:val="000000"/>
        </w:rPr>
        <w:t>during the period ended September 30, 2018. Clearway Energy, Inc. incurred commission fees of $762 thousand during the period ended September 30, 2018. Clearway Energy, Inc. used the net proceeds to acquire 4,392,583 Class C units from Clearway Energy LLC.</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October 31, 2018, approximately $38 million of Class C common stock remains available for issuance under the ATM Program.</w:t>
      </w:r>
    </w:p>
    <w:p>
      <w:pPr>
        <w:spacing w:after="0" w:line="171"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i w:val="1"/>
          <w:iCs w:val="1"/>
          <w:color w:val="auto"/>
        </w:rPr>
        <w:t xml:space="preserve">Thermal Notes </w:t>
      </w:r>
      <w:r>
        <w:rPr>
          <w:rFonts w:ascii="Arial" w:cs="Arial" w:eastAsia="Arial" w:hAnsi="Arial"/>
          <w:sz w:val="17"/>
          <w:szCs w:val="17"/>
          <w:i w:val="1"/>
          <w:iCs w:val="1"/>
          <w:color w:val="231F20"/>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On June 19, 2018, Energy Center Minneapolis LLC, a subsidiary of the Company, completed the issuances of 4.80% Series E notes</w:t>
      </w:r>
      <w:r>
        <w:rPr>
          <w:rFonts w:ascii="Arial" w:cs="Arial" w:eastAsia="Arial" w:hAnsi="Arial"/>
          <w:sz w:val="17"/>
          <w:szCs w:val="17"/>
          <w:i w:val="1"/>
          <w:iCs w:val="1"/>
          <w:color w:val="auto"/>
        </w:rPr>
        <w:t xml:space="preserve"> </w:t>
      </w:r>
      <w:r>
        <w:rPr>
          <w:rFonts w:ascii="Arial" w:cs="Arial" w:eastAsia="Arial" w:hAnsi="Arial"/>
          <w:sz w:val="17"/>
          <w:szCs w:val="17"/>
          <w:color w:val="auto"/>
        </w:rPr>
        <w:t>due June 15, 2033, or the Series E Notes, and 4.60% Series F notes due March 15, 2033, or the Series F Notes, for gross proceeds of $80 million. The proceeds of the Series E Notes and Series F Notes were utilized to finance the acquisition of the UPMC Thermal Project. Also, on June 19, 2018, Energy Center Minneapolis LLC issued $83 million of 5.90% Series G notes due June 15, 2035, which were utilized to refinance its $83 million of outstanding Series C notes. Energy Center Minneapolis LLC also issued 4.83% Series H notes due June 15, 2037, or Series H Notes for proceeds of $40 million and established a private shelf facility for the future issuance of $40 million in additional notes.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231F20"/>
        </w:rPr>
        <w:t xml:space="preserve">The Company's requirements for liquidity and capital resources, other than for operating its facilities, are categorized as: (i) debt service obligations, as described more fully in Item 1 — </w:t>
      </w:r>
      <w:r>
        <w:rPr>
          <w:rFonts w:ascii="Arial" w:cs="Arial" w:eastAsia="Arial" w:hAnsi="Arial"/>
          <w:sz w:val="16"/>
          <w:szCs w:val="16"/>
          <w:color w:val="000000"/>
        </w:rPr>
        <w:t>Note 7</w:t>
      </w:r>
      <w:r>
        <w:rPr>
          <w:rFonts w:ascii="Arial" w:cs="Arial" w:eastAsia="Arial" w:hAnsi="Arial"/>
          <w:sz w:val="16"/>
          <w:szCs w:val="16"/>
          <w:color w:val="231F20"/>
        </w:rPr>
        <w:t xml:space="preserve">, </w:t>
      </w:r>
      <w:r>
        <w:rPr>
          <w:rFonts w:ascii="Arial" w:cs="Arial" w:eastAsia="Arial" w:hAnsi="Arial"/>
          <w:sz w:val="16"/>
          <w:szCs w:val="16"/>
          <w:i w:val="1"/>
          <w:iCs w:val="1"/>
          <w:color w:val="000000"/>
        </w:rPr>
        <w:t>Long-term Debt</w:t>
      </w:r>
      <w:r>
        <w:rPr>
          <w:rFonts w:ascii="Arial" w:cs="Arial" w:eastAsia="Arial" w:hAnsi="Arial"/>
          <w:sz w:val="16"/>
          <w:szCs w:val="16"/>
          <w:color w:val="231F20"/>
        </w:rPr>
        <w:t>; (ii) capital expenditures; (iii) acquisitions and investments; and (iv) distributions.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71"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231F20"/>
        </w:rPr>
        <w:t xml:space="preserve">The Company's capital spending program is mainly focused on maintenance capital expenditures, consisting of costs to maintain the assets currently operating, such as costs to replace or refurbish assets, and growth capital expenditures consisting of costs to construct new assets, costs to complete the construction of assets where construction is in process, and capital expenditures related to acquiring additional thermal customers. For the nine months ended </w:t>
      </w:r>
      <w:r>
        <w:rPr>
          <w:rFonts w:ascii="Arial" w:cs="Arial" w:eastAsia="Arial" w:hAnsi="Arial"/>
          <w:sz w:val="16"/>
          <w:szCs w:val="16"/>
          <w:color w:val="000000"/>
        </w:rPr>
        <w:t>September 30, 2018</w:t>
      </w:r>
      <w:r>
        <w:rPr>
          <w:rFonts w:ascii="Arial" w:cs="Arial" w:eastAsia="Arial" w:hAnsi="Arial"/>
          <w:sz w:val="16"/>
          <w:szCs w:val="16"/>
          <w:color w:val="231F20"/>
        </w:rPr>
        <w:t>, the Company used approximately $62 million to fund capital expenditures, including growth</w:t>
      </w:r>
      <w:r>
        <w:rPr>
          <w:rFonts w:ascii="Arial" w:cs="Arial" w:eastAsia="Arial" w:hAnsi="Arial"/>
          <w:sz w:val="16"/>
          <w:szCs w:val="16"/>
          <w:color w:val="000000"/>
        </w:rPr>
        <w:t xml:space="preserve"> expenditures of $33 million in the Renewables segment in connection with the construction of Buckthorn Solar Drop Down Asset. The $33 million includes $10 million incurred by NRG during the construction of the Buckthorn Solar project prior to its acquisition by the Company on March 30, 2018, as described below. </w:t>
      </w:r>
      <w:r>
        <w:rPr>
          <w:rFonts w:ascii="Arial" w:cs="Arial" w:eastAsia="Arial" w:hAnsi="Arial"/>
          <w:sz w:val="16"/>
          <w:szCs w:val="16"/>
          <w:color w:val="231F20"/>
        </w:rPr>
        <w:t>For the nine months</w:t>
      </w:r>
      <w:r>
        <w:rPr>
          <w:rFonts w:ascii="Arial" w:cs="Arial" w:eastAsia="Arial" w:hAnsi="Arial"/>
          <w:sz w:val="16"/>
          <w:szCs w:val="16"/>
          <w:color w:val="000000"/>
        </w:rPr>
        <w:t xml:space="preserve"> </w:t>
      </w:r>
      <w:r>
        <w:rPr>
          <w:rFonts w:ascii="Arial" w:cs="Arial" w:eastAsia="Arial" w:hAnsi="Arial"/>
          <w:sz w:val="16"/>
          <w:szCs w:val="16"/>
          <w:color w:val="231F20"/>
        </w:rPr>
        <w:t xml:space="preserve">ended September 30, 2017, the Company used approximately $102 million to fund capital expenditures, of which </w:t>
      </w:r>
      <w:r>
        <w:rPr>
          <w:rFonts w:ascii="Arial" w:cs="Arial" w:eastAsia="Arial" w:hAnsi="Arial"/>
          <w:sz w:val="16"/>
          <w:szCs w:val="16"/>
          <w:color w:val="000000"/>
        </w:rPr>
        <w:t>$79 million related to growth expenditures</w:t>
      </w:r>
      <w:r>
        <w:rPr>
          <w:rFonts w:ascii="Arial" w:cs="Arial" w:eastAsia="Arial" w:hAnsi="Arial"/>
          <w:sz w:val="16"/>
          <w:szCs w:val="16"/>
          <w:color w:val="231F20"/>
        </w:rPr>
        <w:t xml:space="preserve"> </w:t>
      </w:r>
      <w:r>
        <w:rPr>
          <w:rFonts w:ascii="Arial" w:cs="Arial" w:eastAsia="Arial" w:hAnsi="Arial"/>
          <w:sz w:val="16"/>
          <w:szCs w:val="16"/>
          <w:color w:val="000000"/>
        </w:rPr>
        <w:t xml:space="preserve">in the Renewables segment paid by NRG in connection with the construction of Buckthorn Solar. </w:t>
      </w:r>
      <w:r>
        <w:rPr>
          <w:rFonts w:ascii="Arial" w:cs="Arial" w:eastAsia="Arial" w:hAnsi="Arial"/>
          <w:sz w:val="16"/>
          <w:szCs w:val="16"/>
          <w:color w:val="231F20"/>
        </w:rPr>
        <w:t>The Company develops annual capital spending plans based</w:t>
      </w:r>
      <w:r>
        <w:rPr>
          <w:rFonts w:ascii="Arial" w:cs="Arial" w:eastAsia="Arial" w:hAnsi="Arial"/>
          <w:sz w:val="16"/>
          <w:szCs w:val="16"/>
          <w:color w:val="000000"/>
        </w:rPr>
        <w:t xml:space="preserve"> </w:t>
      </w:r>
      <w:r>
        <w:rPr>
          <w:rFonts w:ascii="Arial" w:cs="Arial" w:eastAsia="Arial" w:hAnsi="Arial"/>
          <w:sz w:val="16"/>
          <w:szCs w:val="16"/>
          <w:color w:val="231F20"/>
        </w:rPr>
        <w:t xml:space="preserve">on projected requirements for maintenance and growth capital. The Company estimates $38 million of maintenance expenditures for 2018. </w:t>
      </w:r>
      <w:r>
        <w:rPr>
          <w:rFonts w:ascii="Arial" w:cs="Arial" w:eastAsia="Arial" w:hAnsi="Arial"/>
          <w:sz w:val="16"/>
          <w:szCs w:val="16"/>
          <w:color w:val="000000"/>
        </w:rPr>
        <w:t>These estimates</w:t>
      </w:r>
      <w:r>
        <w:rPr>
          <w:rFonts w:ascii="Arial" w:cs="Arial" w:eastAsia="Arial" w:hAnsi="Arial"/>
          <w:sz w:val="16"/>
          <w:szCs w:val="16"/>
          <w:color w:val="231F20"/>
        </w:rPr>
        <w:t xml:space="preserve"> </w:t>
      </w:r>
      <w:r>
        <w:rPr>
          <w:rFonts w:ascii="Arial" w:cs="Arial" w:eastAsia="Arial" w:hAnsi="Arial"/>
          <w:sz w:val="16"/>
          <w:szCs w:val="16"/>
          <w:color w:val="000000"/>
        </w:rPr>
        <w:t>are subject to continuing review and adjustment and actual capital expenditures may vary from these estimates.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746" w:right="239" w:bottom="1440" w:gutter="0" w:footer="0" w:header="0"/>
        </w:sectPr>
      </w:pPr>
    </w:p>
    <w:bookmarkStart w:id="59" w:name="page60"/>
    <w:bookmarkEnd w:id="59"/>
    <w:p>
      <w:pPr>
        <w:ind w:left="420"/>
        <w:spacing w:after="0"/>
        <w:rPr>
          <w:sz w:val="20"/>
          <w:szCs w:val="20"/>
          <w:color w:val="auto"/>
        </w:rPr>
      </w:pPr>
      <w:r>
        <w:rPr>
          <w:rFonts w:ascii="Arial" w:cs="Arial" w:eastAsia="Arial" w:hAnsi="Arial"/>
          <w:sz w:val="18"/>
          <w:szCs w:val="18"/>
          <w:i w:val="1"/>
          <w:iCs w:val="1"/>
          <w:color w:val="auto"/>
        </w:rPr>
        <w:t>Acquisitions and Investments</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intends to acquire generation assets developed and constructed by CEG, as well as generation and thermal infrastructure assets from third parties, where the Company believes its knowledge of the market and operating expertise provides a competitive advantage, and to utilize such acquisitions as a means to grow its CAFD. The Company may also complete the remaining acquisition under the NRG ROFO Agreement.</w:t>
      </w:r>
    </w:p>
    <w:p>
      <w:pPr>
        <w:spacing w:after="0" w:line="107" w:lineRule="exact"/>
        <w:rPr>
          <w:sz w:val="20"/>
          <w:szCs w:val="20"/>
          <w:color w:val="auto"/>
        </w:rPr>
      </w:pPr>
    </w:p>
    <w:p>
      <w:pPr>
        <w:jc w:val="both"/>
        <w:ind w:firstLine="392"/>
        <w:spacing w:after="0" w:line="281" w:lineRule="auto"/>
        <w:rPr>
          <w:sz w:val="20"/>
          <w:szCs w:val="20"/>
          <w:color w:val="auto"/>
        </w:rPr>
      </w:pPr>
      <w:r>
        <w:rPr>
          <w:rFonts w:ascii="Arial" w:cs="Arial" w:eastAsia="Arial" w:hAnsi="Arial"/>
          <w:sz w:val="17"/>
          <w:szCs w:val="17"/>
          <w:b w:val="1"/>
          <w:bCs w:val="1"/>
          <w:i w:val="1"/>
          <w:iCs w:val="1"/>
          <w:color w:val="auto"/>
        </w:rPr>
        <w:t xml:space="preserve">UPMC Thermal Project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June 19, 2018, upon reaching substantial completion, the Company acquired from NRG the UPMC Thermal Project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consideration of $84 million, subject to working capital adjustments. The Company also recorded a payable of $5 million to be paid to NRG upon final completion of the project. The project adds 73 MWt of thermal equivalent capacity and 7.5 MW of emergency backup thermal capacity to the Company's portfolio. The transaction was accounted for as an asset acquisition and is reflected in the Company's Thermal segment.</w:t>
      </w:r>
    </w:p>
    <w:p>
      <w:pPr>
        <w:spacing w:after="0" w:line="111" w:lineRule="exact"/>
        <w:rPr>
          <w:sz w:val="20"/>
          <w:szCs w:val="20"/>
          <w:color w:val="auto"/>
        </w:rPr>
      </w:pPr>
    </w:p>
    <w:p>
      <w:pPr>
        <w:jc w:val="both"/>
        <w:ind w:firstLine="405"/>
        <w:spacing w:after="0" w:line="314" w:lineRule="auto"/>
        <w:rPr>
          <w:sz w:val="20"/>
          <w:szCs w:val="20"/>
          <w:color w:val="auto"/>
        </w:rPr>
      </w:pPr>
      <w:r>
        <w:rPr>
          <w:rFonts w:ascii="Arial" w:cs="Arial" w:eastAsia="Arial" w:hAnsi="Arial"/>
          <w:sz w:val="16"/>
          <w:szCs w:val="16"/>
          <w:b w:val="1"/>
          <w:bCs w:val="1"/>
          <w:i w:val="1"/>
          <w:iCs w:val="1"/>
          <w:color w:val="auto"/>
        </w:rPr>
        <w:t xml:space="preserve">Central CA Fuel Cell 1, LLC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April 18, 2018, the Company acquired the Central CA Fuel Cell 1, LLC project in Tulare, California from FuelCell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Energy Finance, Inc., for cash consideration of $11 million, subject to working capital adjustments. The project adds 2.8 MW of thermal capacity to the Company's portfolio, with a 20-year PPA contract with the City of Tulare. The transaction is reflected in the Company's Thermal segment.</w:t>
      </w:r>
    </w:p>
    <w:p>
      <w:pPr>
        <w:spacing w:after="0" w:line="88"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Buckthorn Solar Drop Down Asset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March 30, 2018, the Company acquired 100% of NRG's interests in Buckthorn Renewables, LLC,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owned a 154 MW construction-stage utility-scale solar generation project, located in Texas, or the Buckthorn Solar Drop Down Asset, for cash consideration of approximately $42 million, subject to working capital adjustments. The project sells power under a 25-year PPA to the City of Georgetown, Texas which commenced in July 2018.</w:t>
      </w:r>
    </w:p>
    <w:p>
      <w:pPr>
        <w:spacing w:after="0" w:line="126" w:lineRule="exact"/>
        <w:rPr>
          <w:sz w:val="20"/>
          <w:szCs w:val="20"/>
          <w:color w:val="auto"/>
        </w:rPr>
      </w:pPr>
    </w:p>
    <w:p>
      <w:pPr>
        <w:jc w:val="both"/>
        <w:ind w:firstLine="392"/>
        <w:spacing w:after="0" w:line="281" w:lineRule="auto"/>
        <w:rPr>
          <w:sz w:val="20"/>
          <w:szCs w:val="20"/>
          <w:color w:val="auto"/>
        </w:rPr>
      </w:pPr>
      <w:r>
        <w:rPr>
          <w:rFonts w:ascii="Arial" w:cs="Arial" w:eastAsia="Arial" w:hAnsi="Arial"/>
          <w:sz w:val="17"/>
          <w:szCs w:val="17"/>
          <w:b w:val="1"/>
          <w:bCs w:val="1"/>
          <w:i w:val="1"/>
          <w:iCs w:val="1"/>
          <w:color w:val="auto"/>
        </w:rPr>
        <w:t xml:space="preserve">Carlsbad Project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February 6, 2018, the Company entered into an agreement with NRG to purchase 100% of the membership interests in Carlsbad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Energy Holdings LLC, which indirectly owns the Carlsbad project, a 527 MW natural gas fired project in Carlsbad, CA, pursuant to the NRG ROFO Agreement. The purchase price for the transaction is $380 million in cash consideration, subject to customary working capital and other adjustments, as well as the assumption of non-recourse debt of $601 million at completion. The transaction is expected to close during January 2019.</w:t>
      </w:r>
    </w:p>
    <w:p>
      <w:pPr>
        <w:spacing w:after="0" w:line="111" w:lineRule="exact"/>
        <w:rPr>
          <w:sz w:val="20"/>
          <w:szCs w:val="20"/>
          <w:color w:val="auto"/>
        </w:rPr>
      </w:pPr>
    </w:p>
    <w:p>
      <w:pPr>
        <w:jc w:val="both"/>
        <w:ind w:firstLine="392"/>
        <w:spacing w:after="0" w:line="266" w:lineRule="auto"/>
        <w:rPr>
          <w:sz w:val="20"/>
          <w:szCs w:val="20"/>
          <w:color w:val="auto"/>
        </w:rPr>
      </w:pPr>
      <w:r>
        <w:rPr>
          <w:rFonts w:ascii="Arial" w:cs="Arial" w:eastAsia="Arial" w:hAnsi="Arial"/>
          <w:sz w:val="18"/>
          <w:szCs w:val="18"/>
          <w:b w:val="1"/>
          <w:bCs w:val="1"/>
          <w:i w:val="1"/>
          <w:iCs w:val="1"/>
          <w:color w:val="auto"/>
        </w:rPr>
        <w:t xml:space="preserve">Hawaii Solar Assets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August 31, 2018, the Company entered into a binding agreement with CEG to acquire 80 MW of utility-scale solar projects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located in Kawailoa and Oahu, Hawaii for cash consideration of $28 million, subject to customary working capital and other adjustments, as well as the assumption of non-recourse debt of $169 million. The transaction is expected to close in summer of 2019.</w:t>
      </w:r>
    </w:p>
    <w:p>
      <w:pPr>
        <w:spacing w:after="0" w:line="122"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7"/>
          <w:szCs w:val="17"/>
          <w:b w:val="1"/>
          <w:bCs w:val="1"/>
          <w:i w:val="1"/>
          <w:iCs w:val="1"/>
          <w:color w:val="auto"/>
        </w:rPr>
        <w:t xml:space="preserve">Mylan Pharmaceuticals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November 1, 2018, the Company entered into an Energy Services Agreement with Mylan LLC to supply chilled water,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hot water and electricity through a dedicated combined heat and power facility to be constructed at Mylan's Caguas, Puerto Rico facility. The Company anticipates the project to total $11 million and is expected to commence commercial operations in the second quarter of 2019.</w:t>
      </w:r>
    </w:p>
    <w:p>
      <w:pPr>
        <w:spacing w:after="0" w:line="104" w:lineRule="exact"/>
        <w:rPr>
          <w:sz w:val="20"/>
          <w:szCs w:val="20"/>
          <w:color w:val="auto"/>
        </w:rPr>
      </w:pPr>
    </w:p>
    <w:p>
      <w:pPr>
        <w:jc w:val="both"/>
        <w:ind w:firstLine="392"/>
        <w:spacing w:after="0" w:line="266" w:lineRule="auto"/>
        <w:rPr>
          <w:sz w:val="20"/>
          <w:szCs w:val="20"/>
          <w:color w:val="auto"/>
        </w:rPr>
      </w:pPr>
      <w:r>
        <w:rPr>
          <w:rFonts w:ascii="Arial" w:cs="Arial" w:eastAsia="Arial" w:hAnsi="Arial"/>
          <w:sz w:val="18"/>
          <w:szCs w:val="18"/>
          <w:b w:val="1"/>
          <w:bCs w:val="1"/>
          <w:i w:val="1"/>
          <w:iCs w:val="1"/>
          <w:color w:val="auto"/>
        </w:rPr>
        <w:t xml:space="preserve">Agua Caliente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November 1, 2018, NRG offered the Company the opportunity to acquire Agua Caliente Borrower 1, which owns a 35%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Agua Caliente, a 290 MW utility-scale solar project located in Yuma, Arizona. The closing of this transaction is subject to customary closing conditions and is expected to be completed in the first quarter of 2019.</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Investment Partnership with CEG</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During the period of January 1, 2018 to September 30, 2018, the Company invested $16 million in distributed generation partnerships with CEG.</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Open Market Repurchases and Tender Offer</w:t>
      </w:r>
    </w:p>
    <w:p>
      <w:pPr>
        <w:spacing w:after="0" w:line="333" w:lineRule="exact"/>
        <w:rPr>
          <w:sz w:val="20"/>
          <w:szCs w:val="20"/>
          <w:color w:val="auto"/>
        </w:rPr>
      </w:pPr>
    </w:p>
    <w:p>
      <w:pPr>
        <w:ind w:right="480" w:firstLine="392"/>
        <w:spacing w:after="0" w:line="264" w:lineRule="auto"/>
        <w:rPr>
          <w:sz w:val="20"/>
          <w:szCs w:val="20"/>
          <w:color w:val="auto"/>
        </w:rPr>
      </w:pPr>
      <w:r>
        <w:rPr>
          <w:rFonts w:ascii="Arial" w:cs="Arial" w:eastAsia="Arial" w:hAnsi="Arial"/>
          <w:sz w:val="18"/>
          <w:szCs w:val="18"/>
          <w:color w:val="auto"/>
        </w:rPr>
        <w:t>In August 2018, Clearway Energy, Inc. repurchased an aggregate principal amount of $16 million of the 2019 Convertible Notes in open market transactions. The repurchases were funded through a repayment of the intercompany note between Clearway Operating LLC and Clearway Energy, Inc. which was reduced by $16 million.</w:t>
      </w:r>
    </w:p>
    <w:p>
      <w:pPr>
        <w:spacing w:after="0" w:line="127"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On September 10, 2018, pursuant to the 2019 Convertible Notes and the 2020 Convertible Notes indentures, the Company delivered to the holders of the Convertible Notes a fundamental change notice and offer to repurchase any and all of the 2019 Convertible Notes and 2020 Convertible Notes for cash at a price equal to 100% of the principal amount of the Convertible Notes plus any accrued and unpaid interest. The tender offer expired on October 9, 2018. An aggregate principal amount of $109 million of the 2019 Convertible Notes and $243 million of the 2020 Convertible Notes were tendered on or prior to the expiration date and accepted by the Company for purchase. After the expiration of the tender offer, $220 million aggregate principal amount of the 2019 Convertible Notes remain outstanding and $45 million aggregate principal amount of the 2020 Convertible Notes remain outstanding.</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746" w:right="239" w:bottom="1440" w:gutter="0" w:footer="0" w:header="0"/>
        </w:sectPr>
      </w:pPr>
    </w:p>
    <w:bookmarkStart w:id="60" w:name="page61"/>
    <w:bookmarkEnd w:id="60"/>
    <w:p>
      <w:pPr>
        <w:ind w:left="420"/>
        <w:spacing w:after="0"/>
        <w:rPr>
          <w:sz w:val="20"/>
          <w:szCs w:val="20"/>
          <w:color w:val="auto"/>
        </w:rPr>
      </w:pPr>
      <w:r>
        <w:rPr>
          <w:rFonts w:ascii="Arial" w:cs="Arial" w:eastAsia="Arial" w:hAnsi="Arial"/>
          <w:sz w:val="18"/>
          <w:szCs w:val="18"/>
          <w:i w:val="1"/>
          <w:iCs w:val="1"/>
          <w:color w:val="auto"/>
        </w:rPr>
        <w:t>Wind TE Holdco Buyout</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part of the repowering partnership, the Company agreed to buy out the existing tax equity partner of Wind TE Holdco for $19 million on January 2, 2019, subject to certain purchase price adjustments.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Cash Distributions to Clearway Energy, Inc. and CEG</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The Company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Dividends on t</w:t>
      </w:r>
      <w:r>
        <w:rPr>
          <w:rFonts w:ascii="Arial" w:cs="Arial" w:eastAsia="Arial" w:hAnsi="Arial"/>
          <w:sz w:val="18"/>
          <w:szCs w:val="18"/>
          <w:color w:val="000000"/>
        </w:rPr>
        <w:t>he Class A common stock and Class C common stock are subject to available capital, market conditions, and compliance with associated laws, regulations</w:t>
      </w:r>
      <w:r>
        <w:rPr>
          <w:rFonts w:ascii="Arial" w:cs="Arial" w:eastAsia="Arial" w:hAnsi="Arial"/>
          <w:sz w:val="18"/>
          <w:szCs w:val="18"/>
          <w:color w:val="231F20"/>
        </w:rPr>
        <w:t xml:space="preserve"> </w:t>
      </w:r>
      <w:r>
        <w:rPr>
          <w:rFonts w:ascii="Arial" w:cs="Arial" w:eastAsia="Arial" w:hAnsi="Arial"/>
          <w:sz w:val="18"/>
          <w:szCs w:val="18"/>
          <w:color w:val="000000"/>
        </w:rPr>
        <w:t>and other contractual obligations. The Company expects that, based on current circumstances, comparable cash dividends will continue to be paid in the foreseeable future.</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the distributions paid on the Company's Class A, B, C and D units during the nine months ended September 30, 2018:</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Third Quarter 2018</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Second Quarter</w:t>
            </w: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First Quarter 2018</w:t>
            </w:r>
          </w:p>
        </w:tc>
        <w:tc>
          <w:tcPr>
            <w:tcW w:w="0" w:type="dxa"/>
            <w:vAlign w:val="bottom"/>
          </w:tcPr>
          <w:p>
            <w:pPr>
              <w:spacing w:after="0"/>
              <w:rPr>
                <w:sz w:val="1"/>
                <w:szCs w:val="1"/>
                <w:color w:val="auto"/>
              </w:rPr>
            </w:pPr>
          </w:p>
        </w:tc>
      </w:tr>
      <w:tr>
        <w:trPr>
          <w:trHeight w:val="192"/>
        </w:trPr>
        <w:tc>
          <w:tcPr>
            <w:tcW w:w="592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44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Distributions per Class A, B, C and D unit</w:t>
            </w: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0.320</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0.309</w:t>
            </w:r>
          </w:p>
        </w:tc>
        <w:tc>
          <w:tcPr>
            <w:tcW w:w="12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0.298</w:t>
            </w:r>
          </w:p>
        </w:tc>
        <w:tc>
          <w:tcPr>
            <w:tcW w:w="0" w:type="dxa"/>
            <w:vAlign w:val="bottom"/>
          </w:tcPr>
          <w:p>
            <w:pPr>
              <w:spacing w:after="0"/>
              <w:rPr>
                <w:sz w:val="1"/>
                <w:szCs w:val="1"/>
                <w:color w:val="auto"/>
              </w:rPr>
            </w:pPr>
          </w:p>
        </w:tc>
      </w:tr>
      <w:tr>
        <w:trPr>
          <w:trHeight w:val="27"/>
        </w:trPr>
        <w:tc>
          <w:tcPr>
            <w:tcW w:w="59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October 31, 2018, the Company declared a distribution on its Class A, Class B, Class C and Class D units of $0.331 per unit payable on December 17, 2018 to unit holders of record as of December 3,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Discussion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reflects the changes in cash flows for the nine months ended September 30, 2018, compared to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237"/>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277"/>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374</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5"/>
              </w:rPr>
              <w:t>(175)</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(283)</w:t>
            </w:r>
          </w:p>
        </w:tc>
        <w:tc>
          <w:tcPr>
            <w:tcW w:w="3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108</w:t>
            </w:r>
          </w:p>
        </w:tc>
      </w:tr>
      <w:tr>
        <w:trPr>
          <w:trHeight w:val="27"/>
        </w:trPr>
        <w:tc>
          <w:tcPr>
            <w:tcW w:w="7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r>
      <w:tr>
        <w:trPr>
          <w:trHeight w:val="27"/>
        </w:trPr>
        <w:tc>
          <w:tcPr>
            <w:tcW w:w="7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71"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Changes to net cash provided by operating activities were primarily driven by an increase in operating income adjusted for non - cash items in the amount of $18 million, as well as higher distributions from unconsolidated affiliates in the amount of $6 million.</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6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Net Cash Used In Investing Activities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0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Changes to net cash used in investing activities were driven by:</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5"/>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Lower payments for the Buckthorn Solar Drop Down Asset and UPMC Thermal Project in 2018 compared to the payment made for the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March 2017 Drop Down Assets in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10160" w:type="dxa"/>
            <w:vAlign w:val="bottom"/>
          </w:tcPr>
          <w:p>
            <w:pPr>
              <w:ind w:left="40"/>
              <w:spacing w:after="0"/>
              <w:rPr>
                <w:sz w:val="20"/>
                <w:szCs w:val="20"/>
                <w:color w:val="auto"/>
              </w:rPr>
            </w:pPr>
            <w:r>
              <w:rPr>
                <w:rFonts w:ascii="Arial" w:cs="Arial" w:eastAsia="Arial" w:hAnsi="Arial"/>
                <w:sz w:val="18"/>
                <w:szCs w:val="18"/>
                <w:color w:val="auto"/>
                <w:w w:val="95"/>
              </w:rPr>
              <w:t>Decrease in capital expenditures driven primarily by the substantial completion of the Buckthorn Solar Drop Down Asset in May 2018,</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160" w:type="dxa"/>
            <w:vAlign w:val="bottom"/>
          </w:tcPr>
          <w:p>
            <w:pPr>
              <w:ind w:left="200"/>
              <w:spacing w:after="0"/>
              <w:rPr>
                <w:sz w:val="20"/>
                <w:szCs w:val="20"/>
                <w:color w:val="auto"/>
              </w:rPr>
            </w:pPr>
            <w:r>
              <w:rPr>
                <w:rFonts w:ascii="Arial" w:cs="Arial" w:eastAsia="Arial" w:hAnsi="Arial"/>
                <w:sz w:val="18"/>
                <w:szCs w:val="18"/>
                <w:color w:val="auto"/>
              </w:rPr>
              <w:t>which was acquired by the Company on March 31, 2018</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Increase in capital expenditures in the Thermal segment related primarily to maintenance expense partially offset by lower capital</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expenditures at Walnut Creek due to outages in 2017</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Lower net investment in unconsolidated affiliates primarily in the DGPV partnerships with NRG during 2018</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to acquire Central CA Fuel Cell 1, LLC in 2018</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10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0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1016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61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10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6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Net Cash Used in Financing Activities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3"/>
        </w:trPr>
        <w:tc>
          <w:tcPr>
            <w:tcW w:w="10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Changes in net cash used in financing activities were driven by:</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(In millions)</w:t>
            </w:r>
          </w:p>
        </w:tc>
      </w:tr>
      <w:tr>
        <w:trPr>
          <w:trHeight w:val="215"/>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Conversion of the Buckthorn Solar Portfolio, LLC Construction Loan to a term loan in 2018, as well as higher project level debt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7"/>
        </w:trPr>
        <w:tc>
          <w:tcPr>
            <w:tcW w:w="10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amortization in 2018 compared to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w w:val="94"/>
              </w:rPr>
              <w:t xml:space="preserve">Net proceeds from the refinancing of the Thermal note purchase and private shelf agreement, as described in Note 7, </w:t>
            </w:r>
            <w:r>
              <w:rPr>
                <w:rFonts w:ascii="Arial" w:cs="Arial" w:eastAsia="Arial" w:hAnsi="Arial"/>
                <w:sz w:val="18"/>
                <w:szCs w:val="18"/>
                <w:i w:val="1"/>
                <w:iCs w:val="1"/>
                <w:color w:val="auto"/>
                <w:w w:val="94"/>
              </w:rPr>
              <w:t>Long-term Debt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120</w:t>
            </w: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Increase in net contributions from noncontrolling interests primarily from Buckthorn Holdings, LLC's Class A member in 2018, as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10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 xml:space="preserve">described in Note 3, </w:t>
            </w:r>
            <w:r>
              <w:rPr>
                <w:rFonts w:ascii="Arial" w:cs="Arial" w:eastAsia="Arial" w:hAnsi="Arial"/>
                <w:sz w:val="18"/>
                <w:szCs w:val="18"/>
                <w:i w:val="1"/>
                <w:iCs w:val="1"/>
                <w:color w:val="auto"/>
              </w:rPr>
              <w:t>Business Acquisitions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Net proceeds from the issuance of Class C units as a result of Clearway Energy, Inc.'s equity offering in September 2018</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75</w:t>
            </w: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repayments under the revolving credit facility in 2018</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10160" w:type="dxa"/>
            <w:vAlign w:val="bottom"/>
          </w:tcPr>
          <w:p>
            <w:pPr>
              <w:ind w:left="40"/>
              <w:spacing w:after="0"/>
              <w:rPr>
                <w:sz w:val="20"/>
                <w:szCs w:val="20"/>
                <w:color w:val="auto"/>
              </w:rPr>
            </w:pPr>
            <w:r>
              <w:rPr>
                <w:rFonts w:ascii="Arial" w:cs="Arial" w:eastAsia="Arial" w:hAnsi="Arial"/>
                <w:sz w:val="18"/>
                <w:szCs w:val="18"/>
                <w:color w:val="auto"/>
                <w:w w:val="96"/>
              </w:rPr>
              <w:t>Higher net proceeds from the issuance of Class C units as a result of Clearway Energy, Inc.'s common stock offering under the ATM</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10160" w:type="dxa"/>
            <w:vAlign w:val="bottom"/>
          </w:tcPr>
          <w:p>
            <w:pPr>
              <w:ind w:left="200"/>
              <w:spacing w:after="0"/>
              <w:rPr>
                <w:sz w:val="20"/>
                <w:szCs w:val="20"/>
                <w:color w:val="auto"/>
              </w:rPr>
            </w:pPr>
            <w:r>
              <w:rPr>
                <w:rFonts w:ascii="Arial" w:cs="Arial" w:eastAsia="Arial" w:hAnsi="Arial"/>
                <w:sz w:val="18"/>
                <w:szCs w:val="18"/>
                <w:color w:val="auto"/>
              </w:rPr>
              <w:t>Program in 2018 compared to 2017</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43</w:t>
            </w: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Lower distributions, net of contributions to NRG for the Drop Down Assets relating to the pre-acquisition period in 2018 compared to 2017</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Increase in distributions paid to unit holders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10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10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under Certain Guarantee Contracts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Retained or Contingent Interests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Arising Out of a Variable Interest in an Unconsolidated Entity</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i w:val="1"/>
          <w:iCs w:val="1"/>
          <w:color w:val="auto"/>
        </w:rPr>
        <w:t xml:space="preserve">Variable interest in equity investments </w:t>
      </w:r>
      <w:r>
        <w:rPr>
          <w:rFonts w:ascii="Arial" w:cs="Arial" w:eastAsia="Arial" w:hAnsi="Arial"/>
          <w:sz w:val="17"/>
          <w:szCs w:val="17"/>
          <w:color w:val="auto"/>
        </w:rPr>
        <w:t>— As of September 30, 2018, the Company has several investments with an ownership interest percentage of</w:t>
      </w:r>
      <w:r>
        <w:rPr>
          <w:rFonts w:ascii="Arial" w:cs="Arial" w:eastAsia="Arial" w:hAnsi="Arial"/>
          <w:sz w:val="17"/>
          <w:szCs w:val="17"/>
          <w:i w:val="1"/>
          <w:iCs w:val="1"/>
          <w:color w:val="auto"/>
        </w:rPr>
        <w:t xml:space="preserve"> </w:t>
      </w:r>
      <w:r>
        <w:rPr>
          <w:rFonts w:ascii="Arial" w:cs="Arial" w:eastAsia="Arial" w:hAnsi="Arial"/>
          <w:sz w:val="17"/>
          <w:szCs w:val="17"/>
          <w:color w:val="auto"/>
        </w:rPr>
        <w:t>50% or less in energy and energy-related entities that are accounted for under the equity method. Utah Solar Portfolio, GenConn, DGPV Holdco 1, RPV Holdco, DGPV Holdco 2, and DGPV Holdco 3 are variable interest entities for which the Company is not the primary beneficiary.</w:t>
      </w:r>
    </w:p>
    <w:p>
      <w:pPr>
        <w:spacing w:after="0" w:line="8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pro-rata share of non-recourse debt held by unconsolidated affiliates was approximately $816 million as of September 30, 2018. This indebtedness may restrict the ability of these subsidiaries to issue dividends or distributions to the Company.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The Company has a variety of contractual obligations and other commercial commitments that represent prospective cash requirements in addition to the Company's capital expenditure programs, as disclosed in the Company's 2017 Form 10-K. See also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xml:space="preserve"> to this Form 10-Q for a discussion of additional contingencies that occurred during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The Company may enter into fuel purchase contracts and other energy-related derivative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2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7"/>
          <w:szCs w:val="17"/>
          <w:color w:val="000000"/>
        </w:rPr>
        <w:t>September 30, 2018</w:t>
      </w:r>
      <w:r>
        <w:rPr>
          <w:rFonts w:ascii="Arial" w:cs="Arial" w:eastAsia="Arial" w:hAnsi="Arial"/>
          <w:sz w:val="17"/>
          <w:szCs w:val="17"/>
          <w:color w:val="231F20"/>
        </w:rPr>
        <w:t xml:space="preserve">, based on their level within the fair value hierarchy defined in ASC 820; and indicate the maturities of contracts at </w:t>
      </w:r>
      <w:r>
        <w:rPr>
          <w:rFonts w:ascii="Arial" w:cs="Arial" w:eastAsia="Arial" w:hAnsi="Arial"/>
          <w:sz w:val="17"/>
          <w:szCs w:val="17"/>
          <w:color w:val="000000"/>
        </w:rPr>
        <w:t>September 30, 2018</w:t>
      </w:r>
      <w:r>
        <w:rPr>
          <w:rFonts w:ascii="Arial" w:cs="Arial" w:eastAsia="Arial" w:hAnsi="Arial"/>
          <w:sz w:val="17"/>
          <w:szCs w:val="17"/>
          <w:color w:val="231F20"/>
        </w:rPr>
        <w:t xml:space="preserve">. For a full discussion of the Company's valuation methodology of its contracts, see </w:t>
      </w:r>
      <w:r>
        <w:rPr>
          <w:rFonts w:ascii="Arial" w:cs="Arial" w:eastAsia="Arial" w:hAnsi="Arial"/>
          <w:sz w:val="17"/>
          <w:szCs w:val="17"/>
          <w:i w:val="1"/>
          <w:iCs w:val="1"/>
          <w:color w:val="231F20"/>
        </w:rPr>
        <w:t>Derivative Fair Value Measurements</w:t>
      </w:r>
      <w:r>
        <w:rPr>
          <w:rFonts w:ascii="Arial" w:cs="Arial" w:eastAsia="Arial" w:hAnsi="Arial"/>
          <w:sz w:val="17"/>
          <w:szCs w:val="17"/>
          <w:color w:val="231F20"/>
        </w:rPr>
        <w:t xml:space="preserve"> in Item — 1 </w:t>
      </w:r>
      <w:r>
        <w:rPr>
          <w:rFonts w:ascii="Arial" w:cs="Arial" w:eastAsia="Arial" w:hAnsi="Arial"/>
          <w:sz w:val="17"/>
          <w:szCs w:val="17"/>
          <w:color w:val="000000"/>
        </w:rPr>
        <w:t>Note 5</w:t>
      </w:r>
      <w:r>
        <w:rPr>
          <w:rFonts w:ascii="Arial" w:cs="Arial" w:eastAsia="Arial" w:hAnsi="Arial"/>
          <w:sz w:val="17"/>
          <w:szCs w:val="17"/>
          <w:color w:val="231F20"/>
        </w:rPr>
        <w:t xml:space="preserve">, </w:t>
      </w:r>
      <w:r>
        <w:rPr>
          <w:rFonts w:ascii="Arial" w:cs="Arial" w:eastAsia="Arial" w:hAnsi="Arial"/>
          <w:sz w:val="17"/>
          <w:szCs w:val="17"/>
          <w:i w:val="1"/>
          <w:iCs w:val="1"/>
          <w:color w:val="000000"/>
        </w:rPr>
        <w:t>Fair Value of Financial Instruments</w:t>
      </w:r>
      <w:r>
        <w:rPr>
          <w:rFonts w:ascii="Arial" w:cs="Arial" w:eastAsia="Arial" w:hAnsi="Arial"/>
          <w:sz w:val="17"/>
          <w:szCs w:val="17"/>
          <w:color w:val="231F20"/>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909"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5040" w:type="dxa"/>
            <w:vAlign w:val="bottom"/>
            <w:gridSpan w:val="4"/>
          </w:tcPr>
          <w:p>
            <w:pPr>
              <w:ind w:left="40"/>
              <w:spacing w:after="0"/>
              <w:rPr>
                <w:sz w:val="20"/>
                <w:szCs w:val="20"/>
                <w:color w:val="auto"/>
              </w:rPr>
            </w:pPr>
            <w:r>
              <w:rPr>
                <w:rFonts w:ascii="Arial" w:cs="Arial" w:eastAsia="Arial" w:hAnsi="Arial"/>
                <w:sz w:val="14"/>
                <w:szCs w:val="14"/>
                <w:b w:val="1"/>
                <w:bCs w:val="1"/>
                <w:color w:val="auto"/>
              </w:rPr>
              <w:t>Derivative Activity (Losses)/Gains</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Fair value of contracts as of December 31, 2017</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00" w:type="dxa"/>
            <w:vAlign w:val="bottom"/>
            <w:gridSpan w:val="3"/>
          </w:tcPr>
          <w:p>
            <w:pPr>
              <w:ind w:left="240"/>
              <w:spacing w:after="0"/>
              <w:rPr>
                <w:sz w:val="20"/>
                <w:szCs w:val="20"/>
                <w:color w:val="auto"/>
              </w:rPr>
            </w:pPr>
            <w:r>
              <w:rPr>
                <w:rFonts w:ascii="Arial" w:cs="Arial" w:eastAsia="Arial" w:hAnsi="Arial"/>
                <w:sz w:val="18"/>
                <w:szCs w:val="18"/>
                <w:color w:val="auto"/>
              </w:rPr>
              <w:t>Contracts realized or otherwise settled during the period</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0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Changes in fair value</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7"/>
        </w:trPr>
        <w:tc>
          <w:tcPr>
            <w:tcW w:w="5040" w:type="dxa"/>
            <w:vAlign w:val="bottom"/>
            <w:gridSpan w:val="4"/>
          </w:tcPr>
          <w:p>
            <w:pPr>
              <w:ind w:left="40"/>
              <w:spacing w:after="0"/>
              <w:rPr>
                <w:sz w:val="20"/>
                <w:szCs w:val="20"/>
                <w:color w:val="auto"/>
              </w:rPr>
            </w:pPr>
            <w:r>
              <w:rPr>
                <w:rFonts w:ascii="Arial" w:cs="Arial" w:eastAsia="Arial" w:hAnsi="Arial"/>
                <w:sz w:val="18"/>
                <w:szCs w:val="18"/>
                <w:color w:val="auto"/>
              </w:rPr>
              <w:t>Fair value of contracts as of September 30, 2018</w:t>
            </w: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Fair value of contracts as of September 30, 2018</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4"/>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3"/>
          </w:tcPr>
          <w:p>
            <w:pPr>
              <w:jc w:val="right"/>
              <w:ind w:right="844"/>
              <w:spacing w:after="0"/>
              <w:rPr>
                <w:sz w:val="20"/>
                <w:szCs w:val="20"/>
                <w:color w:val="auto"/>
              </w:rPr>
            </w:pPr>
            <w:r>
              <w:rPr>
                <w:rFonts w:ascii="Arial" w:cs="Arial" w:eastAsia="Arial" w:hAnsi="Arial"/>
                <w:sz w:val="14"/>
                <w:szCs w:val="14"/>
                <w:b w:val="1"/>
                <w:bCs w:val="1"/>
                <w:color w:val="auto"/>
              </w:rPr>
              <w:t>Maturity</w:t>
            </w:r>
          </w:p>
        </w:tc>
        <w:tc>
          <w:tcPr>
            <w:tcW w:w="11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w w:val="96"/>
              </w:rPr>
              <w:t>Greater Than</w:t>
            </w:r>
          </w:p>
        </w:tc>
        <w:tc>
          <w:tcPr>
            <w:tcW w:w="180" w:type="dxa"/>
            <w:vAlign w:val="bottom"/>
          </w:tcPr>
          <w:p>
            <w:pPr>
              <w:spacing w:after="0"/>
              <w:rPr>
                <w:sz w:val="13"/>
                <w:szCs w:val="13"/>
                <w:color w:val="auto"/>
              </w:rPr>
            </w:pPr>
          </w:p>
        </w:tc>
        <w:tc>
          <w:tcPr>
            <w:tcW w:w="1020" w:type="dxa"/>
            <w:vAlign w:val="bottom"/>
          </w:tcPr>
          <w:p>
            <w:pPr>
              <w:jc w:val="center"/>
              <w:ind w:right="44"/>
              <w:spacing w:after="0" w:line="153" w:lineRule="exact"/>
              <w:rPr>
                <w:sz w:val="20"/>
                <w:szCs w:val="20"/>
                <w:color w:val="auto"/>
              </w:rPr>
            </w:pPr>
            <w:r>
              <w:rPr>
                <w:rFonts w:ascii="Arial" w:cs="Arial" w:eastAsia="Arial" w:hAnsi="Arial"/>
                <w:sz w:val="14"/>
                <w:szCs w:val="14"/>
                <w:b w:val="1"/>
                <w:bCs w:val="1"/>
                <w:color w:val="auto"/>
                <w:w w:val="98"/>
              </w:rPr>
              <w:t>Greater Than</w:t>
            </w:r>
          </w:p>
        </w:tc>
        <w:tc>
          <w:tcPr>
            <w:tcW w:w="1160" w:type="dxa"/>
            <w:vAlign w:val="bottom"/>
            <w:vMerge w:val="restart"/>
          </w:tcPr>
          <w:p>
            <w:pPr>
              <w:jc w:val="center"/>
              <w:ind w:left="222"/>
              <w:spacing w:after="0"/>
              <w:rPr>
                <w:sz w:val="20"/>
                <w:szCs w:val="20"/>
                <w:color w:val="auto"/>
              </w:rPr>
            </w:pPr>
            <w:r>
              <w:rPr>
                <w:rFonts w:ascii="Arial" w:cs="Arial" w:eastAsia="Arial" w:hAnsi="Arial"/>
                <w:sz w:val="14"/>
                <w:szCs w:val="14"/>
                <w:b w:val="1"/>
                <w:bCs w:val="1"/>
                <w:color w:val="auto"/>
                <w:w w:val="98"/>
              </w:rPr>
              <w:t>Greater Than</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50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Fair Value Hierarchy (Losses)/Gains</w:t>
            </w:r>
          </w:p>
        </w:tc>
        <w:tc>
          <w:tcPr>
            <w:tcW w:w="160" w:type="dxa"/>
            <w:vAlign w:val="bottom"/>
          </w:tcPr>
          <w:p>
            <w:pPr>
              <w:spacing w:after="0"/>
              <w:rPr>
                <w:sz w:val="12"/>
                <w:szCs w:val="12"/>
                <w:color w:val="auto"/>
              </w:rPr>
            </w:pPr>
          </w:p>
        </w:tc>
        <w:tc>
          <w:tcPr>
            <w:tcW w:w="116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3"/>
              </w:rPr>
              <w:t>1 Year or Less</w:t>
            </w: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1"/>
              </w:rPr>
              <w:t>3 Years to 5</w:t>
            </w: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04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26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w w:val="99"/>
              </w:rPr>
              <w:t>1 Year to 3 Years</w:t>
            </w:r>
          </w:p>
        </w:tc>
        <w:tc>
          <w:tcPr>
            <w:tcW w:w="180" w:type="dxa"/>
            <w:vAlign w:val="bottom"/>
          </w:tcPr>
          <w:p>
            <w:pPr>
              <w:spacing w:after="0"/>
              <w:rPr>
                <w:sz w:val="13"/>
                <w:szCs w:val="13"/>
                <w:color w:val="auto"/>
              </w:rPr>
            </w:pPr>
          </w:p>
        </w:tc>
        <w:tc>
          <w:tcPr>
            <w:tcW w:w="1020" w:type="dxa"/>
            <w:vAlign w:val="bottom"/>
          </w:tcPr>
          <w:p>
            <w:pPr>
              <w:jc w:val="center"/>
              <w:ind w:right="44"/>
              <w:spacing w:after="0" w:line="158" w:lineRule="exact"/>
              <w:rPr>
                <w:sz w:val="20"/>
                <w:szCs w:val="20"/>
                <w:color w:val="auto"/>
              </w:rPr>
            </w:pPr>
            <w:r>
              <w:rPr>
                <w:rFonts w:ascii="Arial" w:cs="Arial" w:eastAsia="Arial" w:hAnsi="Arial"/>
                <w:sz w:val="14"/>
                <w:szCs w:val="14"/>
                <w:b w:val="1"/>
                <w:bCs w:val="1"/>
                <w:color w:val="auto"/>
                <w:w w:val="89"/>
              </w:rPr>
              <w:t>Years</w:t>
            </w:r>
          </w:p>
        </w:tc>
        <w:tc>
          <w:tcPr>
            <w:tcW w:w="1160" w:type="dxa"/>
            <w:vAlign w:val="bottom"/>
          </w:tcPr>
          <w:p>
            <w:pPr>
              <w:jc w:val="center"/>
              <w:ind w:left="222"/>
              <w:spacing w:after="0" w:line="158" w:lineRule="exact"/>
              <w:rPr>
                <w:sz w:val="20"/>
                <w:szCs w:val="20"/>
                <w:color w:val="auto"/>
              </w:rPr>
            </w:pPr>
            <w:r>
              <w:rPr>
                <w:rFonts w:ascii="Arial" w:cs="Arial" w:eastAsia="Arial" w:hAnsi="Arial"/>
                <w:sz w:val="14"/>
                <w:szCs w:val="14"/>
                <w:b w:val="1"/>
                <w:bCs w:val="1"/>
                <w:color w:val="auto"/>
                <w:w w:val="92"/>
              </w:rPr>
              <w:t>5 Years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77"/>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center"/>
              <w:ind w:right="64"/>
              <w:spacing w:after="0"/>
              <w:rPr>
                <w:sz w:val="20"/>
                <w:szCs w:val="20"/>
                <w:color w:val="auto"/>
              </w:rPr>
            </w:pPr>
            <w:r>
              <w:rPr>
                <w:rFonts w:ascii="Arial" w:cs="Arial" w:eastAsia="Arial" w:hAnsi="Arial"/>
                <w:sz w:val="14"/>
                <w:szCs w:val="14"/>
                <w:b w:val="1"/>
                <w:bCs w:val="1"/>
                <w:color w:val="auto"/>
                <w:w w:val="96"/>
              </w:rPr>
              <w:t>(In millions)</w:t>
            </w: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0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Level 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4</w:t>
            </w:r>
          </w:p>
        </w:tc>
        <w:tc>
          <w:tcPr>
            <w:tcW w:w="1160" w:type="dxa"/>
            <w:vAlign w:val="bottom"/>
            <w:shd w:val="clear" w:color="auto" w:fill="CCEEFF"/>
          </w:tcPr>
          <w:p>
            <w:pPr>
              <w:jc w:val="right"/>
              <w:ind w:right="86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231F20"/>
        </w:rPr>
        <w:t xml:space="preserve">The Company has elected to disclose derivative assets and liabilities on a trade-by-trade basis and does not offset amounts at the counterparty master agreement level. As discussed below in Quantitative and Qualitative Disclosures about Market Risk - Commodity Price Risk, NRG, on behalf of the </w:t>
      </w:r>
      <w:r>
        <w:rPr>
          <w:rFonts w:ascii="Arial" w:cs="Arial" w:eastAsia="Arial" w:hAnsi="Arial"/>
          <w:sz w:val="16"/>
          <w:szCs w:val="16"/>
          <w:color w:val="000000"/>
        </w:rPr>
        <w:t>Company, measures the sensitivity of the portfolio to potential changes in market prices using VaR, a statistical model which attempts to predict risk of loss based on market price and volatility. NRG's risk management policy places a limit on one-day holding period VaR, which limits the net open position.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2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In any event,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impairment of long lived assets and other intangible assets and acquisition accounting.</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See Item — 1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 discussion of recent accounting developments.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897"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Item 3 has been omitted from this report pursuant to the reduced disclosure format permitted by General Instruction H(2) to Form 10-Q.</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Conclusion Regarding the Effectiveness of Disclosure Controls and Procedures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connection with NRG Energy, Inc.'s transaction with GIP effective August 31, 2018, the Company entered into a Transition Services Agreement pursuant to which NRG Energy, Inc. will continue to provide information technology, systems, applications, and business processes to the Company. Under the Transition Services Agreement with NRG Energy, Inc., the Company will continue to review, document and evaluate the internal controls over financial reporting through 2018. There were no other changes in the Company’s internal control over financial reporting (as such term is defined in Rule 13a-15(f) under the Exchange Act) during the quarter ended September 30, 2018,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742"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 xml:space="preserve">For a discussion of the material legal proceedings in which the Company was involved through September 30, 2018, see Note 11, </w:t>
      </w:r>
      <w:r>
        <w:rPr>
          <w:rFonts w:ascii="Arial" w:cs="Arial" w:eastAsia="Arial" w:hAnsi="Arial"/>
          <w:sz w:val="18"/>
          <w:szCs w:val="18"/>
          <w:i w:val="1"/>
          <w:iCs w:val="1"/>
          <w:color w:val="auto"/>
        </w:rPr>
        <w:t>Contingencies</w:t>
      </w:r>
      <w:r>
        <w:rPr>
          <w:rFonts w:ascii="Arial" w:cs="Arial" w:eastAsia="Arial" w:hAnsi="Arial"/>
          <w:sz w:val="18"/>
          <w:szCs w:val="18"/>
          <w:color w:val="auto"/>
        </w:rPr>
        <w:t>, to this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 xml:space="preserve">Information regarding risk factors appears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Company's 2017 Form 10-K. There have been no material changes in the Company's risk factors since those reported in its 2017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Item 2 has been omitted from this report for the Registrants pursuant to the reduced disclosure format permitted by General Instruction H(2) to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Item 3 has been omitted from this report for the Registrants pursuant to the reduced disclosure format permitted by General Instruction H(2) to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742"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6 — EXHIBITS</w:t>
      </w:r>
    </w:p>
    <w:p>
      <w:pPr>
        <w:sectPr>
          <w:pgSz w:w="11900" w:h="16838" w:orient="portrait"/>
          <w:cols w:equalWidth="0" w:num="1">
            <w:col w:w="11400"/>
          </w:cols>
          <w:pgMar w:left="240" w:top="742" w:right="25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Number</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tabs>
          <w:tab w:leader="none" w:pos="6020" w:val="left"/>
        </w:tabs>
        <w:rPr>
          <w:sz w:val="20"/>
          <w:szCs w:val="20"/>
          <w:color w:val="auto"/>
        </w:rPr>
      </w:pPr>
      <w:r>
        <w:rPr>
          <w:rFonts w:ascii="Arial" w:cs="Arial" w:eastAsia="Arial" w:hAnsi="Arial"/>
          <w:sz w:val="15"/>
          <w:szCs w:val="15"/>
          <w:b w:val="1"/>
          <w:bCs w:val="1"/>
          <w:color w:val="auto"/>
        </w:rPr>
        <w:t>Description</w:t>
      </w:r>
      <w:r>
        <w:rPr>
          <w:sz w:val="20"/>
          <w:szCs w:val="20"/>
          <w:color w:val="auto"/>
        </w:rPr>
        <w:tab/>
      </w:r>
      <w:r>
        <w:rPr>
          <w:rFonts w:ascii="Arial" w:cs="Arial" w:eastAsia="Arial" w:hAnsi="Arial"/>
          <w:sz w:val="15"/>
          <w:szCs w:val="15"/>
          <w:b w:val="1"/>
          <w:bCs w:val="1"/>
          <w:color w:val="auto"/>
        </w:rPr>
        <w:t>Method of Filing</w:t>
      </w:r>
    </w:p>
    <w:p>
      <w:pPr>
        <w:spacing w:after="0" w:line="88" w:lineRule="exact"/>
        <w:rPr>
          <w:sz w:val="20"/>
          <w:szCs w:val="20"/>
          <w:color w:val="auto"/>
        </w:rPr>
      </w:pPr>
    </w:p>
    <w:p>
      <w:pPr>
        <w:sectPr>
          <w:pgSz w:w="11900" w:h="16838" w:orient="portrait"/>
          <w:cols w:equalWidth="0" w:num="2">
            <w:col w:w="620" w:space="460"/>
            <w:col w:w="10320"/>
          </w:cols>
          <w:pgMar w:left="240" w:top="742" w:right="25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293" w:lineRule="auto"/>
        <w:rPr>
          <w:rFonts w:ascii="Arial" w:cs="Arial" w:eastAsia="Arial" w:hAnsi="Arial"/>
          <w:sz w:val="16"/>
          <w:szCs w:val="16"/>
          <w:u w:val="single" w:color="auto"/>
          <w:color w:val="0000FF"/>
        </w:rPr>
      </w:pPr>
      <w:hyperlink r:id="rId42">
        <w:r>
          <w:rPr>
            <w:rFonts w:ascii="Arial" w:cs="Arial" w:eastAsia="Arial" w:hAnsi="Arial"/>
            <w:sz w:val="16"/>
            <w:szCs w:val="16"/>
            <w:u w:val="single" w:color="auto"/>
            <w:color w:val="0000FF"/>
          </w:rPr>
          <w:t>Certificate of Amendment for the Restated Certificate of Formation of Clearway Energy</w:t>
        </w:r>
      </w:hyperlink>
      <w:r>
        <w:rPr>
          <w:rFonts w:ascii="Arial" w:cs="Arial" w:eastAsia="Arial" w:hAnsi="Arial"/>
          <w:sz w:val="16"/>
          <w:szCs w:val="16"/>
          <w:u w:val="single" w:color="auto"/>
          <w:color w:val="0000FF"/>
        </w:rPr>
        <w:t xml:space="preserve"> </w:t>
      </w:r>
      <w:hyperlink r:id="rId42">
        <w:r>
          <w:rPr>
            <w:rFonts w:ascii="Arial" w:cs="Arial" w:eastAsia="Arial" w:hAnsi="Arial"/>
            <w:sz w:val="16"/>
            <w:szCs w:val="16"/>
            <w:u w:val="single" w:color="auto"/>
            <w:color w:val="0000FF"/>
          </w:rPr>
          <w:t>LLC, dated August 31, 2018.</w:t>
        </w:r>
      </w:hyperlink>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right="40"/>
        <w:spacing w:after="0" w:line="342" w:lineRule="auto"/>
        <w:rPr>
          <w:sz w:val="20"/>
          <w:szCs w:val="20"/>
          <w:color w:val="auto"/>
        </w:rPr>
      </w:pPr>
      <w:r>
        <w:rPr>
          <w:rFonts w:ascii="Arial" w:cs="Arial" w:eastAsia="Arial" w:hAnsi="Arial"/>
          <w:sz w:val="14"/>
          <w:szCs w:val="14"/>
          <w:color w:val="auto"/>
        </w:rPr>
        <w:t>Incorporated herein by reference to Exhibit 3.1 to the Registrant's Current Report on Form 8-K filed on September 5, 2018.</w:t>
      </w:r>
    </w:p>
    <w:p>
      <w:pPr>
        <w:spacing w:after="0" w:line="1" w:lineRule="exact"/>
        <w:rPr>
          <w:sz w:val="20"/>
          <w:szCs w:val="20"/>
          <w:color w:val="auto"/>
        </w:rPr>
      </w:pPr>
    </w:p>
    <w:p>
      <w:pPr>
        <w:sectPr>
          <w:pgSz w:w="11900" w:h="16838" w:orient="portrait"/>
          <w:cols w:equalWidth="0" w:num="3">
            <w:col w:w="360" w:space="720"/>
            <w:col w:w="5720" w:space="320"/>
            <w:col w:w="4280"/>
          </w:cols>
          <w:pgMar w:left="240" w:top="742" w:right="25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right="360"/>
        <w:spacing w:after="0" w:line="278" w:lineRule="auto"/>
        <w:rPr>
          <w:rFonts w:ascii="Arial" w:cs="Arial" w:eastAsia="Arial" w:hAnsi="Arial"/>
          <w:sz w:val="16"/>
          <w:szCs w:val="16"/>
          <w:u w:val="single" w:color="auto"/>
          <w:color w:val="0000FF"/>
        </w:rPr>
      </w:pPr>
      <w:hyperlink r:id="rId43">
        <w:r>
          <w:rPr>
            <w:rFonts w:ascii="Arial" w:cs="Arial" w:eastAsia="Arial" w:hAnsi="Arial"/>
            <w:sz w:val="16"/>
            <w:szCs w:val="16"/>
            <w:u w:val="single" w:color="auto"/>
            <w:color w:val="0000FF"/>
          </w:rPr>
          <w:t>Fourth Amended and Restated Limited Liability Company Agreement of NRG Yield</w:t>
        </w:r>
      </w:hyperlink>
      <w:r>
        <w:rPr>
          <w:rFonts w:ascii="Arial" w:cs="Arial" w:eastAsia="Arial" w:hAnsi="Arial"/>
          <w:sz w:val="16"/>
          <w:szCs w:val="16"/>
          <w:u w:val="single" w:color="auto"/>
          <w:color w:val="0000FF"/>
        </w:rPr>
        <w:t xml:space="preserve"> </w:t>
      </w:r>
      <w:hyperlink r:id="rId43">
        <w:r>
          <w:rPr>
            <w:rFonts w:ascii="Arial" w:cs="Arial" w:eastAsia="Arial" w:hAnsi="Arial"/>
            <w:sz w:val="16"/>
            <w:szCs w:val="16"/>
            <w:u w:val="single" w:color="auto"/>
            <w:color w:val="0000FF"/>
          </w:rPr>
          <w:t>LLC, dated as of August 31, 2018, by and between NRG Yield, Inc. and Zephyr</w:t>
        </w:r>
      </w:hyperlink>
      <w:r>
        <w:rPr>
          <w:rFonts w:ascii="Arial" w:cs="Arial" w:eastAsia="Arial" w:hAnsi="Arial"/>
          <w:sz w:val="16"/>
          <w:szCs w:val="16"/>
          <w:u w:val="single" w:color="auto"/>
          <w:color w:val="0000FF"/>
        </w:rPr>
        <w:t xml:space="preserve"> </w:t>
      </w:r>
      <w:hyperlink r:id="rId43">
        <w:r>
          <w:rPr>
            <w:rFonts w:ascii="Arial" w:cs="Arial" w:eastAsia="Arial" w:hAnsi="Arial"/>
            <w:sz w:val="16"/>
            <w:szCs w:val="16"/>
            <w:u w:val="single" w:color="auto"/>
            <w:color w:val="0000FF"/>
          </w:rPr>
          <w:t>Renewables LLC.</w:t>
        </w:r>
      </w:hyperlink>
    </w:p>
    <w:p>
      <w:pPr>
        <w:spacing w:after="0" w:line="184" w:lineRule="exact"/>
        <w:rPr>
          <w:rFonts w:ascii="Arial" w:cs="Arial" w:eastAsia="Arial" w:hAnsi="Arial"/>
          <w:sz w:val="16"/>
          <w:szCs w:val="16"/>
          <w:u w:val="single" w:color="auto"/>
          <w:color w:val="0000FF"/>
        </w:rPr>
      </w:pPr>
    </w:p>
    <w:p>
      <w:pPr>
        <w:jc w:val="both"/>
        <w:spacing w:after="0" w:line="278" w:lineRule="auto"/>
        <w:rPr>
          <w:rFonts w:ascii="Arial" w:cs="Arial" w:eastAsia="Arial" w:hAnsi="Arial"/>
          <w:sz w:val="16"/>
          <w:szCs w:val="16"/>
          <w:u w:val="single" w:color="auto"/>
          <w:color w:val="0000FF"/>
        </w:rPr>
      </w:pPr>
      <w:hyperlink r:id="rId44">
        <w:r>
          <w:rPr>
            <w:rFonts w:ascii="Arial" w:cs="Arial" w:eastAsia="Arial" w:hAnsi="Arial"/>
            <w:sz w:val="16"/>
            <w:szCs w:val="16"/>
            <w:u w:val="single" w:color="auto"/>
            <w:color w:val="0000FF"/>
          </w:rPr>
          <w:t>Eighth Supplemental Indenture, dated as of August 30, 2018, among NRG Yield</w:t>
        </w:r>
      </w:hyperlink>
      <w:r>
        <w:rPr>
          <w:rFonts w:ascii="Arial" w:cs="Arial" w:eastAsia="Arial" w:hAnsi="Arial"/>
          <w:sz w:val="16"/>
          <w:szCs w:val="16"/>
          <w:u w:val="single" w:color="auto"/>
          <w:color w:val="0000FF"/>
        </w:rPr>
        <w:t xml:space="preserve"> </w:t>
      </w:r>
      <w:hyperlink r:id="rId44">
        <w:r>
          <w:rPr>
            <w:rFonts w:ascii="Arial" w:cs="Arial" w:eastAsia="Arial" w:hAnsi="Arial"/>
            <w:sz w:val="16"/>
            <w:szCs w:val="16"/>
            <w:u w:val="single" w:color="auto"/>
            <w:color w:val="0000FF"/>
          </w:rPr>
          <w:t>Operating LLC, the guarantors named therein and Delaware Trust Company (as successor</w:t>
        </w:r>
      </w:hyperlink>
      <w:r>
        <w:rPr>
          <w:rFonts w:ascii="Arial" w:cs="Arial" w:eastAsia="Arial" w:hAnsi="Arial"/>
          <w:sz w:val="16"/>
          <w:szCs w:val="16"/>
          <w:u w:val="single" w:color="auto"/>
          <w:color w:val="0000FF"/>
        </w:rPr>
        <w:t xml:space="preserve"> </w:t>
      </w:r>
      <w:hyperlink r:id="rId44">
        <w:r>
          <w:rPr>
            <w:rFonts w:ascii="Arial" w:cs="Arial" w:eastAsia="Arial" w:hAnsi="Arial"/>
            <w:sz w:val="16"/>
            <w:szCs w:val="16"/>
            <w:u w:val="single" w:color="auto"/>
            <w:color w:val="0000FF"/>
          </w:rPr>
          <w:t>in interest to Law Debenture Trust Company of New York).</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141" w:lineRule="exact"/>
        <w:rPr>
          <w:rFonts w:ascii="Arial" w:cs="Arial" w:eastAsia="Arial" w:hAnsi="Arial"/>
          <w:sz w:val="16"/>
          <w:szCs w:val="16"/>
          <w:u w:val="single" w:color="auto"/>
          <w:color w:val="0000FF"/>
        </w:rPr>
      </w:pPr>
    </w:p>
    <w:p>
      <w:pPr>
        <w:ind w:right="80"/>
        <w:spacing w:after="0" w:line="278" w:lineRule="auto"/>
        <w:rPr>
          <w:sz w:val="20"/>
          <w:szCs w:val="20"/>
          <w:color w:val="auto"/>
        </w:rPr>
      </w:pPr>
      <w:r>
        <w:rPr>
          <w:rFonts w:ascii="Arial" w:cs="Arial" w:eastAsia="Arial" w:hAnsi="Arial"/>
          <w:sz w:val="16"/>
          <w:szCs w:val="16"/>
          <w:color w:val="auto"/>
        </w:rPr>
        <w:t>Incorporated herein by reference to Exhibit 10.6 to Clearway Energy, Inc.'s Current Report on Form 8-K filed on September 5, 2018.</w:t>
      </w:r>
    </w:p>
    <w:p>
      <w:pPr>
        <w:spacing w:after="0" w:line="22" w:lineRule="exact"/>
        <w:rPr>
          <w:rFonts w:ascii="Arial" w:cs="Arial" w:eastAsia="Arial" w:hAnsi="Arial"/>
          <w:sz w:val="16"/>
          <w:szCs w:val="16"/>
          <w:u w:val="single" w:color="auto"/>
          <w:color w:val="0000FF"/>
        </w:rPr>
      </w:pPr>
    </w:p>
    <w:p>
      <w:pPr>
        <w:ind w:right="20"/>
        <w:spacing w:after="0" w:line="369" w:lineRule="auto"/>
        <w:rPr>
          <w:sz w:val="20"/>
          <w:szCs w:val="20"/>
          <w:color w:val="auto"/>
        </w:rPr>
      </w:pPr>
      <w:r>
        <w:rPr>
          <w:rFonts w:ascii="Arial" w:cs="Arial" w:eastAsia="Arial" w:hAnsi="Arial"/>
          <w:sz w:val="14"/>
          <w:szCs w:val="14"/>
          <w:color w:val="auto"/>
        </w:rPr>
        <w:t>Incorporated herein by reference to Exhibit 4.1 to the Registrant's Current Report on Form 8-K filed on September 6, 2018.</w:t>
      </w:r>
    </w:p>
    <w:p>
      <w:pPr>
        <w:spacing w:after="0" w:line="328" w:lineRule="exact"/>
        <w:rPr>
          <w:rFonts w:ascii="Arial" w:cs="Arial" w:eastAsia="Arial" w:hAnsi="Arial"/>
          <w:sz w:val="16"/>
          <w:szCs w:val="16"/>
          <w:u w:val="single" w:color="auto"/>
          <w:color w:val="0000FF"/>
        </w:rPr>
      </w:pPr>
    </w:p>
    <w:p>
      <w:pPr>
        <w:sectPr>
          <w:pgSz w:w="11900" w:h="16838" w:orient="portrait"/>
          <w:cols w:equalWidth="0" w:num="3">
            <w:col w:w="360" w:space="720"/>
            <w:col w:w="5860" w:space="180"/>
            <w:col w:w="4280"/>
          </w:cols>
          <w:pgMar w:left="240" w:top="742" w:right="25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4.2</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46"/>
        </w:trPr>
        <w:tc>
          <w:tcPr>
            <w:tcW w:w="5880" w:type="dxa"/>
            <w:vAlign w:val="bottom"/>
            <w:tcBorders>
              <w:bottom w:val="single" w:sz="8" w:color="0000FF"/>
            </w:tcBorders>
            <w:gridSpan w:val="3"/>
          </w:tcPr>
          <w:p>
            <w:pPr>
              <w:spacing w:after="0"/>
              <w:rPr>
                <w:rFonts w:ascii="Arial" w:cs="Arial" w:eastAsia="Arial" w:hAnsi="Arial"/>
                <w:sz w:val="16"/>
                <w:szCs w:val="16"/>
                <w:color w:val="0000FF"/>
              </w:rPr>
            </w:pPr>
            <w:hyperlink r:id="rId45">
              <w:r>
                <w:rPr>
                  <w:rFonts w:ascii="Arial" w:cs="Arial" w:eastAsia="Arial" w:hAnsi="Arial"/>
                  <w:sz w:val="16"/>
                  <w:szCs w:val="16"/>
                  <w:color w:val="0000FF"/>
                </w:rPr>
                <w:t>Fourth Supplemental Indenture, dated as of August 30, 2018, among NRG Yield</w:t>
              </w:r>
            </w:hyperlink>
          </w:p>
        </w:tc>
        <w:tc>
          <w:tcPr>
            <w:tcW w:w="60" w:type="dxa"/>
            <w:vAlign w:val="bottom"/>
          </w:tcPr>
          <w:p>
            <w:pPr>
              <w:spacing w:after="0"/>
              <w:rPr>
                <w:sz w:val="21"/>
                <w:szCs w:val="21"/>
                <w:color w:val="auto"/>
              </w:rPr>
            </w:pPr>
          </w:p>
        </w:tc>
        <w:tc>
          <w:tcPr>
            <w:tcW w:w="4360" w:type="dxa"/>
            <w:vAlign w:val="bottom"/>
          </w:tcPr>
          <w:p>
            <w:pPr>
              <w:ind w:left="100"/>
              <w:spacing w:after="0"/>
              <w:rPr>
                <w:sz w:val="20"/>
                <w:szCs w:val="20"/>
                <w:color w:val="auto"/>
              </w:rPr>
            </w:pPr>
            <w:r>
              <w:rPr>
                <w:rFonts w:ascii="Arial" w:cs="Arial" w:eastAsia="Arial" w:hAnsi="Arial"/>
                <w:sz w:val="16"/>
                <w:szCs w:val="16"/>
                <w:color w:val="auto"/>
                <w:w w:val="91"/>
              </w:rPr>
              <w:t>Incorporated herein by reference to Exhibit 4.2 to the Registrant's</w:t>
            </w:r>
          </w:p>
        </w:tc>
      </w:tr>
      <w:tr>
        <w:trPr>
          <w:trHeight w:val="189"/>
        </w:trPr>
        <w:tc>
          <w:tcPr>
            <w:tcW w:w="5860" w:type="dxa"/>
            <w:vAlign w:val="bottom"/>
            <w:tcBorders>
              <w:bottom w:val="single" w:sz="8" w:color="0000FF"/>
            </w:tcBorders>
            <w:gridSpan w:val="2"/>
          </w:tcPr>
          <w:p>
            <w:pPr>
              <w:spacing w:after="0"/>
              <w:rPr>
                <w:rFonts w:ascii="Arial" w:cs="Arial" w:eastAsia="Arial" w:hAnsi="Arial"/>
                <w:sz w:val="16"/>
                <w:szCs w:val="16"/>
                <w:color w:val="0000FF"/>
                <w:w w:val="90"/>
              </w:rPr>
            </w:pPr>
            <w:hyperlink r:id="rId45">
              <w:r>
                <w:rPr>
                  <w:rFonts w:ascii="Arial" w:cs="Arial" w:eastAsia="Arial" w:hAnsi="Arial"/>
                  <w:sz w:val="16"/>
                  <w:szCs w:val="16"/>
                  <w:color w:val="0000FF"/>
                  <w:w w:val="90"/>
                </w:rPr>
                <w:t>Operating LLC, the guarantors named therein and Delaware Trust Company (as successor</w:t>
              </w:r>
            </w:hyperlink>
          </w:p>
        </w:tc>
        <w:tc>
          <w:tcPr>
            <w:tcW w:w="80" w:type="dxa"/>
            <w:vAlign w:val="bottom"/>
            <w:gridSpan w:val="2"/>
          </w:tcPr>
          <w:p>
            <w:pPr>
              <w:spacing w:after="0"/>
              <w:rPr>
                <w:sz w:val="16"/>
                <w:szCs w:val="16"/>
                <w:color w:val="auto"/>
              </w:rPr>
            </w:pPr>
          </w:p>
        </w:tc>
        <w:tc>
          <w:tcPr>
            <w:tcW w:w="4360" w:type="dxa"/>
            <w:vAlign w:val="bottom"/>
          </w:tcPr>
          <w:p>
            <w:pPr>
              <w:ind w:left="100"/>
              <w:spacing w:after="0" w:line="176" w:lineRule="exact"/>
              <w:rPr>
                <w:sz w:val="20"/>
                <w:szCs w:val="20"/>
                <w:color w:val="auto"/>
              </w:rPr>
            </w:pPr>
            <w:r>
              <w:rPr>
                <w:rFonts w:ascii="Arial" w:cs="Arial" w:eastAsia="Arial" w:hAnsi="Arial"/>
                <w:sz w:val="16"/>
                <w:szCs w:val="16"/>
                <w:color w:val="auto"/>
              </w:rPr>
              <w:t>Current Report on Form 8-K filed on September 6, 2018.</w:t>
            </w:r>
          </w:p>
        </w:tc>
      </w:tr>
      <w:tr>
        <w:trPr>
          <w:trHeight w:val="183"/>
        </w:trPr>
        <w:tc>
          <w:tcPr>
            <w:tcW w:w="3880" w:type="dxa"/>
            <w:vAlign w:val="bottom"/>
            <w:tcBorders>
              <w:bottom w:val="single" w:sz="8" w:color="0000FF"/>
            </w:tcBorders>
          </w:tcPr>
          <w:p>
            <w:pPr>
              <w:spacing w:after="0" w:line="183" w:lineRule="exact"/>
              <w:rPr>
                <w:rFonts w:ascii="Arial" w:cs="Arial" w:eastAsia="Arial" w:hAnsi="Arial"/>
                <w:sz w:val="16"/>
                <w:szCs w:val="16"/>
                <w:color w:val="0000FF"/>
                <w:w w:val="92"/>
              </w:rPr>
            </w:pPr>
            <w:hyperlink r:id="rId45">
              <w:r>
                <w:rPr>
                  <w:rFonts w:ascii="Arial" w:cs="Arial" w:eastAsia="Arial" w:hAnsi="Arial"/>
                  <w:sz w:val="16"/>
                  <w:szCs w:val="16"/>
                  <w:color w:val="0000FF"/>
                  <w:w w:val="92"/>
                </w:rPr>
                <w:t>in interest to Law Debenture Trust Company of New York).</w:t>
              </w:r>
            </w:hyperlink>
          </w:p>
        </w:tc>
        <w:tc>
          <w:tcPr>
            <w:tcW w:w="2060" w:type="dxa"/>
            <w:vAlign w:val="bottom"/>
            <w:gridSpan w:val="3"/>
          </w:tcPr>
          <w:p>
            <w:pPr>
              <w:spacing w:after="0"/>
              <w:rPr>
                <w:sz w:val="15"/>
                <w:szCs w:val="15"/>
                <w:color w:val="auto"/>
              </w:rPr>
            </w:pPr>
          </w:p>
        </w:tc>
        <w:tc>
          <w:tcPr>
            <w:tcW w:w="4360" w:type="dxa"/>
            <w:vAlign w:val="bottom"/>
          </w:tcPr>
          <w:p>
            <w:pPr>
              <w:spacing w:after="0"/>
              <w:rPr>
                <w:sz w:val="15"/>
                <w:szCs w:val="15"/>
                <w:color w:val="auto"/>
              </w:rPr>
            </w:pPr>
          </w:p>
        </w:tc>
      </w:tr>
    </w:tbl>
    <w:p>
      <w:pPr>
        <w:spacing w:after="0" w:line="152" w:lineRule="exact"/>
        <w:rPr>
          <w:sz w:val="20"/>
          <w:szCs w:val="20"/>
          <w:color w:val="auto"/>
        </w:rPr>
      </w:pPr>
    </w:p>
    <w:p>
      <w:pPr>
        <w:sectPr>
          <w:pgSz w:w="11900" w:h="16838" w:orient="portrait"/>
          <w:cols w:equalWidth="0" w:num="2">
            <w:col w:w="360" w:space="720"/>
            <w:col w:w="10320"/>
          </w:cols>
          <w:pgMar w:left="240" w:top="742" w:right="25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4.3</w:t>
      </w: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4"/>
          <w:szCs w:val="14"/>
          <w:color w:val="auto"/>
        </w:rPr>
        <w:t>4.4</w:t>
      </w:r>
    </w:p>
    <w:p>
      <w:pPr>
        <w:spacing w:after="0" w:line="298" w:lineRule="exact"/>
        <w:rPr>
          <w:sz w:val="20"/>
          <w:szCs w:val="20"/>
          <w:color w:val="auto"/>
        </w:rPr>
      </w:pPr>
    </w:p>
    <w:p>
      <w:pPr>
        <w:ind w:left="40"/>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spacing w:after="0" w:line="293" w:lineRule="auto"/>
        <w:rPr>
          <w:rFonts w:ascii="Arial" w:cs="Arial" w:eastAsia="Arial" w:hAnsi="Arial"/>
          <w:sz w:val="16"/>
          <w:szCs w:val="16"/>
          <w:u w:val="single" w:color="auto"/>
          <w:color w:val="0000FF"/>
        </w:rPr>
      </w:pPr>
      <w:hyperlink r:id="rId46">
        <w:r>
          <w:rPr>
            <w:rFonts w:ascii="Arial" w:cs="Arial" w:eastAsia="Arial" w:hAnsi="Arial"/>
            <w:sz w:val="16"/>
            <w:szCs w:val="16"/>
            <w:u w:val="single" w:color="auto"/>
            <w:color w:val="0000FF"/>
          </w:rPr>
          <w:t>Indenture, dated October 1, 2018, among Clearway Energy Operating LLC, the guarantors</w:t>
        </w:r>
      </w:hyperlink>
      <w:r>
        <w:rPr>
          <w:rFonts w:ascii="Arial" w:cs="Arial" w:eastAsia="Arial" w:hAnsi="Arial"/>
          <w:sz w:val="16"/>
          <w:szCs w:val="16"/>
          <w:u w:val="single" w:color="auto"/>
          <w:color w:val="0000FF"/>
        </w:rPr>
        <w:t xml:space="preserve"> </w:t>
      </w:r>
      <w:hyperlink r:id="rId46">
        <w:r>
          <w:rPr>
            <w:rFonts w:ascii="Arial" w:cs="Arial" w:eastAsia="Arial" w:hAnsi="Arial"/>
            <w:sz w:val="16"/>
            <w:szCs w:val="16"/>
            <w:u w:val="single" w:color="auto"/>
            <w:color w:val="0000FF"/>
          </w:rPr>
          <w:t>named therein and Delaware Trust Company, as trustee.</w:t>
        </w:r>
      </w:hyperlink>
    </w:p>
    <w:p>
      <w:pPr>
        <w:spacing w:after="0" w:line="172" w:lineRule="exact"/>
        <w:rPr>
          <w:sz w:val="20"/>
          <w:szCs w:val="20"/>
          <w:color w:val="auto"/>
        </w:rPr>
      </w:pPr>
    </w:p>
    <w:p>
      <w:pPr>
        <w:spacing w:after="0"/>
        <w:rPr>
          <w:rFonts w:ascii="Arial" w:cs="Arial" w:eastAsia="Arial" w:hAnsi="Arial"/>
          <w:sz w:val="16"/>
          <w:szCs w:val="16"/>
          <w:u w:val="single" w:color="auto"/>
          <w:color w:val="0000FF"/>
        </w:rPr>
      </w:pPr>
      <w:hyperlink r:id="rId46">
        <w:r>
          <w:rPr>
            <w:rFonts w:ascii="Arial" w:cs="Arial" w:eastAsia="Arial" w:hAnsi="Arial"/>
            <w:sz w:val="16"/>
            <w:szCs w:val="16"/>
            <w:u w:val="single" w:color="auto"/>
            <w:color w:val="0000FF"/>
          </w:rPr>
          <w:t>Form of 5.750% Senior Notes due 2025</w:t>
        </w:r>
      </w:hyperlink>
    </w:p>
    <w:p>
      <w:pPr>
        <w:spacing w:after="0" w:line="275" w:lineRule="exact"/>
        <w:rPr>
          <w:sz w:val="20"/>
          <w:szCs w:val="20"/>
          <w:color w:val="auto"/>
        </w:rPr>
      </w:pPr>
    </w:p>
    <w:p>
      <w:pPr>
        <w:jc w:val="both"/>
        <w:spacing w:after="0" w:line="278" w:lineRule="auto"/>
        <w:rPr>
          <w:rFonts w:ascii="Arial" w:cs="Arial" w:eastAsia="Arial" w:hAnsi="Arial"/>
          <w:sz w:val="16"/>
          <w:szCs w:val="16"/>
          <w:u w:val="single" w:color="auto"/>
          <w:color w:val="0000FF"/>
        </w:rPr>
      </w:pPr>
      <w:hyperlink r:id="rId47">
        <w:r>
          <w:rPr>
            <w:rFonts w:ascii="Arial" w:cs="Arial" w:eastAsia="Arial" w:hAnsi="Arial"/>
            <w:sz w:val="16"/>
            <w:szCs w:val="16"/>
            <w:u w:val="single" w:color="auto"/>
            <w:color w:val="0000FF"/>
          </w:rPr>
          <w:t>Registration Rights Agreement, dated October 1, 2018, among Clearway Energy</w:t>
        </w:r>
      </w:hyperlink>
      <w:r>
        <w:rPr>
          <w:rFonts w:ascii="Arial" w:cs="Arial" w:eastAsia="Arial" w:hAnsi="Arial"/>
          <w:sz w:val="16"/>
          <w:szCs w:val="16"/>
          <w:u w:val="single" w:color="auto"/>
          <w:color w:val="0000FF"/>
        </w:rPr>
        <w:t xml:space="preserve"> </w:t>
      </w:r>
      <w:hyperlink r:id="rId47">
        <w:r>
          <w:rPr>
            <w:rFonts w:ascii="Arial" w:cs="Arial" w:eastAsia="Arial" w:hAnsi="Arial"/>
            <w:sz w:val="16"/>
            <w:szCs w:val="16"/>
            <w:u w:val="single" w:color="auto"/>
            <w:color w:val="0000FF"/>
          </w:rPr>
          <w:t>Operating LLC, the guarantors named therein and RBC Capital Markets, LLC, as</w:t>
        </w:r>
      </w:hyperlink>
      <w:r>
        <w:rPr>
          <w:rFonts w:ascii="Arial" w:cs="Arial" w:eastAsia="Arial" w:hAnsi="Arial"/>
          <w:sz w:val="16"/>
          <w:szCs w:val="16"/>
          <w:u w:val="single" w:color="auto"/>
          <w:color w:val="0000FF"/>
        </w:rPr>
        <w:t xml:space="preserve"> </w:t>
      </w:r>
      <w:hyperlink r:id="rId47">
        <w:r>
          <w:rPr>
            <w:rFonts w:ascii="Arial" w:cs="Arial" w:eastAsia="Arial" w:hAnsi="Arial"/>
            <w:sz w:val="16"/>
            <w:szCs w:val="16"/>
            <w:u w:val="single" w:color="auto"/>
            <w:color w:val="0000FF"/>
          </w:rPr>
          <w:t>representative of the initial purchasers.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ind w:right="20"/>
        <w:spacing w:after="0" w:line="369" w:lineRule="auto"/>
        <w:rPr>
          <w:sz w:val="20"/>
          <w:szCs w:val="20"/>
          <w:color w:val="auto"/>
        </w:rPr>
      </w:pPr>
      <w:r>
        <w:rPr>
          <w:rFonts w:ascii="Arial" w:cs="Arial" w:eastAsia="Arial" w:hAnsi="Arial"/>
          <w:sz w:val="14"/>
          <w:szCs w:val="14"/>
          <w:color w:val="auto"/>
        </w:rPr>
        <w:t>Incorporated herein by reference to Exhibit 4.1 to the Registrant's Current Report on Form 8-K filed on October 2, 2018.</w:t>
      </w:r>
    </w:p>
    <w:p>
      <w:pPr>
        <w:spacing w:after="0" w:line="126" w:lineRule="exact"/>
        <w:rPr>
          <w:rFonts w:ascii="Arial" w:cs="Arial" w:eastAsia="Arial" w:hAnsi="Arial"/>
          <w:sz w:val="16"/>
          <w:szCs w:val="16"/>
          <w:u w:val="single" w:color="auto"/>
          <w:color w:val="0000FF"/>
        </w:rPr>
      </w:pPr>
    </w:p>
    <w:p>
      <w:pPr>
        <w:ind w:right="20"/>
        <w:spacing w:after="0" w:line="342" w:lineRule="auto"/>
        <w:rPr>
          <w:sz w:val="20"/>
          <w:szCs w:val="20"/>
          <w:color w:val="auto"/>
        </w:rPr>
      </w:pPr>
      <w:r>
        <w:rPr>
          <w:rFonts w:ascii="Arial" w:cs="Arial" w:eastAsia="Arial" w:hAnsi="Arial"/>
          <w:sz w:val="14"/>
          <w:szCs w:val="14"/>
          <w:color w:val="auto"/>
        </w:rPr>
        <w:t>Incorporated herein by reference to Exhibit 4.2 to the Registrant's Current Report on Form 8-K filed on October 2, 2018.</w:t>
      </w:r>
    </w:p>
    <w:p>
      <w:pPr>
        <w:ind w:right="20"/>
        <w:spacing w:after="0" w:line="369" w:lineRule="auto"/>
        <w:rPr>
          <w:sz w:val="20"/>
          <w:szCs w:val="20"/>
          <w:color w:val="auto"/>
        </w:rPr>
      </w:pPr>
      <w:r>
        <w:rPr>
          <w:rFonts w:ascii="Arial" w:cs="Arial" w:eastAsia="Arial" w:hAnsi="Arial"/>
          <w:sz w:val="14"/>
          <w:szCs w:val="14"/>
          <w:color w:val="auto"/>
        </w:rPr>
        <w:t>Incorporated herein by reference to Exhibit 4.3 to the Registrant's Current Report on Form 8-K filed on October 2, 2018.</w:t>
      </w:r>
    </w:p>
    <w:p>
      <w:pPr>
        <w:spacing w:after="0" w:line="328" w:lineRule="exact"/>
        <w:rPr>
          <w:rFonts w:ascii="Arial" w:cs="Arial" w:eastAsia="Arial" w:hAnsi="Arial"/>
          <w:sz w:val="16"/>
          <w:szCs w:val="16"/>
          <w:u w:val="single" w:color="auto"/>
          <w:color w:val="0000FF"/>
        </w:rPr>
      </w:pPr>
    </w:p>
    <w:p>
      <w:pPr>
        <w:sectPr>
          <w:pgSz w:w="11900" w:h="16838" w:orient="portrait"/>
          <w:cols w:equalWidth="0" w:num="3">
            <w:col w:w="360" w:space="720"/>
            <w:col w:w="5860" w:space="180"/>
            <w:col w:w="4280"/>
          </w:cols>
          <w:pgMar w:left="240" w:top="742" w:right="259" w:bottom="1440" w:gutter="0" w:footer="0" w:header="0"/>
          <w:type w:val="continuous"/>
        </w:sectPr>
      </w:pPr>
    </w:p>
    <w:tbl>
      <w:tblPr>
        <w:tblLayout w:type="fixed"/>
        <w:tblInd w:w="40" w:type="dxa"/>
        <w:tblCellMar>
          <w:top w:w="0" w:type="dxa"/>
          <w:left w:w="0" w:type="dxa"/>
          <w:bottom w:w="0" w:type="dxa"/>
          <w:right w:w="0" w:type="dxa"/>
        </w:tblCellMar>
      </w:tblPr>
      <w:tr>
        <w:trPr>
          <w:trHeight w:val="206"/>
        </w:trPr>
        <w:tc>
          <w:tcPr>
            <w:tcW w:w="1040" w:type="dxa"/>
            <w:vAlign w:val="bottom"/>
          </w:tcPr>
          <w:p>
            <w:pPr>
              <w:jc w:val="right"/>
              <w:ind w:right="759"/>
              <w:spacing w:after="0"/>
              <w:rPr>
                <w:sz w:val="20"/>
                <w:szCs w:val="20"/>
                <w:color w:val="auto"/>
              </w:rPr>
            </w:pPr>
            <w:r>
              <w:rPr>
                <w:rFonts w:ascii="Arial" w:cs="Arial" w:eastAsia="Arial" w:hAnsi="Arial"/>
                <w:sz w:val="16"/>
                <w:szCs w:val="16"/>
                <w:color w:val="auto"/>
                <w:w w:val="80"/>
              </w:rPr>
              <w:t>4.6</w:t>
            </w:r>
          </w:p>
        </w:tc>
        <w:tc>
          <w:tcPr>
            <w:tcW w:w="5860" w:type="dxa"/>
            <w:vAlign w:val="bottom"/>
            <w:gridSpan w:val="2"/>
            <w:vMerge w:val="restart"/>
          </w:tcPr>
          <w:p>
            <w:pPr>
              <w:spacing w:after="0"/>
              <w:rPr>
                <w:rFonts w:ascii="Arial" w:cs="Arial" w:eastAsia="Arial" w:hAnsi="Arial"/>
                <w:sz w:val="16"/>
                <w:szCs w:val="16"/>
                <w:color w:val="0000FF"/>
                <w:w w:val="95"/>
              </w:rPr>
            </w:pPr>
            <w:hyperlink r:id="rId48">
              <w:r>
                <w:rPr>
                  <w:rFonts w:ascii="Arial" w:cs="Arial" w:eastAsia="Arial" w:hAnsi="Arial"/>
                  <w:sz w:val="16"/>
                  <w:szCs w:val="16"/>
                  <w:color w:val="0000FF"/>
                  <w:w w:val="95"/>
                </w:rPr>
                <w:t>Ninth Supplemental Indenture, dated as of October 25, 2018, among Clearway Energy</w:t>
              </w:r>
            </w:hyperlink>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860" w:type="dxa"/>
            <w:vAlign w:val="bottom"/>
            <w:tcBorders>
              <w:bottom w:val="single" w:sz="8" w:color="0000FF"/>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60" w:type="dxa"/>
            <w:vAlign w:val="bottom"/>
            <w:tcBorders>
              <w:bottom w:val="single" w:sz="8" w:color="0000FF"/>
            </w:tcBorders>
            <w:gridSpan w:val="2"/>
          </w:tcPr>
          <w:p>
            <w:pPr>
              <w:spacing w:after="0" w:line="183" w:lineRule="exact"/>
              <w:rPr>
                <w:rFonts w:ascii="Arial" w:cs="Arial" w:eastAsia="Arial" w:hAnsi="Arial"/>
                <w:sz w:val="16"/>
                <w:szCs w:val="16"/>
                <w:color w:val="0000FF"/>
                <w:w w:val="90"/>
              </w:rPr>
            </w:pPr>
            <w:hyperlink r:id="rId48">
              <w:r>
                <w:rPr>
                  <w:rFonts w:ascii="Arial" w:cs="Arial" w:eastAsia="Arial" w:hAnsi="Arial"/>
                  <w:sz w:val="16"/>
                  <w:szCs w:val="16"/>
                  <w:color w:val="0000FF"/>
                  <w:w w:val="90"/>
                </w:rPr>
                <w:t>Operating LLC, the guarantors named therein and Delaware Trust Company (as successor</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880" w:type="dxa"/>
            <w:vAlign w:val="bottom"/>
            <w:tcBorders>
              <w:bottom w:val="single" w:sz="8" w:color="0000FF"/>
            </w:tcBorders>
          </w:tcPr>
          <w:p>
            <w:pPr>
              <w:spacing w:after="0" w:line="183" w:lineRule="exact"/>
              <w:rPr>
                <w:rFonts w:ascii="Arial" w:cs="Arial" w:eastAsia="Arial" w:hAnsi="Arial"/>
                <w:sz w:val="16"/>
                <w:szCs w:val="16"/>
                <w:color w:val="0000FF"/>
                <w:w w:val="92"/>
              </w:rPr>
            </w:pPr>
            <w:hyperlink r:id="rId48">
              <w:r>
                <w:rPr>
                  <w:rFonts w:ascii="Arial" w:cs="Arial" w:eastAsia="Arial" w:hAnsi="Arial"/>
                  <w:sz w:val="16"/>
                  <w:szCs w:val="16"/>
                  <w:color w:val="0000FF"/>
                  <w:w w:val="92"/>
                </w:rPr>
                <w:t>in interest to Law Debenture Trust Company of New York).</w:t>
              </w:r>
            </w:hyperlink>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20"/>
        <w:spacing w:after="0" w:line="369" w:lineRule="auto"/>
        <w:rPr>
          <w:sz w:val="20"/>
          <w:szCs w:val="20"/>
          <w:color w:val="auto"/>
        </w:rPr>
      </w:pPr>
      <w:r>
        <w:rPr>
          <w:rFonts w:ascii="Arial" w:cs="Arial" w:eastAsia="Arial" w:hAnsi="Arial"/>
          <w:sz w:val="14"/>
          <w:szCs w:val="14"/>
          <w:color w:val="auto"/>
        </w:rPr>
        <w:t>Incorporated herein by reference to Exhibit 4.1 to the Registrant's Current Report on Form 8-K filed on October 31, 2018.</w:t>
      </w:r>
    </w:p>
    <w:p>
      <w:pPr>
        <w:spacing w:after="0" w:line="328" w:lineRule="exact"/>
        <w:rPr>
          <w:sz w:val="20"/>
          <w:szCs w:val="20"/>
          <w:color w:val="auto"/>
        </w:rPr>
      </w:pPr>
    </w:p>
    <w:p>
      <w:pPr>
        <w:sectPr>
          <w:pgSz w:w="11900" w:h="16838" w:orient="portrait"/>
          <w:cols w:equalWidth="0" w:num="2">
            <w:col w:w="6940" w:space="180"/>
            <w:col w:w="4280"/>
          </w:cols>
          <w:pgMar w:left="240" w:top="742" w:right="259" w:bottom="1440" w:gutter="0" w:footer="0" w:header="0"/>
          <w:type w:val="continuous"/>
        </w:sectPr>
      </w:pPr>
    </w:p>
    <w:tbl>
      <w:tblPr>
        <w:tblLayout w:type="fixed"/>
        <w:tblInd w:w="40" w:type="dxa"/>
        <w:tblCellMar>
          <w:top w:w="0" w:type="dxa"/>
          <w:left w:w="0" w:type="dxa"/>
          <w:bottom w:w="0" w:type="dxa"/>
          <w:right w:w="0" w:type="dxa"/>
        </w:tblCellMar>
      </w:tblPr>
      <w:tr>
        <w:trPr>
          <w:trHeight w:val="206"/>
        </w:trPr>
        <w:tc>
          <w:tcPr>
            <w:tcW w:w="1040" w:type="dxa"/>
            <w:vAlign w:val="bottom"/>
          </w:tcPr>
          <w:p>
            <w:pPr>
              <w:jc w:val="right"/>
              <w:ind w:right="759"/>
              <w:spacing w:after="0"/>
              <w:rPr>
                <w:sz w:val="20"/>
                <w:szCs w:val="20"/>
                <w:color w:val="auto"/>
              </w:rPr>
            </w:pPr>
            <w:r>
              <w:rPr>
                <w:rFonts w:ascii="Arial" w:cs="Arial" w:eastAsia="Arial" w:hAnsi="Arial"/>
                <w:sz w:val="16"/>
                <w:szCs w:val="16"/>
                <w:color w:val="auto"/>
                <w:w w:val="80"/>
              </w:rPr>
              <w:t>4.7</w:t>
            </w:r>
          </w:p>
        </w:tc>
        <w:tc>
          <w:tcPr>
            <w:tcW w:w="5860" w:type="dxa"/>
            <w:vAlign w:val="bottom"/>
            <w:gridSpan w:val="2"/>
            <w:vMerge w:val="restart"/>
          </w:tcPr>
          <w:p>
            <w:pPr>
              <w:spacing w:after="0"/>
              <w:rPr>
                <w:rFonts w:ascii="Arial" w:cs="Arial" w:eastAsia="Arial" w:hAnsi="Arial"/>
                <w:sz w:val="16"/>
                <w:szCs w:val="16"/>
                <w:color w:val="0000FF"/>
                <w:w w:val="96"/>
              </w:rPr>
            </w:pPr>
            <w:hyperlink r:id="rId49">
              <w:r>
                <w:rPr>
                  <w:rFonts w:ascii="Arial" w:cs="Arial" w:eastAsia="Arial" w:hAnsi="Arial"/>
                  <w:sz w:val="16"/>
                  <w:szCs w:val="16"/>
                  <w:color w:val="0000FF"/>
                  <w:w w:val="96"/>
                </w:rPr>
                <w:t>Fifth Supplemental Indenture, dated as of October 25, 2018, among Clearway Energy</w:t>
              </w:r>
            </w:hyperlink>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860" w:type="dxa"/>
            <w:vAlign w:val="bottom"/>
            <w:tcBorders>
              <w:bottom w:val="single" w:sz="8" w:color="0000FF"/>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60" w:type="dxa"/>
            <w:vAlign w:val="bottom"/>
            <w:tcBorders>
              <w:bottom w:val="single" w:sz="8" w:color="0000FF"/>
            </w:tcBorders>
            <w:gridSpan w:val="2"/>
          </w:tcPr>
          <w:p>
            <w:pPr>
              <w:spacing w:after="0" w:line="183" w:lineRule="exact"/>
              <w:rPr>
                <w:rFonts w:ascii="Arial" w:cs="Arial" w:eastAsia="Arial" w:hAnsi="Arial"/>
                <w:sz w:val="16"/>
                <w:szCs w:val="16"/>
                <w:color w:val="0000FF"/>
                <w:w w:val="90"/>
              </w:rPr>
            </w:pPr>
            <w:hyperlink r:id="rId49">
              <w:r>
                <w:rPr>
                  <w:rFonts w:ascii="Arial" w:cs="Arial" w:eastAsia="Arial" w:hAnsi="Arial"/>
                  <w:sz w:val="16"/>
                  <w:szCs w:val="16"/>
                  <w:color w:val="0000FF"/>
                  <w:w w:val="90"/>
                </w:rPr>
                <w:t>Operating LLC, the guarantors named therein and Delaware Trust Company (as successor</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880" w:type="dxa"/>
            <w:vAlign w:val="bottom"/>
            <w:tcBorders>
              <w:bottom w:val="single" w:sz="8" w:color="0000FF"/>
            </w:tcBorders>
          </w:tcPr>
          <w:p>
            <w:pPr>
              <w:spacing w:after="0" w:line="183" w:lineRule="exact"/>
              <w:rPr>
                <w:rFonts w:ascii="Arial" w:cs="Arial" w:eastAsia="Arial" w:hAnsi="Arial"/>
                <w:sz w:val="16"/>
                <w:szCs w:val="16"/>
                <w:color w:val="0000FF"/>
                <w:w w:val="92"/>
              </w:rPr>
            </w:pPr>
            <w:hyperlink r:id="rId49">
              <w:r>
                <w:rPr>
                  <w:rFonts w:ascii="Arial" w:cs="Arial" w:eastAsia="Arial" w:hAnsi="Arial"/>
                  <w:sz w:val="16"/>
                  <w:szCs w:val="16"/>
                  <w:color w:val="0000FF"/>
                  <w:w w:val="92"/>
                </w:rPr>
                <w:t>in interest to Law Debenture Trust Company of New York).</w:t>
              </w:r>
            </w:hyperlink>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20"/>
        <w:spacing w:after="0" w:line="369" w:lineRule="auto"/>
        <w:rPr>
          <w:sz w:val="20"/>
          <w:szCs w:val="20"/>
          <w:color w:val="auto"/>
        </w:rPr>
      </w:pPr>
      <w:r>
        <w:rPr>
          <w:rFonts w:ascii="Arial" w:cs="Arial" w:eastAsia="Arial" w:hAnsi="Arial"/>
          <w:sz w:val="14"/>
          <w:szCs w:val="14"/>
          <w:color w:val="auto"/>
        </w:rPr>
        <w:t>Incorporated herein by reference to Exhibit 4.2 to the Registrant's Current Report on Form 8-K filed on October 31, 2018.</w:t>
      </w:r>
    </w:p>
    <w:p>
      <w:pPr>
        <w:spacing w:after="0" w:line="316" w:lineRule="exact"/>
        <w:rPr>
          <w:sz w:val="20"/>
          <w:szCs w:val="20"/>
          <w:color w:val="auto"/>
        </w:rPr>
      </w:pPr>
    </w:p>
    <w:p>
      <w:pPr>
        <w:sectPr>
          <w:pgSz w:w="11900" w:h="16838" w:orient="portrait"/>
          <w:cols w:equalWidth="0" w:num="2">
            <w:col w:w="6940" w:space="180"/>
            <w:col w:w="4280"/>
          </w:cols>
          <w:pgMar w:left="240" w:top="742" w:right="259" w:bottom="1440" w:gutter="0" w:footer="0" w:header="0"/>
          <w:type w:val="continuous"/>
        </w:sectPr>
      </w:pPr>
    </w:p>
    <w:tbl>
      <w:tblPr>
        <w:tblLayout w:type="fixed"/>
        <w:tblInd w:w="40" w:type="dxa"/>
        <w:tblCellMar>
          <w:top w:w="0" w:type="dxa"/>
          <w:left w:w="0" w:type="dxa"/>
          <w:bottom w:w="0" w:type="dxa"/>
          <w:right w:w="0" w:type="dxa"/>
        </w:tblCellMar>
      </w:tblPr>
      <w:tr>
        <w:trPr>
          <w:trHeight w:val="184"/>
        </w:trPr>
        <w:tc>
          <w:tcPr>
            <w:tcW w:w="1040" w:type="dxa"/>
            <w:vAlign w:val="bottom"/>
          </w:tcPr>
          <w:p>
            <w:pPr>
              <w:spacing w:after="0"/>
              <w:rPr>
                <w:sz w:val="20"/>
                <w:szCs w:val="20"/>
                <w:color w:val="auto"/>
              </w:rPr>
            </w:pPr>
            <w:r>
              <w:rPr>
                <w:rFonts w:ascii="Arial" w:cs="Arial" w:eastAsia="Arial" w:hAnsi="Arial"/>
                <w:sz w:val="16"/>
                <w:szCs w:val="16"/>
                <w:color w:val="auto"/>
              </w:rPr>
              <w:t>4.8</w:t>
            </w:r>
          </w:p>
        </w:tc>
        <w:tc>
          <w:tcPr>
            <w:tcW w:w="5860" w:type="dxa"/>
            <w:vAlign w:val="bottom"/>
            <w:tcBorders>
              <w:bottom w:val="single" w:sz="8" w:color="0000FF"/>
            </w:tcBorders>
            <w:gridSpan w:val="8"/>
          </w:tcPr>
          <w:p>
            <w:pPr>
              <w:spacing w:after="0"/>
              <w:rPr>
                <w:rFonts w:ascii="Arial" w:cs="Arial" w:eastAsia="Arial" w:hAnsi="Arial"/>
                <w:sz w:val="16"/>
                <w:szCs w:val="16"/>
                <w:color w:val="0000FF"/>
                <w:w w:val="96"/>
              </w:rPr>
            </w:pPr>
            <w:hyperlink r:id="rId50">
              <w:r>
                <w:rPr>
                  <w:rFonts w:ascii="Arial" w:cs="Arial" w:eastAsia="Arial" w:hAnsi="Arial"/>
                  <w:sz w:val="16"/>
                  <w:szCs w:val="16"/>
                  <w:color w:val="0000FF"/>
                  <w:w w:val="96"/>
                </w:rPr>
                <w:t>First Supplemental Indenture, dated as of October 25, 2018, among Clearway Energy</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60" w:type="dxa"/>
            <w:vAlign w:val="bottom"/>
            <w:gridSpan w:val="8"/>
          </w:tcPr>
          <w:p>
            <w:pPr>
              <w:spacing w:after="0" w:line="183" w:lineRule="exact"/>
              <w:rPr>
                <w:rFonts w:ascii="Arial" w:cs="Arial" w:eastAsia="Arial" w:hAnsi="Arial"/>
                <w:sz w:val="16"/>
                <w:szCs w:val="16"/>
                <w:color w:val="0000FF"/>
              </w:rPr>
            </w:pPr>
            <w:hyperlink r:id="rId50">
              <w:r>
                <w:rPr>
                  <w:rFonts w:ascii="Arial" w:cs="Arial" w:eastAsia="Arial" w:hAnsi="Arial"/>
                  <w:sz w:val="16"/>
                  <w:szCs w:val="16"/>
                  <w:color w:val="0000FF"/>
                </w:rPr>
                <w:t>Operating LLC, the guarantors named therein and Delaware Trust Company.</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6"/>
                <w:szCs w:val="16"/>
                <w:color w:val="auto"/>
              </w:rPr>
              <w:t>10.1</w:t>
            </w:r>
          </w:p>
        </w:tc>
        <w:tc>
          <w:tcPr>
            <w:tcW w:w="30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040" w:type="dxa"/>
            <w:vAlign w:val="bottom"/>
            <w:vMerge w:val="continue"/>
          </w:tcPr>
          <w:p>
            <w:pPr>
              <w:spacing w:after="0"/>
              <w:rPr>
                <w:sz w:val="23"/>
                <w:szCs w:val="23"/>
                <w:color w:val="auto"/>
              </w:rPr>
            </w:pPr>
          </w:p>
        </w:tc>
        <w:tc>
          <w:tcPr>
            <w:tcW w:w="5860" w:type="dxa"/>
            <w:vAlign w:val="bottom"/>
            <w:gridSpan w:val="8"/>
            <w:vMerge w:val="restart"/>
          </w:tcPr>
          <w:p>
            <w:pPr>
              <w:spacing w:after="0"/>
              <w:rPr>
                <w:rFonts w:ascii="Arial" w:cs="Arial" w:eastAsia="Arial" w:hAnsi="Arial"/>
                <w:sz w:val="16"/>
                <w:szCs w:val="16"/>
                <w:color w:val="0000FF"/>
                <w:w w:val="91"/>
              </w:rPr>
            </w:pPr>
            <w:hyperlink r:id="rId51">
              <w:r>
                <w:rPr>
                  <w:rFonts w:ascii="Arial" w:cs="Arial" w:eastAsia="Arial" w:hAnsi="Arial"/>
                  <w:sz w:val="16"/>
                  <w:szCs w:val="16"/>
                  <w:color w:val="0000FF"/>
                  <w:w w:val="91"/>
                </w:rPr>
                <w:t>Master Services Agreement, dated as of August 31, 2018, by and among NRG Yield, Inc.,</w:t>
              </w:r>
            </w:hyperlink>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860" w:type="dxa"/>
            <w:vAlign w:val="bottom"/>
            <w:tcBorders>
              <w:bottom w:val="single" w:sz="8" w:color="0000FF"/>
            </w:tcBorders>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960" w:type="dxa"/>
            <w:vAlign w:val="bottom"/>
            <w:tcBorders>
              <w:bottom w:val="single" w:sz="8" w:color="0000FF"/>
            </w:tcBorders>
            <w:gridSpan w:val="6"/>
          </w:tcPr>
          <w:p>
            <w:pPr>
              <w:spacing w:after="0" w:line="183" w:lineRule="exact"/>
              <w:rPr>
                <w:rFonts w:ascii="Arial" w:cs="Arial" w:eastAsia="Arial" w:hAnsi="Arial"/>
                <w:sz w:val="16"/>
                <w:szCs w:val="16"/>
                <w:color w:val="0000FF"/>
                <w:w w:val="94"/>
              </w:rPr>
            </w:pPr>
            <w:hyperlink r:id="rId51">
              <w:r>
                <w:rPr>
                  <w:rFonts w:ascii="Arial" w:cs="Arial" w:eastAsia="Arial" w:hAnsi="Arial"/>
                  <w:sz w:val="16"/>
                  <w:szCs w:val="16"/>
                  <w:color w:val="0000FF"/>
                  <w:w w:val="94"/>
                </w:rPr>
                <w:t>NRG Yield LLC, NRG Yield Operating LLC and Zephyr Renewables LLC.</w:t>
              </w:r>
            </w:hyperlink>
          </w:p>
        </w:tc>
        <w:tc>
          <w:tcPr>
            <w:tcW w:w="9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1040" w:type="dxa"/>
            <w:vAlign w:val="bottom"/>
          </w:tcPr>
          <w:p>
            <w:pPr>
              <w:spacing w:after="0"/>
              <w:rPr>
                <w:sz w:val="20"/>
                <w:szCs w:val="20"/>
                <w:color w:val="auto"/>
              </w:rPr>
            </w:pPr>
            <w:r>
              <w:rPr>
                <w:rFonts w:ascii="Arial" w:cs="Arial" w:eastAsia="Arial" w:hAnsi="Arial"/>
                <w:sz w:val="16"/>
                <w:szCs w:val="16"/>
                <w:color w:val="auto"/>
              </w:rPr>
              <w:t>10.2</w:t>
            </w:r>
          </w:p>
        </w:tc>
        <w:tc>
          <w:tcPr>
            <w:tcW w:w="5860" w:type="dxa"/>
            <w:vAlign w:val="bottom"/>
            <w:gridSpan w:val="8"/>
            <w:vMerge w:val="restart"/>
          </w:tcPr>
          <w:p>
            <w:pPr>
              <w:spacing w:after="0"/>
              <w:rPr>
                <w:rFonts w:ascii="Arial" w:cs="Arial" w:eastAsia="Arial" w:hAnsi="Arial"/>
                <w:sz w:val="16"/>
                <w:szCs w:val="16"/>
                <w:color w:val="0000FF"/>
              </w:rPr>
            </w:pPr>
            <w:hyperlink r:id="rId52">
              <w:r>
                <w:rPr>
                  <w:rFonts w:ascii="Arial" w:cs="Arial" w:eastAsia="Arial" w:hAnsi="Arial"/>
                  <w:sz w:val="16"/>
                  <w:szCs w:val="16"/>
                  <w:color w:val="0000FF"/>
                </w:rPr>
                <w:t>Master Services Agreement, dated as of August 31, 2018, by and among Zephyr</w:t>
              </w:r>
            </w:hyperlink>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860" w:type="dxa"/>
            <w:vAlign w:val="bottom"/>
            <w:tcBorders>
              <w:bottom w:val="single" w:sz="8" w:color="0000FF"/>
            </w:tcBorders>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60" w:type="dxa"/>
            <w:vAlign w:val="bottom"/>
            <w:gridSpan w:val="8"/>
          </w:tcPr>
          <w:p>
            <w:pPr>
              <w:spacing w:after="0" w:line="183" w:lineRule="exact"/>
              <w:rPr>
                <w:rFonts w:ascii="Arial" w:cs="Arial" w:eastAsia="Arial" w:hAnsi="Arial"/>
                <w:sz w:val="16"/>
                <w:szCs w:val="16"/>
                <w:color w:val="0000FF"/>
                <w:w w:val="99"/>
              </w:rPr>
            </w:pPr>
            <w:hyperlink r:id="rId52">
              <w:r>
                <w:rPr>
                  <w:rFonts w:ascii="Arial" w:cs="Arial" w:eastAsia="Arial" w:hAnsi="Arial"/>
                  <w:sz w:val="16"/>
                  <w:szCs w:val="16"/>
                  <w:color w:val="0000FF"/>
                  <w:w w:val="99"/>
                </w:rPr>
                <w:t>Renewables LLC, NRG Yield, Inc., NRG Yield LLC, and NRG Yield Operating LLC</w:t>
              </w:r>
              <w:r>
                <w:rPr>
                  <w:rFonts w:ascii="Arial" w:cs="Arial" w:eastAsia="Arial" w:hAnsi="Arial"/>
                  <w:sz w:val="16"/>
                  <w:szCs w:val="16"/>
                  <w:color w:val="000000"/>
                  <w:w w:val="99"/>
                </w:rPr>
                <w:t>.</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color w:val="auto"/>
              </w:rPr>
              <w:t>10.3</w:t>
            </w:r>
          </w:p>
        </w:tc>
        <w:tc>
          <w:tcPr>
            <w:tcW w:w="5860" w:type="dxa"/>
            <w:vAlign w:val="bottom"/>
            <w:tcBorders>
              <w:bottom w:val="single" w:sz="8" w:color="0000FF"/>
            </w:tcBorders>
            <w:gridSpan w:val="8"/>
          </w:tcPr>
          <w:p>
            <w:pPr>
              <w:spacing w:after="0"/>
              <w:rPr>
                <w:rFonts w:ascii="Arial" w:cs="Arial" w:eastAsia="Arial" w:hAnsi="Arial"/>
                <w:sz w:val="16"/>
                <w:szCs w:val="16"/>
                <w:color w:val="0000FF"/>
                <w:w w:val="95"/>
              </w:rPr>
            </w:pPr>
            <w:hyperlink r:id="rId53">
              <w:r>
                <w:rPr>
                  <w:rFonts w:ascii="Arial" w:cs="Arial" w:eastAsia="Arial" w:hAnsi="Arial"/>
                  <w:sz w:val="16"/>
                  <w:szCs w:val="16"/>
                  <w:color w:val="0000FF"/>
                  <w:w w:val="95"/>
                </w:rPr>
                <w:t>364-Day Bridge Credit Agreement, dated August 31, 2018, by and between NRG Yield</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60" w:type="dxa"/>
            <w:vAlign w:val="bottom"/>
            <w:tcBorders>
              <w:bottom w:val="single" w:sz="8" w:color="0000FF"/>
            </w:tcBorders>
            <w:gridSpan w:val="8"/>
          </w:tcPr>
          <w:p>
            <w:pPr>
              <w:spacing w:after="0" w:line="183" w:lineRule="exact"/>
              <w:rPr>
                <w:rFonts w:ascii="Arial" w:cs="Arial" w:eastAsia="Arial" w:hAnsi="Arial"/>
                <w:sz w:val="16"/>
                <w:szCs w:val="16"/>
                <w:color w:val="0000FF"/>
                <w:w w:val="94"/>
              </w:rPr>
            </w:pPr>
            <w:hyperlink r:id="rId53">
              <w:r>
                <w:rPr>
                  <w:rFonts w:ascii="Arial" w:cs="Arial" w:eastAsia="Arial" w:hAnsi="Arial"/>
                  <w:sz w:val="16"/>
                  <w:szCs w:val="16"/>
                  <w:color w:val="0000FF"/>
                  <w:w w:val="94"/>
                </w:rPr>
                <w:t>Operating LLC, as borrower, NRG Yield LLC, as holdings, the lenders party thereto and</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60" w:type="dxa"/>
            <w:vAlign w:val="bottom"/>
            <w:gridSpan w:val="8"/>
          </w:tcPr>
          <w:p>
            <w:pPr>
              <w:spacing w:after="0" w:line="183" w:lineRule="exact"/>
              <w:rPr>
                <w:rFonts w:ascii="Arial" w:cs="Arial" w:eastAsia="Arial" w:hAnsi="Arial"/>
                <w:sz w:val="16"/>
                <w:szCs w:val="16"/>
                <w:color w:val="0000FF"/>
              </w:rPr>
            </w:pPr>
            <w:hyperlink r:id="rId53">
              <w:r>
                <w:rPr>
                  <w:rFonts w:ascii="Arial" w:cs="Arial" w:eastAsia="Arial" w:hAnsi="Arial"/>
                  <w:sz w:val="16"/>
                  <w:szCs w:val="16"/>
                  <w:color w:val="0000FF"/>
                </w:rPr>
                <w:t>Royal Bank of Canada, as administrative agent.</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10.4</w:t>
            </w:r>
          </w:p>
        </w:tc>
        <w:tc>
          <w:tcPr>
            <w:tcW w:w="5860" w:type="dxa"/>
            <w:vAlign w:val="bottom"/>
            <w:tcBorders>
              <w:bottom w:val="single" w:sz="8" w:color="0000FF"/>
            </w:tcBorders>
            <w:gridSpan w:val="8"/>
          </w:tcPr>
          <w:p>
            <w:pPr>
              <w:spacing w:after="0"/>
              <w:rPr>
                <w:rFonts w:ascii="Arial" w:cs="Arial" w:eastAsia="Arial" w:hAnsi="Arial"/>
                <w:sz w:val="16"/>
                <w:szCs w:val="16"/>
                <w:color w:val="0000FF"/>
                <w:w w:val="96"/>
              </w:rPr>
            </w:pPr>
            <w:hyperlink r:id="rId54">
              <w:r>
                <w:rPr>
                  <w:rFonts w:ascii="Arial" w:cs="Arial" w:eastAsia="Arial" w:hAnsi="Arial"/>
                  <w:sz w:val="16"/>
                  <w:szCs w:val="16"/>
                  <w:color w:val="0000FF"/>
                  <w:w w:val="96"/>
                </w:rPr>
                <w:t>Termination Agreement, dated as of August 31, 2018, by and among NRG Yield, Inc.,</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60" w:type="dxa"/>
            <w:vAlign w:val="bottom"/>
            <w:gridSpan w:val="8"/>
          </w:tcPr>
          <w:p>
            <w:pPr>
              <w:spacing w:after="0" w:line="183" w:lineRule="exact"/>
              <w:rPr>
                <w:rFonts w:ascii="Arial" w:cs="Arial" w:eastAsia="Arial" w:hAnsi="Arial"/>
                <w:sz w:val="16"/>
                <w:szCs w:val="16"/>
                <w:color w:val="0000FF"/>
              </w:rPr>
            </w:pPr>
            <w:hyperlink r:id="rId54">
              <w:r>
                <w:rPr>
                  <w:rFonts w:ascii="Arial" w:cs="Arial" w:eastAsia="Arial" w:hAnsi="Arial"/>
                  <w:sz w:val="16"/>
                  <w:szCs w:val="16"/>
                  <w:color w:val="0000FF"/>
                </w:rPr>
                <w:t>NRG Yield LLC, NRG Yield Operating LLC and NRG Energy, Inc.</w:t>
              </w:r>
            </w:hyperlink>
          </w:p>
        </w:tc>
        <w:tc>
          <w:tcPr>
            <w:tcW w:w="0" w:type="dxa"/>
            <w:vAlign w:val="bottom"/>
          </w:tcPr>
          <w:p>
            <w:pPr>
              <w:spacing w:after="0"/>
              <w:rPr>
                <w:sz w:val="1"/>
                <w:szCs w:val="1"/>
                <w:color w:val="auto"/>
              </w:rPr>
            </w:pPr>
          </w:p>
        </w:tc>
      </w:tr>
      <w:tr>
        <w:trPr>
          <w:trHeight w:val="453"/>
        </w:trPr>
        <w:tc>
          <w:tcPr>
            <w:tcW w:w="1040" w:type="dxa"/>
            <w:vAlign w:val="bottom"/>
          </w:tcPr>
          <w:p>
            <w:pPr>
              <w:spacing w:after="0"/>
              <w:rPr>
                <w:sz w:val="20"/>
                <w:szCs w:val="20"/>
                <w:color w:val="auto"/>
              </w:rPr>
            </w:pPr>
            <w:r>
              <w:rPr>
                <w:rFonts w:ascii="Arial" w:cs="Arial" w:eastAsia="Arial" w:hAnsi="Arial"/>
                <w:sz w:val="16"/>
                <w:szCs w:val="16"/>
                <w:color w:val="auto"/>
              </w:rPr>
              <w:t>31.1</w:t>
            </w:r>
          </w:p>
        </w:tc>
        <w:tc>
          <w:tcPr>
            <w:tcW w:w="4080" w:type="dxa"/>
            <w:vAlign w:val="bottom"/>
            <w:tcBorders>
              <w:top w:val="single" w:sz="8" w:color="0000FF"/>
              <w:bottom w:val="single" w:sz="8" w:color="0000FF"/>
            </w:tcBorders>
            <w:gridSpan w:val="4"/>
          </w:tcPr>
          <w:p>
            <w:pPr>
              <w:spacing w:after="0"/>
              <w:rPr>
                <w:rFonts w:ascii="Arial" w:cs="Arial" w:eastAsia="Arial" w:hAnsi="Arial"/>
                <w:sz w:val="16"/>
                <w:szCs w:val="16"/>
                <w:color w:val="0000FF"/>
                <w:w w:val="92"/>
              </w:rPr>
            </w:pPr>
            <w:hyperlink w:anchor="page69">
              <w:r>
                <w:rPr>
                  <w:rFonts w:ascii="Arial" w:cs="Arial" w:eastAsia="Arial" w:hAnsi="Arial"/>
                  <w:sz w:val="16"/>
                  <w:szCs w:val="16"/>
                  <w:color w:val="0000FF"/>
                  <w:w w:val="92"/>
                </w:rPr>
                <w:t>Rule 13a-14(a)/15d-14(a) certification of Christopher S. Sotos.</w:t>
              </w:r>
            </w:hyperlink>
          </w:p>
        </w:tc>
        <w:tc>
          <w:tcPr>
            <w:tcW w:w="320" w:type="dxa"/>
            <w:vAlign w:val="bottom"/>
            <w:tcBorders>
              <w:top w:val="single" w:sz="8" w:color="0000FF"/>
            </w:tcBorders>
          </w:tcPr>
          <w:p>
            <w:pPr>
              <w:spacing w:after="0"/>
              <w:rPr>
                <w:sz w:val="24"/>
                <w:szCs w:val="24"/>
                <w:color w:val="auto"/>
              </w:rPr>
            </w:pPr>
          </w:p>
        </w:tc>
        <w:tc>
          <w:tcPr>
            <w:tcW w:w="14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6"/>
                <w:szCs w:val="16"/>
                <w:color w:val="auto"/>
              </w:rPr>
              <w:t>31.2</w:t>
            </w:r>
          </w:p>
        </w:tc>
        <w:tc>
          <w:tcPr>
            <w:tcW w:w="5860" w:type="dxa"/>
            <w:vAlign w:val="bottom"/>
            <w:gridSpan w:val="8"/>
          </w:tcPr>
          <w:p>
            <w:pPr>
              <w:spacing w:after="0"/>
              <w:rPr>
                <w:rFonts w:ascii="Arial" w:cs="Arial" w:eastAsia="Arial" w:hAnsi="Arial"/>
                <w:sz w:val="16"/>
                <w:szCs w:val="16"/>
                <w:color w:val="0000FF"/>
              </w:rPr>
            </w:pPr>
            <w:hyperlink w:anchor="page70">
              <w:r>
                <w:rPr>
                  <w:rFonts w:ascii="Arial" w:cs="Arial" w:eastAsia="Arial" w:hAnsi="Arial"/>
                  <w:sz w:val="16"/>
                  <w:szCs w:val="16"/>
                  <w:color w:val="0000FF"/>
                </w:rPr>
                <w:t>Rule 13a-14(a)/15d-14(a) certification of Chad Plotkin.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6"/>
                <w:szCs w:val="16"/>
                <w:color w:val="auto"/>
              </w:rPr>
              <w:t>31.3</w:t>
            </w:r>
          </w:p>
        </w:tc>
        <w:tc>
          <w:tcPr>
            <w:tcW w:w="3980" w:type="dxa"/>
            <w:vAlign w:val="bottom"/>
            <w:tcBorders>
              <w:bottom w:val="single" w:sz="8" w:color="0000FF"/>
            </w:tcBorders>
            <w:gridSpan w:val="3"/>
          </w:tcPr>
          <w:p>
            <w:pPr>
              <w:spacing w:after="0"/>
              <w:rPr>
                <w:rFonts w:ascii="Arial" w:cs="Arial" w:eastAsia="Arial" w:hAnsi="Arial"/>
                <w:sz w:val="16"/>
                <w:szCs w:val="16"/>
                <w:color w:val="0000FF"/>
                <w:w w:val="94"/>
              </w:rPr>
            </w:pPr>
            <w:hyperlink w:anchor="page71">
              <w:r>
                <w:rPr>
                  <w:rFonts w:ascii="Arial" w:cs="Arial" w:eastAsia="Arial" w:hAnsi="Arial"/>
                  <w:sz w:val="16"/>
                  <w:szCs w:val="16"/>
                  <w:color w:val="0000FF"/>
                  <w:w w:val="94"/>
                </w:rPr>
                <w:t>Rule 13a-14(a)/15d-14(a) certification of Mary-Lee Stillwell.</w:t>
              </w:r>
            </w:hyperlink>
          </w:p>
        </w:tc>
        <w:tc>
          <w:tcPr>
            <w:tcW w:w="188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080" w:hanging="1045"/>
        <w:spacing w:after="0"/>
        <w:tabs>
          <w:tab w:leader="none" w:pos="1080" w:val="left"/>
        </w:tabs>
        <w:numPr>
          <w:ilvl w:val="0"/>
          <w:numId w:val="40"/>
        </w:numPr>
        <w:rPr>
          <w:rFonts w:ascii="Arial" w:cs="Arial" w:eastAsia="Arial" w:hAnsi="Arial"/>
          <w:sz w:val="16"/>
          <w:szCs w:val="16"/>
          <w:u w:val="single" w:color="auto"/>
          <w:color w:val="0000FF"/>
        </w:rPr>
      </w:pPr>
      <w:hyperlink w:anchor="page72">
        <w:r>
          <w:rPr>
            <w:rFonts w:ascii="Arial" w:cs="Arial" w:eastAsia="Arial" w:hAnsi="Arial"/>
            <w:sz w:val="16"/>
            <w:szCs w:val="16"/>
            <w:u w:val="single" w:color="auto"/>
            <w:color w:val="0000FF"/>
          </w:rPr>
          <w:t>Section 1350 Certification.</w:t>
        </w:r>
      </w:hyperlink>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820" w:type="dxa"/>
            <w:vAlign w:val="bottom"/>
          </w:tcPr>
          <w:p>
            <w:pPr>
              <w:spacing w:after="0"/>
              <w:rPr>
                <w:sz w:val="20"/>
                <w:szCs w:val="20"/>
                <w:color w:val="auto"/>
              </w:rPr>
            </w:pPr>
            <w:r>
              <w:rPr>
                <w:rFonts w:ascii="Arial" w:cs="Arial" w:eastAsia="Arial" w:hAnsi="Arial"/>
                <w:sz w:val="16"/>
                <w:szCs w:val="16"/>
                <w:color w:val="auto"/>
              </w:rPr>
              <w:t>101 INS</w:t>
            </w:r>
          </w:p>
        </w:tc>
        <w:tc>
          <w:tcPr>
            <w:tcW w:w="3540" w:type="dxa"/>
            <w:vAlign w:val="bottom"/>
          </w:tcPr>
          <w:p>
            <w:pPr>
              <w:ind w:left="220"/>
              <w:spacing w:after="0"/>
              <w:rPr>
                <w:sz w:val="20"/>
                <w:szCs w:val="20"/>
                <w:color w:val="auto"/>
              </w:rPr>
            </w:pPr>
            <w:r>
              <w:rPr>
                <w:rFonts w:ascii="Arial" w:cs="Arial" w:eastAsia="Arial" w:hAnsi="Arial"/>
                <w:sz w:val="16"/>
                <w:szCs w:val="16"/>
                <w:color w:val="auto"/>
              </w:rPr>
              <w:t>XBRL Instance Document.</w:t>
            </w:r>
          </w:p>
        </w:tc>
      </w:tr>
      <w:tr>
        <w:trPr>
          <w:trHeight w:val="270"/>
        </w:trPr>
        <w:tc>
          <w:tcPr>
            <w:tcW w:w="820" w:type="dxa"/>
            <w:vAlign w:val="bottom"/>
          </w:tcPr>
          <w:p>
            <w:pPr>
              <w:spacing w:after="0"/>
              <w:rPr>
                <w:sz w:val="20"/>
                <w:szCs w:val="20"/>
                <w:color w:val="auto"/>
              </w:rPr>
            </w:pPr>
            <w:r>
              <w:rPr>
                <w:rFonts w:ascii="Arial" w:cs="Arial" w:eastAsia="Arial" w:hAnsi="Arial"/>
                <w:sz w:val="16"/>
                <w:szCs w:val="16"/>
                <w:color w:val="auto"/>
              </w:rPr>
              <w:t>101 SCH</w:t>
            </w:r>
          </w:p>
        </w:tc>
        <w:tc>
          <w:tcPr>
            <w:tcW w:w="3540" w:type="dxa"/>
            <w:vAlign w:val="bottom"/>
          </w:tcPr>
          <w:p>
            <w:pPr>
              <w:ind w:left="220"/>
              <w:spacing w:after="0"/>
              <w:rPr>
                <w:sz w:val="20"/>
                <w:szCs w:val="20"/>
                <w:color w:val="auto"/>
              </w:rPr>
            </w:pPr>
            <w:r>
              <w:rPr>
                <w:rFonts w:ascii="Arial" w:cs="Arial" w:eastAsia="Arial" w:hAnsi="Arial"/>
                <w:sz w:val="16"/>
                <w:szCs w:val="16"/>
                <w:color w:val="auto"/>
              </w:rPr>
              <w:t>XBRL Taxonomy Extension Schema.</w:t>
            </w:r>
          </w:p>
        </w:tc>
      </w:tr>
      <w:tr>
        <w:trPr>
          <w:trHeight w:val="270"/>
        </w:trPr>
        <w:tc>
          <w:tcPr>
            <w:tcW w:w="820" w:type="dxa"/>
            <w:vAlign w:val="bottom"/>
          </w:tcPr>
          <w:p>
            <w:pPr>
              <w:spacing w:after="0"/>
              <w:rPr>
                <w:sz w:val="20"/>
                <w:szCs w:val="20"/>
                <w:color w:val="auto"/>
              </w:rPr>
            </w:pPr>
            <w:r>
              <w:rPr>
                <w:rFonts w:ascii="Arial" w:cs="Arial" w:eastAsia="Arial" w:hAnsi="Arial"/>
                <w:sz w:val="16"/>
                <w:szCs w:val="16"/>
                <w:color w:val="auto"/>
              </w:rPr>
              <w:t>101 CAL</w:t>
            </w:r>
          </w:p>
        </w:tc>
        <w:tc>
          <w:tcPr>
            <w:tcW w:w="3540" w:type="dxa"/>
            <w:vAlign w:val="bottom"/>
          </w:tcPr>
          <w:p>
            <w:pPr>
              <w:ind w:left="220"/>
              <w:spacing w:after="0"/>
              <w:rPr>
                <w:sz w:val="20"/>
                <w:szCs w:val="20"/>
                <w:color w:val="auto"/>
              </w:rPr>
            </w:pPr>
            <w:r>
              <w:rPr>
                <w:rFonts w:ascii="Arial" w:cs="Arial" w:eastAsia="Arial" w:hAnsi="Arial"/>
                <w:sz w:val="16"/>
                <w:szCs w:val="16"/>
                <w:color w:val="auto"/>
                <w:w w:val="93"/>
              </w:rPr>
              <w:t>XBRL Taxonomy Extension Calculation Linkbase.</w:t>
            </w:r>
          </w:p>
        </w:tc>
      </w:tr>
    </w:tbl>
    <w:p>
      <w:pPr>
        <w:spacing w:after="0" w:line="20" w:lineRule="exact"/>
        <w:rPr>
          <w:sz w:val="20"/>
          <w:szCs w:val="20"/>
          <w:color w:val="auto"/>
        </w:rPr>
      </w:pPr>
      <w:r>
        <w:rPr>
          <w:sz w:val="20"/>
          <w:szCs w:val="20"/>
          <w:color w:val="auto"/>
        </w:rPr>
        <w:br w:type="column"/>
      </w:r>
    </w:p>
    <w:p>
      <w:pPr>
        <w:jc w:val="both"/>
        <w:ind w:right="20"/>
        <w:spacing w:after="0" w:line="342" w:lineRule="auto"/>
        <w:rPr>
          <w:sz w:val="20"/>
          <w:szCs w:val="20"/>
          <w:color w:val="auto"/>
        </w:rPr>
      </w:pPr>
      <w:r>
        <w:rPr>
          <w:rFonts w:ascii="Arial" w:cs="Arial" w:eastAsia="Arial" w:hAnsi="Arial"/>
          <w:sz w:val="14"/>
          <w:szCs w:val="14"/>
          <w:color w:val="auto"/>
        </w:rPr>
        <w:t>Incorporated herein by reference to Exhibit 4.3 to the Registrant's Current Report on Form 8-K filed on October 31, 2018.</w:t>
      </w:r>
    </w:p>
    <w:p>
      <w:pPr>
        <w:jc w:val="both"/>
        <w:spacing w:after="0" w:line="278" w:lineRule="auto"/>
        <w:rPr>
          <w:sz w:val="20"/>
          <w:szCs w:val="20"/>
          <w:color w:val="auto"/>
        </w:rPr>
      </w:pPr>
      <w:r>
        <w:rPr>
          <w:rFonts w:ascii="Arial" w:cs="Arial" w:eastAsia="Arial" w:hAnsi="Arial"/>
          <w:sz w:val="16"/>
          <w:szCs w:val="16"/>
          <w:color w:val="auto"/>
        </w:rPr>
        <w:t>Incorporated herein by reference to Exhibit 10.1 to Clearway Energy, Inc.'s Current Report on Form 8-K filed on September 5, 2018.</w:t>
      </w:r>
    </w:p>
    <w:p>
      <w:pPr>
        <w:spacing w:after="0" w:line="2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Incorporated herein by reference to Exhibit 10.2 to Clearway Energy, Inc.'s Current Report on Form 8-K filed on September 5, 2018.</w:t>
      </w:r>
    </w:p>
    <w:p>
      <w:pPr>
        <w:spacing w:after="0" w:line="2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Incorporated herein by reference to Exhibit 10.8 to Clearway Energy, Inc.'s Current Report on Form 8-K filed on September 5, 2018.</w:t>
      </w:r>
    </w:p>
    <w:p>
      <w:pPr>
        <w:spacing w:after="0" w:line="2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Incorporated herein by reference to Exhibit 10.9 to Clearway Energy, Inc.'s Current Report on Form 8-K filed on September 5, 2018.</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Furnished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22" w:lineRule="exact"/>
        <w:rPr>
          <w:sz w:val="20"/>
          <w:szCs w:val="20"/>
          <w:color w:val="auto"/>
        </w:rPr>
      </w:pPr>
    </w:p>
    <w:p>
      <w:pPr>
        <w:sectPr>
          <w:pgSz w:w="11900" w:h="16838" w:orient="portrait"/>
          <w:cols w:equalWidth="0" w:num="2">
            <w:col w:w="6940" w:space="180"/>
            <w:col w:w="4280"/>
          </w:cols>
          <w:pgMar w:left="240" w:top="742" w:right="259" w:bottom="1440" w:gutter="0" w:footer="0" w:header="0"/>
          <w:type w:val="continuous"/>
        </w:sectPr>
      </w:pP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00"/>
          </w:cols>
          <w:pgMar w:left="240" w:top="742" w:right="25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206"/>
        </w:trPr>
        <w:tc>
          <w:tcPr>
            <w:tcW w:w="260" w:type="dxa"/>
            <w:vAlign w:val="bottom"/>
          </w:tcPr>
          <w:p>
            <w:pPr>
              <w:jc w:val="right"/>
              <w:spacing w:after="0"/>
              <w:rPr>
                <w:sz w:val="20"/>
                <w:szCs w:val="20"/>
                <w:color w:val="auto"/>
              </w:rPr>
            </w:pPr>
            <w:r>
              <w:rPr>
                <w:rFonts w:ascii="Arial" w:cs="Arial" w:eastAsia="Arial" w:hAnsi="Arial"/>
                <w:sz w:val="16"/>
                <w:szCs w:val="16"/>
                <w:color w:val="auto"/>
                <w:w w:val="82"/>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DEF</w:t>
            </w:r>
          </w:p>
        </w:tc>
        <w:tc>
          <w:tcPr>
            <w:tcW w:w="4920" w:type="dxa"/>
            <w:vAlign w:val="bottom"/>
          </w:tcPr>
          <w:p>
            <w:pPr>
              <w:ind w:left="220"/>
              <w:spacing w:after="0"/>
              <w:rPr>
                <w:sz w:val="20"/>
                <w:szCs w:val="20"/>
                <w:color w:val="auto"/>
              </w:rPr>
            </w:pPr>
            <w:r>
              <w:rPr>
                <w:rFonts w:ascii="Arial" w:cs="Arial" w:eastAsia="Arial" w:hAnsi="Arial"/>
                <w:sz w:val="16"/>
                <w:szCs w:val="16"/>
                <w:color w:val="auto"/>
              </w:rPr>
              <w:t>XBRL Taxonomy Extension Definition Linkbase.</w:t>
            </w:r>
          </w:p>
        </w:tc>
        <w:tc>
          <w:tcPr>
            <w:tcW w:w="2320" w:type="dxa"/>
            <w:vAlign w:val="bottom"/>
          </w:tcPr>
          <w:p>
            <w:pPr>
              <w:ind w:left="1340"/>
              <w:spacing w:after="0"/>
              <w:rPr>
                <w:sz w:val="20"/>
                <w:szCs w:val="20"/>
                <w:color w:val="auto"/>
              </w:rPr>
            </w:pPr>
            <w:r>
              <w:rPr>
                <w:rFonts w:ascii="Arial" w:cs="Arial" w:eastAsia="Arial" w:hAnsi="Arial"/>
                <w:sz w:val="16"/>
                <w:szCs w:val="16"/>
                <w:color w:val="auto"/>
                <w:w w:val="92"/>
              </w:rPr>
              <w:t>Filed herewith.</w:t>
            </w:r>
          </w:p>
        </w:tc>
      </w:tr>
      <w:tr>
        <w:trPr>
          <w:trHeight w:val="270"/>
        </w:trPr>
        <w:tc>
          <w:tcPr>
            <w:tcW w:w="260" w:type="dxa"/>
            <w:vAlign w:val="bottom"/>
          </w:tcPr>
          <w:p>
            <w:pPr>
              <w:jc w:val="right"/>
              <w:spacing w:after="0"/>
              <w:rPr>
                <w:sz w:val="20"/>
                <w:szCs w:val="20"/>
                <w:color w:val="auto"/>
              </w:rPr>
            </w:pPr>
            <w:r>
              <w:rPr>
                <w:rFonts w:ascii="Arial" w:cs="Arial" w:eastAsia="Arial" w:hAnsi="Arial"/>
                <w:sz w:val="16"/>
                <w:szCs w:val="16"/>
                <w:color w:val="auto"/>
                <w:w w:val="82"/>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LAB</w:t>
            </w:r>
          </w:p>
        </w:tc>
        <w:tc>
          <w:tcPr>
            <w:tcW w:w="4920" w:type="dxa"/>
            <w:vAlign w:val="bottom"/>
          </w:tcPr>
          <w:p>
            <w:pPr>
              <w:ind w:left="220"/>
              <w:spacing w:after="0"/>
              <w:rPr>
                <w:sz w:val="20"/>
                <w:szCs w:val="20"/>
                <w:color w:val="auto"/>
              </w:rPr>
            </w:pPr>
            <w:r>
              <w:rPr>
                <w:rFonts w:ascii="Arial" w:cs="Arial" w:eastAsia="Arial" w:hAnsi="Arial"/>
                <w:sz w:val="16"/>
                <w:szCs w:val="16"/>
                <w:color w:val="auto"/>
              </w:rPr>
              <w:t>XBRL Taxonomy Extension Label Linkbase.</w:t>
            </w:r>
          </w:p>
        </w:tc>
        <w:tc>
          <w:tcPr>
            <w:tcW w:w="2320" w:type="dxa"/>
            <w:vAlign w:val="bottom"/>
          </w:tcPr>
          <w:p>
            <w:pPr>
              <w:ind w:left="1340"/>
              <w:spacing w:after="0"/>
              <w:rPr>
                <w:sz w:val="20"/>
                <w:szCs w:val="20"/>
                <w:color w:val="auto"/>
              </w:rPr>
            </w:pPr>
            <w:r>
              <w:rPr>
                <w:rFonts w:ascii="Arial" w:cs="Arial" w:eastAsia="Arial" w:hAnsi="Arial"/>
                <w:sz w:val="16"/>
                <w:szCs w:val="16"/>
                <w:color w:val="auto"/>
                <w:w w:val="92"/>
              </w:rPr>
              <w:t>Filed herewith.</w:t>
            </w:r>
          </w:p>
        </w:tc>
      </w:tr>
      <w:tr>
        <w:trPr>
          <w:trHeight w:val="270"/>
        </w:trPr>
        <w:tc>
          <w:tcPr>
            <w:tcW w:w="260" w:type="dxa"/>
            <w:vAlign w:val="bottom"/>
          </w:tcPr>
          <w:p>
            <w:pPr>
              <w:jc w:val="right"/>
              <w:spacing w:after="0"/>
              <w:rPr>
                <w:sz w:val="20"/>
                <w:szCs w:val="20"/>
                <w:color w:val="auto"/>
              </w:rPr>
            </w:pPr>
            <w:r>
              <w:rPr>
                <w:rFonts w:ascii="Arial" w:cs="Arial" w:eastAsia="Arial" w:hAnsi="Arial"/>
                <w:sz w:val="16"/>
                <w:szCs w:val="16"/>
                <w:color w:val="auto"/>
                <w:w w:val="82"/>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PRE</w:t>
            </w:r>
          </w:p>
        </w:tc>
        <w:tc>
          <w:tcPr>
            <w:tcW w:w="4920" w:type="dxa"/>
            <w:vAlign w:val="bottom"/>
          </w:tcPr>
          <w:p>
            <w:pPr>
              <w:ind w:left="220"/>
              <w:spacing w:after="0"/>
              <w:rPr>
                <w:sz w:val="20"/>
                <w:szCs w:val="20"/>
                <w:color w:val="auto"/>
              </w:rPr>
            </w:pPr>
            <w:r>
              <w:rPr>
                <w:rFonts w:ascii="Arial" w:cs="Arial" w:eastAsia="Arial" w:hAnsi="Arial"/>
                <w:sz w:val="16"/>
                <w:szCs w:val="16"/>
                <w:color w:val="auto"/>
              </w:rPr>
              <w:t>XBRL Taxonomy Extension Presentation Linkbase.</w:t>
            </w:r>
          </w:p>
        </w:tc>
        <w:tc>
          <w:tcPr>
            <w:tcW w:w="2320" w:type="dxa"/>
            <w:vAlign w:val="bottom"/>
          </w:tcPr>
          <w:p>
            <w:pPr>
              <w:ind w:left="1340"/>
              <w:spacing w:after="0"/>
              <w:rPr>
                <w:sz w:val="20"/>
                <w:szCs w:val="20"/>
                <w:color w:val="auto"/>
              </w:rPr>
            </w:pPr>
            <w:r>
              <w:rPr>
                <w:rFonts w:ascii="Arial" w:cs="Arial" w:eastAsia="Arial" w:hAnsi="Arial"/>
                <w:sz w:val="16"/>
                <w:szCs w:val="16"/>
                <w:color w:val="auto"/>
                <w:w w:val="92"/>
              </w:rPr>
              <w:t>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179"/>
          </w:cols>
          <w:pgMar w:left="280" w:top="926" w:right="1440"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CLEARWAY ENERGY LLC</w:t>
            </w:r>
          </w:p>
        </w:tc>
      </w:tr>
      <w:tr>
        <w:trPr>
          <w:trHeight w:val="230"/>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(Registrant)</w:t>
            </w:r>
          </w:p>
        </w:tc>
      </w:tr>
      <w:tr>
        <w:trPr>
          <w:trHeight w:val="567"/>
        </w:trPr>
        <w:tc>
          <w:tcPr>
            <w:tcW w:w="3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CHRISTOPHER S. SOTOS</w:t>
            </w:r>
          </w:p>
        </w:tc>
      </w:tr>
      <w:tr>
        <w:trPr>
          <w:trHeight w:val="27"/>
        </w:trPr>
        <w:tc>
          <w:tcPr>
            <w:tcW w:w="3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Christopher S. Sotos</w:t>
            </w:r>
          </w:p>
        </w:tc>
      </w:tr>
      <w:tr>
        <w:trPr>
          <w:trHeight w:val="256"/>
        </w:trPr>
        <w:tc>
          <w:tcPr>
            <w:tcW w:w="368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r>
      <w:tr>
        <w:trPr>
          <w:trHeight w:val="810"/>
        </w:trPr>
        <w:tc>
          <w:tcPr>
            <w:tcW w:w="3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CHAD PLOTKIN</w:t>
            </w:r>
          </w:p>
        </w:tc>
      </w:tr>
      <w:tr>
        <w:trPr>
          <w:trHeight w:val="27"/>
        </w:trPr>
        <w:tc>
          <w:tcPr>
            <w:tcW w:w="3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Chad Plotkin</w:t>
            </w:r>
          </w:p>
        </w:tc>
      </w:tr>
      <w:tr>
        <w:trPr>
          <w:trHeight w:val="256"/>
        </w:trPr>
        <w:tc>
          <w:tcPr>
            <w:tcW w:w="368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Officer)</w:t>
            </w:r>
          </w:p>
        </w:tc>
      </w:tr>
      <w:tr>
        <w:trPr>
          <w:trHeight w:val="810"/>
        </w:trPr>
        <w:tc>
          <w:tcPr>
            <w:tcW w:w="3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MARY-LEE STILLWELL</w:t>
            </w:r>
          </w:p>
        </w:tc>
      </w:tr>
      <w:tr>
        <w:trPr>
          <w:trHeight w:val="27"/>
        </w:trPr>
        <w:tc>
          <w:tcPr>
            <w:tcW w:w="3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Mary-Lee Stillwell</w:t>
            </w:r>
          </w:p>
        </w:tc>
      </w:tr>
      <w:tr>
        <w:trPr>
          <w:trHeight w:val="256"/>
        </w:trPr>
        <w:tc>
          <w:tcPr>
            <w:tcW w:w="368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Accounting Officer</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November 6, 2018</w:t>
            </w: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Accounting Officer)</w:t>
            </w:r>
          </w:p>
        </w:tc>
      </w:tr>
      <w:tr>
        <w:trPr>
          <w:trHeight w:val="972"/>
        </w:trPr>
        <w:tc>
          <w:tcPr>
            <w:tcW w:w="3680" w:type="dxa"/>
            <w:vAlign w:val="bottom"/>
          </w:tcPr>
          <w:p>
            <w:pPr>
              <w:spacing w:after="0"/>
              <w:rPr>
                <w:sz w:val="24"/>
                <w:szCs w:val="24"/>
                <w:color w:val="auto"/>
              </w:rPr>
            </w:pPr>
          </w:p>
        </w:tc>
        <w:tc>
          <w:tcPr>
            <w:tcW w:w="3000" w:type="dxa"/>
            <w:vAlign w:val="bottom"/>
          </w:tcPr>
          <w:p>
            <w:pPr>
              <w:jc w:val="right"/>
              <w:ind w:right="850"/>
              <w:spacing w:after="0"/>
              <w:rPr>
                <w:sz w:val="20"/>
                <w:szCs w:val="20"/>
                <w:color w:val="auto"/>
              </w:rPr>
            </w:pPr>
            <w:r>
              <w:rPr>
                <w:rFonts w:ascii="Arial" w:cs="Arial" w:eastAsia="Arial" w:hAnsi="Arial"/>
                <w:sz w:val="18"/>
                <w:szCs w:val="18"/>
                <w:color w:val="auto"/>
              </w:rPr>
              <w:t>68</w:t>
            </w:r>
          </w:p>
        </w:tc>
        <w:tc>
          <w:tcPr>
            <w:tcW w:w="466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68" w:name="page69"/>
    <w:bookmarkEnd w:id="68"/>
    <w:p>
      <w:pPr>
        <w:ind w:left="10280"/>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06"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19297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Christopher S. Sotos</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(Principal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ectPr>
          <w:pgSz w:w="11900" w:h="16838" w:orient="portrait"/>
          <w:cols w:equalWidth="0" w:num="1">
            <w:col w:w="11420"/>
          </w:cols>
          <w:pgMar w:left="240" w:top="661" w:right="239" w:bottom="1440" w:gutter="0" w:footer="0" w:header="0"/>
        </w:sectPr>
      </w:pPr>
    </w:p>
    <w:bookmarkStart w:id="69" w:name="page70"/>
    <w:bookmarkEnd w:id="69"/>
    <w:p>
      <w:pPr>
        <w:ind w:left="10280"/>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Chad Plotkin, certify that:</w:t>
      </w:r>
    </w:p>
    <w:p>
      <w:pPr>
        <w:spacing w:after="0" w:line="306"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31750</wp:posOffset>
            </wp:positionV>
            <wp:extent cx="16205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57"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Chad Plotkin</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ectPr>
          <w:pgSz w:w="11900" w:h="16838" w:orient="portrait"/>
          <w:cols w:equalWidth="0" w:num="1">
            <w:col w:w="11420"/>
          </w:cols>
          <w:pgMar w:left="240" w:top="661" w:right="239" w:bottom="1440" w:gutter="0" w:footer="0" w:header="0"/>
        </w:sectPr>
      </w:pPr>
    </w:p>
    <w:bookmarkStart w:id="70" w:name="page71"/>
    <w:bookmarkEnd w:id="70"/>
    <w:p>
      <w:pPr>
        <w:ind w:left="10280"/>
        <w:spacing w:after="0"/>
        <w:rPr>
          <w:sz w:val="20"/>
          <w:szCs w:val="20"/>
          <w:color w:val="auto"/>
        </w:rPr>
      </w:pPr>
      <w:r>
        <w:rPr>
          <w:rFonts w:ascii="Arial" w:cs="Arial" w:eastAsia="Arial" w:hAnsi="Arial"/>
          <w:sz w:val="18"/>
          <w:szCs w:val="18"/>
          <w:b w:val="1"/>
          <w:bCs w:val="1"/>
          <w:color w:val="auto"/>
        </w:rPr>
        <w:t>EXHIBIT 31.3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Mary-Lee Stillwell, certify that:</w:t>
      </w:r>
    </w:p>
    <w:p>
      <w:pPr>
        <w:spacing w:after="0" w:line="306"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31750</wp:posOffset>
            </wp:positionV>
            <wp:extent cx="18440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5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Mary-Lee Stillwell</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(Principal Accounting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ectPr>
          <w:pgSz w:w="11900" w:h="16838" w:orient="portrait"/>
          <w:cols w:equalWidth="0" w:num="1">
            <w:col w:w="11420"/>
          </w:cols>
          <w:pgMar w:left="240" w:top="580"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Quarterly Report of Clearway Energy LLC on Form 10-Q for the quarter ended September 30, 2018,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19"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200" w:lineRule="exact"/>
        <w:rPr>
          <w:sz w:val="20"/>
          <w:szCs w:val="20"/>
          <w:color w:val="auto"/>
        </w:rPr>
      </w:pPr>
    </w:p>
    <w:p>
      <w:pPr>
        <w:spacing w:after="0" w:line="24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S. Sotos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Chad Plotkin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Mary-Lee Stillwell</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Accounting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10-Q or as a separate disclosure document.</w:t>
      </w:r>
    </w:p>
    <w:p>
      <w:pPr>
        <w:spacing w:after="0" w:line="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LLC and will be retained by Clearway Energy LLC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x"/>
      <w:numFmt w:val="bullet"/>
      <w:start w:val="1"/>
    </w:lvl>
  </w:abstractNum>
  <w:abstractNum w:abstractNumId="1">
    <w:nsid w:val="2D1D5AE9"/>
    <w:multiLevelType w:val="hybridMultilevel"/>
    <w:lvl w:ilvl="0">
      <w:lvlJc w:val="left"/>
      <w:lvlText w:val="o"/>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lowerLetter"/>
      <w:start w:val="1"/>
    </w:lvl>
  </w:abstractNum>
  <w:abstractNum w:abstractNumId="4">
    <w:nsid w:val="8EDBDAB"/>
    <w:multiLevelType w:val="hybridMultilevel"/>
    <w:lvl w:ilvl="0">
      <w:lvlJc w:val="left"/>
      <w:lvlText w:val="(%1)"/>
      <w:numFmt w:val="lowerLetter"/>
      <w:start w:val="1"/>
    </w:lvl>
  </w:abstractNum>
  <w:abstractNum w:abstractNumId="5">
    <w:nsid w:val="79838CB2"/>
    <w:multiLevelType w:val="hybridMultilevel"/>
    <w:lvl w:ilvl="0">
      <w:lvlJc w:val="left"/>
      <w:lvlText w:val="(%1)"/>
      <w:numFmt w:val="lowerLetter"/>
      <w:start w:val="1"/>
    </w:lvl>
  </w:abstractNum>
  <w:abstractNum w:abstractNumId="6">
    <w:nsid w:val="4353D0CD"/>
    <w:multiLevelType w:val="hybridMultilevel"/>
    <w:lvl w:ilvl="0">
      <w:lvlJc w:val="left"/>
      <w:lvlText w:val="(%1)"/>
      <w:numFmt w:val="lowerLetter"/>
      <w:start w:val="1"/>
    </w:lvl>
  </w:abstractNum>
  <w:abstractNum w:abstractNumId="7">
    <w:nsid w:val="B03E0C6"/>
    <w:multiLevelType w:val="hybridMultilevel"/>
    <w:lvl w:ilvl="0">
      <w:lvlJc w:val="left"/>
      <w:lvlText w:val="(%1)"/>
      <w:numFmt w:val="lowerLetter"/>
      <w:start w:val="1"/>
    </w:lvl>
  </w:abstractNum>
  <w:abstractNum w:abstractNumId="8">
    <w:nsid w:val="189A769B"/>
    <w:multiLevelType w:val="hybridMultilevel"/>
    <w:lvl w:ilvl="0">
      <w:lvlJc w:val="left"/>
      <w:lvlText w:val="(%1)"/>
      <w:numFmt w:val="lowerLetter"/>
      <w:start w:val="1"/>
    </w:lvl>
  </w:abstractNum>
  <w:abstractNum w:abstractNumId="9">
    <w:nsid w:val="54E49EB4"/>
    <w:multiLevelType w:val="hybridMultilevel"/>
    <w:lvl w:ilvl="0">
      <w:lvlJc w:val="left"/>
      <w:lvlText w:val="(%1)"/>
      <w:numFmt w:val="lowerLetter"/>
      <w:start w:val="2"/>
    </w:lvl>
  </w:abstractNum>
  <w:abstractNum w:abstractNumId="10">
    <w:nsid w:val="71F32454"/>
    <w:multiLevelType w:val="hybridMultilevel"/>
    <w:lvl w:ilvl="0">
      <w:lvlJc w:val="left"/>
      <w:lvlText w:val="(%1)"/>
      <w:numFmt w:val="lowerLetter"/>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1)"/>
      <w:numFmt w:val="lowerLetter"/>
      <w:start w:val="1"/>
    </w:lvl>
  </w:abstractNum>
  <w:abstractNum w:abstractNumId="13">
    <w:nsid w:val="2901D82"/>
    <w:multiLevelType w:val="hybridMultilevel"/>
    <w:lvl w:ilvl="0">
      <w:lvlJc w:val="left"/>
      <w:lvlText w:val="(%1)"/>
      <w:numFmt w:val="lowerLetter"/>
      <w:start w:val="1"/>
    </w:lvl>
  </w:abstractNum>
  <w:abstractNum w:abstractNumId="14">
    <w:nsid w:val="3A95F874"/>
    <w:multiLevelType w:val="hybridMultilevel"/>
    <w:lvl w:ilvl="0">
      <w:lvlJc w:val="left"/>
      <w:lvlText w:val="(%1)"/>
      <w:numFmt w:val="lowerRoman"/>
      <w:start w:val="5"/>
    </w:lvl>
  </w:abstractNum>
  <w:abstractNum w:abstractNumId="15">
    <w:nsid w:val="8138641"/>
    <w:multiLevelType w:val="hybridMultilevel"/>
    <w:lvl w:ilvl="0">
      <w:lvlJc w:val="left"/>
      <w:lvlText w:val="(%1)"/>
      <w:numFmt w:val="lowerLetter"/>
      <w:start w:val="1"/>
    </w:lvl>
  </w:abstractNum>
  <w:abstractNum w:abstractNumId="16">
    <w:nsid w:val="1E7FF521"/>
    <w:multiLevelType w:val="hybridMultilevel"/>
    <w:lvl w:ilvl="0">
      <w:lvlJc w:val="left"/>
      <w:lvlText w:val="(%1)"/>
      <w:numFmt w:val="lowerLetter"/>
      <w:start w:val="1"/>
    </w:lvl>
  </w:abstractNum>
  <w:abstractNum w:abstractNumId="17">
    <w:nsid w:val="7C3DBD3D"/>
    <w:multiLevelType w:val="hybridMultilevel"/>
    <w:lvl w:ilvl="0">
      <w:lvlJc w:val="left"/>
      <w:lvlText w:val="%1"/>
      <w:numFmt w:val="lowerLetter"/>
      <w:start w:val="1"/>
    </w:lvl>
    <w:lvl w:ilvl="1">
      <w:lvlJc w:val="left"/>
      <w:lvlText w:val="(%2)"/>
      <w:numFmt w:val="lowerLetter"/>
      <w:start w:val="1"/>
    </w:lvl>
  </w:abstractNum>
  <w:abstractNum w:abstractNumId="18">
    <w:nsid w:val="737B8DDC"/>
    <w:multiLevelType w:val="hybridMultilevel"/>
    <w:lvl w:ilvl="0">
      <w:lvlJc w:val="left"/>
      <w:lvlText w:val="(%1)"/>
      <w:numFmt w:val="lowerLetter"/>
      <w:start w:val="2"/>
    </w:lvl>
    <w:lvl w:ilvl="1">
      <w:lvlJc w:val="left"/>
      <w:lvlText w:val="%2"/>
      <w:numFmt w:val="lowerLetter"/>
      <w:start w:val="1"/>
    </w:lvl>
  </w:abstractNum>
  <w:abstractNum w:abstractNumId="19">
    <w:nsid w:val="6CEAF087"/>
    <w:multiLevelType w:val="hybridMultilevel"/>
    <w:lvl w:ilvl="0">
      <w:lvlJc w:val="left"/>
      <w:lvlText w:val="(%1)"/>
      <w:numFmt w:val="lowerLetter"/>
      <w:start w:val="1"/>
    </w:lvl>
  </w:abstractNum>
  <w:abstractNum w:abstractNumId="20">
    <w:nsid w:val="22221A70"/>
    <w:multiLevelType w:val="hybridMultilevel"/>
    <w:lvl w:ilvl="0">
      <w:lvlJc w:val="left"/>
      <w:lvlText w:val="(%1)"/>
      <w:numFmt w:val="lowerLetter"/>
      <w:start w:val="1"/>
    </w:lvl>
  </w:abstractNum>
  <w:abstractNum w:abstractNumId="21">
    <w:nsid w:val="4516DDE9"/>
    <w:multiLevelType w:val="hybridMultilevel"/>
    <w:lvl w:ilvl="0">
      <w:lvlJc w:val="left"/>
      <w:lvlText w:val="(%1)"/>
      <w:numFmt w:val="lowerLetter"/>
      <w:start w:val="1"/>
    </w:lvl>
  </w:abstractNum>
  <w:abstractNum w:abstractNumId="22">
    <w:nsid w:val="3006C83E"/>
    <w:multiLevelType w:val="hybridMultilevel"/>
    <w:lvl w:ilvl="0">
      <w:lvlJc w:val="left"/>
      <w:lvlText w:val="(%1)"/>
      <w:numFmt w:val="lowerLetter"/>
      <w:start w:val="1"/>
    </w:lvl>
  </w:abstractNum>
  <w:abstractNum w:abstractNumId="23">
    <w:nsid w:val="614FD4A1"/>
    <w:multiLevelType w:val="hybridMultilevel"/>
    <w:lvl w:ilvl="0">
      <w:lvlJc w:val="left"/>
      <w:lvlText w:val="(%1)"/>
      <w:numFmt w:val="lowerLetter"/>
      <w:start w:val="1"/>
    </w:lvl>
  </w:abstractNum>
  <w:abstractNum w:abstractNumId="24">
    <w:nsid w:val="419AC241"/>
    <w:multiLevelType w:val="hybridMultilevel"/>
    <w:lvl w:ilvl="0">
      <w:lvlJc w:val="left"/>
      <w:lvlText w:val="(%1)"/>
      <w:numFmt w:val="lowerLetter"/>
      <w:start w:val="1"/>
    </w:lvl>
  </w:abstractNum>
  <w:abstractNum w:abstractNumId="25">
    <w:nsid w:val="5577F8E1"/>
    <w:multiLevelType w:val="hybridMultilevel"/>
    <w:lvl w:ilvl="0">
      <w:lvlJc w:val="left"/>
      <w:lvlText w:val="(%1)"/>
      <w:numFmt w:val="lowerLetter"/>
      <w:start w:val="1"/>
    </w:lvl>
  </w:abstractNum>
  <w:abstractNum w:abstractNumId="26">
    <w:nsid w:val="440BADFC"/>
    <w:multiLevelType w:val="hybridMultilevel"/>
    <w:lvl w:ilvl="0">
      <w:lvlJc w:val="left"/>
      <w:lvlText w:val="(%1)"/>
      <w:numFmt w:val="lowerLetter"/>
      <w:start w:val="1"/>
    </w:lvl>
  </w:abstractNum>
  <w:abstractNum w:abstractNumId="27">
    <w:nsid w:val="5072367"/>
    <w:multiLevelType w:val="hybridMultilevel"/>
    <w:lvl w:ilvl="0">
      <w:lvlJc w:val="left"/>
      <w:lvlText w:val="(%1)"/>
      <w:numFmt w:val="lowerLetter"/>
      <w:start w:val="1"/>
    </w:lvl>
  </w:abstractNum>
  <w:abstractNum w:abstractNumId="28">
    <w:nsid w:val="3804823E"/>
    <w:multiLevelType w:val="hybridMultilevel"/>
    <w:lvl w:ilvl="0">
      <w:lvlJc w:val="left"/>
      <w:lvlText w:val="(%1)"/>
      <w:numFmt w:val="lowerLetter"/>
      <w:start w:val="1"/>
    </w:lvl>
  </w:abstractNum>
  <w:abstractNum w:abstractNumId="29">
    <w:nsid w:val="77465F01"/>
    <w:multiLevelType w:val="hybridMultilevel"/>
    <w:lvl w:ilvl="0">
      <w:lvlJc w:val="left"/>
      <w:lvlText w:val="(%1)"/>
      <w:numFmt w:val="lowerLetter"/>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lowerLetter"/>
      <w:start w:val="1"/>
    </w:lvl>
  </w:abstractNum>
  <w:abstractNum w:abstractNumId="39">
    <w:nsid w:val="70A64E2A"/>
    <w:multiLevelType w:val="hybridMultilevel"/>
    <w:lvl w:ilvl="0">
      <w:lvlJc w:val="left"/>
      <w:lvlText w:val="%1"/>
      <w:numFmt w:val="decimal"/>
      <w:start w:val="32"/>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42" Type="http://schemas.openxmlformats.org/officeDocument/2006/relationships/hyperlink" Target="http://www.sec.gov/Archives/edgar/data/1637757/000110465918055372/a18-24109_1ex3d1.htm#Exhibit3_1_111824" TargetMode="External"/><Relationship Id="rId43" Type="http://schemas.openxmlformats.org/officeDocument/2006/relationships/hyperlink" Target="http://www.sec.gov/Archives/edgar/data/1567683/000110465918055334/a18-24111_1ex10d6.htm" TargetMode="External"/><Relationship Id="rId44" Type="http://schemas.openxmlformats.org/officeDocument/2006/relationships/hyperlink" Target="http://www.sec.gov/Archives/edgar/data/1567683/000110465918055585/a18-27020_1ex4d1.htm#Exhibit4_1_065610" TargetMode="External"/><Relationship Id="rId45" Type="http://schemas.openxmlformats.org/officeDocument/2006/relationships/hyperlink" Target="http://www.sec.gov/Archives/edgar/data/1567683/000110465918055585/a18-27020_1ex4d2.htm#Exhibit4_2_070017" TargetMode="External"/><Relationship Id="rId46" Type="http://schemas.openxmlformats.org/officeDocument/2006/relationships/hyperlink" Target="http://www.sec.gov/Archives/edgar/data/1637757/000110465918060027/a18-36222_2ex4d1.htm#Exhibit4_1_070903" TargetMode="External"/><Relationship Id="rId47" Type="http://schemas.openxmlformats.org/officeDocument/2006/relationships/hyperlink" Target="http://www.sec.gov/Archives/edgar/data/1637757/000110465918060027/a18-36222_2ex4d3.htm#Exhibit4_3_105106" TargetMode="External"/><Relationship Id="rId48" Type="http://schemas.openxmlformats.org/officeDocument/2006/relationships/hyperlink" Target="http://www.sec.gov/Archives/edgar/data/1637757/000110465918065129/a18-38187_1ex4d1.htm#Exhibit4_1_084653" TargetMode="External"/><Relationship Id="rId49" Type="http://schemas.openxmlformats.org/officeDocument/2006/relationships/hyperlink" Target="http://www.sec.gov/Archives/edgar/data/1637757/000110465918065129/a18-38187_1ex4d2.htm#Exhibit4_2_085140" TargetMode="External"/><Relationship Id="rId50" Type="http://schemas.openxmlformats.org/officeDocument/2006/relationships/hyperlink" Target="http://www.sec.gov/Archives/edgar/data/1637757/000110465918065129/a18-38187_1ex4d3.htm#Exhibit4_3_084706" TargetMode="External"/><Relationship Id="rId51" Type="http://schemas.openxmlformats.org/officeDocument/2006/relationships/hyperlink" Target="http://www.sec.gov/Archives/edgar/data/1567683/000110465918055334/a18-24111_1ex10d1.htm#Exhibit10_1_072506" TargetMode="External"/><Relationship Id="rId52" Type="http://schemas.openxmlformats.org/officeDocument/2006/relationships/hyperlink" Target="http://www.sec.gov/Archives/edgar/data/1567683/000110465918055334/a18-24111_1ex10d2.htm#Exhibit10_2_072636" TargetMode="External"/><Relationship Id="rId53" Type="http://schemas.openxmlformats.org/officeDocument/2006/relationships/hyperlink" Target="http://www.sec.gov/Archives/edgar/data/1567683/000110465918055334/a18-24111_1ex10d8.htm#Exhibit10_8_114021" TargetMode="External"/><Relationship Id="rId54" Type="http://schemas.openxmlformats.org/officeDocument/2006/relationships/hyperlink" Target="http://www.sec.gov/Archives/edgar/data/1567683/000110465918055334/a18-24111_1ex10d9.htm#EXHIBIT10_9_0532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2019-12-28T18:26:17Z</dcterms:created>
  <dcterms:modified xsi:type="dcterms:W3CDTF">2019-12-28T18:26:17Z</dcterms:modified>
</cp:coreProperties>
</file>