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2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-600075</wp:posOffset>
            </wp:positionV>
            <wp:extent cx="8255"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-607695</wp:posOffset>
            </wp:positionV>
            <wp:extent cx="825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-583565</wp:posOffset>
            </wp:positionV>
            <wp:extent cx="1265555" cy="56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00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760" cy="1728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84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Malcarney Kevin P.</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04/15/2020</w:t>
      </w:r>
    </w:p>
    <w:p>
      <w:pPr>
        <w:spacing w:after="0" w:line="20" w:lineRule="exact"/>
        <w:rPr>
          <w:sz w:val="24"/>
          <w:szCs w:val="24"/>
          <w:color w:val="auto"/>
        </w:rPr>
      </w:pPr>
      <w:r>
        <w:rPr>
          <w:sz w:val="24"/>
          <w:szCs w:val="24"/>
          <w:color w:val="auto"/>
        </w:rPr>
        <w:br w:type="column"/>
      </w:r>
    </w:p>
    <w:p>
      <w:pPr>
        <w:ind w:right="660"/>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color w:val="0000FF"/>
        </w:rPr>
        <w:t>SVP, Gen Counsel and Corp Secr</w:t>
      </w:r>
    </w:p>
    <w:p>
      <w:pPr>
        <w:spacing w:after="0" w:line="384"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740" w:type="dxa"/>
            <w:vAlign w:val="bottom"/>
            <w:gridSpan w:val="8"/>
          </w:tcPr>
          <w:p>
            <w:pPr>
              <w:ind w:left="160"/>
              <w:spacing w:after="0" w:line="143"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1"/>
          </w:tcPr>
          <w:p>
            <w:pPr>
              <w:ind w:left="2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0" w:type="dxa"/>
            <w:vAlign w:val="bottom"/>
            <w:gridSpan w:val="11"/>
            <w:vMerge w:val="restart"/>
          </w:tcPr>
          <w:p>
            <w:pPr>
              <w:ind w:left="4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NJ</w:t>
            </w:r>
          </w:p>
        </w:tc>
        <w:tc>
          <w:tcPr>
            <w:tcW w:w="90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08540</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6"/>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200" w:type="dxa"/>
            <w:vAlign w:val="bottom"/>
            <w:gridSpan w:val="3"/>
          </w:tcPr>
          <w:p>
            <w:pPr>
              <w:ind w:left="20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0"/>
              <w:spacing w:after="0" w:line="123"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3"/>
          </w:tcPr>
          <w:p>
            <w:pPr>
              <w:ind w:left="2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20" w:type="dxa"/>
            <w:vAlign w:val="bottom"/>
            <w:vMerge w:val="continue"/>
          </w:tcPr>
          <w:p>
            <w:pPr>
              <w:spacing w:after="0"/>
              <w:rPr>
                <w:sz w:val="11"/>
                <w:szCs w:val="11"/>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04/15/2020</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1"/>
              </w:rPr>
              <w:t>5,341</w:t>
            </w:r>
            <w:r>
              <w:rPr>
                <w:rFonts w:ascii="Times New Roman" w:cs="Times New Roman" w:eastAsia="Times New Roman" w:hAnsi="Times New Roman"/>
                <w:sz w:val="21"/>
                <w:szCs w:val="21"/>
                <w:color w:val="008000"/>
                <w:w w:val="91"/>
                <w:vertAlign w:val="superscript"/>
              </w:rPr>
              <w:t>(1)</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1"/>
                <w:szCs w:val="21"/>
                <w:color w:val="auto"/>
              </w:rPr>
            </w:pPr>
          </w:p>
        </w:tc>
        <w:tc>
          <w:tcPr>
            <w:tcW w:w="12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42,004</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00" w:type="dxa"/>
            <w:vAlign w:val="bottom"/>
            <w:gridSpan w:val="12"/>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3"/>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3"/>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5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3"/>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w w:val="96"/>
              </w:rPr>
              <w:t>Security</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vMerge w:val="continue"/>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jc w:val="center"/>
              <w:ind w:right="80"/>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restart"/>
          </w:tcPr>
          <w:p>
            <w:pPr>
              <w:jc w:val="center"/>
              <w:ind w:right="80"/>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16,240</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80"/>
              <w:spacing w:after="0" w:line="219" w:lineRule="exact"/>
              <w:rPr>
                <w:sz w:val="20"/>
                <w:szCs w:val="20"/>
                <w:color w:val="auto"/>
              </w:rPr>
            </w:pPr>
            <w:r>
              <w:rPr>
                <w:rFonts w:ascii="Times New Roman" w:cs="Times New Roman" w:eastAsia="Times New Roman" w:hAnsi="Times New Roman"/>
                <w:sz w:val="13"/>
                <w:szCs w:val="13"/>
                <w:color w:val="0000FF"/>
              </w:rPr>
              <w:t>10,827</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04/15/2020</w:t>
            </w: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10,827</w:t>
            </w:r>
          </w:p>
        </w:tc>
        <w:tc>
          <w:tcPr>
            <w:tcW w:w="280" w:type="dxa"/>
            <w:vAlign w:val="bottom"/>
          </w:tcPr>
          <w:p>
            <w:pPr>
              <w:spacing w:after="0"/>
              <w:rPr>
                <w:sz w:val="6"/>
                <w:szCs w:val="6"/>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04/15/2023</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04/15/2023</w:t>
            </w: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tcPr>
          <w:p>
            <w:pPr>
              <w:ind w:left="20"/>
              <w:spacing w:after="0" w:line="78" w:lineRule="exact"/>
              <w:rPr>
                <w:sz w:val="20"/>
                <w:szCs w:val="20"/>
                <w:color w:val="auto"/>
              </w:rPr>
            </w:pPr>
            <w:r>
              <w:rPr>
                <w:rFonts w:ascii="Times New Roman" w:cs="Times New Roman" w:eastAsia="Times New Roman" w:hAnsi="Times New Roman"/>
                <w:sz w:val="9"/>
                <w:szCs w:val="9"/>
                <w:color w:val="0000FF"/>
              </w:rPr>
              <w:t>par value</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vMerge w:val="restart"/>
          </w:tcPr>
          <w:p>
            <w:pPr>
              <w:jc w:val="center"/>
              <w:ind w:right="60"/>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-3326765</wp:posOffset>
            </wp:positionV>
            <wp:extent cx="7034530" cy="3464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3464560"/>
                    </a:xfrm>
                    <a:prstGeom prst="rect">
                      <a:avLst/>
                    </a:prstGeom>
                    <a:noFill/>
                  </pic:spPr>
                </pic:pic>
              </a:graphicData>
            </a:graphic>
          </wp:anchor>
        </w:drawing>
      </w:r>
    </w:p>
    <w:p>
      <w:pPr>
        <w:ind w:left="6980"/>
        <w:spacing w:after="0"/>
        <w:rPr>
          <w:sz w:val="20"/>
          <w:szCs w:val="20"/>
          <w:color w:val="auto"/>
        </w:rPr>
      </w:pPr>
      <w:r>
        <w:rPr>
          <w:rFonts w:ascii="Times New Roman" w:cs="Times New Roman" w:eastAsia="Times New Roman" w:hAnsi="Times New Roman"/>
          <w:sz w:val="13"/>
          <w:szCs w:val="13"/>
          <w:color w:val="0000FF"/>
        </w:rPr>
        <w:t>share</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to Mr. Malcarney under Clearway Energy Inc.'s Amended and Restated 2013 Equity Incentive Plan (the "LTIP").</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2" w:lineRule="exact"/>
        <w:rPr>
          <w:rFonts w:ascii="Times New Roman" w:cs="Times New Roman" w:eastAsia="Times New Roman" w:hAnsi="Times New Roman"/>
          <w:sz w:val="13"/>
          <w:szCs w:val="13"/>
          <w:color w:val="008000"/>
        </w:rPr>
      </w:pPr>
    </w:p>
    <w:p>
      <w:pPr>
        <w:ind w:left="40" w:right="3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19" w:lineRule="exact"/>
        <w:rPr>
          <w:rFonts w:ascii="Times New Roman" w:cs="Times New Roman" w:eastAsia="Times New Roman" w:hAnsi="Times New Roman"/>
          <w:sz w:val="13"/>
          <w:szCs w:val="13"/>
          <w:color w:val="008000"/>
        </w:rPr>
      </w:pPr>
    </w:p>
    <w:p>
      <w:pPr>
        <w:jc w:val="both"/>
        <w:ind w:left="40" w:right="2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10,827 Relative Performance Stock Units ("RPSUs") by Clearway Energy, Inc. under the LTIP on April 15, 2020. The RPSUs will convert to shares of Clearway Energy, Inc. Class C Common Stock on April 15, 2023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26" w:lineRule="exact"/>
        <w:rPr>
          <w:rFonts w:ascii="Times New Roman" w:cs="Times New Roman" w:eastAsia="Times New Roman" w:hAnsi="Times New Roman"/>
          <w:sz w:val="13"/>
          <w:szCs w:val="13"/>
          <w:color w:val="008000"/>
        </w:rPr>
      </w:pPr>
    </w:p>
    <w:p>
      <w:pPr>
        <w:ind w:left="40" w:right="280" w:firstLine="1"/>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16,240 shares of Class C Common Stock if Company's TSR is ranked at or above the 75th percentile relative to a peer group of companies approved by the Company's Compensation Committee (the "Peer Group") for the performance period ("Maximum"); (ii) 10,827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2,706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04/17/2020</w:t>
            </w:r>
          </w:p>
        </w:tc>
      </w:tr>
      <w:tr>
        <w:trPr>
          <w:trHeight w:val="20"/>
        </w:trPr>
        <w:tc>
          <w:tcPr>
            <w:tcW w:w="1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amp;CIK=0001738590" TargetMode="External"/><Relationship Id="rId14" Type="http://schemas.openxmlformats.org/officeDocument/2006/relationships/hyperlink" Target="http://www.sec.gov/cgi-bin/browse-edgar?action=getcompany&amp;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2020-04-17T15:50:53Z</dcterms:created>
  <dcterms:modified xsi:type="dcterms:W3CDTF">2020-04-17T15:50:53Z</dcterms:modified>
</cp:coreProperties>
</file>