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Plotkin Chad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CLEARWAY ENERGY,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Clearway Energy,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CWEN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01/04/2019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43"/>
        <w:spacing w:after="0"/>
        <w:rPr>
          <w:sz w:val="20"/>
          <w:szCs w:val="20"/>
          <w:color w:val="auto"/>
        </w:rPr>
      </w:pPr>
      <w:r>
        <w:rPr>
          <w:rFonts w:ascii="Arial" w:cs="Arial" w:eastAsia="Arial" w:hAnsi="Arial"/>
          <w:sz w:val="18"/>
          <w:szCs w:val="18"/>
          <w:color w:val="0000FF"/>
        </w:rPr>
        <w:t>SVP and CFO</w:t>
      </w:r>
    </w:p>
    <w:p>
      <w:pPr>
        <w:spacing w:after="0" w:line="390"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900" w:type="dxa"/>
            <w:vAlign w:val="bottom"/>
            <w:gridSpan w:val="8"/>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240" w:type="dxa"/>
            <w:vAlign w:val="bottom"/>
          </w:tcPr>
          <w:p>
            <w:pPr>
              <w:spacing w:after="0"/>
              <w:rPr>
                <w:sz w:val="16"/>
                <w:szCs w:val="16"/>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4"/>
          </w:tcPr>
          <w:p>
            <w:pPr>
              <w:spacing w:after="0"/>
              <w:rPr>
                <w:sz w:val="20"/>
                <w:szCs w:val="20"/>
                <w:color w:val="auto"/>
              </w:rPr>
            </w:pPr>
            <w:r>
              <w:rPr>
                <w:rFonts w:ascii="Arial" w:cs="Arial" w:eastAsia="Arial" w:hAnsi="Arial"/>
                <w:sz w:val="14"/>
                <w:szCs w:val="14"/>
                <w:color w:val="auto"/>
              </w:rPr>
              <w:t>Line)</w:t>
            </w: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PRINCETON</w:t>
            </w:r>
          </w:p>
        </w:tc>
        <w:tc>
          <w:tcPr>
            <w:tcW w:w="260" w:type="dxa"/>
            <w:vAlign w:val="bottom"/>
            <w:vMerge w:val="restart"/>
          </w:tcPr>
          <w:p>
            <w:pPr>
              <w:ind w:left="40"/>
              <w:spacing w:after="0"/>
              <w:rPr>
                <w:sz w:val="20"/>
                <w:szCs w:val="20"/>
                <w:color w:val="auto"/>
              </w:rPr>
            </w:pPr>
            <w:r>
              <w:rPr>
                <w:rFonts w:ascii="Arial" w:cs="Arial" w:eastAsia="Arial" w:hAnsi="Arial"/>
                <w:sz w:val="18"/>
                <w:szCs w:val="18"/>
                <w:color w:val="0000FF"/>
                <w:w w:val="90"/>
              </w:rPr>
              <w:t>NJ</w:t>
            </w:r>
          </w:p>
        </w:tc>
        <w:tc>
          <w:tcPr>
            <w:tcW w:w="104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8"/>
                <w:szCs w:val="18"/>
                <w:color w:val="0000FF"/>
              </w:rPr>
              <w:t>08540</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2500" w:type="dxa"/>
            <w:vAlign w:val="bottom"/>
            <w:tcBorders>
              <w:bottom w:val="single" w:sz="8" w:color="2C2C2C"/>
            </w:tcBorders>
            <w:gridSpan w:val="6"/>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8"/>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300" w:type="dxa"/>
            <w:vAlign w:val="bottom"/>
            <w:gridSpan w:val="3"/>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3"/>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6"/>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3"/>
            <w:vMerge w:val="restart"/>
          </w:tcPr>
          <w:p>
            <w:pPr>
              <w:jc w:val="right"/>
              <w:ind w:right="98"/>
              <w:spacing w:after="0"/>
              <w:rPr>
                <w:sz w:val="20"/>
                <w:szCs w:val="20"/>
                <w:color w:val="auto"/>
              </w:rPr>
            </w:pPr>
            <w:r>
              <w:rPr>
                <w:rFonts w:ascii="Arial" w:cs="Arial" w:eastAsia="Arial" w:hAnsi="Arial"/>
                <w:sz w:val="18"/>
                <w:szCs w:val="18"/>
                <w:color w:val="0000FF"/>
              </w:rPr>
              <w:t>01/04/2019</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vMerge w:val="restart"/>
          </w:tcPr>
          <w:p>
            <w:pPr>
              <w:ind w:left="180"/>
              <w:spacing w:after="0"/>
              <w:rPr>
                <w:sz w:val="20"/>
                <w:szCs w:val="20"/>
                <w:color w:val="auto"/>
              </w:rPr>
            </w:pPr>
            <w:r>
              <w:rPr>
                <w:rFonts w:ascii="Arial" w:cs="Arial" w:eastAsia="Arial" w:hAnsi="Arial"/>
                <w:sz w:val="14"/>
                <w:szCs w:val="14"/>
                <w:color w:val="0000FF"/>
              </w:rPr>
              <w:t>F</w:t>
            </w:r>
          </w:p>
        </w:tc>
        <w:tc>
          <w:tcPr>
            <w:tcW w:w="180" w:type="dxa"/>
            <w:vAlign w:val="bottom"/>
          </w:tcPr>
          <w:p>
            <w:pPr>
              <w:spacing w:after="0"/>
              <w:rPr>
                <w:sz w:val="22"/>
                <w:szCs w:val="22"/>
                <w:color w:val="auto"/>
              </w:rPr>
            </w:pPr>
          </w:p>
        </w:tc>
        <w:tc>
          <w:tcPr>
            <w:tcW w:w="600" w:type="dxa"/>
            <w:vAlign w:val="bottom"/>
            <w:vMerge w:val="restart"/>
          </w:tcPr>
          <w:p>
            <w:pPr>
              <w:ind w:left="180"/>
              <w:spacing w:after="0"/>
              <w:rPr>
                <w:sz w:val="20"/>
                <w:szCs w:val="20"/>
                <w:color w:val="auto"/>
              </w:rPr>
            </w:pPr>
            <w:r>
              <w:rPr>
                <w:rFonts w:ascii="Arial" w:cs="Arial" w:eastAsia="Arial" w:hAnsi="Arial"/>
                <w:sz w:val="18"/>
                <w:szCs w:val="18"/>
                <w:color w:val="0000FF"/>
                <w:w w:val="88"/>
              </w:rPr>
              <w:t>2,344</w:t>
            </w:r>
          </w:p>
        </w:tc>
        <w:tc>
          <w:tcPr>
            <w:tcW w:w="72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24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(1)</w:t>
            </w:r>
          </w:p>
        </w:tc>
        <w:tc>
          <w:tcPr>
            <w:tcW w:w="1500" w:type="dxa"/>
            <w:vAlign w:val="bottom"/>
            <w:gridSpan w:val="3"/>
            <w:vMerge w:val="restart"/>
          </w:tcPr>
          <w:p>
            <w:pPr>
              <w:ind w:left="540"/>
              <w:spacing w:after="0"/>
              <w:rPr>
                <w:sz w:val="20"/>
                <w:szCs w:val="20"/>
                <w:color w:val="auto"/>
              </w:rPr>
            </w:pPr>
            <w:r>
              <w:rPr>
                <w:rFonts w:ascii="Arial" w:cs="Arial" w:eastAsia="Arial" w:hAnsi="Arial"/>
                <w:sz w:val="18"/>
                <w:szCs w:val="18"/>
                <w:color w:val="0000FF"/>
              </w:rPr>
              <w:t>31,004</w:t>
            </w:r>
            <w:r>
              <w:rPr>
                <w:rFonts w:ascii="Arial" w:cs="Arial" w:eastAsia="Arial" w:hAnsi="Arial"/>
                <w:sz w:val="22"/>
                <w:szCs w:val="22"/>
                <w:color w:val="008000"/>
                <w:vertAlign w:val="superscript"/>
              </w:rPr>
              <w:t>(2)</w:t>
            </w:r>
          </w:p>
        </w:tc>
        <w:tc>
          <w:tcPr>
            <w:tcW w:w="92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3"/>
          </w:tcPr>
          <w:p>
            <w:pPr>
              <w:spacing w:after="0"/>
              <w:rPr>
                <w:sz w:val="8"/>
                <w:szCs w:val="8"/>
                <w:color w:val="auto"/>
              </w:rPr>
            </w:pPr>
          </w:p>
        </w:tc>
        <w:tc>
          <w:tcPr>
            <w:tcW w:w="1800" w:type="dxa"/>
            <w:vAlign w:val="bottom"/>
            <w:tcBorders>
              <w:bottom w:val="single" w:sz="8" w:color="2C2C2C"/>
            </w:tcBorders>
            <w:gridSpan w:val="5"/>
          </w:tcPr>
          <w:p>
            <w:pPr>
              <w:spacing w:after="0"/>
              <w:rPr>
                <w:sz w:val="8"/>
                <w:szCs w:val="8"/>
                <w:color w:val="auto"/>
              </w:rPr>
            </w:pPr>
          </w:p>
        </w:tc>
        <w:tc>
          <w:tcPr>
            <w:tcW w:w="2500" w:type="dxa"/>
            <w:vAlign w:val="bottom"/>
            <w:tcBorders>
              <w:bottom w:val="single" w:sz="8" w:color="2C2C2C"/>
            </w:tcBorders>
            <w:gridSpan w:val="6"/>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7"/>
          </w:tcPr>
          <w:p>
            <w:pPr>
              <w:jc w:val="center"/>
              <w:ind w:left="8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80" w:type="dxa"/>
            <w:vAlign w:val="bottom"/>
            <w:gridSpan w:val="13"/>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gridSpan w:val="2"/>
          </w:tcPr>
          <w:p>
            <w:pPr>
              <w:ind w:left="4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November 7, 2016, Mr. Plotkin was issued 16,903 Restricted Stock Units ("RSUs") by Clearway Energy, Inc. (f/k/a NRG Yield, Inc.) under Clearway Energy Inc.'s Amended and Restated 2013 Equity Incentive Plan (the "LTIP"). These RSUs vest ratably over a three-year period beginning on January 4, 2017. Each RSU is equivalent in value to one share of Class C Common Stock of Clearway Energy Inc., par value $.01 per share. On January 4, 2019, 4,226 shares vested. Mr. Plotkin elected to satisfy his tax obligation upon the exchange of common stock for RSUs having a value on the date of the exchange equal to the withholding obligation. This form reflects the surrender of 2,344 shares of Class C Common Stock to satisfy the grantee's tax withholding obligation.</w:t>
      </w:r>
    </w:p>
    <w:p>
      <w:pPr>
        <w:spacing w:after="0" w:line="8" w:lineRule="exact"/>
        <w:rPr>
          <w:rFonts w:ascii="Arial" w:cs="Arial" w:eastAsia="Arial" w:hAnsi="Arial"/>
          <w:sz w:val="12"/>
          <w:szCs w:val="12"/>
          <w:color w:val="008000"/>
        </w:rPr>
      </w:pPr>
    </w:p>
    <w:p>
      <w:pPr>
        <w:ind w:left="40" w:right="12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 connection with the vesting of the RSUs described above, 663 DERs converted to Class C Common Stock, resulting in the reporting person holding 2,946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9"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Michael A. Brown, by</w:t>
            </w:r>
          </w:p>
        </w:tc>
        <w:tc>
          <w:tcPr>
            <w:tcW w:w="3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01/08/2019</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5648"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2019-12-23T22:29:10Z</dcterms:created>
  <dcterms:modified xsi:type="dcterms:W3CDTF">2019-12-23T22:29:10Z</dcterms:modified>
</cp:coreProperties>
</file>