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17,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33"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33"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Title of each class</w:t>
            </w:r>
          </w:p>
        </w:tc>
        <w:tc>
          <w:tcPr>
            <w:tcW w:w="28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Trading Symbol(s)</w:t>
            </w:r>
          </w:p>
        </w:tc>
        <w:tc>
          <w:tcPr>
            <w:tcW w:w="42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1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80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7"/>
              </w:rPr>
              <w:t>CWEN.A</w:t>
            </w:r>
          </w:p>
        </w:tc>
        <w:tc>
          <w:tcPr>
            <w:tcW w:w="4260" w:type="dxa"/>
            <w:vAlign w:val="bottom"/>
          </w:tcPr>
          <w:p>
            <w:pPr>
              <w:jc w:val="center"/>
              <w:ind w:left="23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89"/>
              </w:rPr>
              <w:t>Class C Common Stock, par value $0.01</w:t>
            </w:r>
          </w:p>
        </w:tc>
        <w:tc>
          <w:tcPr>
            <w:tcW w:w="2800" w:type="dxa"/>
            <w:vAlign w:val="bottom"/>
          </w:tcPr>
          <w:p>
            <w:pPr>
              <w:jc w:val="center"/>
              <w:ind w:left="10"/>
              <w:spacing w:after="0"/>
              <w:rPr>
                <w:sz w:val="20"/>
                <w:szCs w:val="20"/>
                <w:color w:val="auto"/>
              </w:rPr>
            </w:pPr>
            <w:r>
              <w:rPr>
                <w:rFonts w:ascii="Arial" w:cs="Arial" w:eastAsia="Arial" w:hAnsi="Arial"/>
                <w:sz w:val="18"/>
                <w:szCs w:val="18"/>
                <w:color w:val="auto"/>
                <w:w w:val="98"/>
              </w:rPr>
              <w:t>CWEN</w:t>
            </w:r>
          </w:p>
        </w:tc>
        <w:tc>
          <w:tcPr>
            <w:tcW w:w="4260" w:type="dxa"/>
            <w:vAlign w:val="bottom"/>
          </w:tcPr>
          <w:p>
            <w:pPr>
              <w:jc w:val="center"/>
              <w:ind w:left="23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Twelfth Supplemental Indenture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August 17, 2020, Clearway Energy Operating LLC (“Clearway Operating LLC”), a subsidiary of Clearway Energy LLC (“Clearway LLC”), the guarantors currently party to the 2026 Notes Indenture (defined below), Utah Solar Master HoldCo LLC (“Utah Solar”), Mesquite Star Holdings LLC (together with Utah Solar, the “Guaranteeing Subsidiaries”) and Delaware Trust Company (as successor in interest to Law Debenture Trust Company of New York), as trustee (the “Trustee”), entered into the twelfth supplemental indenture (the “Twelfth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Twelfth Supplemental Indenture, the Guaranteeing Subsidiaries became guarantors of Clearway Operating LLC’s obligations under the 2026 Notes. Each of Clearway Operating LLC, Clearway LLC and the Guaranteeing Subsidiaries are subsidiaries of Clearway Energy, Inc.</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Twelfth Supplemental Indenture does not purport to be complete and is qualified in its entirety by reference to the Twelfth Supplemental Indenture, which is attached as Exhibit 4.1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17, 2020, Clearway Operating LLC, the guarantors currently party to the 2025 Notes Indenture (defined below), the Guaranteeing Subsidiaries and the Trustee also entered into the eighth supplemental indenture (the “Eighth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Eighth Supplemental Indenture, the Guaranteeing Subsidiaries became guarantors of Clearway Operating LLC’s obligations under the 2025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Eighth Supplemental Indenture does not purport to be complete and is qualified in its entirety by reference to the Eighth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17, 2020, Clearway Operating LLC, the guarantors currently party to the 2028 Notes Indenture (defined below), the Guaranteeing Subsidiaries and the Trustee also entered into the fourth supplemental indenture (the “Fourth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Fourth Supplemental Indenture, the Guaranteeing Subsidiaries became guarantors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Fourth Supplemental Indenture does not purport to be complete and is qualified in its entirety by reference to the Fourth Supplemental Indenture, which is attached as Exhibit 4.3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gridSpan w:val="4"/>
          </w:tcPr>
          <w:p>
            <w:pPr>
              <w:ind w:left="2280"/>
              <w:spacing w:after="0"/>
              <w:rPr>
                <w:sz w:val="20"/>
                <w:szCs w:val="20"/>
                <w:color w:val="auto"/>
              </w:rPr>
            </w:pPr>
            <w:r>
              <w:rPr>
                <w:rFonts w:ascii="Arial" w:cs="Arial" w:eastAsia="Arial" w:hAnsi="Arial"/>
                <w:sz w:val="18"/>
                <w:szCs w:val="18"/>
                <w:b w:val="1"/>
                <w:bCs w:val="1"/>
                <w:color w:val="auto"/>
              </w:rPr>
              <w:t>Document</w:t>
            </w:r>
          </w:p>
        </w:tc>
      </w:tr>
      <w:tr>
        <w:trPr>
          <w:trHeight w:val="399"/>
        </w:trPr>
        <w:tc>
          <w:tcPr>
            <w:tcW w:w="1240" w:type="dxa"/>
            <w:vAlign w:val="bottom"/>
          </w:tcPr>
          <w:p>
            <w:pPr>
              <w:jc w:val="center"/>
              <w:spacing w:after="0"/>
              <w:rPr>
                <w:rFonts w:ascii="Arial" w:cs="Arial" w:eastAsia="Arial" w:hAnsi="Arial"/>
                <w:sz w:val="18"/>
                <w:szCs w:val="18"/>
                <w:u w:val="single" w:color="auto"/>
                <w:color w:val="0000EE"/>
                <w:w w:val="87"/>
              </w:rPr>
            </w:pPr>
            <w:hyperlink w:anchor="page4">
              <w:r>
                <w:rPr>
                  <w:rFonts w:ascii="Arial" w:cs="Arial" w:eastAsia="Arial" w:hAnsi="Arial"/>
                  <w:sz w:val="18"/>
                  <w:szCs w:val="18"/>
                  <w:u w:val="single" w:color="auto"/>
                  <w:color w:val="0000EE"/>
                  <w:w w:val="87"/>
                </w:rPr>
                <w:t>4.1</w:t>
              </w:r>
            </w:hyperlink>
          </w:p>
        </w:tc>
        <w:tc>
          <w:tcPr>
            <w:tcW w:w="240" w:type="dxa"/>
            <w:vAlign w:val="bottom"/>
          </w:tcPr>
          <w:p>
            <w:pPr>
              <w:spacing w:after="0"/>
              <w:rPr>
                <w:sz w:val="24"/>
                <w:szCs w:val="24"/>
                <w:color w:val="auto"/>
              </w:rPr>
            </w:pPr>
          </w:p>
        </w:tc>
        <w:tc>
          <w:tcPr>
            <w:tcW w:w="9760" w:type="dxa"/>
            <w:vAlign w:val="bottom"/>
            <w:gridSpan w:val="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Twelfth Supplemental Indenture, dated as of August 17, 2020,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and Delaware Trust Company (as successor in interest to Law Debenture Trust Company of New York).</w:t>
              </w:r>
            </w:hyperlink>
          </w:p>
        </w:tc>
        <w:tc>
          <w:tcPr>
            <w:tcW w:w="214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1240" w:type="dxa"/>
            <w:vAlign w:val="bottom"/>
          </w:tcPr>
          <w:p>
            <w:pPr>
              <w:jc w:val="center"/>
              <w:spacing w:after="0"/>
              <w:rPr>
                <w:rFonts w:ascii="Arial" w:cs="Arial" w:eastAsia="Arial" w:hAnsi="Arial"/>
                <w:sz w:val="18"/>
                <w:szCs w:val="18"/>
                <w:u w:val="single" w:color="auto"/>
                <w:color w:val="0000EE"/>
                <w:w w:val="87"/>
              </w:rPr>
            </w:pPr>
            <w:hyperlink w:anchor="page9">
              <w:r>
                <w:rPr>
                  <w:rFonts w:ascii="Arial" w:cs="Arial" w:eastAsia="Arial" w:hAnsi="Arial"/>
                  <w:sz w:val="18"/>
                  <w:szCs w:val="18"/>
                  <w:u w:val="single" w:color="auto"/>
                  <w:color w:val="0000EE"/>
                  <w:w w:val="87"/>
                </w:rPr>
                <w:t>4.2</w:t>
              </w:r>
            </w:hyperlink>
          </w:p>
        </w:tc>
        <w:tc>
          <w:tcPr>
            <w:tcW w:w="2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Eighth Supplemental Indenture, dated as of August 17, 2020,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and Delaware Trust Company.</w:t>
              </w:r>
            </w:hyperlink>
          </w:p>
        </w:tc>
        <w:tc>
          <w:tcPr>
            <w:tcW w:w="736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223"/>
        </w:trPr>
        <w:tc>
          <w:tcPr>
            <w:tcW w:w="1240" w:type="dxa"/>
            <w:vAlign w:val="bottom"/>
          </w:tcPr>
          <w:p>
            <w:pPr>
              <w:jc w:val="center"/>
              <w:spacing w:after="0"/>
              <w:rPr>
                <w:rFonts w:ascii="Arial" w:cs="Arial" w:eastAsia="Arial" w:hAnsi="Arial"/>
                <w:sz w:val="18"/>
                <w:szCs w:val="18"/>
                <w:u w:val="single" w:color="auto"/>
                <w:color w:val="0000EE"/>
                <w:w w:val="87"/>
              </w:rPr>
            </w:pPr>
            <w:hyperlink w:anchor="page14">
              <w:r>
                <w:rPr>
                  <w:rFonts w:ascii="Arial" w:cs="Arial" w:eastAsia="Arial" w:hAnsi="Arial"/>
                  <w:sz w:val="18"/>
                  <w:szCs w:val="18"/>
                  <w:u w:val="single" w:color="auto"/>
                  <w:color w:val="0000EE"/>
                  <w:w w:val="87"/>
                </w:rPr>
                <w:t>4.3</w:t>
              </w:r>
            </w:hyperlink>
          </w:p>
        </w:tc>
        <w:tc>
          <w:tcPr>
            <w:tcW w:w="2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Fourth Supplemental Indenture, dated as of August 17, 2020,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and Delaware Trust Company.</w:t>
              </w:r>
            </w:hyperlink>
          </w:p>
        </w:tc>
        <w:tc>
          <w:tcPr>
            <w:tcW w:w="736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264"/>
        </w:trPr>
        <w:tc>
          <w:tcPr>
            <w:tcW w:w="124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240" w:type="dxa"/>
            <w:vAlign w:val="bottom"/>
          </w:tcPr>
          <w:p>
            <w:pPr>
              <w:spacing w:after="0"/>
              <w:rPr>
                <w:sz w:val="22"/>
                <w:szCs w:val="22"/>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XBRLand contained in Exhibit 101)</w:t>
            </w:r>
          </w:p>
        </w:tc>
      </w:tr>
      <w:tr>
        <w:trPr>
          <w:trHeight w:val="688"/>
        </w:trPr>
        <w:tc>
          <w:tcPr>
            <w:tcW w:w="124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gridSpan w:val="3"/>
          </w:tcPr>
          <w:p>
            <w:pPr>
              <w:jc w:val="right"/>
              <w:ind w:right="3210"/>
              <w:spacing w:after="0"/>
              <w:rPr>
                <w:sz w:val="20"/>
                <w:szCs w:val="20"/>
                <w:color w:val="auto"/>
              </w:rPr>
            </w:pPr>
            <w:r>
              <w:rPr>
                <w:rFonts w:ascii="Arial" w:cs="Arial" w:eastAsia="Arial" w:hAnsi="Arial"/>
                <w:sz w:val="22"/>
                <w:szCs w:val="22"/>
                <w:color w:val="auto"/>
              </w:rPr>
              <w:t>2</w:t>
            </w:r>
          </w:p>
        </w:tc>
        <w:tc>
          <w:tcPr>
            <w:tcW w:w="2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20, 2020</w:t>
      </w: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TWELFTH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TWELFTH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August 17, 2020, among Utah Solar Master HoldCo LLC and Mesquite Star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39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36"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656"/>
        <w:spacing w:after="0" w:line="263" w:lineRule="auto"/>
        <w:tabs>
          <w:tab w:leader="none" w:pos="1377"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auto"/>
        </w:rPr>
      </w:pPr>
    </w:p>
    <w:p>
      <w:pPr>
        <w:ind w:firstLine="656"/>
        <w:spacing w:after="0" w:line="277" w:lineRule="auto"/>
        <w:tabs>
          <w:tab w:leader="none" w:pos="1417"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143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377"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auto"/>
        </w:rPr>
      </w:pPr>
    </w:p>
    <w:p>
      <w:pPr>
        <w:jc w:val="both"/>
        <w:ind w:firstLine="656"/>
        <w:spacing w:after="0" w:line="268" w:lineRule="auto"/>
        <w:tabs>
          <w:tab w:leader="none" w:pos="1350" w:val="left"/>
        </w:tabs>
        <w:numPr>
          <w:ilvl w:val="0"/>
          <w:numId w:val="4"/>
        </w:numPr>
        <w:rPr>
          <w:rFonts w:ascii="Arial" w:cs="Arial" w:eastAsia="Arial" w:hAnsi="Arial"/>
          <w:sz w:val="17"/>
          <w:szCs w:val="17"/>
          <w:color w:val="auto"/>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UTAH SOLAR MASTER HOLDCO</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LLCMESQUITE STAR HOLDINGS LLC</w:t>
      </w:r>
    </w:p>
    <w:p>
      <w:pPr>
        <w:spacing w:after="0" w:line="200" w:lineRule="exact"/>
        <w:rPr>
          <w:sz w:val="20"/>
          <w:szCs w:val="20"/>
          <w:color w:val="auto"/>
        </w:rPr>
      </w:pPr>
    </w:p>
    <w:p>
      <w:pPr>
        <w:spacing w:after="0" w:line="26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OPERATING LLC</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ENERGY LLC</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6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&amp; Treasurer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color w:val="auto"/>
        </w:rPr>
        <w:t>ALTA WIND 1-5 HOLDING COMPANY,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6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35"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68"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8" w:lineRule="exact"/>
        <w:rPr>
          <w:sz w:val="20"/>
          <w:szCs w:val="20"/>
          <w:color w:val="auto"/>
        </w:rPr>
      </w:pPr>
    </w:p>
    <w:p>
      <w:pPr>
        <w:jc w:val="right"/>
        <w:ind w:right="8199"/>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Twelfth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EIGHTH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EIGHTH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August 17, 2020, among Utah Solar Master HoldCo LLC and Mesquite Star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39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a Guarantor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3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377"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656" w:firstLine="656"/>
        <w:spacing w:after="0" w:line="277" w:lineRule="auto"/>
        <w:tabs>
          <w:tab w:leader="none" w:pos="761"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84" w:hanging="684"/>
        <w:spacing w:after="0"/>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left="-656" w:right="20" w:firstLine="656"/>
        <w:spacing w:after="0" w:line="263" w:lineRule="auto"/>
        <w:tabs>
          <w:tab w:leader="none" w:pos="7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3" w:lineRule="exact"/>
        <w:rPr>
          <w:rFonts w:ascii="Arial" w:cs="Arial" w:eastAsia="Arial" w:hAnsi="Arial"/>
          <w:sz w:val="18"/>
          <w:szCs w:val="18"/>
          <w:color w:val="auto"/>
        </w:rPr>
      </w:pPr>
    </w:p>
    <w:p>
      <w:pPr>
        <w:jc w:val="both"/>
        <w:ind w:left="-656" w:firstLine="656"/>
        <w:spacing w:after="0" w:line="259" w:lineRule="auto"/>
        <w:tabs>
          <w:tab w:leader="none" w:pos="721"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auto"/>
        </w:rPr>
      </w:pPr>
    </w:p>
    <w:p>
      <w:pPr>
        <w:jc w:val="both"/>
        <w:ind w:left="-656" w:firstLine="656"/>
        <w:spacing w:after="0" w:line="268" w:lineRule="auto"/>
        <w:tabs>
          <w:tab w:leader="none" w:pos="694"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UTAH SOLAR MASTER HOLDCO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MESQUITE STAR HOLDINGS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 Senior Vice President, Chief Financial Officer &amp; Treasurer</w:t>
      </w:r>
    </w:p>
    <w:p>
      <w:pPr>
        <w:spacing w:after="0" w:line="22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8" w:right="899" w:bottom="1440" w:gutter="0" w:footer="0" w:header="0"/>
        </w:sectPr>
      </w:pPr>
    </w:p>
    <w:bookmarkStart w:id="11" w:name="page12"/>
    <w:bookmarkEnd w:id="11"/>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right"/>
        <w:ind w:right="8059"/>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FOURTH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August 17, 2020, among Utah Solar Master HoldCo LLC and Mesquite Star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7"/>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39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36" w:val="left"/>
        </w:tabs>
        <w:numPr>
          <w:ilvl w:val="0"/>
          <w:numId w:val="7"/>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left="-20" w:firstLine="656"/>
        <w:spacing w:after="0" w:line="263" w:lineRule="auto"/>
        <w:tabs>
          <w:tab w:leader="none" w:pos="1357"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left="-20" w:firstLine="656"/>
        <w:spacing w:after="0" w:line="277" w:lineRule="auto"/>
        <w:tabs>
          <w:tab w:leader="none" w:pos="1397" w:val="left"/>
        </w:tabs>
        <w:numPr>
          <w:ilvl w:val="0"/>
          <w:numId w:val="8"/>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20" w:hanging="684"/>
        <w:spacing w:after="0"/>
        <w:tabs>
          <w:tab w:leader="none" w:pos="132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left="-20" w:right="20" w:firstLine="656"/>
        <w:spacing w:after="0" w:line="263" w:lineRule="auto"/>
        <w:tabs>
          <w:tab w:leader="none" w:pos="141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3" w:lineRule="exact"/>
        <w:rPr>
          <w:rFonts w:ascii="Arial" w:cs="Arial" w:eastAsia="Arial" w:hAnsi="Arial"/>
          <w:sz w:val="18"/>
          <w:szCs w:val="18"/>
          <w:color w:val="010000"/>
        </w:rPr>
      </w:pPr>
    </w:p>
    <w:p>
      <w:pPr>
        <w:jc w:val="both"/>
        <w:ind w:left="-20" w:firstLine="656"/>
        <w:spacing w:after="0" w:line="259" w:lineRule="auto"/>
        <w:tabs>
          <w:tab w:leader="none" w:pos="1357" w:val="left"/>
        </w:tabs>
        <w:numPr>
          <w:ilvl w:val="0"/>
          <w:numId w:val="8"/>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 w:name="page16"/>
    <w:bookmarkEnd w:id="15"/>
    <w:p>
      <w:pPr>
        <w:jc w:val="both"/>
        <w:ind w:firstLine="656"/>
        <w:spacing w:after="0" w:line="268" w:lineRule="auto"/>
        <w:tabs>
          <w:tab w:leader="none" w:pos="1350" w:val="left"/>
        </w:tabs>
        <w:numPr>
          <w:ilvl w:val="0"/>
          <w:numId w:val="9"/>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UTAH SOLAR MASTER HOLDCO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MESQUITE STAR HOLDINGS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jc w:val="right"/>
        <w:ind w:right="819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4"/>
    </w:lvl>
  </w:abstractNum>
  <w:abstractNum w:abstractNumId="8">
    <w:nsid w:val="5BD062C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2020-08-20T15:07:39Z</dcterms:created>
  <dcterms:modified xsi:type="dcterms:W3CDTF">2020-08-20T15:07:39Z</dcterms:modified>
</cp:coreProperties>
</file>