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NRG Yield, Inc.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62942X306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June 30, 2017</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62942X306</w:t>
      </w:r>
    </w:p>
    <w:p>
      <w:pPr>
        <w:spacing w:after="0" w:line="207" w:lineRule="exact"/>
        <w:rPr>
          <w:sz w:val="24"/>
          <w:szCs w:val="24"/>
          <w:color w:val="auto"/>
        </w:rPr>
      </w:pPr>
    </w:p>
    <w:p>
      <w:pPr>
        <w:ind w:left="2120" w:right="241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Salient Capital Advisors, LLC: 27-2587653</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039" w:hanging="427"/>
        <w:spacing w:after="0" w:line="235" w:lineRule="auto"/>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of each</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w:t>
      </w:r>
      <w:r>
        <w:rPr>
          <w:rFonts w:ascii="Courier New" w:cs="Courier New" w:eastAsia="Courier New" w:hAnsi="Courier New"/>
          <w:sz w:val="16"/>
          <w:szCs w:val="16"/>
          <w:color w:val="auto"/>
        </w:rPr>
        <w:t>Texas, U.S.A.</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1,465,721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1,465,721</w:t>
            </w:r>
          </w:p>
        </w:tc>
      </w:tr>
    </w:tbl>
    <w:p>
      <w:pPr>
        <w:spacing w:after="0" w:line="201" w:lineRule="exact"/>
        <w:rPr>
          <w:sz w:val="20"/>
          <w:szCs w:val="20"/>
          <w:color w:val="auto"/>
        </w:rPr>
      </w:pPr>
    </w:p>
    <w:p>
      <w:pPr>
        <w:ind w:left="2120" w:hanging="427"/>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1,465,721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4.24%</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NRG Yield,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804 Carnegie Center</w:t>
      </w:r>
    </w:p>
    <w:p>
      <w:pPr>
        <w:ind w:left="2640"/>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Salient Capital Advisors, LLC</w:t>
      </w:r>
    </w:p>
    <w:p>
      <w:pPr>
        <w:spacing w:after="0" w:line="200" w:lineRule="exact"/>
        <w:rPr>
          <w:sz w:val="20"/>
          <w:szCs w:val="20"/>
          <w:color w:val="auto"/>
        </w:rPr>
      </w:pPr>
    </w:p>
    <w:p>
      <w:pPr>
        <w:spacing w:after="0" w:line="209" w:lineRule="exact"/>
        <w:rPr>
          <w:sz w:val="20"/>
          <w:szCs w:val="20"/>
          <w:color w:val="auto"/>
        </w:rPr>
      </w:pPr>
    </w:p>
    <w:p>
      <w:pPr>
        <w:ind w:left="2120" w:hanging="1059"/>
        <w:spacing w:after="0"/>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4265 San Felipe, 8th Floor</w:t>
      </w:r>
    </w:p>
    <w:p>
      <w:pPr>
        <w:ind w:left="2640"/>
        <w:spacing w:after="0" w:line="238" w:lineRule="auto"/>
        <w:rPr>
          <w:sz w:val="20"/>
          <w:szCs w:val="20"/>
          <w:color w:val="auto"/>
        </w:rPr>
      </w:pPr>
      <w:r>
        <w:rPr>
          <w:rFonts w:ascii="Courier New" w:cs="Courier New" w:eastAsia="Courier New" w:hAnsi="Courier New"/>
          <w:sz w:val="18"/>
          <w:szCs w:val="18"/>
          <w:color w:val="auto"/>
        </w:rPr>
        <w:t>Houston, Texas 77027</w:t>
      </w:r>
    </w:p>
    <w:p>
      <w:pPr>
        <w:spacing w:after="0" w:line="200" w:lineRule="exact"/>
        <w:rPr>
          <w:sz w:val="20"/>
          <w:szCs w:val="20"/>
          <w:color w:val="auto"/>
        </w:rPr>
      </w:pPr>
    </w:p>
    <w:p>
      <w:pPr>
        <w:spacing w:after="0" w:line="210" w:lineRule="exact"/>
        <w:rPr>
          <w:sz w:val="20"/>
          <w:szCs w:val="20"/>
          <w:color w:val="auto"/>
        </w:rPr>
      </w:pPr>
    </w:p>
    <w:p>
      <w:pPr>
        <w:ind w:left="2120" w:right="4199" w:hanging="1059"/>
        <w:spacing w:after="0" w:line="470"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Texas, U.S.A.</w:t>
      </w:r>
    </w:p>
    <w:p>
      <w:pPr>
        <w:spacing w:after="0" w:line="214" w:lineRule="exact"/>
        <w:rPr>
          <w:rFonts w:ascii="Courier New" w:cs="Courier New" w:eastAsia="Courier New" w:hAnsi="Courier New"/>
          <w:sz w:val="18"/>
          <w:szCs w:val="18"/>
          <w:color w:val="auto"/>
        </w:rPr>
      </w:pPr>
    </w:p>
    <w:p>
      <w:pPr>
        <w:ind w:left="2120" w:right="5159" w:hanging="1059"/>
        <w:spacing w:after="0" w:line="558"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spacing w:after="0" w:line="164" w:lineRule="exact"/>
        <w:rPr>
          <w:rFonts w:ascii="Courier New" w:cs="Courier New" w:eastAsia="Courier New" w:hAnsi="Courier New"/>
          <w:sz w:val="16"/>
          <w:szCs w:val="16"/>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62942X306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31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company as defined in section 3(a)(19) of the Act</w:t>
      </w:r>
    </w:p>
    <w:p>
      <w:pPr>
        <w:sectPr>
          <w:pgSz w:w="11900" w:h="16838" w:orient="portrait"/>
          <w:cols w:equalWidth="0" w:num="1">
            <w:col w:w="10219"/>
          </w:cols>
          <w:pgMar w:left="240" w:top="339" w:right="1440" w:bottom="0" w:gutter="0" w:footer="0" w:header="0"/>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120" w:right="2619" w:hanging="1059"/>
        <w:spacing w:after="0" w:line="290" w:lineRule="auto"/>
        <w:tabs>
          <w:tab w:leader="none" w:pos="2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 (b)(1)(ii)(E).</w:t>
      </w:r>
    </w:p>
    <w:p>
      <w:pPr>
        <w:spacing w:after="0" w:line="207" w:lineRule="exact"/>
        <w:rPr>
          <w:sz w:val="20"/>
          <w:szCs w:val="20"/>
          <w:color w:val="auto"/>
        </w:rPr>
      </w:pPr>
    </w:p>
    <w:p>
      <w:pPr>
        <w:ind w:left="2120" w:right="20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140.13d-1(b)(1)(ii)(F).</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99" w:hanging="1059"/>
        <w:spacing w:after="0" w:line="235"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79" w:hanging="1059"/>
        <w:spacing w:after="0" w:line="236"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1,465,721</w:t>
      </w: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4.24%</w:t>
            </w:r>
          </w:p>
        </w:tc>
      </w:tr>
    </w:tbl>
    <w:p>
      <w:pPr>
        <w:spacing w:after="0" w:line="201"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2740" w:right="3159" w:hanging="625"/>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1,465,721</w:t>
      </w:r>
    </w:p>
    <w:p>
      <w:pPr>
        <w:spacing w:after="0" w:line="208" w:lineRule="exact"/>
        <w:rPr>
          <w:rFonts w:ascii="Courier New" w:cs="Courier New" w:eastAsia="Courier New" w:hAnsi="Courier New"/>
          <w:sz w:val="18"/>
          <w:szCs w:val="18"/>
          <w:color w:val="auto"/>
        </w:rPr>
      </w:pPr>
    </w:p>
    <w:p>
      <w:pPr>
        <w:ind w:left="2740" w:right="2939" w:hanging="730"/>
        <w:spacing w:after="0" w:line="235"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2740" w:right="2199" w:hanging="836"/>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1,465,721</w:t>
      </w:r>
    </w:p>
    <w:p>
      <w:pPr>
        <w:spacing w:after="0" w:line="11" w:lineRule="exact"/>
        <w:rPr>
          <w:rFonts w:ascii="Courier New" w:cs="Courier New" w:eastAsia="Courier New" w:hAnsi="Courier New"/>
          <w:sz w:val="18"/>
          <w:szCs w:val="18"/>
          <w:color w:val="auto"/>
        </w:rPr>
      </w:pPr>
    </w:p>
    <w:p>
      <w:pPr>
        <w:ind w:left="2740" w:right="1999" w:hanging="730"/>
        <w:spacing w:after="0" w:line="470" w:lineRule="auto"/>
        <w:tabs>
          <w:tab w:leader="none" w:pos="2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right="199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32"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Salient Capital Advisors, LLC</w:t>
      </w:r>
    </w:p>
    <w:p>
      <w:pPr>
        <w:ind w:left="3580"/>
        <w:spacing w:after="0" w:line="238" w:lineRule="auto"/>
        <w:rPr>
          <w:sz w:val="20"/>
          <w:szCs w:val="20"/>
          <w:color w:val="auto"/>
        </w:rPr>
      </w:pPr>
      <w:r>
        <w:rPr>
          <w:rFonts w:ascii="Courier New" w:cs="Courier New" w:eastAsia="Courier New" w:hAnsi="Courier New"/>
          <w:sz w:val="18"/>
          <w:szCs w:val="18"/>
          <w:color w:val="auto"/>
        </w:rPr>
        <w:t>Date: July 12, 2017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Paul A. Bachtold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Paul A. Bachtold</w:t>
      </w:r>
    </w:p>
    <w:p>
      <w:pPr>
        <w:ind w:left="4120"/>
        <w:spacing w:after="0" w:line="237"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2019-12-21T04:28:09Z</dcterms:created>
  <dcterms:modified xsi:type="dcterms:W3CDTF">2019-12-21T04:28:09Z</dcterms:modified>
</cp:coreProperties>
</file>