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1672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01/03/2020</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94"/>
        <w:spacing w:after="0"/>
        <w:rPr>
          <w:sz w:val="20"/>
          <w:szCs w:val="20"/>
          <w:color w:val="auto"/>
        </w:rPr>
      </w:pPr>
      <w:r>
        <w:rPr>
          <w:rFonts w:ascii="Arial" w:cs="Arial" w:eastAsia="Arial" w:hAnsi="Arial"/>
          <w:sz w:val="17"/>
          <w:szCs w:val="17"/>
          <w:color w:val="0000FF"/>
        </w:rPr>
        <w:t>President and CEO</w:t>
      </w:r>
    </w:p>
    <w:p>
      <w:pPr>
        <w:spacing w:after="0" w:line="411" w:lineRule="exact"/>
        <w:rPr>
          <w:sz w:val="24"/>
          <w:szCs w:val="24"/>
          <w:color w:val="auto"/>
        </w:rPr>
      </w:pPr>
    </w:p>
    <w:p>
      <w:pPr>
        <w:sectPr>
          <w:pgSz w:w="11900" w:h="16838" w:orient="portrait"/>
          <w:cols w:equalWidth="0" w:num="3">
            <w:col w:w="3340" w:space="720"/>
            <w:col w:w="3266" w:space="720"/>
            <w:col w:w="3474"/>
          </w:cols>
          <w:pgMar w:left="240" w:top="223" w:right="1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PRINCETON</w:t>
            </w:r>
          </w:p>
        </w:tc>
        <w:tc>
          <w:tcPr>
            <w:tcW w:w="1000" w:type="dxa"/>
            <w:vAlign w:val="bottom"/>
          </w:tcPr>
          <w:p>
            <w:pPr>
              <w:ind w:left="160"/>
              <w:spacing w:after="0"/>
              <w:rPr>
                <w:sz w:val="20"/>
                <w:szCs w:val="20"/>
                <w:color w:val="auto"/>
              </w:rPr>
            </w:pPr>
            <w:r>
              <w:rPr>
                <w:rFonts w:ascii="Arial" w:cs="Arial" w:eastAsia="Arial" w:hAnsi="Arial"/>
                <w:sz w:val="17"/>
                <w:szCs w:val="17"/>
                <w:color w:val="0000FF"/>
              </w:rPr>
              <w:t>NJ</w:t>
            </w:r>
          </w:p>
        </w:tc>
        <w:tc>
          <w:tcPr>
            <w:tcW w:w="1660" w:type="dxa"/>
            <w:vAlign w:val="bottom"/>
          </w:tcPr>
          <w:p>
            <w:pPr>
              <w:ind w:left="440"/>
              <w:spacing w:after="0"/>
              <w:rPr>
                <w:sz w:val="20"/>
                <w:szCs w:val="20"/>
                <w:color w:val="auto"/>
              </w:rPr>
            </w:pPr>
            <w:r>
              <w:rPr>
                <w:rFonts w:ascii="Arial" w:cs="Arial" w:eastAsia="Arial" w:hAnsi="Arial"/>
                <w:sz w:val="17"/>
                <w:szCs w:val="17"/>
                <w:color w:val="0000FF"/>
              </w:rPr>
              <w:t>08540</w:t>
            </w:r>
          </w:p>
        </w:tc>
      </w:tr>
      <w:tr>
        <w:trPr>
          <w:trHeight w:val="153"/>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jc w:val="center"/>
              <w:ind w:left="12"/>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2"/>
          </w:tcPr>
          <w:p>
            <w:pPr>
              <w:jc w:val="center"/>
              <w:ind w:left="46"/>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35"/>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ind w:left="92"/>
              <w:spacing w:after="0"/>
              <w:rPr>
                <w:sz w:val="20"/>
                <w:szCs w:val="20"/>
                <w:color w:val="auto"/>
              </w:rPr>
            </w:pPr>
            <w:r>
              <w:rPr>
                <w:rFonts w:ascii="Arial" w:cs="Arial" w:eastAsia="Arial" w:hAnsi="Arial"/>
                <w:sz w:val="17"/>
                <w:szCs w:val="17"/>
                <w:color w:val="0000FF"/>
                <w:w w:val="92"/>
              </w:rPr>
              <w:t>61,815</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55"/>
              <w:spacing w:after="0"/>
              <w:rPr>
                <w:sz w:val="20"/>
                <w:szCs w:val="20"/>
                <w:color w:val="auto"/>
              </w:rPr>
            </w:pPr>
            <w:r>
              <w:rPr>
                <w:rFonts w:ascii="Arial" w:cs="Arial" w:eastAsia="Arial" w:hAnsi="Arial"/>
                <w:sz w:val="11"/>
                <w:szCs w:val="11"/>
                <w:color w:val="008000"/>
              </w:rPr>
              <w:t>(1)(2)</w:t>
            </w:r>
          </w:p>
        </w:tc>
        <w:tc>
          <w:tcPr>
            <w:tcW w:w="134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183,162</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ind w:left="72"/>
              <w:spacing w:after="0"/>
              <w:rPr>
                <w:sz w:val="20"/>
                <w:szCs w:val="20"/>
                <w:color w:val="auto"/>
              </w:rPr>
            </w:pPr>
            <w:r>
              <w:rPr>
                <w:rFonts w:ascii="Arial" w:cs="Arial" w:eastAsia="Arial" w:hAnsi="Arial"/>
                <w:sz w:val="17"/>
                <w:szCs w:val="17"/>
                <w:color w:val="0000FF"/>
                <w:w w:val="89"/>
              </w:rPr>
              <w:t>4,355</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15"/>
              <w:spacing w:after="0"/>
              <w:rPr>
                <w:sz w:val="20"/>
                <w:szCs w:val="20"/>
                <w:color w:val="auto"/>
              </w:rPr>
            </w:pPr>
            <w:r>
              <w:rPr>
                <w:rFonts w:ascii="Arial" w:cs="Arial" w:eastAsia="Arial" w:hAnsi="Arial"/>
                <w:sz w:val="11"/>
                <w:szCs w:val="11"/>
                <w:color w:val="008000"/>
              </w:rPr>
              <w:t>(3)</w:t>
            </w:r>
          </w:p>
        </w:tc>
        <w:tc>
          <w:tcPr>
            <w:tcW w:w="134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187,517</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4"/>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2"/>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center"/>
              <w:ind w:left="92"/>
              <w:spacing w:after="0"/>
              <w:rPr>
                <w:sz w:val="20"/>
                <w:szCs w:val="20"/>
                <w:color w:val="auto"/>
              </w:rPr>
            </w:pPr>
            <w:r>
              <w:rPr>
                <w:rFonts w:ascii="Arial" w:cs="Arial" w:eastAsia="Arial" w:hAnsi="Arial"/>
                <w:sz w:val="17"/>
                <w:szCs w:val="17"/>
                <w:color w:val="0000FF"/>
                <w:w w:val="92"/>
              </w:rPr>
              <w:t>36,352</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jc w:val="right"/>
              <w:ind w:right="115"/>
              <w:spacing w:after="0"/>
              <w:rPr>
                <w:sz w:val="20"/>
                <w:szCs w:val="20"/>
                <w:color w:val="auto"/>
              </w:rPr>
            </w:pPr>
            <w:r>
              <w:rPr>
                <w:rFonts w:ascii="Arial" w:cs="Arial" w:eastAsia="Arial" w:hAnsi="Arial"/>
                <w:sz w:val="11"/>
                <w:szCs w:val="11"/>
                <w:color w:val="008000"/>
              </w:rPr>
              <w:t>(4)</w:t>
            </w:r>
          </w:p>
        </w:tc>
        <w:tc>
          <w:tcPr>
            <w:tcW w:w="134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151,165</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76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gridSpan w:val="8"/>
          </w:tcPr>
          <w:p>
            <w:pPr>
              <w:jc w:val="right"/>
              <w:ind w:right="17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(1)(2)</w:t>
            </w: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61,815</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800" w:type="dxa"/>
            <w:vAlign w:val="bottom"/>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92"/>
              </w:rPr>
              <w:t>01/03/2020</w:t>
            </w: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8"/>
                <w:szCs w:val="8"/>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0000FF"/>
              </w:rPr>
              <w:t>39,375</w:t>
            </w:r>
          </w:p>
        </w:tc>
        <w:tc>
          <w:tcPr>
            <w:tcW w:w="780" w:type="dxa"/>
            <w:vAlign w:val="bottom"/>
            <w:vMerge w:val="restart"/>
          </w:tcPr>
          <w:p>
            <w:pPr>
              <w:jc w:val="center"/>
              <w:ind w:right="20"/>
              <w:spacing w:after="0"/>
              <w:rPr>
                <w:sz w:val="20"/>
                <w:szCs w:val="20"/>
                <w:color w:val="auto"/>
              </w:rPr>
            </w:pPr>
            <w:r>
              <w:rPr>
                <w:rFonts w:ascii="Arial" w:cs="Arial" w:eastAsia="Arial" w:hAnsi="Arial"/>
                <w:sz w:val="13"/>
                <w:szCs w:val="13"/>
                <w:color w:val="0000FF"/>
                <w:w w:val="89"/>
              </w:rPr>
              <w:t>01/03/2020</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tcPr>
          <w:p>
            <w:pPr>
              <w:jc w:val="center"/>
              <w:ind w:right="15"/>
              <w:spacing w:after="0" w:line="54" w:lineRule="exact"/>
              <w:rPr>
                <w:sz w:val="20"/>
                <w:szCs w:val="20"/>
                <w:color w:val="auto"/>
              </w:rPr>
            </w:pPr>
            <w:r>
              <w:rPr>
                <w:rFonts w:ascii="Arial" w:cs="Arial" w:eastAsia="Arial" w:hAnsi="Arial"/>
                <w:sz w:val="5"/>
                <w:szCs w:val="5"/>
                <w:color w:val="0000FF"/>
              </w:rPr>
              <w:t>par value</w:t>
            </w:r>
          </w:p>
        </w:tc>
        <w:tc>
          <w:tcPr>
            <w:tcW w:w="54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5"/>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0000FF"/>
                <w:w w:val="98"/>
              </w:rPr>
              <w:t>4,355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Equivalent</w:t>
            </w:r>
          </w:p>
        </w:tc>
        <w:tc>
          <w:tcPr>
            <w:tcW w:w="800" w:type="dxa"/>
            <w:vAlign w:val="bottom"/>
            <w:vMerge w:val="continue"/>
          </w:tcPr>
          <w:p>
            <w:pPr>
              <w:spacing w:after="0"/>
              <w:rPr>
                <w:sz w:val="6"/>
                <w:szCs w:val="6"/>
                <w:color w:val="auto"/>
              </w:rPr>
            </w:pPr>
          </w:p>
        </w:tc>
        <w:tc>
          <w:tcPr>
            <w:tcW w:w="10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01/03/2020</w:t>
            </w: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500" w:type="dxa"/>
            <w:vAlign w:val="bottom"/>
            <w:vMerge w:val="restart"/>
          </w:tcPr>
          <w:p>
            <w:pPr>
              <w:ind w:left="140"/>
              <w:spacing w:after="0" w:line="145" w:lineRule="exact"/>
              <w:rPr>
                <w:sz w:val="20"/>
                <w:szCs w:val="20"/>
                <w:color w:val="auto"/>
              </w:rPr>
            </w:pPr>
            <w:r>
              <w:rPr>
                <w:rFonts w:ascii="Arial" w:cs="Arial" w:eastAsia="Arial" w:hAnsi="Arial"/>
                <w:sz w:val="13"/>
                <w:szCs w:val="13"/>
                <w:color w:val="0000FF"/>
              </w:rPr>
              <w:t>4,355</w:t>
            </w:r>
          </w:p>
        </w:tc>
        <w:tc>
          <w:tcPr>
            <w:tcW w:w="5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5" w:lineRule="exact"/>
              <w:rPr>
                <w:sz w:val="20"/>
                <w:szCs w:val="20"/>
                <w:color w:val="auto"/>
              </w:rPr>
            </w:pPr>
            <w:r>
              <w:rPr>
                <w:rFonts w:ascii="Arial" w:cs="Arial" w:eastAsia="Arial" w:hAnsi="Arial"/>
                <w:sz w:val="13"/>
                <w:szCs w:val="13"/>
                <w:color w:val="0000FF"/>
                <w:w w:val="92"/>
              </w:rPr>
              <w:t>4,355</w:t>
            </w:r>
          </w:p>
        </w:tc>
        <w:tc>
          <w:tcPr>
            <w:tcW w:w="300" w:type="dxa"/>
            <w:vAlign w:val="bottom"/>
          </w:tcPr>
          <w:p>
            <w:pPr>
              <w:spacing w:after="0"/>
              <w:rPr>
                <w:sz w:val="6"/>
                <w:szCs w:val="6"/>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9"/>
              </w:rPr>
              <w:t>par value</w:t>
            </w: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5"/>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Dividend</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0000FF"/>
                <w:w w:val="98"/>
              </w:rPr>
              <w:t>4,355</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Equivalent</w:t>
            </w:r>
          </w:p>
        </w:tc>
        <w:tc>
          <w:tcPr>
            <w:tcW w:w="800" w:type="dxa"/>
            <w:vAlign w:val="bottom"/>
            <w:vMerge w:val="continue"/>
          </w:tcPr>
          <w:p>
            <w:pPr>
              <w:spacing w:after="0"/>
              <w:rPr>
                <w:sz w:val="6"/>
                <w:szCs w:val="6"/>
                <w:color w:val="auto"/>
              </w:rPr>
            </w:pPr>
          </w:p>
        </w:tc>
        <w:tc>
          <w:tcPr>
            <w:tcW w:w="10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01/03/2020</w:t>
            </w: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6"/>
                <w:szCs w:val="6"/>
                <w:color w:val="auto"/>
              </w:rPr>
            </w:pPr>
          </w:p>
        </w:tc>
        <w:tc>
          <w:tcPr>
            <w:tcW w:w="560" w:type="dxa"/>
            <w:vAlign w:val="bottom"/>
            <w:vMerge w:val="restart"/>
          </w:tcPr>
          <w:p>
            <w:pPr>
              <w:jc w:val="right"/>
              <w:ind w:right="96"/>
              <w:spacing w:after="0" w:line="145" w:lineRule="exact"/>
              <w:rPr>
                <w:sz w:val="20"/>
                <w:szCs w:val="20"/>
                <w:color w:val="auto"/>
              </w:rPr>
            </w:pPr>
            <w:r>
              <w:rPr>
                <w:rFonts w:ascii="Arial" w:cs="Arial" w:eastAsia="Arial" w:hAnsi="Arial"/>
                <w:sz w:val="13"/>
                <w:szCs w:val="13"/>
                <w:color w:val="0000FF"/>
              </w:rPr>
              <w:t>4,355</w:t>
            </w:r>
          </w:p>
        </w:tc>
        <w:tc>
          <w:tcPr>
            <w:tcW w:w="780" w:type="dxa"/>
            <w:vAlign w:val="bottom"/>
            <w:vMerge w:val="continue"/>
          </w:tcPr>
          <w:p>
            <w:pPr>
              <w:spacing w:after="0"/>
              <w:rPr>
                <w:sz w:val="6"/>
                <w:szCs w:val="6"/>
                <w:color w:val="auto"/>
              </w:rPr>
            </w:pPr>
          </w:p>
        </w:tc>
        <w:tc>
          <w:tcPr>
            <w:tcW w:w="72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5"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9"/>
              </w:rPr>
              <w:t>par value</w:t>
            </w: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30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6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Sotos was issued 39,375 Relative Performance Stock Units ("RPSUs") by Clearway Energy, Inc. (f/k/a NRG Yield, Inc.) (the "Company") under the Company's Amended and Restated 2013 Equity Incentive Plan (the "LTIP") on January 3, 2017. Based on the Company reaching a certain level of total shareholder return ("TSR"), 61,815 RPSUs vested on January 3, 2020.</w:t>
      </w:r>
    </w:p>
    <w:p>
      <w:pPr>
        <w:spacing w:after="0" w:line="21" w:lineRule="exact"/>
        <w:rPr>
          <w:rFonts w:ascii="Arial" w:cs="Arial" w:eastAsia="Arial" w:hAnsi="Arial"/>
          <w:sz w:val="13"/>
          <w:szCs w:val="13"/>
          <w:color w:val="008000"/>
        </w:rPr>
      </w:pPr>
    </w:p>
    <w:p>
      <w:pPr>
        <w:ind w:left="40" w:right="200" w:firstLine="5"/>
        <w:spacing w:after="0" w:line="26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Sotos was entitled to receive (i) a maximum of 78,750 shares of Class C Common Stock if Company's TSR ranked at or above the 75th percentile relative to a peer group of companies approved by the Company's Compensation Committee (the "Peer Group") for the performance period (the "Maximum"); (ii) 39,750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4,935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19" w:lineRule="exact"/>
        <w:rPr>
          <w:rFonts w:ascii="Arial" w:cs="Arial" w:eastAsia="Arial" w:hAnsi="Arial"/>
          <w:sz w:val="12"/>
          <w:szCs w:val="12"/>
          <w:color w:val="008000"/>
        </w:rPr>
      </w:pPr>
    </w:p>
    <w:p>
      <w:pPr>
        <w:ind w:left="40" w:right="160" w:firstLine="5"/>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7,641 dividend equivalent rights ("DERs") and an incremental 4,355 DERs vested and converted to Class C Common Stock resulting in the reporting person holding 9,489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32" w:lineRule="exact"/>
        <w:rPr>
          <w:rFonts w:ascii="Arial" w:cs="Arial" w:eastAsia="Arial" w:hAnsi="Arial"/>
          <w:sz w:val="13"/>
          <w:szCs w:val="13"/>
          <w:color w:val="008000"/>
        </w:rPr>
      </w:pPr>
    </w:p>
    <w:p>
      <w:pPr>
        <w:ind w:left="40" w:right="38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Sotos elected to satisfy his tax obligation upon the exchange of common stock for RPSUs having a value on the date of the exchange equal to the withholding obligation. This form reflects the surrender of 36,352 shares of Class C Common Stock to satisfy the grantee's tax withholding obligation.</w:t>
      </w:r>
    </w:p>
    <w:p>
      <w:pPr>
        <w:sectPr>
          <w:pgSz w:w="11900" w:h="16838" w:orient="portrait"/>
          <w:cols w:equalWidth="0" w:num="1">
            <w:col w:w="11520"/>
          </w:cols>
          <w:pgMar w:left="240" w:top="223" w:right="139" w:bottom="0" w:gutter="0" w:footer="0" w:header="0"/>
          <w:type w:val="continuous"/>
        </w:sectPr>
      </w:pPr>
    </w:p>
    <w:p>
      <w:pPr>
        <w:spacing w:after="0" w:line="4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Michael A.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-2540</wp:posOffset>
            </wp:positionV>
            <wp:extent cx="1406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502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49"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5"/>
          <w:szCs w:val="15"/>
          <w:color w:val="0000FF"/>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9080" w:space="60"/>
            <w:col w:w="2380"/>
          </w:cols>
          <w:pgMar w:left="240" w:top="223" w:right="139" w:bottom="0" w:gutter="0" w:footer="0" w:header="0"/>
          <w:type w:val="continuous"/>
        </w:sectPr>
      </w:pPr>
    </w:p>
    <w:bookmarkStart w:id="1" w:name="page2"/>
    <w:bookmarkEnd w:id="1"/>
    <w:p>
      <w:pPr>
        <w:jc w:val="both"/>
        <w:ind w:right="259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2020-01-07T16:50:03Z</dcterms:created>
  <dcterms:modified xsi:type="dcterms:W3CDTF">2020-01-07T16:50:03Z</dcterms:modified>
</cp:coreProperties>
</file>