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198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19811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Malcarney Kevin P.</w:t>
        </w:r>
      </w:hyperlink>
    </w:p>
    <w:p>
      <w:pPr>
        <w:spacing w:after="0" w:line="31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01/02/2019</w:t>
      </w:r>
    </w:p>
    <w:p>
      <w:pPr>
        <w:spacing w:after="0" w:line="20" w:lineRule="exact"/>
        <w:rPr>
          <w:sz w:val="24"/>
          <w:szCs w:val="24"/>
          <w:color w:val="auto"/>
        </w:rPr>
      </w:pPr>
      <w:r>
        <w:rPr>
          <w:sz w:val="24"/>
          <w:szCs w:val="24"/>
          <w:color w:val="auto"/>
        </w:rPr>
        <w:br w:type="column"/>
      </w:r>
    </w:p>
    <w:p>
      <w:pPr>
        <w:ind w:left="-6" w:right="700" w:firstLine="6"/>
        <w:spacing w:after="0" w:line="24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4"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14"/>
        <w:spacing w:after="0"/>
        <w:rPr>
          <w:sz w:val="20"/>
          <w:szCs w:val="20"/>
          <w:color w:val="auto"/>
        </w:rPr>
      </w:pPr>
      <w:r>
        <w:rPr>
          <w:rFonts w:ascii="Arial" w:cs="Arial" w:eastAsia="Arial" w:hAnsi="Arial"/>
          <w:sz w:val="16"/>
          <w:szCs w:val="16"/>
          <w:color w:val="0000FF"/>
        </w:rPr>
        <w:t>SVP, Gen Counsel and Corp Secr</w:t>
      </w:r>
    </w:p>
    <w:p>
      <w:pPr>
        <w:spacing w:after="0" w:line="406" w:lineRule="exact"/>
        <w:rPr>
          <w:sz w:val="24"/>
          <w:szCs w:val="24"/>
          <w:color w:val="auto"/>
        </w:rPr>
      </w:pPr>
    </w:p>
    <w:p>
      <w:pPr>
        <w:sectPr>
          <w:pgSz w:w="11900" w:h="16838" w:orient="portrait"/>
          <w:cols w:equalWidth="0" w:num="3">
            <w:col w:w="3340" w:space="720"/>
            <w:col w:w="3266" w:space="720"/>
            <w:col w:w="347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8"/>
          </w:tcPr>
          <w:p>
            <w:pPr>
              <w:jc w:val="center"/>
              <w:ind w:right="52"/>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9"/>
          </w:tcPr>
          <w:p>
            <w:pPr>
              <w:ind w:left="36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40" w:type="dxa"/>
            <w:vAlign w:val="bottom"/>
            <w:gridSpan w:val="9"/>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PRINCETON</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NJ</w:t>
            </w:r>
          </w:p>
        </w:tc>
        <w:tc>
          <w:tcPr>
            <w:tcW w:w="102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08540</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6"/>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5"/>
          </w:tcPr>
          <w:p>
            <w:pPr>
              <w:jc w:val="center"/>
              <w:ind w:left="6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32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7"/>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6"/>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20" w:type="dxa"/>
            <w:vAlign w:val="bottom"/>
            <w:gridSpan w:val="3"/>
            <w:vMerge w:val="restart"/>
          </w:tcPr>
          <w:p>
            <w:pPr>
              <w:ind w:left="340"/>
              <w:spacing w:after="0"/>
              <w:rPr>
                <w:sz w:val="20"/>
                <w:szCs w:val="20"/>
                <w:color w:val="auto"/>
              </w:rPr>
            </w:pPr>
            <w:r>
              <w:rPr>
                <w:rFonts w:ascii="Arial" w:cs="Arial" w:eastAsia="Arial" w:hAnsi="Arial"/>
                <w:sz w:val="17"/>
                <w:szCs w:val="17"/>
                <w:color w:val="0000FF"/>
              </w:rPr>
              <w:t>01/02/2019</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rPr>
              <w:t>5,756</w:t>
            </w:r>
            <w:r>
              <w:rPr>
                <w:rFonts w:ascii="Arial" w:cs="Arial" w:eastAsia="Arial" w:hAnsi="Arial"/>
                <w:sz w:val="21"/>
                <w:szCs w:val="21"/>
                <w:color w:val="008000"/>
                <w:vertAlign w:val="superscript"/>
              </w:rPr>
              <w:t>(1)</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1340" w:type="dxa"/>
            <w:vAlign w:val="bottom"/>
            <w:gridSpan w:val="3"/>
            <w:vMerge w:val="restart"/>
          </w:tcPr>
          <w:p>
            <w:pPr>
              <w:ind w:left="380"/>
              <w:spacing w:after="0"/>
              <w:rPr>
                <w:sz w:val="20"/>
                <w:szCs w:val="20"/>
                <w:color w:val="auto"/>
              </w:rPr>
            </w:pPr>
            <w:r>
              <w:rPr>
                <w:rFonts w:ascii="Arial" w:cs="Arial" w:eastAsia="Arial" w:hAnsi="Arial"/>
                <w:sz w:val="17"/>
                <w:szCs w:val="17"/>
                <w:color w:val="0000FF"/>
              </w:rPr>
              <w:t>41,145</w:t>
            </w:r>
            <w:r>
              <w:rPr>
                <w:rFonts w:ascii="Arial" w:cs="Arial" w:eastAsia="Arial" w:hAnsi="Arial"/>
                <w:sz w:val="21"/>
                <w:szCs w:val="21"/>
                <w:color w:val="008000"/>
                <w:vertAlign w:val="superscript"/>
              </w:rPr>
              <w:t>(3)</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00" w:type="dxa"/>
            <w:vAlign w:val="bottom"/>
            <w:gridSpan w:val="11"/>
          </w:tcPr>
          <w:p>
            <w:pPr>
              <w:ind w:lef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Security</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92"/>
              </w:rPr>
              <w:t>Class C</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Relative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Common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restart"/>
          </w:tcPr>
          <w:p>
            <w:pPr>
              <w:jc w:val="center"/>
              <w:spacing w:after="0" w:line="145" w:lineRule="exact"/>
              <w:rPr>
                <w:sz w:val="20"/>
                <w:szCs w:val="20"/>
                <w:color w:val="auto"/>
              </w:rPr>
            </w:pPr>
            <w:r>
              <w:rPr>
                <w:rFonts w:ascii="Arial" w:cs="Arial" w:eastAsia="Arial" w:hAnsi="Arial"/>
                <w:sz w:val="13"/>
                <w:szCs w:val="13"/>
                <w:color w:val="0000FF"/>
                <w:w w:val="93"/>
              </w:rPr>
              <w:t>Stock,</w:t>
            </w:r>
          </w:p>
        </w:tc>
        <w:tc>
          <w:tcPr>
            <w:tcW w:w="680" w:type="dxa"/>
            <w:vAlign w:val="bottom"/>
            <w:vMerge w:val="restart"/>
          </w:tcPr>
          <w:p>
            <w:pPr>
              <w:ind w:left="20"/>
              <w:spacing w:after="0" w:line="220" w:lineRule="exact"/>
              <w:rPr>
                <w:sz w:val="20"/>
                <w:szCs w:val="20"/>
                <w:color w:val="auto"/>
              </w:rPr>
            </w:pPr>
            <w:r>
              <w:rPr>
                <w:rFonts w:ascii="Arial" w:cs="Arial" w:eastAsia="Arial" w:hAnsi="Arial"/>
                <w:sz w:val="17"/>
                <w:szCs w:val="17"/>
                <w:color w:val="0000FF"/>
                <w:w w:val="92"/>
              </w:rPr>
              <w:t>16,107</w:t>
            </w:r>
            <w:r>
              <w:rPr>
                <w:rFonts w:ascii="Arial" w:cs="Arial" w:eastAsia="Arial" w:hAnsi="Arial"/>
                <w:sz w:val="21"/>
                <w:szCs w:val="21"/>
                <w:color w:val="008000"/>
                <w:w w:val="92"/>
                <w:vertAlign w:val="superscript"/>
              </w:rPr>
              <w:t>(5)</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6"/>
              </w:rPr>
              <w:t>Performance</w:t>
            </w: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restart"/>
          </w:tcPr>
          <w:p>
            <w:pPr>
              <w:jc w:val="right"/>
              <w:ind w:right="114"/>
              <w:spacing w:after="0"/>
              <w:rPr>
                <w:sz w:val="20"/>
                <w:szCs w:val="20"/>
                <w:color w:val="auto"/>
              </w:rPr>
            </w:pPr>
            <w:r>
              <w:rPr>
                <w:rFonts w:ascii="Arial" w:cs="Arial" w:eastAsia="Arial" w:hAnsi="Arial"/>
                <w:sz w:val="13"/>
                <w:szCs w:val="13"/>
                <w:color w:val="0000FF"/>
              </w:rPr>
              <w:t>01/02/2019</w:t>
            </w: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10,738</w:t>
            </w:r>
          </w:p>
        </w:tc>
        <w:tc>
          <w:tcPr>
            <w:tcW w:w="34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01/02/2022</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01/02/2022</w:t>
            </w:r>
          </w:p>
        </w:tc>
        <w:tc>
          <w:tcPr>
            <w:tcW w:w="6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10,738</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Arial" w:cs="Arial" w:eastAsia="Arial" w:hAnsi="Arial"/>
                <w:sz w:val="8"/>
                <w:szCs w:val="8"/>
                <w:color w:val="0000FF"/>
              </w:rPr>
              <w:t>par value</w:t>
            </w: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Stock Units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$.01 per</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80"/>
        <w:spacing w:after="0"/>
        <w:rPr>
          <w:sz w:val="20"/>
          <w:szCs w:val="20"/>
          <w:color w:val="auto"/>
        </w:rPr>
      </w:pPr>
      <w:r>
        <w:rPr>
          <w:rFonts w:ascii="Arial" w:cs="Arial" w:eastAsia="Arial" w:hAnsi="Arial"/>
          <w:sz w:val="13"/>
          <w:szCs w:val="13"/>
          <w:color w:val="0000FF"/>
        </w:rPr>
        <w:t>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issued to Mr. Malcarney under Clearway Energy Inc.'s Amended and Restated 2013 Equity Incentive Plan (the "LTIP").</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is equivalent in value to one share of Clearway Energy, Inc.'s Class C Common Stock, par value $.01 per share.</w:t>
      </w:r>
    </w:p>
    <w:p>
      <w:pPr>
        <w:spacing w:after="0" w:line="47" w:lineRule="exact"/>
        <w:rPr>
          <w:rFonts w:ascii="Arial" w:cs="Arial" w:eastAsia="Arial" w:hAnsi="Arial"/>
          <w:sz w:val="13"/>
          <w:szCs w:val="13"/>
          <w:color w:val="008000"/>
        </w:rPr>
      </w:pPr>
    </w:p>
    <w:p>
      <w:pPr>
        <w:ind w:left="40" w:right="260" w:firstLine="5"/>
        <w:spacing w:after="0" w:line="257"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1" w:lineRule="exact"/>
        <w:rPr>
          <w:rFonts w:ascii="Arial" w:cs="Arial" w:eastAsia="Arial" w:hAnsi="Arial"/>
          <w:sz w:val="13"/>
          <w:szCs w:val="13"/>
          <w:color w:val="008000"/>
        </w:rPr>
      </w:pPr>
    </w:p>
    <w:p>
      <w:pPr>
        <w:ind w:left="40" w:right="300" w:firstLine="5"/>
        <w:spacing w:after="0" w:line="274"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issued 10,738 Relative Performance Stock Units ("RPSUs") by Clearway Energy, Inc. under the LTIP on January 2, 2019. The RPSUs will convert to shares of Clearway Energy, Inc. Class C Common Stock on January 2, 2022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3" w:lineRule="exact"/>
        <w:rPr>
          <w:rFonts w:ascii="Arial" w:cs="Arial" w:eastAsia="Arial" w:hAnsi="Arial"/>
          <w:sz w:val="12"/>
          <w:szCs w:val="12"/>
          <w:color w:val="008000"/>
        </w:rPr>
      </w:pPr>
    </w:p>
    <w:p>
      <w:pPr>
        <w:ind w:left="40" w:right="140" w:firstLine="5"/>
        <w:spacing w:after="0" w:line="238"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will receive (i) a maximum of 16,107 shares of Class C Common Stock if Company's TSR is ranked at or above the 75th percentile relative to a peer group of companies approved by the Company's Compensation Committee (the "Peer Group") for the performance period ("Maximum"); (ii) 10,738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2,684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4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Kevin P. Malcarney</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01/04/2019</w:t>
            </w: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900" w:firstLine="5"/>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2019-12-23T22:30:26Z</dcterms:created>
  <dcterms:modified xsi:type="dcterms:W3CDTF">2019-12-23T22:30:26Z</dcterms:modified>
</cp:coreProperties>
</file>