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Global Infrastructure Investors III, LLC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980"/>
        <w:spacing w:after="0" w:line="365" w:lineRule="auto"/>
        <w:rPr>
          <w:sz w:val="20"/>
          <w:szCs w:val="20"/>
          <w:color w:val="auto"/>
        </w:rPr>
      </w:pPr>
      <w:r>
        <w:rPr>
          <w:rFonts w:ascii="Times New Roman" w:cs="Times New Roman" w:eastAsia="Times New Roman" w:hAnsi="Times New Roman"/>
          <w:sz w:val="17"/>
          <w:szCs w:val="17"/>
          <w:color w:val="0000FF"/>
        </w:rPr>
        <w:t>1345 AVENUE OF THE AMERICAS 30TH FLOOR</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10105</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Clearway Energy,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CWEN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80" w:type="dxa"/>
            <w:vAlign w:val="bottom"/>
            <w:tcBorders>
              <w:bottom w:val="single" w:sz="8" w:color="0000EE"/>
            </w:tcBorders>
          </w:tcPr>
          <w:p>
            <w:pPr>
              <w:spacing w:after="0"/>
              <w:rPr>
                <w:sz w:val="3"/>
                <w:szCs w:val="3"/>
                <w:color w:val="auto"/>
              </w:rPr>
            </w:pPr>
          </w:p>
        </w:tc>
        <w:tc>
          <w:tcPr>
            <w:tcW w:w="1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600" w:type="dxa"/>
            <w:vAlign w:val="bottom"/>
            <w:vMerge w:val="restart"/>
          </w:tcPr>
          <w:p>
            <w:pPr>
              <w:ind w:left="14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78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600" w:type="dxa"/>
            <w:vAlign w:val="bottom"/>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9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03/08/2024</w:t>
            </w:r>
          </w:p>
        </w:tc>
        <w:tc>
          <w:tcPr>
            <w:tcW w:w="1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below)</w:t>
            </w:r>
          </w:p>
        </w:tc>
        <w:tc>
          <w:tcPr>
            <w:tcW w:w="1600" w:type="dxa"/>
            <w:vAlign w:val="bottom"/>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780" w:type="dxa"/>
            <w:vAlign w:val="bottom"/>
            <w:tcBorders>
              <w:bottom w:val="single" w:sz="8" w:color="2C2C2C"/>
            </w:tcBorders>
          </w:tcPr>
          <w:p>
            <w:pPr>
              <w:spacing w:after="0"/>
              <w:rPr>
                <w:sz w:val="8"/>
                <w:szCs w:val="8"/>
                <w:color w:val="auto"/>
              </w:rPr>
            </w:pPr>
          </w:p>
        </w:tc>
        <w:tc>
          <w:tcPr>
            <w:tcW w:w="18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tbl>
      <w:tblPr>
        <w:tblLayout w:type="fixed"/>
        <w:tblInd w:w="4100"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3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00" w:type="dxa"/>
            <w:vAlign w:val="bottom"/>
            <w:gridSpan w:val="2"/>
          </w:tcPr>
          <w:p>
            <w:pPr>
              <w:ind w:left="28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6"/>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18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1160" w:type="dxa"/>
            <w:vAlign w:val="bottom"/>
            <w:gridSpan w:val="2"/>
          </w:tcPr>
          <w:p>
            <w:pPr>
              <w:ind w:left="280"/>
              <w:spacing w:after="0"/>
              <w:rPr>
                <w:sz w:val="20"/>
                <w:szCs w:val="20"/>
                <w:color w:val="auto"/>
              </w:rPr>
            </w:pPr>
            <w:r>
              <w:rPr>
                <w:rFonts w:ascii="Arial" w:cs="Arial" w:eastAsia="Arial" w:hAnsi="Arial"/>
                <w:sz w:val="12"/>
                <w:szCs w:val="12"/>
                <w:b w:val="1"/>
                <w:bCs w:val="1"/>
                <w:color w:val="auto"/>
              </w:rPr>
              <w:t>6. Ownership</w:t>
            </w:r>
          </w:p>
        </w:tc>
        <w:tc>
          <w:tcPr>
            <w:tcW w:w="12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116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Form: Direct</w:t>
            </w: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20" w:type="dxa"/>
            <w:vAlign w:val="bottom"/>
            <w:gridSpan w:val="6"/>
          </w:tcPr>
          <w:p>
            <w:pPr>
              <w:ind w:left="2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and 5)</w:t>
            </w: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 or</w:t>
            </w:r>
          </w:p>
        </w:tc>
        <w:tc>
          <w:tcPr>
            <w:tcW w:w="240" w:type="dxa"/>
            <w:vAlign w:val="bottom"/>
          </w:tcPr>
          <w:p>
            <w:pPr>
              <w:spacing w:after="0"/>
              <w:rPr>
                <w:sz w:val="11"/>
                <w:szCs w:val="11"/>
                <w:color w:val="auto"/>
              </w:rPr>
            </w:pP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Indirect (I)</w:t>
            </w:r>
          </w:p>
        </w:tc>
        <w:tc>
          <w:tcPr>
            <w:tcW w:w="240" w:type="dxa"/>
            <w:vAlign w:val="bottom"/>
          </w:tcPr>
          <w:p>
            <w:pPr>
              <w:spacing w:after="0"/>
              <w:rPr>
                <w:sz w:val="11"/>
                <w:szCs w:val="11"/>
                <w:color w:val="auto"/>
              </w:rPr>
            </w:pP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160" w:type="dxa"/>
            <w:vAlign w:val="bottom"/>
            <w:tcBorders>
              <w:bottom w:val="single" w:sz="8" w:color="808080"/>
            </w:tcBorders>
          </w:tcPr>
          <w:p>
            <w:pPr>
              <w:spacing w:after="0"/>
              <w:rPr>
                <w:sz w:val="13"/>
                <w:szCs w:val="13"/>
                <w:color w:val="auto"/>
              </w:rPr>
            </w:pPr>
          </w:p>
        </w:tc>
        <w:tc>
          <w:tcPr>
            <w:tcW w:w="580" w:type="dxa"/>
            <w:vAlign w:val="bottom"/>
            <w:tcBorders>
              <w:bottom w:val="single" w:sz="8" w:color="808080"/>
            </w:tcBorders>
          </w:tcPr>
          <w:p>
            <w:pPr>
              <w:spacing w:after="0"/>
              <w:rPr>
                <w:sz w:val="13"/>
                <w:szCs w:val="13"/>
                <w:color w:val="auto"/>
              </w:rPr>
            </w:pPr>
          </w:p>
        </w:tc>
        <w:tc>
          <w:tcPr>
            <w:tcW w:w="82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540" w:type="dxa"/>
            <w:vAlign w:val="bottom"/>
            <w:tcBorders>
              <w:bottom w:val="single" w:sz="8" w:color="808080"/>
            </w:tcBorders>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80" w:type="dxa"/>
            <w:vAlign w:val="bottom"/>
          </w:tcPr>
          <w:p>
            <w:pPr>
              <w:spacing w:after="0"/>
              <w:rPr>
                <w:sz w:val="7"/>
                <w:szCs w:val="7"/>
                <w:color w:val="auto"/>
              </w:rPr>
            </w:pPr>
          </w:p>
        </w:tc>
        <w:tc>
          <w:tcPr>
            <w:tcW w:w="300" w:type="dxa"/>
            <w:vAlign w:val="bottom"/>
          </w:tcPr>
          <w:p>
            <w:pPr>
              <w:spacing w:after="0"/>
              <w:rPr>
                <w:sz w:val="7"/>
                <w:szCs w:val="7"/>
                <w:color w:val="auto"/>
              </w:rPr>
            </w:pPr>
          </w:p>
        </w:tc>
        <w:tc>
          <w:tcPr>
            <w:tcW w:w="8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160" w:type="dxa"/>
            <w:vAlign w:val="bottom"/>
            <w:tcBorders>
              <w:top w:val="single" w:sz="8" w:color="2C2C2C"/>
            </w:tcBorders>
          </w:tcPr>
          <w:p>
            <w:pPr>
              <w:spacing w:after="0"/>
              <w:rPr>
                <w:sz w:val="7"/>
                <w:szCs w:val="7"/>
                <w:color w:val="auto"/>
              </w:rPr>
            </w:pPr>
          </w:p>
        </w:tc>
        <w:tc>
          <w:tcPr>
            <w:tcW w:w="580" w:type="dxa"/>
            <w:vAlign w:val="bottom"/>
            <w:tcBorders>
              <w:top w:val="single" w:sz="8" w:color="2C2C2C"/>
            </w:tcBorders>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54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860" w:type="dxa"/>
            <w:vAlign w:val="bottom"/>
            <w:gridSpan w:val="2"/>
          </w:tcPr>
          <w:p>
            <w:pPr>
              <w:ind w:left="20"/>
              <w:spacing w:after="0" w:line="86" w:lineRule="exact"/>
              <w:rPr>
                <w:sz w:val="20"/>
                <w:szCs w:val="20"/>
                <w:color w:val="auto"/>
              </w:rPr>
            </w:pPr>
            <w:r>
              <w:rPr>
                <w:rFonts w:ascii="Arial" w:cs="Arial" w:eastAsia="Arial" w:hAnsi="Arial"/>
                <w:sz w:val="8"/>
                <w:szCs w:val="8"/>
                <w:b w:val="1"/>
                <w:bCs w:val="1"/>
                <w:color w:val="auto"/>
              </w:rPr>
              <w:t>Reported</w:t>
            </w:r>
          </w:p>
        </w:tc>
        <w:tc>
          <w:tcPr>
            <w:tcW w:w="9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rPr>
              <w:t>Price</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w w:val="99"/>
              </w:rPr>
              <w:t>Transaction(s)</w:t>
            </w: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88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86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6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ind w:left="20"/>
              <w:spacing w:after="0"/>
              <w:rPr>
                <w:sz w:val="20"/>
                <w:szCs w:val="20"/>
                <w:color w:val="auto"/>
              </w:rPr>
            </w:pPr>
            <w:r>
              <w:rPr>
                <w:rFonts w:ascii="Arial" w:cs="Arial" w:eastAsia="Arial" w:hAnsi="Arial"/>
                <w:sz w:val="12"/>
                <w:szCs w:val="12"/>
                <w:b w:val="1"/>
                <w:bCs w:val="1"/>
                <w:color w:val="auto"/>
              </w:rPr>
              <w:t>(D)</w:t>
            </w:r>
          </w:p>
        </w:tc>
        <w:tc>
          <w:tcPr>
            <w:tcW w:w="5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860" w:type="dxa"/>
            <w:vAlign w:val="bottom"/>
            <w:tcBorders>
              <w:bottom w:val="single" w:sz="8" w:color="2C2C2C"/>
            </w:tcBorders>
            <w:gridSpan w:val="2"/>
          </w:tcPr>
          <w:p>
            <w:pPr>
              <w:ind w:left="20"/>
              <w:spacing w:after="0"/>
              <w:rPr>
                <w:sz w:val="20"/>
                <w:szCs w:val="20"/>
                <w:color w:val="auto"/>
              </w:rPr>
            </w:pPr>
            <w:r>
              <w:rPr>
                <w:rFonts w:ascii="Arial" w:cs="Arial" w:eastAsia="Arial" w:hAnsi="Arial"/>
                <w:sz w:val="12"/>
                <w:szCs w:val="12"/>
                <w:b w:val="1"/>
                <w:bCs w:val="1"/>
                <w:color w:val="auto"/>
                <w:w w:val="99"/>
              </w:rPr>
              <w:t>(Instr. 3 and 4)</w:t>
            </w:r>
          </w:p>
        </w:tc>
        <w:tc>
          <w:tcPr>
            <w:tcW w:w="92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600" w:type="dxa"/>
            <w:vAlign w:val="bottom"/>
            <w:gridSpan w:val="3"/>
            <w:vMerge w:val="restart"/>
          </w:tcPr>
          <w:p>
            <w:pPr>
              <w:ind w:left="380"/>
              <w:spacing w:after="0"/>
              <w:rPr>
                <w:sz w:val="20"/>
                <w:szCs w:val="20"/>
                <w:color w:val="auto"/>
              </w:rPr>
            </w:pPr>
            <w:r>
              <w:rPr>
                <w:rFonts w:ascii="Times New Roman" w:cs="Times New Roman" w:eastAsia="Times New Roman" w:hAnsi="Times New Roman"/>
                <w:sz w:val="17"/>
                <w:szCs w:val="17"/>
                <w:color w:val="0000FF"/>
              </w:rPr>
              <w:t>03/08/2024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gridSpan w:val="2"/>
            <w:vMerge w:val="restart"/>
          </w:tcPr>
          <w:p>
            <w:pPr>
              <w:ind w:left="8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8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2,722</w:t>
            </w:r>
          </w:p>
        </w:tc>
        <w:tc>
          <w:tcPr>
            <w:tcW w:w="4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vMerge w:val="restart"/>
          </w:tcPr>
          <w:p>
            <w:pPr>
              <w:jc w:val="right"/>
              <w:ind w:right="161"/>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1"/>
                <w:szCs w:val="21"/>
                <w:color w:val="auto"/>
              </w:rPr>
            </w:pPr>
          </w:p>
        </w:tc>
        <w:tc>
          <w:tcPr>
            <w:tcW w:w="8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98,271</w:t>
            </w:r>
          </w:p>
        </w:tc>
        <w:tc>
          <w:tcPr>
            <w:tcW w:w="920" w:type="dxa"/>
            <w:vAlign w:val="bottom"/>
            <w:vMerge w:val="restart"/>
          </w:tcPr>
          <w:p>
            <w:pPr>
              <w:ind w:left="64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Pr>
          <w:p>
            <w:pPr>
              <w:spacing w:after="0"/>
              <w:rPr>
                <w:sz w:val="21"/>
                <w:szCs w:val="21"/>
                <w:color w:val="auto"/>
              </w:rPr>
            </w:pPr>
          </w:p>
        </w:tc>
        <w:tc>
          <w:tcPr>
            <w:tcW w:w="4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60" w:type="dxa"/>
            <w:vAlign w:val="bottom"/>
            <w:gridSpan w:val="5"/>
            <w:vMerge w:val="continue"/>
          </w:tcPr>
          <w:p>
            <w:pPr>
              <w:spacing w:after="0"/>
              <w:rPr>
                <w:sz w:val="10"/>
                <w:szCs w:val="10"/>
                <w:color w:val="auto"/>
              </w:rPr>
            </w:pPr>
          </w:p>
        </w:tc>
        <w:tc>
          <w:tcPr>
            <w:tcW w:w="160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(2)(3)(4)</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88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126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200" w:type="dxa"/>
            <w:vAlign w:val="bottom"/>
            <w:gridSpan w:val="18"/>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980" w:type="dxa"/>
            <w:vAlign w:val="bottom"/>
            <w:gridSpan w:val="16"/>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w w:val="99"/>
              </w:rPr>
              <w:t>6. Date Exercisable and</w:t>
            </w:r>
          </w:p>
        </w:tc>
        <w:tc>
          <w:tcPr>
            <w:tcW w:w="1040" w:type="dxa"/>
            <w:vAlign w:val="bottom"/>
            <w:gridSpan w:val="3"/>
          </w:tcPr>
          <w:p>
            <w:pPr>
              <w:ind w:left="180"/>
              <w:spacing w:after="0"/>
              <w:rPr>
                <w:sz w:val="20"/>
                <w:szCs w:val="20"/>
                <w:color w:val="auto"/>
              </w:rPr>
            </w:pPr>
            <w:r>
              <w:rPr>
                <w:rFonts w:ascii="Arial" w:cs="Arial" w:eastAsia="Arial" w:hAnsi="Arial"/>
                <w:sz w:val="12"/>
                <w:szCs w:val="12"/>
                <w:b w:val="1"/>
                <w:bCs w:val="1"/>
                <w:color w:val="auto"/>
              </w:rPr>
              <w:t>7. Title and</w:t>
            </w:r>
          </w:p>
        </w:tc>
        <w:tc>
          <w:tcPr>
            <w:tcW w:w="6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48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Amount of</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w w:val="99"/>
              </w:rPr>
              <w:t>Security (Instr.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Pr>
          <w:p>
            <w:pPr>
              <w:spacing w:after="0"/>
              <w:rPr>
                <w:sz w:val="3"/>
                <w:szCs w:val="3"/>
                <w:color w:val="auto"/>
              </w:rPr>
            </w:pPr>
          </w:p>
        </w:tc>
        <w:tc>
          <w:tcPr>
            <w:tcW w:w="9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gridSpan w:val="2"/>
          </w:tcPr>
          <w:p>
            <w:pPr>
              <w:ind w:left="120"/>
              <w:spacing w:after="0"/>
              <w:rPr>
                <w:sz w:val="20"/>
                <w:szCs w:val="20"/>
                <w:color w:val="auto"/>
              </w:rPr>
            </w:pPr>
            <w:r>
              <w:rPr>
                <w:rFonts w:ascii="Arial" w:cs="Arial" w:eastAsia="Arial" w:hAnsi="Arial"/>
                <w:sz w:val="12"/>
                <w:szCs w:val="12"/>
                <w:b w:val="1"/>
                <w:bCs w:val="1"/>
                <w:color w:val="auto"/>
                <w:w w:val="96"/>
              </w:rPr>
              <w:t>Amount</w:t>
            </w: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w w:val="96"/>
              </w:rPr>
              <w:t>Number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Expiration</w:t>
            </w:r>
          </w:p>
        </w:tc>
        <w:tc>
          <w:tcPr>
            <w:tcW w:w="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18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60" w:type="dxa"/>
            <w:vAlign w:val="bottom"/>
            <w:tcBorders>
              <w:bottom w:val="single" w:sz="8" w:color="2C2C2C"/>
            </w:tcBorders>
            <w:gridSpan w:val="3"/>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5"/>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60" w:type="dxa"/>
            <w:vAlign w:val="bottom"/>
            <w:tcBorders>
              <w:top w:val="single" w:sz="8" w:color="2C2C2C"/>
            </w:tcBorders>
          </w:tcPr>
          <w:p>
            <w:pPr>
              <w:spacing w:after="0"/>
              <w:rPr>
                <w:sz w:val="20"/>
                <w:szCs w:val="20"/>
                <w:color w:val="auto"/>
              </w:rPr>
            </w:pPr>
          </w:p>
        </w:tc>
        <w:tc>
          <w:tcPr>
            <w:tcW w:w="24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6"/>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Global Infrastructure Investors III, LLC</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88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860" w:type="dxa"/>
            <w:vAlign w:val="bottom"/>
            <w:tcBorders>
              <w:top w:val="single" w:sz="8" w:color="0000EE"/>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1345 AVENUE OF THE AMERICAS</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30TH FLOOR</w:t>
            </w:r>
          </w:p>
        </w:tc>
        <w:tc>
          <w:tcPr>
            <w:tcW w:w="8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8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10105</w:t>
            </w: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60" w:type="dxa"/>
            <w:vAlign w:val="bottom"/>
            <w:tcBorders>
              <w:bottom w:val="single" w:sz="8" w:color="2C2C2C"/>
            </w:tcBorders>
            <w:gridSpan w:val="3"/>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20" w:type="dxa"/>
            <w:vAlign w:val="bottom"/>
          </w:tcPr>
          <w:p>
            <w:pPr>
              <w:spacing w:after="0"/>
              <w:rPr>
                <w:sz w:val="7"/>
                <w:szCs w:val="7"/>
                <w:color w:val="auto"/>
              </w:rPr>
            </w:pPr>
          </w:p>
        </w:tc>
        <w:tc>
          <w:tcPr>
            <w:tcW w:w="46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9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4"/>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Zephyr Holdings GP, LLC</w:t>
              </w:r>
            </w:hyperlink>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880" w:type="dxa"/>
            <w:vAlign w:val="bottom"/>
            <w:tcBorders>
              <w:top w:val="single" w:sz="8" w:color="0000EE"/>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1345 AVENUE OF THE AMERICAS</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30TH FLOOR</w:t>
            </w:r>
          </w:p>
        </w:tc>
        <w:tc>
          <w:tcPr>
            <w:tcW w:w="8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8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10105</w:t>
            </w: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-5318760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0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6">
        <w:r>
          <w:rPr>
            <w:rFonts w:ascii="Times New Roman" w:cs="Times New Roman" w:eastAsia="Times New Roman" w:hAnsi="Times New Roman"/>
            <w:sz w:val="21"/>
            <w:szCs w:val="21"/>
            <w:u w:val="single" w:color="auto"/>
            <w:color w:val="0000EE"/>
          </w:rPr>
          <w:t>Global Infrastructure GP III, L.P.</w:t>
        </w:r>
      </w:hyperlink>
    </w:p>
    <w:p>
      <w:pPr>
        <w:sectPr>
          <w:pgSz w:w="11900" w:h="16838" w:orient="portrait"/>
          <w:cols w:equalWidth="0" w:num="1">
            <w:col w:w="11080"/>
          </w:cols>
          <w:pgMar w:left="460" w:top="219" w:right="359" w:bottom="0" w:gutter="0" w:footer="0" w:header="0"/>
          <w:type w:val="continuous"/>
        </w:sectPr>
      </w:pPr>
    </w:p>
    <w:p>
      <w:pPr>
        <w:spacing w:after="0" w:line="309"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ectPr>
          <w:pgSz w:w="11900" w:h="16838" w:orient="portrait"/>
          <w:cols w:equalWidth="0" w:num="1">
            <w:col w:w="11080"/>
          </w:cols>
          <w:pgMar w:left="460" w:top="219" w:right="359" w:bottom="0" w:gutter="0" w:footer="0" w:header="0"/>
          <w:type w:val="continuous"/>
        </w:sectPr>
      </w:pPr>
    </w:p>
    <w:bookmarkStart w:id="1" w:name="page2"/>
    <w:bookmarkEnd w:id="1"/>
    <w:p>
      <w:pPr>
        <w:spacing w:after="0" w:line="5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1345 AVENUE OF THE AMERICAS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-114300</wp:posOffset>
            </wp:positionV>
            <wp:extent cx="2809240" cy="64776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6477635"/>
                    </a:xfrm>
                    <a:prstGeom prst="rect">
                      <a:avLst/>
                    </a:prstGeom>
                    <a:noFill/>
                  </pic:spPr>
                </pic:pic>
              </a:graphicData>
            </a:graphic>
          </wp:anchor>
        </w:drawing>
      </w:r>
    </w:p>
    <w:p>
      <w:pPr>
        <w:spacing w:after="0" w:line="5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30TH FLOOR</w:t>
      </w:r>
    </w:p>
    <w:p>
      <w:pPr>
        <w:spacing w:after="0" w:line="29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10105</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GIP III Zephyr Midco Holdings, L.P.</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tcPr>
          <w:p>
            <w:pPr>
              <w:ind w:left="180"/>
              <w:spacing w:after="0"/>
              <w:rPr>
                <w:sz w:val="20"/>
                <w:szCs w:val="20"/>
                <w:color w:val="auto"/>
              </w:rPr>
            </w:pPr>
            <w:r>
              <w:rPr>
                <w:rFonts w:ascii="Arial" w:cs="Arial" w:eastAsia="Arial" w:hAnsi="Arial"/>
                <w:sz w:val="13"/>
                <w:szCs w:val="13"/>
                <w:color w:val="auto"/>
              </w:rPr>
              <w:t>(First)</w:t>
            </w:r>
          </w:p>
        </w:tc>
        <w:tc>
          <w:tcPr>
            <w:tcW w:w="1420" w:type="dxa"/>
            <w:vAlign w:val="bottom"/>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1345 AVENUE OF THE AMERICAS</w:t>
            </w:r>
          </w:p>
        </w:tc>
        <w:tc>
          <w:tcPr>
            <w:tcW w:w="142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30TH FLOOR</w:t>
            </w:r>
          </w:p>
        </w:tc>
        <w:tc>
          <w:tcPr>
            <w:tcW w:w="152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69"/>
        </w:trPr>
        <w:tc>
          <w:tcPr>
            <w:tcW w:w="12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2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2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10105</w:t>
            </w:r>
          </w:p>
        </w:tc>
      </w:tr>
      <w:tr>
        <w:trPr>
          <w:trHeight w:val="155"/>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tcPr>
          <w:p>
            <w:pPr>
              <w:ind w:left="180"/>
              <w:spacing w:after="0"/>
              <w:rPr>
                <w:sz w:val="20"/>
                <w:szCs w:val="20"/>
                <w:color w:val="auto"/>
              </w:rPr>
            </w:pPr>
            <w:r>
              <w:rPr>
                <w:rFonts w:ascii="Arial" w:cs="Arial" w:eastAsia="Arial" w:hAnsi="Arial"/>
                <w:sz w:val="13"/>
                <w:szCs w:val="13"/>
                <w:color w:val="auto"/>
              </w:rPr>
              <w:t>(State)</w:t>
            </w:r>
          </w:p>
        </w:tc>
        <w:tc>
          <w:tcPr>
            <w:tcW w:w="1420" w:type="dxa"/>
            <w:vAlign w:val="bottom"/>
          </w:tcPr>
          <w:p>
            <w:pPr>
              <w:ind w:left="6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GIP III Zephyr Acquisition Partners L.P.</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2"/>
          </w:tcPr>
          <w:p>
            <w:pPr>
              <w:ind w:left="18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1345 AVENUE OF THE AMERICAS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30TH FLOOR</w:t>
            </w:r>
          </w:p>
        </w:tc>
        <w:tc>
          <w:tcPr>
            <w:tcW w:w="1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10105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2"/>
          </w:tcPr>
          <w:p>
            <w:pPr>
              <w:ind w:left="18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540" w:type="dxa"/>
            <w:vAlign w:val="bottom"/>
            <w:tcBorders>
              <w:bottom w:val="single" w:sz="8" w:color="2C2C2C"/>
            </w:tcBorders>
            <w:gridSpan w:val="2"/>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4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40" w:type="dxa"/>
            <w:vAlign w:val="bottom"/>
            <w:gridSpan w:val="3"/>
          </w:tcPr>
          <w:p>
            <w:pPr>
              <w:spacing w:after="0" w:line="227"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Clearway Energy Group LLC</w:t>
              </w:r>
            </w:hyperlink>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132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2"/>
          </w:tcPr>
          <w:p>
            <w:pPr>
              <w:ind w:left="18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1345 AVENUE OF THE AMERICAS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30TH FLOOR</w:t>
            </w:r>
          </w:p>
        </w:tc>
        <w:tc>
          <w:tcPr>
            <w:tcW w:w="1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10105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2"/>
          </w:tcPr>
          <w:p>
            <w:pPr>
              <w:ind w:left="18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forfeiture of shares of restricted stock of the Issuer previously granted by Clearway Energy Group LLC ("Clearway Energy Group") under its Long Term Equity Incentive Program to one or more of its employees.</w:t>
      </w:r>
    </w:p>
    <w:p>
      <w:pPr>
        <w:spacing w:after="0" w:line="7" w:lineRule="exact"/>
        <w:rPr>
          <w:rFonts w:ascii="Times New Roman" w:cs="Times New Roman" w:eastAsia="Times New Roman" w:hAnsi="Times New Roman"/>
          <w:sz w:val="13"/>
          <w:szCs w:val="13"/>
          <w:color w:val="008000"/>
        </w:rPr>
      </w:pPr>
    </w:p>
    <w:p>
      <w:pPr>
        <w:ind w:left="20" w:right="60" w:firstLine="7"/>
        <w:spacing w:after="0" w:line="247"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securities held directly by Clearway Energy Group. Zephyr Holdings GP, LLC ("Zephyr GP") is the general partner of GIP III Zephyr Acquisition Partners, L.P. ("Zephyr") which is the sole member of Clearway Energy Group. Zephyr GP is owned by GIP III Zephyr Midco Holdings, L.P. ("Midco") and TotalEnergies Renewables USA, LLC. Global Infrastructure Investors III, LLC ("Global Investors") is the sole general partner of Global Infrastructure GP III, L.P. ("Global GP"), which is the general partner of Midco. As a result, each of Zephyr GP, Zephyr, Midco, Global GP and Global Investors, may be deemed to share beneficial ownership of the securities owned by Clearway Energy Group.</w:t>
      </w:r>
    </w:p>
    <w:p>
      <w:pPr>
        <w:spacing w:after="0" w:line="24" w:lineRule="exact"/>
        <w:rPr>
          <w:rFonts w:ascii="Times New Roman" w:cs="Times New Roman" w:eastAsia="Times New Roman" w:hAnsi="Times New Roman"/>
          <w:sz w:val="13"/>
          <w:szCs w:val="13"/>
          <w:color w:val="008000"/>
        </w:rPr>
      </w:pPr>
    </w:p>
    <w:p>
      <w:pPr>
        <w:ind w:left="2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Adebayo Ogunlesi, Jonathan Bram, William Brilliant, Matthew Harris, Michael McGhee, Rajaram Rao, William Woodburn, Salim Samaha and Robert O'Brien, as the voting members of the Investment Committee of Global Investors, may be deemed to share beneficial ownership of the Issuer securities beneficially owned by Global Investors. Such individuals expressly disclaim any such beneficial ownership.</w:t>
      </w:r>
    </w:p>
    <w:p>
      <w:pPr>
        <w:spacing w:after="0" w:line="2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of the Reporting Persons disclaims beneficial ownership of the securities reported herein, except to the extent of such Reporting Person's pecuniary interest therein, and, pursuant to Rule 16a-1(a)</w:t>
      </w:r>
    </w:p>
    <w:p>
      <w:pPr>
        <w:spacing w:after="0" w:line="11" w:lineRule="exact"/>
        <w:rPr>
          <w:rFonts w:ascii="Times New Roman" w:cs="Times New Roman" w:eastAsia="Times New Roman" w:hAnsi="Times New Roman"/>
          <w:sz w:val="13"/>
          <w:szCs w:val="13"/>
          <w:color w:val="008000"/>
        </w:rPr>
      </w:pPr>
    </w:p>
    <w:p>
      <w:pPr>
        <w:ind w:left="20" w:right="280"/>
        <w:spacing w:after="0" w:line="250"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(4) under the Securities Exchange Act of 1934, each of the Reporting Persons states that the inclusion of these securities in this report shall not be deemed an admission of beneficial ownership of the securities reported herein for purposes of Section 16 or for any other purpose.</w:t>
      </w:r>
    </w:p>
    <w:p>
      <w:pPr>
        <w:sectPr>
          <w:pgSz w:w="11900" w:h="16898" w:orient="portrait"/>
          <w:cols w:equalWidth="0" w:num="1">
            <w:col w:w="10900"/>
          </w:cols>
          <w:pgMar w:left="480" w:top="125" w:right="519" w:bottom="0" w:gutter="0" w:footer="0" w:header="0"/>
        </w:sectPr>
      </w:pPr>
    </w:p>
    <w:p>
      <w:pPr>
        <w:spacing w:after="0" w:line="4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4457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15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INVESTORS III,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208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132080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Jonathan Bram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836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98361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Jonathan Bram 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614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136144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4457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INFRASTRUCTURE GP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49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L.P. 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106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Investors III,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131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partner By: /s/ Gregg Myers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015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124015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Name: Gregg Myers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658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242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102425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GIP III ZEPHYR MIDCO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1639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116395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HOLDINGS, L.P. By: 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175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130175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Infrastructure GP III,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8905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128905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general partner By: 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760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117602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Infrastructure Investors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944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119443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333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 Gregg Myers Name: Gregg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3794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03/12/2024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03/12/2024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03/12/2024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ectPr>
          <w:pgSz w:w="11900" w:h="16898" w:orient="portrait"/>
          <w:cols w:equalWidth="0" w:num="2">
            <w:col w:w="8720" w:space="40"/>
            <w:col w:w="2140"/>
          </w:cols>
          <w:pgMar w:left="480" w:top="125" w:right="519" w:bottom="0" w:gutter="0" w:footer="0" w:header="0"/>
          <w:type w:val="continuous"/>
        </w:sectPr>
      </w:pPr>
    </w:p>
    <w:bookmarkStart w:id="2" w:name="page3"/>
    <w:bookmarkEnd w:id="2"/>
    <w:p>
      <w:pPr>
        <w:ind w:left="6540"/>
        <w:spacing w:after="0"/>
        <w:rPr>
          <w:sz w:val="20"/>
          <w:szCs w:val="20"/>
          <w:color w:val="auto"/>
        </w:rPr>
      </w:pPr>
      <w:r>
        <w:rPr>
          <w:rFonts w:ascii="Times New Roman" w:cs="Times New Roman" w:eastAsia="Times New Roman" w:hAnsi="Times New Roman"/>
          <w:sz w:val="17"/>
          <w:szCs w:val="17"/>
          <w:color w:val="0000FF"/>
        </w:rPr>
        <w:t>Myers Title: Chief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5158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559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ZEPHYR HOLDINGS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0078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120078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LLC By: /s/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60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12160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Name: Jonathan Bram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52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12452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559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GIP III ZEPHYR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7696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76962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ACQUISITION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93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130937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L.P. By: Zephyr Holdings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1699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13169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333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 Gregg Myers Name: Gregg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3794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Myers Title: Chief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158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559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CLEARWAY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6870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GROUP LLC By: /s/ Alicia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2237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122237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Stevenson Name: Alicia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934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10693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Stevenson Title: VP,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1635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131635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Operations &amp;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8996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989965" cy="8255"/>
                    </a:xfrm>
                    <a:prstGeom prst="rect">
                      <a:avLst/>
                    </a:prstGeom>
                    <a:noFill/>
                  </pic:spPr>
                </pic:pic>
              </a:graphicData>
            </a:graphic>
          </wp:anchor>
        </w:drawing>
      </w:r>
    </w:p>
    <w:p>
      <w:pPr>
        <w:spacing w:after="0" w:line="40"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03/12/2024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03/12/2024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03/12/2024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60" w:space="80"/>
            <w:col w:w="1440"/>
          </w:cols>
          <w:pgMar w:left="500" w:top="125" w:right="1219" w:bottom="1440" w:gutter="0" w:footer="0" w:header="0"/>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12" Type="http://schemas.openxmlformats.org/officeDocument/2006/relationships/hyperlink" Target="http://www.sec.gov/cgi-bin/browse-edgar?action=getcompany&amp;CIK=0001747194" TargetMode="External"/><Relationship Id="rId13" Type="http://schemas.openxmlformats.org/officeDocument/2006/relationships/hyperlink" Target="http://www.sec.gov/cgi-bin/browse-edgar?action=getcompany&amp;CIK=0001567683" TargetMode="External"/><Relationship Id="rId14" Type="http://schemas.openxmlformats.org/officeDocument/2006/relationships/hyperlink" Target="http://www.sec.gov/cgi-bin/browse-edgar?action=getcompany&amp;CIK=0001942977" TargetMode="External"/><Relationship Id="rId16" Type="http://schemas.openxmlformats.org/officeDocument/2006/relationships/hyperlink" Target="http://www.sec.gov/cgi-bin/browse-edgar?action=getcompany&amp;CIK=0001747185" TargetMode="External"/><Relationship Id="rId18" Type="http://schemas.openxmlformats.org/officeDocument/2006/relationships/hyperlink" Target="http://www.sec.gov/cgi-bin/browse-edgar?action=getcompany&amp;CIK=0001945888" TargetMode="External"/><Relationship Id="rId19" Type="http://schemas.openxmlformats.org/officeDocument/2006/relationships/hyperlink" Target="http://www.sec.gov/cgi-bin/browse-edgar?action=getcompany&amp;CIK=0001752556" TargetMode="External"/><Relationship Id="rId20" Type="http://schemas.openxmlformats.org/officeDocument/2006/relationships/hyperlink" Target="http://www.sec.gov/cgi-bin/browse-edgar?action=getcompany&amp;CIK=00017509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2024-03-12T15:44:53Z</dcterms:created>
  <dcterms:modified xsi:type="dcterms:W3CDTF">2024-03-12T15:44:53Z</dcterms:modified>
</cp:coreProperties>
</file>