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31,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804 Carnegie Center, Princeton, New Jersey 08540</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Purchase and Sale Agreement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August 31, 2018, pursuant to the terms of the Purchase and Sale Agreement (as amended, the “</w:t>
      </w:r>
      <w:r>
        <w:rPr>
          <w:rFonts w:ascii="Arial" w:cs="Arial" w:eastAsia="Arial" w:hAnsi="Arial"/>
          <w:sz w:val="16"/>
          <w:szCs w:val="16"/>
          <w:u w:val="single" w:color="auto"/>
          <w:color w:val="auto"/>
        </w:rPr>
        <w:t>PSA</w:t>
      </w:r>
      <w:r>
        <w:rPr>
          <w:rFonts w:ascii="Arial" w:cs="Arial" w:eastAsia="Arial" w:hAnsi="Arial"/>
          <w:sz w:val="16"/>
          <w:szCs w:val="16"/>
          <w:color w:val="auto"/>
        </w:rPr>
        <w:t>”), dated February 6, 2018, by and among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NRG Energy, Inc., a Delaware corporation (“</w:t>
      </w:r>
      <w:r>
        <w:rPr>
          <w:rFonts w:ascii="Arial" w:cs="Arial" w:eastAsia="Arial" w:hAnsi="Arial"/>
          <w:sz w:val="16"/>
          <w:szCs w:val="16"/>
          <w:u w:val="single" w:color="auto"/>
          <w:color w:val="auto"/>
        </w:rPr>
        <w:t>NRG</w:t>
      </w:r>
      <w:r>
        <w:rPr>
          <w:rFonts w:ascii="Arial" w:cs="Arial" w:eastAsia="Arial" w:hAnsi="Arial"/>
          <w:sz w:val="16"/>
          <w:szCs w:val="16"/>
          <w:color w:val="auto"/>
        </w:rPr>
        <w:t>”), NRG Repowering Holdings LLC, a Delaware limited liability company (“</w:t>
      </w:r>
      <w:r>
        <w:rPr>
          <w:rFonts w:ascii="Arial" w:cs="Arial" w:eastAsia="Arial" w:hAnsi="Arial"/>
          <w:sz w:val="16"/>
          <w:szCs w:val="16"/>
          <w:u w:val="single" w:color="auto"/>
          <w:color w:val="auto"/>
        </w:rPr>
        <w:t>Repowering</w:t>
      </w:r>
      <w:r>
        <w:rPr>
          <w:rFonts w:ascii="Arial" w:cs="Arial" w:eastAsia="Arial" w:hAnsi="Arial"/>
          <w:sz w:val="16"/>
          <w:szCs w:val="16"/>
          <w:color w:val="auto"/>
        </w:rPr>
        <w:t>” and, collectively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with NRG, “</w:t>
      </w:r>
      <w:r>
        <w:rPr>
          <w:rFonts w:ascii="Arial" w:cs="Arial" w:eastAsia="Arial" w:hAnsi="Arial"/>
          <w:sz w:val="16"/>
          <w:szCs w:val="16"/>
          <w:u w:val="single" w:color="auto"/>
          <w:color w:val="auto"/>
        </w:rPr>
        <w:t>NRG Energy</w:t>
      </w:r>
      <w:r>
        <w:rPr>
          <w:rFonts w:ascii="Arial" w:cs="Arial" w:eastAsia="Arial" w:hAnsi="Arial"/>
          <w:sz w:val="16"/>
          <w:szCs w:val="16"/>
          <w:color w:val="auto"/>
        </w:rPr>
        <w:t>”) and GIP III Zephyr Acquisition Partners, L.P., a Delaware limited partnership (“</w:t>
      </w:r>
      <w:r>
        <w:rPr>
          <w:rFonts w:ascii="Arial" w:cs="Arial" w:eastAsia="Arial" w:hAnsi="Arial"/>
          <w:sz w:val="16"/>
          <w:szCs w:val="16"/>
          <w:u w:val="single" w:color="auto"/>
          <w:color w:val="auto"/>
        </w:rPr>
        <w:t>GIP</w:t>
      </w:r>
      <w:r>
        <w:rPr>
          <w:rFonts w:ascii="Arial" w:cs="Arial" w:eastAsia="Arial" w:hAnsi="Arial"/>
          <w:sz w:val="16"/>
          <w:szCs w:val="16"/>
          <w:color w:val="auto"/>
        </w:rPr>
        <w:t>”), GIP acquired from NRG Energy 100% of</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the outstanding membership interests of Zephyr Renewables LLC, a Delaware limited liability company (“</w:t>
      </w:r>
      <w:r>
        <w:rPr>
          <w:rFonts w:ascii="Arial" w:cs="Arial" w:eastAsia="Arial" w:hAnsi="Arial"/>
          <w:sz w:val="17"/>
          <w:szCs w:val="17"/>
          <w:u w:val="single" w:color="auto"/>
          <w:color w:val="auto"/>
        </w:rPr>
        <w:t>Zephyr Renewables</w:t>
      </w:r>
      <w:r>
        <w:rPr>
          <w:rFonts w:ascii="Arial" w:cs="Arial" w:eastAsia="Arial" w:hAnsi="Arial"/>
          <w:sz w:val="17"/>
          <w:szCs w:val="17"/>
          <w:color w:val="auto"/>
        </w:rPr>
        <w:t>” and such transaction,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Zephyr Transaction</w:t>
      </w:r>
      <w:r>
        <w:rPr>
          <w:rFonts w:ascii="Arial" w:cs="Arial" w:eastAsia="Arial" w:hAnsi="Arial"/>
          <w:sz w:val="16"/>
          <w:szCs w:val="16"/>
          <w:color w:val="auto"/>
        </w:rPr>
        <w:t>”), which owns, among other assets, (1) 100% of the shares of Class B common stock and 100% of the shares of Class D common stock</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u w:val="single" w:color="auto"/>
          <w:color w:val="auto"/>
        </w:rPr>
        <w:t>Company Shares</w:t>
      </w:r>
      <w:r>
        <w:rPr>
          <w:rFonts w:ascii="Arial" w:cs="Arial" w:eastAsia="Arial" w:hAnsi="Arial"/>
          <w:sz w:val="16"/>
          <w:szCs w:val="16"/>
          <w:color w:val="auto"/>
        </w:rPr>
        <w:t>”) of NRG Yield, Inc. (now known as Clearway Energy,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(2) 100% of</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Class B units and 100% of the Class D units (collectively, the “</w:t>
      </w:r>
      <w:r>
        <w:rPr>
          <w:rFonts w:ascii="Arial" w:cs="Arial" w:eastAsia="Arial" w:hAnsi="Arial"/>
          <w:sz w:val="16"/>
          <w:szCs w:val="16"/>
          <w:u w:val="single" w:color="auto"/>
          <w:color w:val="auto"/>
        </w:rPr>
        <w:t>Company Units</w:t>
      </w:r>
      <w:r>
        <w:rPr>
          <w:rFonts w:ascii="Arial" w:cs="Arial" w:eastAsia="Arial" w:hAnsi="Arial"/>
          <w:sz w:val="16"/>
          <w:szCs w:val="16"/>
          <w:color w:val="auto"/>
        </w:rPr>
        <w:t>”, and, collectively with the Company Shares, the “</w:t>
      </w:r>
      <w:r>
        <w:rPr>
          <w:rFonts w:ascii="Arial" w:cs="Arial" w:eastAsia="Arial" w:hAnsi="Arial"/>
          <w:sz w:val="16"/>
          <w:szCs w:val="16"/>
          <w:u w:val="single" w:color="auto"/>
          <w:color w:val="auto"/>
        </w:rPr>
        <w:t>Company Securities</w:t>
      </w: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and the sale of the Company Securities owned by NRG Energy to GIP, the “</w:t>
      </w:r>
      <w:r>
        <w:rPr>
          <w:rFonts w:ascii="Arial" w:cs="Arial" w:eastAsia="Arial" w:hAnsi="Arial"/>
          <w:sz w:val="16"/>
          <w:szCs w:val="16"/>
          <w:u w:val="single" w:color="auto"/>
          <w:color w:val="auto"/>
        </w:rPr>
        <w:t>Company Securities Transaction</w:t>
      </w:r>
      <w:r>
        <w:rPr>
          <w:rFonts w:ascii="Arial" w:cs="Arial" w:eastAsia="Arial" w:hAnsi="Arial"/>
          <w:sz w:val="16"/>
          <w:szCs w:val="16"/>
          <w:color w:val="auto"/>
        </w:rPr>
        <w:t>”) of NRG Yield LLC (now known as Clearway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Energy LLC), a Delaware limited liability company (“</w:t>
      </w:r>
      <w:r>
        <w:rPr>
          <w:rFonts w:ascii="Arial" w:cs="Arial" w:eastAsia="Arial" w:hAnsi="Arial"/>
          <w:sz w:val="16"/>
          <w:szCs w:val="16"/>
          <w:u w:val="single" w:color="auto"/>
          <w:color w:val="auto"/>
        </w:rPr>
        <w:t>Yield LLC</w:t>
      </w:r>
      <w:r>
        <w:rPr>
          <w:rFonts w:ascii="Arial" w:cs="Arial" w:eastAsia="Arial" w:hAnsi="Arial"/>
          <w:sz w:val="16"/>
          <w:szCs w:val="16"/>
          <w:color w:val="auto"/>
        </w:rPr>
        <w:t>”), for an aggregate purchase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paid in United States Dollars, of</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approximately $1.348 billion. GIP funded the Purchase Price with capital contributions from limited partners of GIP investment funds. As a result of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consummation of the Company Securities Transaction, GIP indirectly acquired a 45.2% economic interest in Yield LLC and 55% voting interest in the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Company as of August 31, 2018.</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The Company provided its consent to the Company Securities Transaction subject to the terms and conditions of the Consent and Indemnity</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Agreement, dated February 6, 2018, as amended (the “</w:t>
      </w:r>
      <w:r>
        <w:rPr>
          <w:rFonts w:ascii="Arial" w:cs="Arial" w:eastAsia="Arial" w:hAnsi="Arial"/>
          <w:sz w:val="16"/>
          <w:szCs w:val="16"/>
          <w:u w:val="single" w:color="auto"/>
          <w:color w:val="auto"/>
        </w:rPr>
        <w:t>Consent and Indemnity Agreement</w:t>
      </w:r>
      <w:r>
        <w:rPr>
          <w:rFonts w:ascii="Arial" w:cs="Arial" w:eastAsia="Arial" w:hAnsi="Arial"/>
          <w:sz w:val="16"/>
          <w:szCs w:val="16"/>
          <w:color w:val="auto"/>
        </w:rPr>
        <w:t>”), by and among the Company, NRG, Repowering, GIP and, solely</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purposes of Sections E.5, E.6 and G.12 thereof, NRG Yield Operating LLC (now known as Clearway Energy Operating LLC) (“</w:t>
      </w:r>
      <w:r>
        <w:rPr>
          <w:rFonts w:ascii="Arial" w:cs="Arial" w:eastAsia="Arial" w:hAnsi="Arial"/>
          <w:sz w:val="18"/>
          <w:szCs w:val="18"/>
          <w:u w:val="single" w:color="auto"/>
          <w:color w:val="auto"/>
        </w:rPr>
        <w:t>Yield Operating LLC</w:t>
      </w:r>
      <w:r>
        <w:rPr>
          <w:rFonts w:ascii="Arial" w:cs="Arial" w:eastAsia="Arial" w:hAnsi="Arial"/>
          <w:sz w:val="18"/>
          <w:szCs w:val="18"/>
          <w:color w:val="auto"/>
        </w:rPr>
        <w:t>”), a Delaware limited liability company and a subsidiary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Master Services Agreements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Yield LLC and Yield Operating LLC entered into a Master Services Agreement with Zephyr Renewables (the “</w:t>
      </w:r>
      <w:r>
        <w:rPr>
          <w:rFonts w:ascii="Arial" w:cs="Arial" w:eastAsia="Arial" w:hAnsi="Arial"/>
          <w:sz w:val="18"/>
          <w:szCs w:val="18"/>
          <w:u w:val="single" w:color="auto"/>
          <w:color w:val="auto"/>
        </w:rPr>
        <w:t>NYLD MSA</w:t>
      </w:r>
      <w:r>
        <w:rPr>
          <w:rFonts w:ascii="Arial" w:cs="Arial" w:eastAsia="Arial" w:hAnsi="Arial"/>
          <w:sz w:val="18"/>
          <w:szCs w:val="18"/>
          <w:color w:val="auto"/>
        </w:rPr>
        <w:t>”), pursuant to which Zephyr Renewables and certain of its affiliates or third party service providers will provide certain services to the Company and certain of its subsidiaries following the consummation of the Company Securities Transaction, in exchange for the payment of a fee in respect of such services. The foregoing description of the NYLD MSA does not purport to be complete and is subject to, and qualified in its entirety by, the full text of the NYLD MSA attached as Exhibit 10.1 hereto, which is incorporated herein by reference.</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Yield LLC and Yield Operating LLC entered into a Master Services Agreement with Zephyr Renewables (the “</w:t>
      </w:r>
      <w:r>
        <w:rPr>
          <w:rFonts w:ascii="Arial" w:cs="Arial" w:eastAsia="Arial" w:hAnsi="Arial"/>
          <w:sz w:val="18"/>
          <w:szCs w:val="18"/>
          <w:u w:val="single" w:color="auto"/>
          <w:color w:val="auto"/>
        </w:rPr>
        <w:t>Zephyr MSA</w:t>
      </w:r>
      <w:r>
        <w:rPr>
          <w:rFonts w:ascii="Arial" w:cs="Arial" w:eastAsia="Arial" w:hAnsi="Arial"/>
          <w:sz w:val="18"/>
          <w:szCs w:val="18"/>
          <w:color w:val="auto"/>
        </w:rPr>
        <w:t>”), pursuant to which the Company and certain of its affiliates or third party service providers will provide certain services to Zephyr Renewables and certain of its subsidiaries following the consummation of the Company Securities Transaction, in exchange for the payment of a fee in respect of such services. The foregoing description of the Zephyr MSA does not purport to be complete and is subject to, and qualified in its entirety by, the full text of the Zephyr MSA attached as Exhibit 10.2 hereto, which is incorporated herein by reference.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ROFO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entered into a right of first offer agreement with Zephyr Renewables (the “</w:t>
      </w:r>
      <w:r>
        <w:rPr>
          <w:rFonts w:ascii="Arial" w:cs="Arial" w:eastAsia="Arial" w:hAnsi="Arial"/>
          <w:sz w:val="18"/>
          <w:szCs w:val="18"/>
          <w:u w:val="single" w:color="auto"/>
          <w:color w:val="auto"/>
        </w:rPr>
        <w:t>Zephyr ROFO Agreement</w:t>
      </w:r>
      <w:r>
        <w:rPr>
          <w:rFonts w:ascii="Arial" w:cs="Arial" w:eastAsia="Arial" w:hAnsi="Arial"/>
          <w:sz w:val="18"/>
          <w:szCs w:val="18"/>
          <w:color w:val="auto"/>
        </w:rPr>
        <w:t>”), and solely for purposes of Section 2.4 thereof, GIP, pursuant to which Zephyr Renewables granted the Company and its subsidiaries a right of first offer on any proposed sale or transfer of certain assets owned by Zephyr Renewables. The Zephyr ROFO Agreement also provides the Company the right to make an equity investment of up to $190,000,000 in one or more distributed generation portfolios developed or owned by Zephyr Renewables or its subsidiaries after August 31, 2018. The foregoing description of the Zephyr ROFO Agreement does not purport to be complete and is subject to, and qualified in its entirety by, the full text of the Zephyr ROFO Agreement attached as Exhibit 10.3 hereto, which is incorporated herein by reference.</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31, 2018, the Company entered into a Third Amended and Restated Right of First Offer Agreement with NRG (the “</w:t>
      </w:r>
      <w:r>
        <w:rPr>
          <w:rFonts w:ascii="Arial" w:cs="Arial" w:eastAsia="Arial" w:hAnsi="Arial"/>
          <w:sz w:val="18"/>
          <w:szCs w:val="18"/>
          <w:u w:val="single" w:color="auto"/>
          <w:color w:val="auto"/>
        </w:rPr>
        <w:t>Third Amended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Restated ROFO Agreement</w:t>
      </w:r>
      <w:r>
        <w:rPr>
          <w:rFonts w:ascii="Arial" w:cs="Arial" w:eastAsia="Arial" w:hAnsi="Arial"/>
          <w:sz w:val="18"/>
          <w:szCs w:val="18"/>
          <w:color w:val="auto"/>
        </w:rPr>
        <w:t>”), pursuant to which NRG will provide the Company and its subsidiaries a right of first offer on any proposed sale or transfer of 100% of the membership interests in Agua Caliente Borrower 1 LLC. The foregoing description of the Third Amended and Restated ROFO Agreement does not purport to be complete and is subject to, and qualified in its entirety by, the full text of the Third Amended and Restated ROFO Agreement attached as Exhibit 10.5 hereto, which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Voting and Governance Agreement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August 31, 2018, in connection with the consummation of the Company Securities Transaction, the Company entered into a Voting and Governance Agreement with Zephyr Renewables (the “</w:t>
      </w:r>
      <w:r>
        <w:rPr>
          <w:rFonts w:ascii="Arial" w:cs="Arial" w:eastAsia="Arial" w:hAnsi="Arial"/>
          <w:sz w:val="17"/>
          <w:szCs w:val="17"/>
          <w:u w:val="single" w:color="auto"/>
          <w:color w:val="auto"/>
        </w:rPr>
        <w:t>Voting and Governance Agreement</w:t>
      </w:r>
      <w:r>
        <w:rPr>
          <w:rFonts w:ascii="Arial" w:cs="Arial" w:eastAsia="Arial" w:hAnsi="Arial"/>
          <w:sz w:val="17"/>
          <w:szCs w:val="17"/>
          <w:color w:val="auto"/>
        </w:rPr>
        <w:t>”) relating to certain governance matters of the Company, including the composition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implementation of a proposal for an amendment of the Restated Certificate of Incorporation of the Company (the “</w:t>
      </w:r>
      <w:r>
        <w:rPr>
          <w:rFonts w:ascii="Arial" w:cs="Arial" w:eastAsia="Arial" w:hAnsi="Arial"/>
          <w:sz w:val="17"/>
          <w:szCs w:val="17"/>
          <w:u w:val="single" w:color="auto"/>
          <w:color w:val="auto"/>
        </w:rPr>
        <w:t>Charter</w:t>
      </w:r>
      <w:r>
        <w:rPr>
          <w:rFonts w:ascii="Arial" w:cs="Arial" w:eastAsia="Arial" w:hAnsi="Arial"/>
          <w:sz w:val="17"/>
          <w:szCs w:val="17"/>
          <w:color w:val="auto"/>
        </w:rPr>
        <w:t>”) to stagger the Board and employment status of the CEO of the Company. The foregoing description of the Voting and Governance Agreement does not purport to be complete and is subject to, and qualified in its entirety by, the full text of the Voting and Governance Agreement attached as Exhibit 10.4 hereto, which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Limited Liability Company Agreement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August 31, 2018, the Company entered into the Fourth Amended and Restated Limited Liability Company Agreement of Yield LLC with Zephyr Renewables (the “</w:t>
      </w:r>
      <w:r>
        <w:rPr>
          <w:rFonts w:ascii="Arial" w:cs="Arial" w:eastAsia="Arial" w:hAnsi="Arial"/>
          <w:sz w:val="17"/>
          <w:szCs w:val="17"/>
          <w:u w:val="single" w:color="auto"/>
          <w:color w:val="auto"/>
        </w:rPr>
        <w:t>Fourth Amended and Restated Limited Liability Company Agreement</w:t>
      </w:r>
      <w:r>
        <w:rPr>
          <w:rFonts w:ascii="Arial" w:cs="Arial" w:eastAsia="Arial" w:hAnsi="Arial"/>
          <w:sz w:val="17"/>
          <w:szCs w:val="17"/>
          <w:color w:val="auto"/>
        </w:rPr>
        <w:t>”), which sets forth the rights and obligations of the Company, as managing member, and Zephyr Renewables, as member, of Yield LLC. The foregoing description of the Fourth Amended and Restated Limited Liability Company Agreement does not purport to be complete and is subject to, and qualified in its entirety by, the full text of the Fourth Amended and Restated Limited Liability Company Agreement attached as Exhibit 10.6 hereto, which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Transition Services Agreement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entered into a Transition Services Agreement with NRG (the “</w:t>
      </w:r>
      <w:r>
        <w:rPr>
          <w:rFonts w:ascii="Arial" w:cs="Arial" w:eastAsia="Arial" w:hAnsi="Arial"/>
          <w:sz w:val="18"/>
          <w:szCs w:val="18"/>
          <w:u w:val="single" w:color="auto"/>
          <w:color w:val="auto"/>
        </w:rPr>
        <w:t>NRG TSA</w:t>
      </w:r>
      <w:r>
        <w:rPr>
          <w:rFonts w:ascii="Arial" w:cs="Arial" w:eastAsia="Arial" w:hAnsi="Arial"/>
          <w:sz w:val="18"/>
          <w:szCs w:val="18"/>
          <w:color w:val="auto"/>
        </w:rPr>
        <w:t>”), pursuant to which NRG or certain of its affiliates will provide certain services to the Company following the consummation of the Company Securities Transaction, in exchange for the payment of a fee in respect of such services. The foregoing description of the NRG TSA does not purport to be complete and is subject to, and qualified in its entirety by, the full text of the NRG TSA attached as Exhibit 10.7 hereto, which is incorporated herein by reference.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364-Day Bridge Credit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August 31, 2018, each of Yield Operating LLC, as borrower, and Yield LLC, as guarantor, entered into a senior unsecured 364-Day Bridge Credit Agreement (the “</w:t>
      </w:r>
      <w:r>
        <w:rPr>
          <w:rFonts w:ascii="Arial" w:cs="Arial" w:eastAsia="Arial" w:hAnsi="Arial"/>
          <w:sz w:val="18"/>
          <w:szCs w:val="18"/>
          <w:u w:val="single" w:color="auto"/>
          <w:color w:val="auto"/>
        </w:rPr>
        <w:t>Bridge Credit Agreement</w:t>
      </w:r>
      <w:r>
        <w:rPr>
          <w:rFonts w:ascii="Arial" w:cs="Arial" w:eastAsia="Arial" w:hAnsi="Arial"/>
          <w:sz w:val="18"/>
          <w:szCs w:val="18"/>
          <w:color w:val="auto"/>
        </w:rPr>
        <w:t>”) with certain subsidiaries of Yield Operating LLC party thereto, as guarantors, Royal Bank of Canada, as administrative agent, the lenders party thereto and the other parties listed on the signature pages thereof.</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Bridge Credit Agreement provides that Yield Operating LLC can borrow up to a maximum principal amount of $1.5 billion at a rate per annum equal to LIBOR or a base rate plus an applicable margin equal to 3.00% in the case of LIBOR loans and 2.00% in the case of base rate loans, in each case</w:t>
      </w:r>
    </w:p>
    <w:p>
      <w:pPr>
        <w:sectPr>
          <w:pgSz w:w="11900" w:h="16975" w:orient="portrait"/>
          <w:cols w:equalWidth="0" w:num="1">
            <w:col w:w="11400"/>
          </w:cols>
          <w:pgMar w:left="240" w:top="125" w:right="259" w:bottom="0" w:gutter="0" w:footer="0" w:header="0"/>
        </w:sectPr>
      </w:pPr>
    </w:p>
    <w:bookmarkStart w:id="2" w:name="page3"/>
    <w:bookmarkEnd w:id="2"/>
    <w:p>
      <w:pPr>
        <w:spacing w:after="0" w:line="106"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subject to an additional 0.25% on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effective date of the Bridge Credit Agreement, 0.25% on the 180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such effective date and 0.50% on each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Bridge Credit Agreement, provided that Yield Operating LLC may elect in its sole discretion to extend the maturity of up to one-third of the loans that are outstanding 60 days prior to such date for an additional 90-day period, so long as at least $300.0 million principal amount of loans remain outstanding. Any such extension would be subject to the payment of an extension fee equal to 0.50% of the aggregate principal amount of the loans subject to such extension. In addition, the lenders under the Bridge Credit Agreement will be paid a duration fee of 0.50% of the aggregate principal amount of outstanding loans on each of the 90</w:t>
      </w:r>
      <w:r>
        <w:rPr>
          <w:rFonts w:ascii="Arial" w:cs="Arial" w:eastAsia="Arial" w:hAnsi="Arial"/>
          <w:sz w:val="20"/>
          <w:szCs w:val="20"/>
          <w:color w:val="auto"/>
          <w:vertAlign w:val="superscript"/>
        </w:rPr>
        <w:t>th</w:t>
      </w:r>
      <w:r>
        <w:rPr>
          <w:rFonts w:ascii="Arial" w:cs="Arial" w:eastAsia="Arial" w:hAnsi="Arial"/>
          <w:sz w:val="16"/>
          <w:szCs w:val="16"/>
          <w:color w:val="auto"/>
        </w:rPr>
        <w:t>, 180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271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days after the effective date of the Bridge Credit Agreement.</w:t>
      </w:r>
    </w:p>
    <w:p>
      <w:pPr>
        <w:spacing w:after="0" w:line="9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Unused commitments under the Bridge Credit Agreement will be reduced (a) on the business day immediately succeeding the day on which the Company has satisfied its obligations under the 2014 Indenture and the 2015 Indenture to repurchase the Convertible Notes pursuant to the Repurchase Right and to settle all Convertible Notes in connection with the Zephyr Transaction, in an amount equal to the principal amount of the Convertible Notes that then remain outstanding, and (b) upon the completion of a successful consent solicitation, if any, providing a waiver with respect to the change of control offer requirements under a series of Yield Operating LLC’s outstanding senior notes, in an amount equal to the principal amount of the senior notes of such series. In addition, outstanding loans under the Bridge Credit Agreement are required to be prepaid with the net cash proceeds received in connection with certain debt incurrences, equity issuances and non-ordinary course asset sales.</w:t>
      </w:r>
    </w:p>
    <w:p>
      <w:pPr>
        <w:spacing w:after="0" w:line="17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Borrowings under the Bridge Credit Agreement are guaranteed by Yield LLC and certain subsidiaries of Yield Operating LLC. The Bridge Credit Agreement contains covenants that limit certain of Yield Operating LLC’s and the guarantors’ activities, including those relating to mergers, consolidations, and granting additional security interests to secure debt. The Bridge Credit Agreement also contains customary events of default and related cure provisions, including the requirement that Yield Operating LLC pay additional interest at the rate of 2.0% per year upon the occurrence of certain events of default.</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foregoing summary of the Bridge Credit Agreement and the transactions contemplated thereby does not purport to be complete and is subject to, and qualified in its entirety by, the full text of the Bridge Credit Agreement, a copy of which is attached to this Current Report on Form 8-K as Exhibit 10.8 and incorporated herein by reference. A press release announcing the entry into the Bridge Credit Agreement is attached as Exhibit 99.1 to this Current Report on Form 8-K.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August 31, 2018, in connection with the consummation of the Company Securities Transaction, the Company entered into a Termination Agreement (the “</w:t>
      </w:r>
      <w:r>
        <w:rPr>
          <w:rFonts w:ascii="Arial" w:cs="Arial" w:eastAsia="Arial" w:hAnsi="Arial"/>
          <w:sz w:val="18"/>
          <w:szCs w:val="18"/>
          <w:u w:val="single" w:color="auto"/>
          <w:color w:val="auto"/>
        </w:rPr>
        <w:t>MSA Termination Agreement</w:t>
      </w:r>
      <w:r>
        <w:rPr>
          <w:rFonts w:ascii="Arial" w:cs="Arial" w:eastAsia="Arial" w:hAnsi="Arial"/>
          <w:sz w:val="18"/>
          <w:szCs w:val="18"/>
          <w:color w:val="auto"/>
        </w:rPr>
        <w:t>”) with Yield LLC, Yield Operating LLC and NRG terminating the Management Services Agreement, dated as of July 22, 2013 (the “</w:t>
      </w:r>
      <w:r>
        <w:rPr>
          <w:rFonts w:ascii="Arial" w:cs="Arial" w:eastAsia="Arial" w:hAnsi="Arial"/>
          <w:sz w:val="18"/>
          <w:szCs w:val="18"/>
          <w:u w:val="single" w:color="auto"/>
          <w:color w:val="auto"/>
        </w:rPr>
        <w:t>Original MSA</w:t>
      </w:r>
      <w:r>
        <w:rPr>
          <w:rFonts w:ascii="Arial" w:cs="Arial" w:eastAsia="Arial" w:hAnsi="Arial"/>
          <w:sz w:val="18"/>
          <w:szCs w:val="18"/>
          <w:color w:val="auto"/>
        </w:rPr>
        <w:t>”) by and among the Company, Yield LLC, Yield Operating LLC and NRG.</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foregoing summary of the MSA Termination Agreement and the transactions contemplated thereby does not purport to be complete and is subject to, and qualified in its entirety by, the full text of the MSA Termination Agreement, attached as Exhibit 10.9 hereto, which is incorporated herein by reference. For further information regarding specific terms and conditions of the Original MSA, reference is made to such agreement, which was filed with the SEC on July 26, 2013, as Exhibit 10.4 to the Company’s Current Report on Form 8-K and is incorporated by reference 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Bridge Credit Agreement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2.04 Triggering Events That Accelerate or Increase a Direct Financial Obligation or an Obligation under an Off-Balance Sheet Arrangement.</w:t>
      </w:r>
    </w:p>
    <w:p>
      <w:pPr>
        <w:spacing w:after="0" w:line="25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consummation of the Company Securities Transaction on August 31, 2018 constituted a “Fundamental Change” and “Make-Whole Fundamental Change” under each of (1) the Indenture, dated February 11, 2014, by and among the Company, as issuer, Yield Operating LLC and Yield LLC, as guarantors, and Wilmington Trust, National Association, as trustee (the “</w:t>
      </w:r>
      <w:r>
        <w:rPr>
          <w:rFonts w:ascii="Arial" w:cs="Arial" w:eastAsia="Arial" w:hAnsi="Arial"/>
          <w:sz w:val="16"/>
          <w:szCs w:val="16"/>
          <w:u w:val="single" w:color="auto"/>
          <w:color w:val="auto"/>
        </w:rPr>
        <w:t>2014 Indenture</w:t>
      </w:r>
      <w:r>
        <w:rPr>
          <w:rFonts w:ascii="Arial" w:cs="Arial" w:eastAsia="Arial" w:hAnsi="Arial"/>
          <w:sz w:val="16"/>
          <w:szCs w:val="16"/>
          <w:color w:val="auto"/>
        </w:rPr>
        <w:t>”), governing the 3.50% Convertible Senior Notes due 2019 (the “</w:t>
      </w:r>
      <w:r>
        <w:rPr>
          <w:rFonts w:ascii="Arial" w:cs="Arial" w:eastAsia="Arial" w:hAnsi="Arial"/>
          <w:sz w:val="16"/>
          <w:szCs w:val="16"/>
          <w:u w:val="single" w:color="auto"/>
          <w:color w:val="auto"/>
        </w:rPr>
        <w:t>2019 Notes</w:t>
      </w:r>
      <w:r>
        <w:rPr>
          <w:rFonts w:ascii="Arial" w:cs="Arial" w:eastAsia="Arial" w:hAnsi="Arial"/>
          <w:sz w:val="16"/>
          <w:szCs w:val="16"/>
          <w:color w:val="auto"/>
        </w:rPr>
        <w:t>”), of which $329.2 million aggregate principal amount are outstanding, and (2) the Indenture, dated June 29, 2015, by and among the Company, as issuer, Yield Operating LLC and Yield LLC, as guarantors, and Wilmington Trust, National Association, as trustee (the “</w:t>
      </w:r>
      <w:r>
        <w:rPr>
          <w:rFonts w:ascii="Arial" w:cs="Arial" w:eastAsia="Arial" w:hAnsi="Arial"/>
          <w:sz w:val="16"/>
          <w:szCs w:val="16"/>
          <w:u w:val="single" w:color="auto"/>
          <w:color w:val="auto"/>
        </w:rPr>
        <w:t>2015 Indenture</w:t>
      </w:r>
      <w:r>
        <w:rPr>
          <w:rFonts w:ascii="Arial" w:cs="Arial" w:eastAsia="Arial" w:hAnsi="Arial"/>
          <w:sz w:val="16"/>
          <w:szCs w:val="16"/>
          <w:color w:val="auto"/>
        </w:rPr>
        <w:t>”), governing the 3.25% Convertible Senior Notes due 2020 (the “</w:t>
      </w:r>
      <w:r>
        <w:rPr>
          <w:rFonts w:ascii="Arial" w:cs="Arial" w:eastAsia="Arial" w:hAnsi="Arial"/>
          <w:sz w:val="16"/>
          <w:szCs w:val="16"/>
          <w:u w:val="single" w:color="auto"/>
          <w:color w:val="auto"/>
        </w:rPr>
        <w:t>2020 Notes</w:t>
      </w:r>
      <w:r>
        <w:rPr>
          <w:rFonts w:ascii="Arial" w:cs="Arial" w:eastAsia="Arial" w:hAnsi="Arial"/>
          <w:sz w:val="16"/>
          <w:szCs w:val="16"/>
          <w:color w:val="auto"/>
        </w:rPr>
        <w:t>” and together with the 2019 Notes,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 of which $287.5 million aggregate principal amount are outstanding. As a result, holders of the Convertible Notes have the right to require the Company to purchase for cash all or any portion of their Convertible Notes on a date to be specified by the Company (the “</w:t>
      </w:r>
      <w:r>
        <w:rPr>
          <w:rFonts w:ascii="Arial" w:cs="Arial" w:eastAsia="Arial" w:hAnsi="Arial"/>
          <w:sz w:val="16"/>
          <w:szCs w:val="16"/>
          <w:u w:val="single" w:color="auto"/>
          <w:color w:val="auto"/>
        </w:rPr>
        <w:t>Fundamental Change Purchase Date</w:t>
      </w:r>
      <w:r>
        <w:rPr>
          <w:rFonts w:ascii="Arial" w:cs="Arial" w:eastAsia="Arial" w:hAnsi="Arial"/>
          <w:sz w:val="16"/>
          <w:szCs w:val="16"/>
          <w:color w:val="auto"/>
        </w:rPr>
        <w:t>”) at a price equal to 100% of the principal amount of the Convertible Notes to be purchased, plus accrued and unpaid interest, if any, to but excluding, the Fundamental Change Purchase Date, as set forth in the applicable Indenture (the “</w:t>
      </w:r>
      <w:r>
        <w:rPr>
          <w:rFonts w:ascii="Arial" w:cs="Arial" w:eastAsia="Arial" w:hAnsi="Arial"/>
          <w:sz w:val="16"/>
          <w:szCs w:val="16"/>
          <w:u w:val="single" w:color="auto"/>
          <w:color w:val="auto"/>
        </w:rPr>
        <w:t>Repurchase Right</w:t>
      </w:r>
      <w:r>
        <w:rPr>
          <w:rFonts w:ascii="Arial" w:cs="Arial" w:eastAsia="Arial" w:hAnsi="Arial"/>
          <w:sz w:val="16"/>
          <w:szCs w:val="16"/>
          <w:color w:val="auto"/>
        </w:rPr>
        <w:t>”), which notice will be provided to the holders of the Convertible Notes by September 10, 2018. In addition, holders of the 2019 Notes have the right to convert all or any portion of their 2019 Notes at any time prior to 5:00 p.m., New York City time, on January 30, 2019, which is the second Scheduled Trading Day (as defined in the 2014 Indenture) immediately preceding the maturity date of February 1,</w:t>
      </w:r>
    </w:p>
    <w:p>
      <w:pPr>
        <w:spacing w:after="0" w:line="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2019 for cash in an amount equal to the sum of the Daily Conversion Values (as defined in the 2014 Indenture) during the 40-trading day period ending two trading days before the maturity date (as may be adjusted under the 2014 Indenture as a result of the Make-Whole Fundamental Change). Pursuant to the terms of the 2014 Indenture, on July 26, 2018, the Company made an irrevocable election to settle the conversion of any 2019 Notes validly submitted for conversion on or after August 1, 2018 entirely in cash. Because the Company Securities Transaction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constitutes a Make-Whole Fundamental Change under the 2014 Indenture, the conversion rate applicable to 2019 Notes surrendered for conversion at any time from and including August 31, 2018, the date on which the Make-Whole Fundamental Change occurred, up to and including the business day immediately prior to the Fundamental Change Purchase Date (such period, the “</w:t>
      </w:r>
      <w:r>
        <w:rPr>
          <w:rFonts w:ascii="Arial" w:cs="Arial" w:eastAsia="Arial" w:hAnsi="Arial"/>
          <w:sz w:val="16"/>
          <w:szCs w:val="16"/>
          <w:u w:val="single" w:color="auto"/>
          <w:color w:val="auto"/>
        </w:rPr>
        <w:t>Make-Whole Fundamental Change Period</w:t>
      </w:r>
      <w:r>
        <w:rPr>
          <w:rFonts w:ascii="Arial" w:cs="Arial" w:eastAsia="Arial" w:hAnsi="Arial"/>
          <w:sz w:val="16"/>
          <w:szCs w:val="16"/>
          <w:color w:val="auto"/>
        </w:rPr>
        <w:t>”), shall be increased by additional shares, as determined by the Company in accordance with the 2014 Indenture. The Company has determined that the additional shares per $1,000 principal</w:t>
      </w:r>
    </w:p>
    <w:p>
      <w:pPr>
        <w:sectPr>
          <w:pgSz w:w="11900" w:h="16945" w:orient="portrait"/>
          <w:cols w:equalWidth="0" w:num="1">
            <w:col w:w="11420"/>
          </w:cols>
          <w:pgMar w:left="240" w:top="125" w:right="239" w:bottom="0" w:gutter="0" w:footer="0" w:header="0"/>
        </w:sectPr>
      </w:pPr>
    </w:p>
    <w:bookmarkStart w:id="3" w:name="page4"/>
    <w:bookmarkEnd w:id="3"/>
    <w:p>
      <w:pPr>
        <w:ind w:right="40"/>
        <w:spacing w:after="0" w:line="302" w:lineRule="auto"/>
        <w:rPr>
          <w:sz w:val="20"/>
          <w:szCs w:val="20"/>
          <w:color w:val="auto"/>
        </w:rPr>
      </w:pPr>
      <w:r>
        <w:rPr>
          <w:rFonts w:ascii="Arial" w:cs="Arial" w:eastAsia="Arial" w:hAnsi="Arial"/>
          <w:sz w:val="16"/>
          <w:szCs w:val="16"/>
          <w:color w:val="auto"/>
        </w:rPr>
        <w:t>amount of the 2019 Notes converted during the Make-Whole Fundamental Change Period is equal to 7.4334 additional shares and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before or after the Make-Whole Fundamental Change Period will not be increased by the additional shares.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of the 2020 Notes have the right to convert all or any portion of their 2020 Notes at any time prior to 5:00 p.m., New York City time,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day immediately preceding the Fundamental Change Purchase Date. Upon conversion of any 2020 Notes, the Company will pay or deliver,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may be, to the converting holder, at the Company’s election, cash, shares of the Company’s Class C common stock, $0.01 par value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or any combination of the foregoing based on the then applicable conversion rate (as may be adjusted under the 2015 Indenture)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2015 Indenture. Although the Company Securities Transaction constitutes a Make-Whole Fundamental Change under the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no increase to the conversion rate for the 2020 Notes will apply as a result of the Make-Whole Fundamental Change because the applicable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for the Class C Common Stock is less than the lowest price set forth in the make-whole table in the 2015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1.01 and 5.02 is incorporated by reference herein.</w:t>
      </w:r>
    </w:p>
    <w:p>
      <w:pPr>
        <w:spacing w:after="0" w:line="2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Effective immediately upon the consummation of the Company Securities Transaction, in accordance with the terms of the Consent and Indemnity Agreement and Voting and Governance Agreement, the size of the Board was increased to nine directors, which now include five directors designated by GIP, three independent directors currently serving on the Board, John Chlebowski, Brian Ford and Ferrell McClean, and Christopher S. Sotos, the CEO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Kirkland B. Andrews, John Chillemi and Mauricio Gutierrez</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On August 31, 2018, Messrs. Kirkland B. Andrews, John Chillemi and Mauricio Gutierrez resigned from their respective positions as members of the board of directors of the Company. Each of their respective resignations was effective upon the consummation of the Company Securities Transaction. Each of their respective resignations was not the result, in whole or in part, of any disagreement with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David Callen as Vice President and Chief Accounting Officer</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August 31, 2018, effective immediately upon the consummation of the Company Securities Transaction, David Callen resigned from his position as Vice President and Chief Accounting Officer of the Company. Mr. Callen’s resignation as Vice President and Chief Accounting Officer of the Company was not the result, in whole or in part, of any disagreement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Ms. Mary-Lee Stillwell as Vice President and Chief Accounting Officer</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August 31, 2018, effective immediately upon the consummation of the Company Securities Transaction, Mary-Lee Stillwell was appointed as Vice President and Chief Accounting Officer of the Company. Ms. Stillwell, age 45, previously 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 — Integration and Internal Controls of GenOn Energy, Inc., in Houston, Texas, from September 2010 to December 2012, where she was responsible for all Sarbanes-Oxley compliance as well as integrations of mergers and acquisitions. From April 2008 to September 2010, Ms. Stillwell served as the Director of Financial and Tax Reporting for RRI Energy, Inc. and held various other accounting positions with the predecessor companies of RRI Energy, Inc. since January 2003. Prior to this, Ms. Stillwell was an auditor with PricewaterhouseCoopers in Houston, Texas. In connection with her appointment, Ms. Stillwell will receive a special one-time grant of Restricted Stock Units from the NRG Yield Long-Term Incentive Plan. The value of this award will be based upon the value of outstanding, unvested awards which forfeit upon her termination of employment with NRG.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31, 2018, effective immediately upon the consummation of the Company Securities Transaction and the resignations of Messrs. Kirkland B. Andrews, John Chillemi and Mauricio Gutierrez from their respective positions as directors of the Board, Messrs. Jonathan Bram, Bruce MacLennan, E. Stanley O’Neal, Scott Stanley and Nathaniel Anschuetz became members of the board of directors of the Company. Certain biographical and other information with respect to each director is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Biography of Jonathan Bram</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Jonathan Bram, 53,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holds an A.B. in Economics from Columbia College. He is a member of the Board of Directors of Guacolda Energia, S.A. and previously served on the board of Terra-Gen Power as well as Channelview Cogeneration. Mr. Bram was selected to serve as a director due to, among other factors, his investment and strategic experience, his leadership skills, and his experience in mergers and acquisitions in the renewables sector, including GIP’s prior investment in Terra-Gen.</w:t>
      </w:r>
    </w:p>
    <w:p>
      <w:pPr>
        <w:sectPr>
          <w:pgSz w:w="11900" w:h="16838" w:orient="portrait"/>
          <w:cols w:equalWidth="0" w:num="1">
            <w:col w:w="11400"/>
          </w:cols>
          <w:pgMar w:left="240" w:top="125" w:right="259" w:bottom="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Biography of Bruce MacLennan</w:t>
      </w:r>
    </w:p>
    <w:p>
      <w:pPr>
        <w:sectPr>
          <w:pgSz w:w="11900" w:h="16838" w:orient="portrait"/>
          <w:cols w:equalWidth="0" w:num="1">
            <w:col w:w="11400"/>
          </w:cols>
          <w:pgMar w:left="240" w:top="125" w:right="259" w:bottom="0" w:gutter="0" w:footer="0" w:header="0"/>
          <w:type w:val="continuous"/>
        </w:sectPr>
      </w:pPr>
    </w:p>
    <w:bookmarkStart w:id="4" w:name="page5"/>
    <w:bookmarkEnd w:id="4"/>
    <w:p>
      <w:pPr>
        <w:ind w:firstLine="648"/>
        <w:spacing w:after="0" w:line="272" w:lineRule="auto"/>
        <w:rPr>
          <w:sz w:val="20"/>
          <w:szCs w:val="20"/>
          <w:color w:val="auto"/>
        </w:rPr>
      </w:pPr>
      <w:r>
        <w:rPr>
          <w:rFonts w:ascii="Arial" w:cs="Arial" w:eastAsia="Arial" w:hAnsi="Arial"/>
          <w:sz w:val="17"/>
          <w:szCs w:val="17"/>
          <w:color w:val="auto"/>
        </w:rPr>
        <w:t>Bruce MacLennan, 51, is a Partner of GIP since January 2018 and serves on its Investment and Operating 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Competitive Power Ventures. Mr. MacLennan was selected to serve as a director due to, among other factors, his renewables industry background, his expertise in mergers and acquisitions and capital markets, and his leadership skills.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Biography of E. Stanley O’Neal</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 Stanley O’Neal, 66,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Biography of Scott Stanley</w:t>
      </w:r>
    </w:p>
    <w:p>
      <w:pPr>
        <w:spacing w:after="0" w:line="225"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Scott Stanley, 61, is an Operating Partner of GIP since August 2018 and has been employed by GIP since April 2007 as an Operating Principal. Mr. Stanley holds a B.S. in Ceramic Engineering from The Ohio State University and has 39 years of experience in operational roles, including prior assignments with GE, Honeywell, and United Technologies. Working predominantly in the transport sector with GIP, Mr. Stanley has held roles as Chief Operating Officer with London City Airport, Gatwick Airport, and Pacific National and also served on the Board of Directors at Edinburgh Airport. Mr. Stanley was selected to serve as a director due to, among other factors, his operational and strategic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Biography of Nathaniel Anschuetz</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Nathaniel Anschuetz, 31, is a Vice President at GIP. Prior to joining GIP in 2012, Mr. Anschuetz was an Analyst in the Power &amp; Utilities Coverage Group at Citigroup from June 2010 through June 2012. Mr. Anschuetz holds a B.A. in Economics and Operations Research, and a concentration in Sustainable Development from Columbia College. Mr. Anschuetz was selected to serve as a director due to, among other factors, his renewables expertise.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31, 2018, the Company filed a Certificate of Amendment to the Charter with the Secretary of State of the State of Delaware to change the Company’s name to “Clearway Energy, Inc.” effective as of August 31, 2018 (the “</w:t>
      </w:r>
      <w:r>
        <w:rPr>
          <w:rFonts w:ascii="Arial" w:cs="Arial" w:eastAsia="Arial" w:hAnsi="Arial"/>
          <w:sz w:val="18"/>
          <w:szCs w:val="18"/>
          <w:u w:val="single" w:color="auto"/>
          <w:color w:val="auto"/>
        </w:rPr>
        <w:t>Name Change</w:t>
      </w:r>
      <w:r>
        <w:rPr>
          <w:rFonts w:ascii="Arial" w:cs="Arial" w:eastAsia="Arial" w:hAnsi="Arial"/>
          <w:sz w:val="18"/>
          <w:szCs w:val="18"/>
          <w:color w:val="auto"/>
        </w:rPr>
        <w:t>”).</w:t>
      </w:r>
    </w:p>
    <w:p>
      <w:pPr>
        <w:spacing w:after="0" w:line="170"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Additionally, the Board amended and restated the Third Amended and Restated Bylaws of the Company (the “</w:t>
      </w:r>
      <w:r>
        <w:rPr>
          <w:rFonts w:ascii="Arial" w:cs="Arial" w:eastAsia="Arial" w:hAnsi="Arial"/>
          <w:sz w:val="16"/>
          <w:szCs w:val="16"/>
          <w:u w:val="single" w:color="auto"/>
          <w:color w:val="auto"/>
        </w:rPr>
        <w:t>Fourth Amended and Restated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Bylaws</w:t>
      </w:r>
      <w:r>
        <w:rPr>
          <w:rFonts w:ascii="Arial" w:cs="Arial" w:eastAsia="Arial" w:hAnsi="Arial"/>
          <w:sz w:val="16"/>
          <w:szCs w:val="16"/>
          <w:color w:val="auto"/>
        </w:rPr>
        <w:t>”), effective upon the effectiveness of the Certificate of Amendment, to reflect the Company’s name change to Clearway Energy, Inc..</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foregoing description of the Certificate of Amendment and the Fourth Amended and Restated Bylaws do not purport to be complete and are subject to, and qualified in their entirety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full text of the Certificate of Amendment and the Fourth Amended and Restated Bylaws attached hereto as Exhibits 3.1 and 3.2, respectively,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August 31, 2018, the Company issued a press release announcing the consummation of the Company Securities Transaction and the Name Change. A copy of the press release is furnished herewith as Exhibit 99.1.</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connection with the Name Change, new CUSIP numbers and ticker symbols were assigned to the Company’s Class A common stock, $0.01 par value per share, and Class C common stock, $0.01 par value per share. The new CUSIP number for the Class A common stock is 18539C 105 and the new CUSIP number for the Class C common stock is 18539C 204. The Company’s Class A common stock will trade on the New York Stock Exchange under the symbol “CWEN.A”. The Company’s Class C common stock will trade on the New York Stock Exchange under the symbol “CWEN”. The Company anticipates that trading under the new name, CUSIP numbers and ticker symbols will begin at the opening of trading on September 17, 2018.</w:t>
      </w:r>
    </w:p>
    <w:p>
      <w:pPr>
        <w:spacing w:after="0" w:line="15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information in Exhibit 99.1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The information Exhibit 99.1 shall not be incorporated by reference into any filing or other document under the Securities Act of 1933, as amended, or the Exchange Act, except as shall be expressly set forth by specific reference in such filing or document.</w:t>
      </w:r>
    </w:p>
    <w:p>
      <w:pPr>
        <w:sectPr>
          <w:pgSz w:w="11900" w:h="16838" w:orient="portrait"/>
          <w:cols w:equalWidth="0" w:num="1">
            <w:col w:w="11400"/>
          </w:cols>
          <w:pgMar w:left="240" w:top="341" w:right="259" w:bottom="0" w:gutter="0" w:footer="0" w:header="0"/>
        </w:sectPr>
      </w:pPr>
    </w:p>
    <w:bookmarkStart w:id="5" w:name="page6"/>
    <w:bookmarkEnd w:id="5"/>
    <w:p>
      <w:pPr>
        <w:ind w:right="220" w:firstLine="648"/>
        <w:spacing w:after="0" w:line="264"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This Form 8-K and the press release contain forward-looking statements which involve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risks and uncertainties that could cause actual results to differ materially from those expressed or implied by these statements. Please refer to the cautionary note in the press release regarding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12"/>
          </w:tcPr>
          <w:p>
            <w:pPr>
              <w:ind w:left="54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7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Certificate of Amendment for the Restated Certificate of Incorporation of Clearway Energy, Inc., dated August 31, 2018</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86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Fourth Amended and Restated Bylaws of Clearway Energy, Inc., dated August 31, 2018</w:t>
              </w:r>
            </w:hyperlink>
          </w:p>
        </w:tc>
        <w:tc>
          <w:tcPr>
            <w:tcW w:w="104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Master Services Agreement, dated as of August 31, 2018, by and among NRG Yield, Inc., NRG Yield LLC, NRG Yield Operating</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LLC and Zephyr Renewables LLC</w:t>
              </w:r>
            </w:hyperlink>
          </w:p>
        </w:tc>
        <w:tc>
          <w:tcPr>
            <w:tcW w:w="6880" w:type="dxa"/>
            <w:vAlign w:val="bottom"/>
            <w:tcBorders>
              <w:top w:val="single" w:sz="8" w:color="0000EE"/>
            </w:tcBorders>
            <w:gridSpan w:val="10"/>
          </w:tcPr>
          <w:p>
            <w:pPr>
              <w:spacing w:after="0"/>
              <w:rPr>
                <w:sz w:val="17"/>
                <w:szCs w:val="17"/>
                <w:color w:val="auto"/>
              </w:rPr>
            </w:pPr>
          </w:p>
        </w:tc>
        <w:tc>
          <w:tcPr>
            <w:tcW w:w="3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340" w:type="dxa"/>
            <w:vAlign w:val="bottom"/>
          </w:tcPr>
          <w:p>
            <w:pPr>
              <w:spacing w:after="0"/>
              <w:rPr>
                <w:sz w:val="17"/>
                <w:szCs w:val="17"/>
                <w:color w:val="auto"/>
              </w:rPr>
            </w:pPr>
          </w:p>
        </w:tc>
        <w:tc>
          <w:tcPr>
            <w:tcW w:w="97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Master Services Agreement, dated as of August 31, 2018, by and among Zephyr Renewables LLC, NRG Yield, Inc., NRG Yield LLC,</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and NRG Yield Operating LLC</w:t>
              </w:r>
            </w:hyperlink>
          </w:p>
        </w:tc>
        <w:tc>
          <w:tcPr>
            <w:tcW w:w="742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96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Right of First Offer Agreement, dated as of August 31, 2018, by and among NRG Yield, Inc., Zephyr Renewables LLC and solely for</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purposes of Section 2.4, GIP III Zephyr Acquisition Partners, L.P.</w:t>
              </w:r>
            </w:hyperlink>
          </w:p>
        </w:tc>
        <w:tc>
          <w:tcPr>
            <w:tcW w:w="494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3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Zephyr Voting and Governance Agreement, dated as of August 31, 2018, by and between NRG Yield, Inc. and Zephyr Renewables</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LLC</w:t>
              </w:r>
            </w:hyperlink>
          </w:p>
        </w:tc>
        <w:tc>
          <w:tcPr>
            <w:tcW w:w="2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3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20" w:type="dxa"/>
            <w:vAlign w:val="bottom"/>
            <w:gridSpan w:val="7"/>
          </w:tcPr>
          <w:p>
            <w:pPr>
              <w:jc w:val="right"/>
              <w:ind w:right="648"/>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gridSpan w:val="2"/>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Third Amended and Restated Right of First Offer Agreement, dated as of August 31, 2018, by and between NRG Yield, Inc. and NRG</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Energy, Inc.</w:t>
              </w:r>
            </w:hyperlink>
          </w:p>
        </w:tc>
        <w:tc>
          <w:tcPr>
            <w:tcW w:w="882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340" w:type="dxa"/>
            <w:vAlign w:val="bottom"/>
          </w:tcPr>
          <w:p>
            <w:pPr>
              <w:spacing w:after="0"/>
              <w:rPr>
                <w:sz w:val="17"/>
                <w:szCs w:val="17"/>
                <w:color w:val="auto"/>
              </w:rPr>
            </w:pPr>
          </w:p>
        </w:tc>
        <w:tc>
          <w:tcPr>
            <w:tcW w:w="92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Fourth Amended and Restated Limited Liability Company Agreement of NRG Yield LLC, dated as of August 31, 2018, by and</w:t>
              </w:r>
            </w:hyperlink>
          </w:p>
        </w:tc>
        <w:tc>
          <w:tcPr>
            <w:tcW w:w="5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between NRG Yield, Inc. and Zephyr Renewables LLC</w:t>
              </w:r>
            </w:hyperlink>
          </w:p>
        </w:tc>
        <w:tc>
          <w:tcPr>
            <w:tcW w:w="570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3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Transition Services Agreement, dated August 31, 2018, by and between NRG Yield, Inc. and NRG Energy, Inc.</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7"/>
                <w:szCs w:val="17"/>
                <w:color w:val="auto"/>
              </w:rPr>
            </w:pPr>
          </w:p>
        </w:tc>
        <w:tc>
          <w:tcPr>
            <w:tcW w:w="9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364-Day Bridge Credit Agreement, dated August 31, 2018, by and between NRG Yield Operating LLC, as borrower, NRG Yield</w:t>
              </w:r>
            </w:hyperlink>
          </w:p>
        </w:tc>
        <w:tc>
          <w:tcPr>
            <w:tcW w:w="4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LLC, as holdings, the lenders party thereto and Royal Bank of Canada, as administrative agent</w:t>
              </w:r>
            </w:hyperlink>
          </w:p>
        </w:tc>
        <w:tc>
          <w:tcPr>
            <w:tcW w:w="288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34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Termination Agreement, dated as of August 31, 2018, by and among NRG Yield, Inc., NRG Yield LLC, NRG Yield Operating LLC</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and NRG Energy, Inc.</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Press Release, dated August 31, 2018</w:t>
              </w:r>
            </w:hyperlink>
          </w:p>
        </w:tc>
        <w:tc>
          <w:tcPr>
            <w:tcW w:w="40" w:type="dxa"/>
            <w:vAlign w:val="bottom"/>
          </w:tcPr>
          <w:p>
            <w:pPr>
              <w:spacing w:after="0"/>
              <w:rPr>
                <w:sz w:val="17"/>
                <w:szCs w:val="17"/>
                <w:color w:val="auto"/>
              </w:rPr>
            </w:pPr>
          </w:p>
        </w:tc>
      </w:tr>
      <w:tr>
        <w:trPr>
          <w:trHeight w:val="453"/>
        </w:trPr>
        <w:tc>
          <w:tcPr>
            <w:tcW w:w="13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680" w:type="dxa"/>
            <w:vAlign w:val="bottom"/>
            <w:tcBorders>
              <w:top w:val="single" w:sz="8" w:color="0000EE"/>
            </w:tcBorders>
            <w:gridSpan w:val="6"/>
          </w:tcPr>
          <w:p>
            <w:pPr>
              <w:spacing w:after="0"/>
              <w:rPr>
                <w:sz w:val="24"/>
                <w:szCs w:val="24"/>
                <w:color w:val="auto"/>
              </w:rPr>
            </w:pPr>
          </w:p>
        </w:tc>
        <w:tc>
          <w:tcPr>
            <w:tcW w:w="2060" w:type="dxa"/>
            <w:vAlign w:val="bottom"/>
            <w:gridSpan w:val="2"/>
          </w:tcPr>
          <w:p>
            <w:pPr>
              <w:jc w:val="right"/>
              <w:ind w:right="608"/>
              <w:spacing w:after="0"/>
              <w:rPr>
                <w:sz w:val="20"/>
                <w:szCs w:val="20"/>
                <w:color w:val="auto"/>
              </w:rPr>
            </w:pPr>
            <w:r>
              <w:rPr>
                <w:rFonts w:ascii="Arial" w:cs="Arial" w:eastAsia="Arial" w:hAnsi="Arial"/>
                <w:sz w:val="18"/>
                <w:szCs w:val="18"/>
                <w:color w:val="auto"/>
              </w:rPr>
              <w:t>10</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-2130425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-2130425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8860" w:type="dxa"/>
            <w:vAlign w:val="bottom"/>
            <w:gridSpan w:val="3"/>
          </w:tcPr>
          <w:p>
            <w:pPr>
              <w:jc w:val="center"/>
              <w:ind w:right="2110"/>
              <w:spacing w:after="0"/>
              <w:rPr>
                <w:sz w:val="20"/>
                <w:szCs w:val="20"/>
                <w:color w:val="auto"/>
              </w:rPr>
            </w:pPr>
            <w:r>
              <w:rPr>
                <w:rFonts w:ascii="Arial" w:cs="Arial" w:eastAsia="Arial" w:hAnsi="Arial"/>
                <w:sz w:val="18"/>
                <w:szCs w:val="18"/>
                <w:b w:val="1"/>
                <w:bCs w:val="1"/>
                <w:color w:val="auto"/>
              </w:rPr>
              <w:t>CERTIFICATE OF AMENDMENT</w:t>
            </w:r>
          </w:p>
        </w:tc>
      </w:tr>
      <w:tr>
        <w:trPr>
          <w:trHeight w:val="432"/>
        </w:trPr>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20" w:type="dxa"/>
            <w:vAlign w:val="bottom"/>
            <w:gridSpan w:val="2"/>
          </w:tcPr>
          <w:p>
            <w:pPr>
              <w:jc w:val="center"/>
              <w:ind w:right="4430"/>
              <w:spacing w:after="0"/>
              <w:rPr>
                <w:sz w:val="20"/>
                <w:szCs w:val="20"/>
                <w:color w:val="auto"/>
              </w:rPr>
            </w:pPr>
            <w:r>
              <w:rPr>
                <w:rFonts w:ascii="Arial" w:cs="Arial" w:eastAsia="Arial" w:hAnsi="Arial"/>
                <w:sz w:val="18"/>
                <w:szCs w:val="18"/>
                <w:b w:val="1"/>
                <w:bCs w:val="1"/>
                <w:color w:val="auto"/>
              </w:rPr>
              <w:t>TO THE</w:t>
            </w:r>
          </w:p>
        </w:tc>
      </w:tr>
      <w:tr>
        <w:trPr>
          <w:trHeight w:val="432"/>
        </w:trPr>
        <w:tc>
          <w:tcPr>
            <w:tcW w:w="2380" w:type="dxa"/>
            <w:vAlign w:val="bottom"/>
          </w:tcPr>
          <w:p>
            <w:pPr>
              <w:spacing w:after="0"/>
              <w:rPr>
                <w:sz w:val="24"/>
                <w:szCs w:val="24"/>
                <w:color w:val="auto"/>
              </w:rPr>
            </w:pPr>
          </w:p>
        </w:tc>
        <w:tc>
          <w:tcPr>
            <w:tcW w:w="8860" w:type="dxa"/>
            <w:vAlign w:val="bottom"/>
            <w:gridSpan w:val="3"/>
          </w:tcPr>
          <w:p>
            <w:pPr>
              <w:jc w:val="center"/>
              <w:ind w:right="2090"/>
              <w:spacing w:after="0"/>
              <w:rPr>
                <w:sz w:val="20"/>
                <w:szCs w:val="20"/>
                <w:color w:val="auto"/>
              </w:rPr>
            </w:pPr>
            <w:r>
              <w:rPr>
                <w:rFonts w:ascii="Arial" w:cs="Arial" w:eastAsia="Arial" w:hAnsi="Arial"/>
                <w:sz w:val="18"/>
                <w:szCs w:val="18"/>
                <w:b w:val="1"/>
                <w:bCs w:val="1"/>
                <w:color w:val="auto"/>
              </w:rPr>
              <w:t>RESTATED CERTIFICATE OF INCORPORATION</w:t>
            </w:r>
          </w:p>
        </w:tc>
      </w:tr>
      <w:tr>
        <w:trPr>
          <w:trHeight w:val="432"/>
        </w:trPr>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20" w:type="dxa"/>
            <w:vAlign w:val="bottom"/>
          </w:tcPr>
          <w:p>
            <w:pPr>
              <w:jc w:val="center"/>
              <w:ind w:right="5150"/>
              <w:spacing w:after="0"/>
              <w:rPr>
                <w:sz w:val="20"/>
                <w:szCs w:val="20"/>
                <w:color w:val="auto"/>
              </w:rPr>
            </w:pPr>
            <w:r>
              <w:rPr>
                <w:rFonts w:ascii="Arial" w:cs="Arial" w:eastAsia="Arial" w:hAnsi="Arial"/>
                <w:sz w:val="18"/>
                <w:szCs w:val="18"/>
                <w:b w:val="1"/>
                <w:bCs w:val="1"/>
                <w:color w:val="auto"/>
              </w:rPr>
              <w:t>OF</w:t>
            </w:r>
          </w:p>
        </w:tc>
      </w:tr>
      <w:tr>
        <w:trPr>
          <w:trHeight w:val="432"/>
        </w:trPr>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20" w:type="dxa"/>
            <w:vAlign w:val="bottom"/>
            <w:gridSpan w:val="2"/>
          </w:tcPr>
          <w:p>
            <w:pPr>
              <w:jc w:val="center"/>
              <w:ind w:right="4430"/>
              <w:spacing w:after="0"/>
              <w:rPr>
                <w:sz w:val="20"/>
                <w:szCs w:val="20"/>
                <w:color w:val="auto"/>
              </w:rPr>
            </w:pPr>
            <w:r>
              <w:rPr>
                <w:rFonts w:ascii="Arial" w:cs="Arial" w:eastAsia="Arial" w:hAnsi="Arial"/>
                <w:sz w:val="18"/>
                <w:szCs w:val="18"/>
                <w:b w:val="1"/>
                <w:bCs w:val="1"/>
                <w:color w:val="auto"/>
              </w:rPr>
              <w:t>NRG YIELD, INC.</w:t>
            </w:r>
          </w:p>
        </w:tc>
      </w:tr>
      <w:tr>
        <w:trPr>
          <w:trHeight w:val="392"/>
        </w:trPr>
        <w:tc>
          <w:tcPr>
            <w:tcW w:w="11240" w:type="dxa"/>
            <w:vAlign w:val="bottom"/>
            <w:gridSpan w:val="4"/>
          </w:tcPr>
          <w:p>
            <w:pPr>
              <w:ind w:left="1300"/>
              <w:spacing w:after="0"/>
              <w:rPr>
                <w:sz w:val="20"/>
                <w:szCs w:val="20"/>
                <w:color w:val="auto"/>
              </w:rPr>
            </w:pPr>
            <w:r>
              <w:rPr>
                <w:rFonts w:ascii="Arial" w:cs="Arial" w:eastAsia="Arial" w:hAnsi="Arial"/>
                <w:sz w:val="18"/>
                <w:szCs w:val="18"/>
                <w:color w:val="auto"/>
              </w:rPr>
              <w:t>NRG Yield, Inc., a Delaware corporation (the “Company”), hereby certifies as follows:</w:t>
            </w:r>
          </w:p>
        </w:tc>
      </w:tr>
      <w:tr>
        <w:trPr>
          <w:trHeight w:val="20"/>
        </w:trPr>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438"/>
        </w:trPr>
        <w:tc>
          <w:tcPr>
            <w:tcW w:w="2380" w:type="dxa"/>
            <w:vAlign w:val="bottom"/>
          </w:tcPr>
          <w:p>
            <w:pPr>
              <w:ind w:left="1300"/>
              <w:spacing w:after="0"/>
              <w:rPr>
                <w:sz w:val="20"/>
                <w:szCs w:val="20"/>
                <w:color w:val="auto"/>
              </w:rPr>
            </w:pPr>
            <w:r>
              <w:rPr>
                <w:rFonts w:ascii="Arial" w:cs="Arial" w:eastAsia="Arial" w:hAnsi="Arial"/>
                <w:sz w:val="18"/>
                <w:szCs w:val="18"/>
                <w:color w:val="auto"/>
              </w:rPr>
              <w:t>FIRST.</w:t>
            </w:r>
          </w:p>
        </w:tc>
        <w:tc>
          <w:tcPr>
            <w:tcW w:w="8860" w:type="dxa"/>
            <w:vAlign w:val="bottom"/>
            <w:gridSpan w:val="3"/>
          </w:tcPr>
          <w:p>
            <w:pPr>
              <w:ind w:left="300"/>
              <w:spacing w:after="0"/>
              <w:rPr>
                <w:sz w:val="20"/>
                <w:szCs w:val="20"/>
                <w:color w:val="auto"/>
              </w:rPr>
            </w:pPr>
            <w:r>
              <w:rPr>
                <w:rFonts w:ascii="Arial" w:cs="Arial" w:eastAsia="Arial" w:hAnsi="Arial"/>
                <w:sz w:val="18"/>
                <w:szCs w:val="18"/>
                <w:color w:val="auto"/>
                <w:w w:val="90"/>
              </w:rPr>
              <w:t>The Board of Directors of the Company duly adopted a resolution setting forth and declaring advisable the amendment</w:t>
            </w:r>
          </w:p>
        </w:tc>
      </w:tr>
      <w:tr>
        <w:trPr>
          <w:trHeight w:val="230"/>
        </w:trPr>
        <w:tc>
          <w:tcPr>
            <w:tcW w:w="11240" w:type="dxa"/>
            <w:vAlign w:val="bottom"/>
            <w:gridSpan w:val="4"/>
          </w:tcPr>
          <w:p>
            <w:pPr>
              <w:spacing w:after="0"/>
              <w:rPr>
                <w:sz w:val="20"/>
                <w:szCs w:val="20"/>
                <w:color w:val="auto"/>
              </w:rPr>
            </w:pPr>
            <w:r>
              <w:rPr>
                <w:rFonts w:ascii="Arial" w:cs="Arial" w:eastAsia="Arial" w:hAnsi="Arial"/>
                <w:sz w:val="18"/>
                <w:szCs w:val="18"/>
                <w:color w:val="auto"/>
              </w:rPr>
              <w:t>of Article One of the Restated Certificate of Incorporation of the Company so that, as amended, said Article shall read as follows:</w:t>
            </w:r>
          </w:p>
        </w:tc>
      </w:tr>
      <w:tr>
        <w:trPr>
          <w:trHeight w:val="432"/>
        </w:trPr>
        <w:tc>
          <w:tcPr>
            <w:tcW w:w="11240" w:type="dxa"/>
            <w:vAlign w:val="bottom"/>
            <w:gridSpan w:val="4"/>
          </w:tcPr>
          <w:p>
            <w:pPr>
              <w:ind w:left="1300"/>
              <w:spacing w:after="0"/>
              <w:rPr>
                <w:sz w:val="20"/>
                <w:szCs w:val="20"/>
                <w:color w:val="auto"/>
              </w:rPr>
            </w:pPr>
            <w:r>
              <w:rPr>
                <w:rFonts w:ascii="Arial" w:cs="Arial" w:eastAsia="Arial" w:hAnsi="Arial"/>
                <w:sz w:val="18"/>
                <w:szCs w:val="18"/>
                <w:color w:val="auto"/>
              </w:rPr>
              <w:t>“The name of the corporation is Clearway Energy, Inc.”</w:t>
            </w:r>
          </w:p>
        </w:tc>
      </w:tr>
      <w:tr>
        <w:trPr>
          <w:trHeight w:val="432"/>
        </w:trPr>
        <w:tc>
          <w:tcPr>
            <w:tcW w:w="2380" w:type="dxa"/>
            <w:vAlign w:val="bottom"/>
          </w:tcPr>
          <w:p>
            <w:pPr>
              <w:ind w:left="1300"/>
              <w:spacing w:after="0"/>
              <w:rPr>
                <w:sz w:val="20"/>
                <w:szCs w:val="20"/>
                <w:color w:val="auto"/>
              </w:rPr>
            </w:pPr>
            <w:r>
              <w:rPr>
                <w:rFonts w:ascii="Arial" w:cs="Arial" w:eastAsia="Arial" w:hAnsi="Arial"/>
                <w:sz w:val="18"/>
                <w:szCs w:val="18"/>
                <w:color w:val="auto"/>
              </w:rPr>
              <w:t>SECOND.</w:t>
            </w:r>
          </w:p>
        </w:tc>
        <w:tc>
          <w:tcPr>
            <w:tcW w:w="8860" w:type="dxa"/>
            <w:vAlign w:val="bottom"/>
            <w:gridSpan w:val="3"/>
          </w:tcPr>
          <w:p>
            <w:pPr>
              <w:ind w:left="320"/>
              <w:spacing w:after="0"/>
              <w:rPr>
                <w:sz w:val="20"/>
                <w:szCs w:val="20"/>
                <w:color w:val="auto"/>
              </w:rPr>
            </w:pPr>
            <w:r>
              <w:rPr>
                <w:rFonts w:ascii="Arial" w:cs="Arial" w:eastAsia="Arial" w:hAnsi="Arial"/>
                <w:sz w:val="18"/>
                <w:szCs w:val="18"/>
                <w:color w:val="auto"/>
                <w:w w:val="92"/>
              </w:rPr>
              <w:t>That the aforesaid amendment has been duly adopted by the Board of Directors of the Company in accordance with</w:t>
            </w:r>
          </w:p>
        </w:tc>
      </w:tr>
    </w:tbl>
    <w:p>
      <w:pPr>
        <w:spacing w:after="0"/>
        <w:rPr>
          <w:sz w:val="20"/>
          <w:szCs w:val="20"/>
          <w:color w:val="auto"/>
        </w:rPr>
      </w:pPr>
      <w:r>
        <w:rPr>
          <w:rFonts w:ascii="Arial" w:cs="Arial" w:eastAsia="Arial" w:hAnsi="Arial"/>
          <w:sz w:val="18"/>
          <w:szCs w:val="18"/>
          <w:color w:val="auto"/>
        </w:rPr>
        <w:t>Section 242 of the General Corporation Law of the State of Delaware.</w:t>
      </w:r>
    </w:p>
    <w:p>
      <w:pPr>
        <w:spacing w:after="0" w:line="21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IN WITNESS WHEREOF, the Company has caused this certificate to be signed by Christopher Sotos, its Chief Executive Officer, on the 31st day of August, 2018.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Christoper S. Sotos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August 31,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Clearway Energy,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State of Delaware shall be located at 1209 Orange Street, Wilmington, DE 19801. The name of the Corporation’s registered agent at such address shall be The Corporation Trust Company. The registered office and/or registered agent of the Corporation may be changed from time to time by action of the board of directors.</w:t>
      </w:r>
    </w:p>
    <w:p>
      <w:pPr>
        <w:spacing w:after="0" w:line="16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may from time to time determine or the business of the Corporation may require.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Annual Meeting</w:t>
      </w:r>
      <w:r>
        <w:rPr>
          <w:rFonts w:ascii="Arial" w:cs="Arial" w:eastAsia="Arial" w:hAnsi="Arial"/>
          <w:sz w:val="16"/>
          <w:szCs w:val="16"/>
          <w:color w:val="auto"/>
        </w:rPr>
        <w:t xml:space="preserve">. An annual meeting of the stockholders shall be held at such date and time specified by the Board of Directors for the purpose of electing directors and conducting such other proper business as may come before the annual meeting. At the annual meeting, stockholders shall elect directors and transact such other business as properly may be brought before the annual meeting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this ARTICLE II.</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of the holders of any class or series of preferred stock of the Corporation, special meetings of the stockholders may only be called in the manner provided in the certificate of incorporation of the Corporation, as amended and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may designate any place, either within or without the State of Delaware, as the place of meeting for any annual meeting or for any special meeting. If no designation is made, or if a special meeting be otherwise called, the place of meeting shall be the principal executive office of the Corporation. If for any reason any annual meeting shall not be held during any year, the business thereof may be transacted at any special meeting of the stockholders.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stockholders are required or permitted to take action at a meeting, written or printed notice stating the place, date, time and, in the case of special meetings, the purpose or purposes, of such meeting, shall be given to each stockholder entitled to vote on the record date, determined in accordance with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ARTICLE VI hereof. If mailed, such notice shall be deemed to be delivered when deposited in the United States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postage prepaid, addressed to the stockholder at his, her or its address as the same appears on the records of the Corporation. An affidavit of the secretary or an assistant secretary or of the transfer agent of the Corporation that the notice required by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has been given shall, in the absence of fraud, be </w:t>
      </w:r>
      <w:r>
        <w:rPr>
          <w:rFonts w:ascii="Arial" w:cs="Arial" w:eastAsia="Arial" w:hAnsi="Arial"/>
          <w:sz w:val="17"/>
          <w:szCs w:val="17"/>
          <w:i w:val="1"/>
          <w:iCs w:val="1"/>
          <w:color w:val="auto"/>
        </w:rPr>
        <w:t xml:space="preserve">prima facie </w:t>
      </w:r>
      <w:r>
        <w:rPr>
          <w:rFonts w:ascii="Arial" w:cs="Arial" w:eastAsia="Arial" w:hAnsi="Arial"/>
          <w:sz w:val="17"/>
          <w:szCs w:val="17"/>
          <w:color w:val="auto"/>
        </w:rPr>
        <w:t>evidence of the facts stated therein. Whenever the giving of any notice to stockholders is required by applicable law, the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or these Bylaws, a waiver thereof, given by the person entitled to said notice, whether before or after the event as to which such notice is required, shall be deemed equivalent to notice. Attendance of a person at a meeting shall constitute a waiver of notice of such meeting, except when the person attends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7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Stockholders List</w:t>
      </w:r>
      <w:r>
        <w:rPr>
          <w:rFonts w:ascii="Arial" w:cs="Arial" w:eastAsia="Arial" w:hAnsi="Arial"/>
          <w:sz w:val="16"/>
          <w:szCs w:val="16"/>
          <w:color w:val="auto"/>
        </w:rPr>
        <w:t>. The officer having charge of the stock ledger of the Corporation shall make, at least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w:t>
      </w:r>
    </w:p>
    <w:p>
      <w:pPr>
        <w:spacing w:after="0" w:line="2" w:lineRule="exact"/>
        <w:rPr>
          <w:sz w:val="20"/>
          <w:szCs w:val="20"/>
          <w:color w:val="auto"/>
        </w:rPr>
      </w:pPr>
    </w:p>
    <w:p>
      <w:pPr>
        <w:ind w:right="6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reasonably accessible electronic network, provided that the information required to gain access to such list shall be provided with the notice of the meeting or (ii) during ordinary business hours, at the principal place of business of the Corporation. The list shall also be produced and kept at the time and place of the meeting during the whole time thereof, and may be inspected by any stockholder who is present.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19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The holders of a majority in voting power of the outstanding shares of capital stock entitled to vote at the meeting of stockholders, present in person or represented by proxy, shall constitute a quorum at all meetings of the stockholders, except as otherwise provided by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or by the Certificate of Incorporation. If a quorum is not present, the holders of a majority in voting power of the shares present in person or represented by proxy at the meeting, and entitled to vote at the meeting, may adjourn the meeting to another time and/or place. When a specified item of business requires a vote by the holders of a class or series of shares of capital stock (if the Corporation shall then have outstanding shares of more than one class or series) voting as a class or series, the holders of a majority in voting power of the shares of such class or series shall constitute a quorum (as to such class or series) for the transaction of such item of business, except as otherwise provided by the DGCL or by the Certificate of Incorporation.</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Adjourned Meetings</w:t>
      </w:r>
      <w:r>
        <w:rPr>
          <w:rFonts w:ascii="Arial" w:cs="Arial" w:eastAsia="Arial" w:hAnsi="Arial"/>
          <w:sz w:val="18"/>
          <w:szCs w:val="18"/>
          <w:color w:val="auto"/>
        </w:rPr>
        <w:t>. When a meeting is adjourned to another time and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w:t>
      </w:r>
    </w:p>
    <w:p>
      <w:pPr>
        <w:sectPr>
          <w:pgSz w:w="11900" w:h="16845" w:orient="portrait"/>
          <w:cols w:equalWidth="0" w:num="1">
            <w:col w:w="11420"/>
          </w:cols>
          <w:pgMar w:left="240" w:top="121" w:right="239" w:bottom="0" w:gutter="0" w:footer="0" w:header="0"/>
        </w:sectPr>
      </w:pPr>
    </w:p>
    <w:bookmarkStart w:id="8" w:name="page9"/>
    <w:bookmarkEnd w:id="8"/>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adjourned meeting, a notice of the adjourned meeting shall be given to each stockholder of record entitled to vote at the meeting.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Vote Required</w:t>
      </w:r>
      <w:r>
        <w:rPr>
          <w:rFonts w:ascii="Arial" w:cs="Arial" w:eastAsia="Arial" w:hAnsi="Arial"/>
          <w:sz w:val="17"/>
          <w:szCs w:val="17"/>
          <w:color w:val="auto"/>
        </w:rPr>
        <w:t>. When a quorum is present, the affirmative vote of the majority in voting power of shares present in person or represented by proxy at the meeting and entitled to vote on the subject matter shall be the act of the stockholders, unless (i) by express provisions of an applicable law, the rules and regulations of any stock exchange applicable to the Corporation, or of the Certificate of Incorporation a different vote is required, in which case such express provision shall govern and control the decision of such question, or (ii) the subject matter is the election of directors, in which case the Certificate of Incorporation shall govern and control the approval of such subject matter.</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provided by the DGCL, the Certificate of Incorporation or these Bylaws, every stockholder entitled to vote at any meeting of stockholders shall at every meeting of the stockholders be entitled to one vote in person or by proxy for each share of capital stock held by such stockholder which has voting power upon the matter in question.</w:t>
      </w:r>
    </w:p>
    <w:p>
      <w:pPr>
        <w:spacing w:after="0" w:line="18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is suspended when the person executing the proxy is present at a meeting of stockholders and elects to vote, except that when such proxy is coupled with an interest and the fact of the interest appears on the face of the proxy, the agent named in the proxy shall have all voting and other rights referred to in the proxy, notwithstanding the presence of the person executing the proxy.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Business Brought Before a Meeting of the Stockholders</w:t>
      </w:r>
      <w:r>
        <w:rPr>
          <w:rFonts w:ascii="Arial" w:cs="Arial" w:eastAsia="Arial" w:hAnsi="Arial"/>
          <w:sz w:val="16"/>
          <w:szCs w:val="16"/>
          <w:color w:val="auto"/>
        </w:rPr>
        <w:t>.</w:t>
      </w:r>
    </w:p>
    <w:p>
      <w:pPr>
        <w:spacing w:after="0" w:line="225" w:lineRule="exact"/>
        <w:rPr>
          <w:sz w:val="20"/>
          <w:szCs w:val="20"/>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Meetings.</w:t>
      </w:r>
    </w:p>
    <w:p>
      <w:pPr>
        <w:spacing w:after="0" w:line="225" w:lineRule="exact"/>
        <w:rPr>
          <w:rFonts w:ascii="Arial" w:cs="Arial" w:eastAsia="Arial" w:hAnsi="Arial"/>
          <w:sz w:val="18"/>
          <w:szCs w:val="18"/>
          <w:color w:val="auto"/>
        </w:rPr>
      </w:pPr>
    </w:p>
    <w:p>
      <w:pPr>
        <w:ind w:right="60" w:firstLine="1305"/>
        <w:spacing w:after="0" w:line="291" w:lineRule="auto"/>
        <w:tabs>
          <w:tab w:leader="none" w:pos="1952"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At an annual meeting of the stockholders, only such nominations of persons for election to the Board of Directors shall be considered and such business shall be conducted as shall have been properly brought before the meeting. To be properly brought before an annual meeting, nominations and other business must be (a) specified in the notice of meeting (or any supplement thereto) given by or at the direction of the Board of Directors, (b) brought before the meeting by or at the direction of the Board of Directors or (c) otherwise properly brought before the meeting by a stockholder who (i) is a stockholder of record of the Corporation (and, with respect to any beneficial owner, if different, on whose behalf such business is proposed or such nomination or nominations are made, only if such beneficial owner is the beneficial owner of shares of the Corporation) both at the time the notice provided for in paragraph (A)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is delivered to the secretary of the Corporation and on the record date for the determination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stockholders entitled to vote at the annual meeting of stockholders, (ii) is entitled to vote at the meeting, and (iii) complies with the notice procedures set forth in paragraph (A) of this </w:t>
      </w:r>
      <w:r>
        <w:rPr>
          <w:rFonts w:ascii="Arial" w:cs="Arial" w:eastAsia="Arial" w:hAnsi="Arial"/>
          <w:sz w:val="17"/>
          <w:szCs w:val="17"/>
          <w:u w:val="single" w:color="auto"/>
          <w:color w:val="auto"/>
        </w:rPr>
        <w:t>Section 11</w:t>
      </w:r>
      <w:r>
        <w:rPr>
          <w:rFonts w:ascii="Arial" w:cs="Arial" w:eastAsia="Arial" w:hAnsi="Arial"/>
          <w:sz w:val="17"/>
          <w:szCs w:val="17"/>
          <w:color w:val="auto"/>
        </w:rPr>
        <w:t>. For nominations or other business to be properly brought before an annual meeting by a stockholder, the stockholder must have given timely notice thereof in writing and in proper form to the secretary of the Corporation. To be timely, a stockholder’s notice must be delivered to or mailed and received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that the date of the annual meeting is advanced more than thirty (30) days before or delayed more than seventy (70) days after such anniversary date, notice by the stockholder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Notwithstanding anything in this paragraph to the contrary, in the event that the number of directors to be elected to the Board of Directors at an annual meeting is increased and there is no public announcement by the Corporation naming the nominees for the additional directorships at least one hundred (100) days prior to the first anniversary of the preceding year’s annual meeting, a stockholder’s notice required by paragraph (A)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1" w:lineRule="exact"/>
        <w:rPr>
          <w:sz w:val="20"/>
          <w:szCs w:val="20"/>
          <w:color w:val="auto"/>
        </w:rPr>
      </w:pPr>
    </w:p>
    <w:p>
      <w:pPr>
        <w:jc w:val="both"/>
        <w:ind w:right="40" w:firstLine="1305"/>
        <w:spacing w:after="0" w:line="291" w:lineRule="auto"/>
        <w:tabs>
          <w:tab w:leader="none" w:pos="1952" w:val="left"/>
        </w:tabs>
        <w:numPr>
          <w:ilvl w:val="1"/>
          <w:numId w:val="5"/>
        </w:numPr>
        <w:rPr>
          <w:rFonts w:ascii="Arial" w:cs="Arial" w:eastAsia="Arial" w:hAnsi="Arial"/>
          <w:sz w:val="16"/>
          <w:szCs w:val="16"/>
          <w:color w:val="auto"/>
        </w:rPr>
      </w:pPr>
      <w:r>
        <w:rPr>
          <w:rFonts w:ascii="Arial" w:cs="Arial" w:eastAsia="Arial" w:hAnsi="Arial"/>
          <w:sz w:val="16"/>
          <w:szCs w:val="16"/>
          <w:color w:val="auto"/>
        </w:rPr>
        <w:t>A stockholder’s notice providing for the nomination of a person or persons for election as a director or directors of the Corporation shall set forth (a) as to the stockholder giving the notice and the beneficial owner, if any, on whose behalf the nomination is made (and for purposes of clauses</w:t>
      </w:r>
    </w:p>
    <w:p>
      <w:pPr>
        <w:ind w:right="60" w:firstLine="8"/>
        <w:spacing w:after="0" w:line="26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 (ix) below, including any interests described therein held by any affiliates or associates (each within the meaning of Rule 12b-2 under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for purposes of these Bylaws) of such stockholder or beneficial owner or by any member of such stockholder’s or beneficial owner’s immediate family sharing the same household, in each case as of the date of such stockholder’s notice, which information shall be confirmed or updated, if necessary, by such stockholder and beneficial owner (x) not later than ten (10) days after the record date for the notice of the meeting to disclose such ownership as of the record date for the notice of the meeting, and (y) not later than eight (8) business days before the meeting or any adjournment or postponement thereof to disclose such ownership as of the date that is ten (10) business before the meeting or any adjournment or postponement thereof (or if not practicable to provide such updated information not later than eight (8) business days before any adjournment or postponement, on the first practicable date before any such adjournment or postponement)) (i) the name and address of such stockholder, as they appear on the Corporation’s books, and of such beneficial owner, (ii) the class or series and number of shares of capital stock of the Corporation which are, directly or indirectly, beneficially owned (within the meaning of Rule 13d-3 under the Exchange Act) (provided that a person shall in all events be deemed to beneficially own any shares of any class or series and number of shares of capital stock of the Corporation as to which such person has a right to acquire beneficial ownership at any time in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74" w:orient="portrait"/>
          <w:cols w:equalWidth="0" w:num="1">
            <w:col w:w="11420"/>
          </w:cols>
          <w:pgMar w:left="240" w:top="341" w:right="239" w:bottom="0" w:gutter="0" w:footer="0" w:header="0"/>
        </w:sectPr>
      </w:pPr>
    </w:p>
    <w:bookmarkStart w:id="9" w:name="page10"/>
    <w:bookmarkEnd w:id="9"/>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color w:val="auto"/>
        </w:rPr>
        <w:t>future) and owned of record by such stockholder or beneficial owner, (iii) the class or series, if any, and number of options, warrants, puts, calls, convertible securities, stock appreciation rights, or similar rights, obligations or commitments with an exercise or conversion privilege or a settlement payment or mechanism at a price related to any class or series of shares or other securities of the Corporation or with a value derived in whole or in part from the value of any class or series of shares or other securities of the Corporation, whether or not such instrument, right, obligation or commitment shall be subject to in the underlying class or series of shares or other securities of the Corporation (each a “</w:t>
      </w:r>
      <w:r>
        <w:rPr>
          <w:rFonts w:ascii="Arial" w:cs="Arial" w:eastAsia="Arial" w:hAnsi="Arial"/>
          <w:sz w:val="16"/>
          <w:szCs w:val="16"/>
          <w:u w:val="single" w:color="auto"/>
          <w:color w:val="auto"/>
        </w:rPr>
        <w:t>Derivative Security</w:t>
      </w:r>
      <w:r>
        <w:rPr>
          <w:rFonts w:ascii="Arial" w:cs="Arial" w:eastAsia="Arial" w:hAnsi="Arial"/>
          <w:sz w:val="16"/>
          <w:szCs w:val="16"/>
          <w:color w:val="auto"/>
        </w:rPr>
        <w:t>”), which are, directly or indirectly, beneficially owned by such stockholder or beneficial owner, (iv) any agreement, arrangement, understanding, or relationship, including any repurchase or similar so-called “stock borrowing” agreement or arrangement, engaged in, directly or indirectly, by such stockholder or beneficial owner, the purpose or effect of which is to mitigate loss to, reduce the economic risk (of ownership or otherwise) of any class or series of capital stock or other securities of the Corporation by, manage the risk of share price changes for, or increase or decrease the voting power of, such stockholder or beneficial owner with respect to any class or series of capital stock or other securities of the Corporation, or that provides, directly or indirectly, the opportunity to profit from any decrease in the price or value of any class or series of capital stock or other securities of the Corporation, (v) a description of any other direct or indirect opportunity to profit or share in any profit (including any performance-based fees) derived from any increase or decrease in the value of shares or other securities of the Corporation, (vi) any proxy, contract, arrangement, understanding or relationship pursuant to which such stockholder or beneficial owner has a right to vote any shares or other securities of the Corporation, (vii) any rights to dividends on the shares of the Corporation owned beneficially by such stockholder or such beneficial owner that are separated or separable from the underlying shares of the Corporation, (viii) any proportionate interest in shares of the Corporation or Derivative Securities held, directly or indirectly, by a general or limited partnership in which such stockholder or beneficial owner is a general partner or, directly or indirectly, beneficially owns an interest in a general partner, if any, (ix) a description of all agreements, arrangements, and understandings between such stockholder or beneficial owner and any other person(s) (including their name(s)) in connection with or related to the ownership or voting of capital stock of the Corporation or Derivative Securities, (x) any other information relating to such stockholder or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(xi) a statement as to whether either such stockholder or beneficial owner intends to deliver a proxy statement and form of proxy to holders of at least the percentage of the Corporation’s voting shares required under applicable law to elect such stockholder’s nominees and/or otherwise to solicit proxies from the stockholders in support of such nomination and (xii) a representation that the stockholder is a holder of record of shares of the Corporation entitled to vote at such meeting and intends to appear in person or by proxy at the meeting to propose such nomination, and (b) as to each person whom the stockholder proposes to nominate for election or reelection as a director, (i) all information relating to such person that would be required to be disclosed in a proxy statement or other filings required to be made in connection with solicitations of proxies for election of directors pursuant to the Exchange Act and the rules and regulations promulgated thereunder (including such person’s written consent to being named in the proxy statement as a nominee and to serving as a director if elected), (ii) a description of all direct and indirect compensation and other material agreements, arrangements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understandings during the past three years, and any other material relationships, between or among such stockholder or beneficial owner, if any, and their respective affiliates and associates, or others acting in concert therewith, on the one hand, and each proposed nominee and his or her respective affiliates and associates, or others acting in concert therewith, on the other hand, including all information that would be required to be disclosed pursuant to Rule 404 promulgated under Regulation S-K if the stockholder making the nomination and any beneficial owner on whose behalf the nomination is made, or any affiliate or associate thereof or person acting in concert therewith, were the “registrant” for purposes of such rule and the nominee were a director or executive officer of such registrant, (iii) a completed and signed questionnaire regarding the background and qualifications of such person to serve as a director, a copy of which may be obtained upon request to the Secretary of the Corporation, (iv) all information with respect to such person that would be required to be set forth in a stockholder’s notice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if such person were a stockholder or beneficial owner, on whose behalf the nomination was made, submitting a notice providing for the nomination of a person or persons for election as a director or directors of the Corporation in accordance with this </w:t>
      </w:r>
      <w:r>
        <w:rPr>
          <w:rFonts w:ascii="Arial" w:cs="Arial" w:eastAsia="Arial" w:hAnsi="Arial"/>
          <w:sz w:val="17"/>
          <w:szCs w:val="17"/>
          <w:u w:val="single" w:color="auto"/>
          <w:color w:val="auto"/>
        </w:rPr>
        <w:t>Section 11</w:t>
      </w:r>
      <w:r>
        <w:rPr>
          <w:rFonts w:ascii="Arial" w:cs="Arial" w:eastAsia="Arial" w:hAnsi="Arial"/>
          <w:sz w:val="17"/>
          <w:szCs w:val="17"/>
          <w:color w:val="auto"/>
        </w:rPr>
        <w:t>, and (v) such additional information that the Corporation may reasonably request to determine the eligibility or qualifications of such person to serve as a director or an independent director of the Corporation, or that could be material to a reasonable stockholder’s understanding of the qualifications and/or independence, or lack thereof, of such nominee as a director.</w:t>
      </w:r>
    </w:p>
    <w:p>
      <w:pPr>
        <w:spacing w:after="0" w:line="180" w:lineRule="exact"/>
        <w:rPr>
          <w:sz w:val="20"/>
          <w:szCs w:val="20"/>
          <w:color w:val="auto"/>
        </w:rPr>
      </w:pPr>
    </w:p>
    <w:p>
      <w:pPr>
        <w:ind w:right="40" w:firstLine="1305"/>
        <w:spacing w:after="0" w:line="285" w:lineRule="auto"/>
        <w:tabs>
          <w:tab w:leader="none" w:pos="1952"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stockholder’s notice regarding business proposed to be brought before a meeting of stockholders other than the nomination of persons for election to the Board of Directors shall set forth (a) as to the stockholder giving notice and the beneficial owner, if any, on whose behalf the proposal is made, the information called for by clauses (a)(ii) through (a)(ix) of the immediately preceding paragraph (2) (including any interests described therein held by any affiliates or associates of such stockholder or beneficial owner or by any member of such stockholder’s or beneficial owner’s immediate family sharing the same household, in each case as of the date of such stockholder’s notice, which information shall be confirmed or updated, if necessary, by such stockholder and beneficial owner (x) not later than ten (10) days after the record date for the notice of the meeting to disclose such ownership as of the record date for the notice of the meeting, and (y) not later than eight (8) business days before the meeting or any adjournment or postponement thereof to disclose such ownership as of the date that is ten (10) business before the meeting or any adjournment or postponement thereof (or if not practicable to provide such updated information not later than eight (8) business days before any adjournment or postponement, on the first practicable date before any such adjournment or postponement)), (b) a brief description of (i) the business desired to be brought before such meeting, (ii) the reasons for conducting such business at the meeting and (iii) any material interest of such stockholder or beneficial owner in such business, including a description of all agreements, arrangements and understandings between such stockholder or beneficial owner and any other person(s) (including the name(s) of such other person(s)) in connection with or related to the proposal of such business by the stockholder, (c) as to the stockholder giving notice and the beneficial owner, if any, on whose behalf the nomination is made, (i) a statement as to whether either such stockholder or beneficial owner intends to deliver a proxy statement and form of proxy to holders of at least the percentage of the Corporation’s voting shares required under applicable law to approve the proposal and/or otherwise to solicit proxies from stockholders in support of such proposal and (ii) any other information relating to such stockholder or beneficial owner that would be required to be disclosed in a proxy statement or other filings required to be made in connection with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solicitations of proxies for the election of directors in a contested election pursuant to Section 14 of the Exchange Act and the rules and regulations promulgated thereunder, (d) if the matter such stockholder proposes to bring before any meeting of stockholders involves an amendment to the Corporation’s Bylaws, the specific wording of such proposed amendment, (e) a representation that the stockholder is a holder of record of shares of the Corporation entitled to vote at such meeting and intends to appear in person or by proxy at the meeting to propose such business and (f) such additional information that the</w:t>
      </w:r>
    </w:p>
    <w:p>
      <w:pPr>
        <w:sectPr>
          <w:pgSz w:w="11900" w:h="16904" w:orient="portrait"/>
          <w:cols w:equalWidth="0" w:num="1">
            <w:col w:w="11420"/>
          </w:cols>
          <w:pgMar w:left="240" w:top="733" w:right="239" w:bottom="0" w:gutter="0" w:footer="0" w:header="0"/>
        </w:sectPr>
      </w:pPr>
    </w:p>
    <w:bookmarkStart w:id="10" w:name="page11"/>
    <w:bookmarkEnd w:id="10"/>
    <w:p>
      <w:pPr>
        <w:ind w:right="20"/>
        <w:spacing w:after="0" w:line="302" w:lineRule="auto"/>
        <w:rPr>
          <w:sz w:val="20"/>
          <w:szCs w:val="20"/>
          <w:color w:val="auto"/>
        </w:rPr>
      </w:pPr>
      <w:r>
        <w:rPr>
          <w:rFonts w:ascii="Arial" w:cs="Arial" w:eastAsia="Arial" w:hAnsi="Arial"/>
          <w:sz w:val="16"/>
          <w:szCs w:val="16"/>
          <w:color w:val="auto"/>
        </w:rPr>
        <w:t>Corporation may reasonably request regarding such stockholder or beneficial owner, if any, and/or the business that such stockholder proposes to bring before the meeting. 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w:t>
      </w:r>
    </w:p>
    <w:p>
      <w:pPr>
        <w:spacing w:after="0" w:line="154" w:lineRule="exact"/>
        <w:rPr>
          <w:sz w:val="20"/>
          <w:szCs w:val="20"/>
          <w:color w:val="auto"/>
        </w:rPr>
      </w:pPr>
    </w:p>
    <w:p>
      <w:pPr>
        <w:ind w:firstLine="1305"/>
        <w:spacing w:after="0" w:line="293" w:lineRule="auto"/>
        <w:tabs>
          <w:tab w:leader="none" w:pos="1952" w:val="left"/>
        </w:tabs>
        <w:numPr>
          <w:ilvl w:val="1"/>
          <w:numId w:val="8"/>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only such persons who are nominated in accordance with the procedures set forth in paragraph (A) of this Section 11 shall be eligible to be elected at an annual meeting to serve as directors and no business shall be conducted at an annual meeting except in accordance with the procedures set forth in this Section 11. The presiding officer of an annual meeting shall, if the facts warrant, determine and declare to the meeting that a nomination was not properly made or any business was not properly brought before the meeting, as the case may be, in accordance with the provisions of this Section 11; if he or she should so determine, he or she shall so declare to the meeting and any such nomination not properly made or any business not properly brought before the meeting, as the case may be, shall not be transacted.</w:t>
      </w:r>
    </w:p>
    <w:p>
      <w:pPr>
        <w:spacing w:after="0" w:line="164" w:lineRule="exact"/>
        <w:rPr>
          <w:rFonts w:ascii="Arial" w:cs="Arial" w:eastAsia="Arial" w:hAnsi="Arial"/>
          <w:sz w:val="16"/>
          <w:szCs w:val="16"/>
          <w:color w:val="auto"/>
        </w:rPr>
      </w:pPr>
    </w:p>
    <w:p>
      <w:pPr>
        <w:ind w:right="20" w:firstLine="656"/>
        <w:spacing w:after="0" w:line="286" w:lineRule="auto"/>
        <w:tabs>
          <w:tab w:leader="none" w:pos="130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(a) is a stockholder of record of the Corporation (and, with respect to any beneficial owner, if different, on whose behalf such nomination or nominations are made, only if such beneficial owner is the beneficial owner of shares of the Corporation) both at the time the notice provided for in paragraph (B)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is delivered to the Corporation’s secretary and on the record date for the determination of stockholders entitled to vote at the special meeting, (b) is entitled to vote at the meeting and upon such election, and (c) complies with the notice procedures set forth in the third sentence of paragraph (B)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delivered to the Corporation’s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24"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3" w:lineRule="auto"/>
        <w:tabs>
          <w:tab w:leader="none" w:pos="1952"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Only such persons who are nominated in accordance with the procedures set forth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w:t>
      </w:r>
    </w:p>
    <w:p>
      <w:pPr>
        <w:spacing w:after="0" w:line="178" w:lineRule="exact"/>
        <w:rPr>
          <w:rFonts w:ascii="Arial" w:cs="Arial" w:eastAsia="Arial" w:hAnsi="Arial"/>
          <w:sz w:val="17"/>
          <w:szCs w:val="17"/>
          <w:color w:val="auto"/>
        </w:rPr>
      </w:pPr>
    </w:p>
    <w:p>
      <w:pPr>
        <w:ind w:right="380" w:firstLine="1305"/>
        <w:spacing w:after="0" w:line="264" w:lineRule="auto"/>
        <w:tabs>
          <w:tab w:leader="none" w:pos="19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this section, “public announcement” shall mean disclosure in a press release reported by the Dow Jones News Service, Associated Press or a comparable national news service or in a document publicly filed or furnished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1305"/>
        <w:spacing w:after="0" w:line="259" w:lineRule="auto"/>
        <w:tabs>
          <w:tab w:leader="none" w:pos="19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Nothing in this section shall be deemed to (a) affect any rights of stockholders to request inclusion of proposals in the Corporation’s proxy statement pursuant to Rule 14a-8 under the Exchange Act, (b) confer upon any stockholder a right to have a nominee or any proposed business included in the Corporation’s proxy statement, or (c) affect any rights of the holders of any series of preferred stock to elect directors pursuant to any applicable provisions of the Certificate of Incorporation.</w:t>
      </w:r>
    </w:p>
    <w:p>
      <w:pPr>
        <w:spacing w:after="0" w:line="187"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of Directors, in advance of any meeting of stockholders, may, and shall if required by applicable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w:t>
      </w:r>
    </w:p>
    <w:p>
      <w:pPr>
        <w:spacing w:after="0" w:line="1" w:lineRule="exact"/>
        <w:rPr>
          <w:sz w:val="20"/>
          <w:szCs w:val="20"/>
          <w:color w:val="auto"/>
        </w:rPr>
      </w:pPr>
    </w:p>
    <w:p>
      <w:pPr>
        <w:ind w:left="5660" w:right="2380" w:hanging="5652"/>
        <w:spacing w:after="0" w:line="511"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represented at the meeting and their count of all votes and ballots. The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inspectors may appoint or retain other persons or entities to assist the inspectors in the performance of their duties. Unless otherwise provided by the Board of Directors,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ectPr>
          <w:pgSz w:w="11900" w:h="16838" w:orient="portrait"/>
          <w:cols w:equalWidth="0" w:num="1">
            <w:col w:w="11420"/>
          </w:cols>
          <w:pgMar w:left="240" w:top="125" w:right="239" w:bottom="0" w:gutter="0" w:footer="0" w:header="0"/>
        </w:sectPr>
      </w:pPr>
    </w:p>
    <w:bookmarkStart w:id="11" w:name="page12"/>
    <w:bookmarkEnd w:id="11"/>
    <w:p>
      <w:pPr>
        <w:spacing w:after="0" w:line="6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Conduct of Meetings; Organization</w:t>
      </w:r>
      <w:r>
        <w:rPr>
          <w:rFonts w:ascii="Arial" w:cs="Arial" w:eastAsia="Arial" w:hAnsi="Arial"/>
          <w:sz w:val="16"/>
          <w:szCs w:val="16"/>
          <w:color w:val="auto"/>
        </w:rPr>
        <w:t>. The Board of Directors may adopt by resolution such rules and regulations for the conduct of the meeting of stockholders as it shall deem appropriate. The chairman of the Board of Directors shall preside at all meetings of the stockholders. If the chairman of the board is not present at a meeting of the stockholders, the vice chairman shall preside at such meeting. If neither the chairman nor the vice chairman of the board is present at a meeting of the stockholders, the chief executive officer or the president (if the president is a director and is not also the chairman of the board) shall preside at such meeting, and, if the chief executive officer or the president is not present at such meeting, a majority of the directors present at such meeting shall elect one of their members to so preside.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of Directors, and in case the Board of Directors has not so acted, in the case of the designation of a person to act as secretary of the meeting, designated by the person presiding over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stockholders shall be as determined by the person presiding over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provided in the Certificate of Incorporation, the business and affairs of the Corporation shall be managed by or under the direction of the Board of Directors. In addition to such powers as are herein and in the Certificate of Incorporation expressly conferred upon it, the Board of Directors shall have and may exercise all the powers of the Corporation, subject to the provisions of the laws of Delaware, the Certificate of Incorporation and these Bylaws.</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Election and Term of Office</w:t>
      </w:r>
      <w:r>
        <w:rPr>
          <w:rFonts w:ascii="Arial" w:cs="Arial" w:eastAsia="Arial" w:hAnsi="Arial"/>
          <w:sz w:val="16"/>
          <w:szCs w:val="16"/>
          <w:color w:val="auto"/>
        </w:rPr>
        <w:t>. The number of directors which constitute the entire Board of Directors of the Corporation shall be such number as is specified in, and the directors shall be elected and shall hold office only in the manner provided in, the Certificate of Incorporation.</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written or electronic notice to the Corporation. Such resignation shall take effect at the time therein specified, and, unless otherwise specified in such resignation, the acceptance of such resignation shall not be necessary to make it effective.</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and newly created directorships resulting from any increase in the total number of directors may be filled only in the manner provided in the Certificate of Incorporation.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Nominations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7" w:lineRule="auto"/>
        <w:tabs>
          <w:tab w:leader="none" w:pos="1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the provisions contained in the Certificate of Incorporation, only persons who are nominated in accordance with the procedures set forth in these Bylaws shall be eligible to serve as directors. Nominations of persons for election to the Board of Directors of the Corporation may be made at a meeting of stockholders (i) by or at the direction of the Board of Directors or (ii) by any stockholder of the Corporation who was a stockholder of record at the time of giving of notice provided for in these Bylaws, who is entitled to vote generally in the election of directors at the meeting and who shall have complied with the notice procedures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ARTICLE II.</w:t>
      </w:r>
    </w:p>
    <w:p>
      <w:pPr>
        <w:spacing w:after="0" w:line="188" w:lineRule="exact"/>
        <w:rPr>
          <w:rFonts w:ascii="Arial" w:cs="Arial" w:eastAsia="Arial" w:hAnsi="Arial"/>
          <w:sz w:val="18"/>
          <w:szCs w:val="18"/>
          <w:color w:val="auto"/>
        </w:rPr>
      </w:pPr>
    </w:p>
    <w:p>
      <w:pPr>
        <w:ind w:firstLine="656"/>
        <w:spacing w:after="0" w:line="255"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the Certificate of Incorporation, no person shall be eligible to serve as a director of the Corporation unless nominated in accordance with the procedures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ARTICLE II. The person presiding over the meeting of the stockholders shall, if the facts warrant, determine and declare to the meeting that a nomination was not made in accordance with the procedures prescribed by this section, and if he or she should so determine, he or she shall so declare to the meeting and the defective nomination shall be disregarded. A stockholder seeking to nominate a person to serve as a director must also comply with all applicable requirements of the Exchange Act, and the rules and regulations thereunder with respect to the matters set forth in this section.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Board of Directors shall be held without other notice than these Bylaws immediately after, and at the same place as, the annual meeting of stockholders.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Other Meetings and Notices</w:t>
      </w:r>
      <w:r>
        <w:rPr>
          <w:rFonts w:ascii="Arial" w:cs="Arial" w:eastAsia="Arial" w:hAnsi="Arial"/>
          <w:sz w:val="18"/>
          <w:szCs w:val="18"/>
          <w:color w:val="auto"/>
        </w:rPr>
        <w:t>. Regular meetings, other than the annual meeting, of the Board of Directors may be held without notice at such time and at such place as shall from time to time be determined by resolution of the Board of Directors. Special meetings of the Board of Directors may be called by the chief executive officer of the Corporation, the most senior executive officer of the Corporation (if there is no chief executive officer), the chairman of the board, the vice chairman of the board, or a majority of the total number of directors then in office, on at least 24 hours’ notice to each director, either personally, by telephone, by mail, by telecopy or by other means of electronic transmission (notice by mail shall be deemed delivered three days after deposit in the U.S. mail).</w:t>
      </w:r>
    </w:p>
    <w:p>
      <w:pPr>
        <w:sectPr>
          <w:pgSz w:w="11900" w:h="16906" w:orient="portrait"/>
          <w:cols w:equalWidth="0" w:num="1">
            <w:col w:w="11420"/>
          </w:cols>
          <w:pgMar w:left="240" w:top="125" w:right="239" w:bottom="0" w:gutter="0" w:footer="0" w:header="0"/>
        </w:sectPr>
      </w:pPr>
    </w:p>
    <w:bookmarkStart w:id="12" w:name="page13"/>
    <w:bookmarkEnd w:id="12"/>
    <w:p>
      <w:pPr>
        <w:spacing w:after="0" w:line="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Quorum, Required Vote and Adjournment</w:t>
      </w:r>
      <w:r>
        <w:rPr>
          <w:rFonts w:ascii="Arial" w:cs="Arial" w:eastAsia="Arial" w:hAnsi="Arial"/>
          <w:sz w:val="17"/>
          <w:szCs w:val="17"/>
          <w:color w:val="auto"/>
        </w:rPr>
        <w:t xml:space="preserve">. A majority of the total number of directors then in office shall constitute a quorum for the transaction of business. Unless by express provision of an applicable law, the Certificate of Incorporation or these Bylaws a different vote is required, the vote of a majority of directors present at a meeting at which a quorum is present shall be the act of the Board of Directors. If a quorum shall not be present at any meeting of the Board of Directors, the directors present thereat may adjourn the meeting. At least 24 hours’ notice of any adjourned meeting of the Board of Directors shall be given to each director whether or not present at the time of the adjournment, if such notice shall be given by one of the means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ARTICLE III other than by mail, or at least three days’ notice if by mail. Any business may be transacted at an adjourned meeting that might have been transacted at the meeting as originally called.</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Committees</w:t>
      </w:r>
      <w:r>
        <w:rPr>
          <w:rFonts w:ascii="Arial" w:cs="Arial" w:eastAsia="Arial" w:hAnsi="Arial"/>
          <w:sz w:val="17"/>
          <w:szCs w:val="17"/>
          <w:color w:val="auto"/>
        </w:rPr>
        <w:t xml:space="preserve">. The Board of Directors may, by resolution passed by a majority of the total number of directors then in office, designate one or more committees, each committee to consist of one or more of the directors of the Corporation, which to the extent provided in said resolution or resolutions shall have and may exercise the powers and authority of the Board of Directors in the management of the business and affairs of the Corporation (including the power and authority to designate other committees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committee shall have power or authority in reference to the following matters: (i) approving or adopting, or recommending to the stockholders, any action or matter expressly required by the DGCL to be submitted to stockholders for approval, or (ii) adopting, amending, or repealing the Bylaws of the Corporation.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upon request. Each committee designated by the Board of Directors shall be formed and function in compliance with applicable law and the rules and regulations of any national securities exchange on which any securities of the Corporation are listed.</w:t>
      </w:r>
    </w:p>
    <w:p>
      <w:pPr>
        <w:spacing w:after="0" w:line="18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Committee Rules</w:t>
      </w:r>
      <w:r>
        <w:rPr>
          <w:rFonts w:ascii="Arial" w:cs="Arial" w:eastAsia="Arial" w:hAnsi="Arial"/>
          <w:sz w:val="17"/>
          <w:szCs w:val="17"/>
          <w:color w:val="auto"/>
        </w:rPr>
        <w:t>. Subject to applicable law, the rules and regulations of any national securities exchange on which any securities of the Corporation are listed and these Bylaws, each committee of the Board of Directors may fix its own rules of procedure and shall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Communications Equipment</w:t>
      </w:r>
      <w:r>
        <w:rPr>
          <w:rFonts w:ascii="Arial" w:cs="Arial" w:eastAsia="Arial" w:hAnsi="Arial"/>
          <w:sz w:val="18"/>
          <w:szCs w:val="18"/>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and speak with each other, and participation in the meeting pursuant to this section shall constitute presence in person at the meeting.</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Waiver of Notice and Presumption of Assent</w:t>
      </w:r>
      <w:r>
        <w:rPr>
          <w:rFonts w:ascii="Arial" w:cs="Arial" w:eastAsia="Arial" w:hAnsi="Arial"/>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was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the number of members of the Board of Directors or the relevant committee thereof, as the case may be required to take the action under consideration by the Board of Directors or any committee thereof, consent thereto in writing, and the writing or writings are filed with the minutes of proceedings of the Board of Directors or committee.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officers of the Corporation shall be elected by the Board of Directors and shall consist of a chairman of the board, a vice chairman of the board, a chief executive officer, a president, one or more vice-presidents, a secretary, a chief financial officer and such other officers and assistant officers as may be deemed necessary or desirable by the Board of Directors. Any number of offices may be held by the same person, except that neither the chief executive officer nor the president shall also hold the office of secretary. In its discretion, the Board of Directors may choose not to fill any office for any period as it may deem advisable, except that the offices of president and secretary shall be filled as expeditiously as possible.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The officers of the Corporation shall be elected annually by the Board of Directors at its first meeting held after each annual meeting of stockholders or as soon thereafter as convenient. Vacancies may be filled or new offices created and filled at any meeting of the Board of Directors. Each officer shall hold office until a successor is duly elected and qualified or until his or her earlier death, resignation or removal as hereinafter provided.</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by the Board of Directors may be removed by the Board of Directors at its discretion, but such removal shall be without prejudice to the contract rights, if any, of the person so removed.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because of death, resignation, removal, disqualification or otherwise may be filled by the Board of Directors.</w:t>
      </w:r>
    </w:p>
    <w:p>
      <w:pPr>
        <w:sectPr>
          <w:pgSz w:w="11900" w:h="16929" w:orient="portrait"/>
          <w:cols w:equalWidth="0" w:num="1">
            <w:col w:w="11420"/>
          </w:cols>
          <w:pgMar w:left="240" w:top="341" w:right="239" w:bottom="0" w:gutter="0" w:footer="0" w:header="0"/>
        </w:sectPr>
      </w:pPr>
    </w:p>
    <w:bookmarkStart w:id="13" w:name="page14"/>
    <w:bookmarkEnd w:id="13"/>
    <w:p>
      <w:pPr>
        <w:spacing w:after="0" w:line="1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Compensation</w:t>
      </w:r>
      <w:r>
        <w:rPr>
          <w:rFonts w:ascii="Arial" w:cs="Arial" w:eastAsia="Arial" w:hAnsi="Arial"/>
          <w:sz w:val="18"/>
          <w:szCs w:val="18"/>
          <w:color w:val="auto"/>
        </w:rPr>
        <w:t>. Subject to applicable law and the rules and regulations of any national securities exchange on which any securities of the Corporation are listed, the compensation of all executive officers shall be approved by the Board of Directors, and no officer shall be prevented from receiving such compensation by virtue of his or her also being a Director of the Corporation.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Chairman of the Board and Vice Chairman of the Board</w:t>
      </w:r>
      <w:r>
        <w:rPr>
          <w:rFonts w:ascii="Arial" w:cs="Arial" w:eastAsia="Arial" w:hAnsi="Arial"/>
          <w:sz w:val="17"/>
          <w:szCs w:val="17"/>
          <w:color w:val="auto"/>
        </w:rPr>
        <w:t>. The Board of Directors shall elect, by the affirmative vote of a majority of the total number of directors then in office, a chairman of the Board of Directors and a vice chairman of the Board of Directors. The chairman of the board shall preside at all meetings of the stockholders and of the Board of Directors and shall have such other powers and perform such other duties as may be prescribed by the Board of Directors or provided in these Bylaws. If the chairman of the Board of Directors is not present at a meeting of the stockholders or the Board of Directors, the vice chairman shall preside at such meeting. If neither the chairman nor the vice chairman is present at a meeting of the stockholders or the Board of Directors, the chief executive officer or the president (if the president is a director and is not also the chairman of the Board of Directors) shall preside at such meeting, and, if the chief executive officer or the president is not present at such meeting, a majority of the directors present at such meeting shall elect one of their members to so preside. The vice chairman shall be permitted to attend all meetings of standing committees of the Board of Directors on an ex officio basis.</w:t>
      </w:r>
    </w:p>
    <w:p>
      <w:pPr>
        <w:spacing w:after="0" w:line="18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have the powers and perform the duties incident to that position. Subject to the powers of the Board of Directors, the chief executive officer shall be in the general and active charge of the entire business and affairs of the Corporation, and shall be its chief policy making officer. The chief executive officer shall have such other powers and perform such other duties as may be prescribed by the Board of Directors or provided in these Bylaws. The chief executive officer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Whenever the president is unable to serve, by reason of sickness, absence or otherwise, the chief executive officer shall perform all the duties and responsibilities and exercise all the powers of the president.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The President</w:t>
      </w:r>
      <w:r>
        <w:rPr>
          <w:rFonts w:ascii="Arial" w:cs="Arial" w:eastAsia="Arial" w:hAnsi="Arial"/>
          <w:sz w:val="18"/>
          <w:szCs w:val="18"/>
          <w:color w:val="auto"/>
        </w:rPr>
        <w:t>. The president of the Corporation shall, subject to the powers of the Board of Directors and the chief executive officer, have general charge of the business, affairs and property of the Corporation, and control over its officers, agents and employees. The president shall see that all orders and resolutions of the Board of Directors are carried into effect. The president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have such other powers and perform such other duties as may be prescribed by the chief executive officer, the Board of Directors or as may be provided in these Bylaws.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vice president, or if there shall be more than one, the vice presidents in the order determined by the Board of Directors, shall, in the absence or disability of the president, act with all of the powers and be subject to all the restrictions of the president. The vice presidents shall also perform such other duties and have such other powers as the Board of Directors, the chief executive officer, the president or these Bylaws may, from time to time, prescribe. The vice presidents may also be designated as executive vice presidents or senior vice presidents, as the Board of Directors may from time to time prescribe.</w:t>
      </w:r>
    </w:p>
    <w:p>
      <w:pPr>
        <w:spacing w:after="0" w:line="18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The Secretary and Assistant Secretaries</w:t>
      </w:r>
      <w:r>
        <w:rPr>
          <w:rFonts w:ascii="Arial" w:cs="Arial" w:eastAsia="Arial" w:hAnsi="Arial"/>
          <w:sz w:val="16"/>
          <w:szCs w:val="16"/>
          <w:color w:val="auto"/>
        </w:rPr>
        <w:t>. The secretary shall attend all meetings of the Board of Directors, all meetings of the committees thereof and all meetings of the stockholders and record all the proceedings of the meetings in a book or books to be kept for that purpose or shall ensure that his or her designee attends each such meeting to act in such capacity. Under the chairman of the board’s supervision, the secretary shall give, or cause to be given, all notices required to be given by these Bylaws or by law; shall have such powers and perform such duties as the Board of Directors, the chief executive officer, the president or these Bylaws may, from time to time, prescribe;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any of the assistant secretaries, shall in the absence or disability of the secretary, perform the duties and exercise the powers of the secretary and shall perform such other duties and have such other powers as the Board of Directors, the chief executive officer, the president, or the secretary may, from time to time, prescribe.</w:t>
      </w:r>
    </w:p>
    <w:p>
      <w:pPr>
        <w:spacing w:after="0" w:line="16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Chief Financial Officer</w:t>
      </w:r>
      <w:r>
        <w:rPr>
          <w:rFonts w:ascii="Arial" w:cs="Arial" w:eastAsia="Arial" w:hAnsi="Arial"/>
          <w:sz w:val="16"/>
          <w:szCs w:val="16"/>
          <w:color w:val="auto"/>
        </w:rPr>
        <w:t>. The chief financial officer shall have the custody of the corporate funds and securities; shall keep full and accurate all books and accounts of the Corporation as shall be necessary or desirable in accordance with applicable law or generally accepted accounting principles; shall deposit all monies and other valuable effects in the name and to the credit of the Corporation as may be ordered by the chief executive officer or the Board of Directors; shall cause the funds of the Corporation to be disbursed when such disbursements have been duly authorized, taking proper vouchers for such disbursements; shall render to the Board of Directors, at its regular meeting or when the Board of Directors so requires, an account of the Corporation; and shall have such powers and perform such duties as the Board of Directors, the chief executive officer, the president or these Bylaws may, from time to time, prescribe. If required by the Board of Directors, the chief financial officer shall give the Corporation a bond (which shall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 rendered every six years) in such sums and with such surety or sureties as shall be satisfactory to the Board of Directors for the faithful performance of the duties of the office of chief financial officer and for the restoration to the Corporation, in case of death, resignation, retirement or removal from office of all books, papers, vouchers, money and other property of whatever kind in the possession or under the control of the chief financial officer belonging to the Corporation.</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Officers, Assistant Officers and Agents</w:t>
      </w:r>
      <w:r>
        <w:rPr>
          <w:rFonts w:ascii="Arial" w:cs="Arial" w:eastAsia="Arial" w:hAnsi="Arial"/>
          <w:sz w:val="18"/>
          <w:szCs w:val="18"/>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Absence or Disability of Officers</w:t>
      </w:r>
      <w:r>
        <w:rPr>
          <w:rFonts w:ascii="Arial" w:cs="Arial" w:eastAsia="Arial" w:hAnsi="Arial"/>
          <w:sz w:val="16"/>
          <w:szCs w:val="16"/>
          <w:color w:val="auto"/>
        </w:rPr>
        <w:t>. In the case of the absence or disability of any officer of the Corporation and of any person hereby authorized to act in such officer’s place during such officer’s absence or disability, the Board of Directors may by resolution delegate the powers and</w:t>
      </w:r>
    </w:p>
    <w:p>
      <w:pPr>
        <w:sectPr>
          <w:pgSz w:w="11900" w:h="16975" w:orient="portrait"/>
          <w:cols w:equalWidth="0" w:num="1">
            <w:col w:w="11420"/>
          </w:cols>
          <w:pgMar w:left="240" w:top="341" w:right="239" w:bottom="0" w:gutter="0" w:footer="0" w:header="0"/>
        </w:sectPr>
      </w:pPr>
    </w:p>
    <w:bookmarkStart w:id="14" w:name="page15"/>
    <w:bookmarkEnd w:id="14"/>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duties of such officer to any other officer or to any director, or to any other person selected by it.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a wholly owned subsidiary of the Corporation or, while a director, officer or employee of the Corporation or a wholly owned subsidiary of the Corporation, is or was serving at the request of the Corporation or a wholly owned subsidiary of the Corporation as a director, officer, employee, partner, member, manager, trustee, fiduciary or agent of another corporation or of a partnership, joint venture, limited liability company, trust or other entity or enterprise,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judgments, fines, excise taxes or penalties and amounts paid in settlement) reasonably incurred or suffered by such indemnitee in connection therewith and such indemnification shall continue as to an indemnitee who has ceased to be a director, officer, employee, partner, member, manager, trustee, fiduciary or agent and shall inure to the benefit of the indemnitee’s heirs, executors and administrators; provided, however, that, except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ARTICLE V with respect to proceedings to enforce rights to indemnification or advance of expenses, the Corporation shall not indemnify any such indemnitee in connection with a proceeding (or part thereof) initiated by such indemnitee except to the extent such proceeding (or part thereof) was authorized in writing by the Board of Directors of the Corporation. The right to indemnification conferred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ARTICLE V shall be a contract right and shall include the obligation of the Corporation to pay the expenses incurred in defending any such proceeding in advance of its final disposition (an “</w:t>
      </w:r>
      <w:r>
        <w:rPr>
          <w:rFonts w:ascii="Arial" w:cs="Arial" w:eastAsia="Arial" w:hAnsi="Arial"/>
          <w:sz w:val="16"/>
          <w:szCs w:val="16"/>
          <w:u w:val="single" w:color="auto"/>
          <w:color w:val="auto"/>
        </w:rPr>
        <w:t>advance of expenses</w:t>
      </w:r>
      <w:r>
        <w:rPr>
          <w:rFonts w:ascii="Arial" w:cs="Arial" w:eastAsia="Arial" w:hAnsi="Arial"/>
          <w:sz w:val="16"/>
          <w:szCs w:val="16"/>
          <w:color w:val="auto"/>
        </w:rPr>
        <w:t>”); provided, however, that an advance of expenses incurred by an indemnitee in his or her capacity as a director or officer shall be made only upon delivery to the Corporation of an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undertaking (an “</w:t>
      </w:r>
      <w:r>
        <w:rPr>
          <w:rFonts w:ascii="Arial" w:cs="Arial" w:eastAsia="Arial" w:hAnsi="Arial"/>
          <w:sz w:val="18"/>
          <w:szCs w:val="18"/>
          <w:u w:val="single" w:color="auto"/>
          <w:color w:val="auto"/>
        </w:rPr>
        <w:t>undertaking</w:t>
      </w:r>
      <w:r>
        <w:rPr>
          <w:rFonts w:ascii="Arial" w:cs="Arial" w:eastAsia="Arial" w:hAnsi="Arial"/>
          <w:sz w:val="18"/>
          <w:szCs w:val="18"/>
          <w:color w:val="auto"/>
        </w:rPr>
        <w:t>”), by or on behalf of such indemnitee, to repay all amounts so advanced if it shall ultimately be determined by final judicial decision from which there is no further right to appeal (a “</w:t>
      </w:r>
      <w:r>
        <w:rPr>
          <w:rFonts w:ascii="Arial" w:cs="Arial" w:eastAsia="Arial" w:hAnsi="Arial"/>
          <w:sz w:val="18"/>
          <w:szCs w:val="18"/>
          <w:u w:val="single" w:color="auto"/>
          <w:color w:val="auto"/>
        </w:rPr>
        <w:t>final adjudication</w:t>
      </w:r>
      <w:r>
        <w:rPr>
          <w:rFonts w:ascii="Arial" w:cs="Arial" w:eastAsia="Arial" w:hAnsi="Arial"/>
          <w:sz w:val="18"/>
          <w:szCs w:val="18"/>
          <w:color w:val="auto"/>
        </w:rPr>
        <w:t xml:space="preserve">”) that such indemnitee is not entitled to be indemnified for such expenses under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ARTICLE V or otherwise. For purposes of this ARTICLE V, a wholly owned subsidiary of the Corporation shall be deemed to include any subsidiary for which nominal equity interests have been issued to persons other than the Corporation or any of its subsidiaries pursuant to the laws of such subsidiary’s jurisdiction of incorporation or organization.</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 xml:space="preserve">. Any indemnification of an indemnitee or advance of expenses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ARTICLE V shall be made promptly, and in any event within thirty days (or, in the case of an advance of expenses, twenty days), upon the written request of the indemnitee. If the Corporation denies a written request for indemnification or advance of expenses, in whole or in part, or if payment in full pursuant to such request is not made within thirty days (or, in the case of an advance of expenses, twenty days), the right to indemnification or advances as granted by this ARTICLE V shall be enforceable by the indemnitee in any court of competent jurisdiction. Such person’s costs and expenses incurred in connection with successfully establishing his or her right to indemnification or advance of expenses, in whole or in part, in any such action shall also be indemnified by the Corporation.</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its own behalf and on behalf of any person who is or was a director, officer, employee or agent of the Corporation or a wholly owned subsidiary of the Corporation or was serving at the request of the Corporation or a wholly owned subsidiary of the Corporation as a director, officer, employee, partner, member, manager, trustee, fiduciary or agent of another corporation, partnership, joint venture, limited liability company, trust or other entity or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V shall not adversely affect any right or protection hereunder of any indemnitee in respect of any act, omission or condition existing or event or circumstance occurring prior to the time of such repeal or modification.</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the advance of expenses conferred in this ARTICLE V and in the Certificate of Incorporation shall not be exclusive of any other right which any person may have or hereafter acquire hereunder or under any statute, by-law, agreement, vote of stockholders or disinterested directors or otherwise.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director, officer or employee who was or is serving at its request as a director, officer, employee or agent of another entity shall be reduced by any amount such director, officer or employee may collect as indemnification or advancement of expenses from such other entity.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Other Indemnification and Prepayment of Expenses</w:t>
      </w:r>
      <w:r>
        <w:rPr>
          <w:rFonts w:ascii="Arial" w:cs="Arial" w:eastAsia="Arial" w:hAnsi="Arial"/>
          <w:sz w:val="17"/>
          <w:szCs w:val="17"/>
          <w:color w:val="auto"/>
        </w:rPr>
        <w:t>. This ARTICLE V shall not limit the right of the Corporation, to the extent and in the manner permitted by applicable law, to indemnify and to advance expenses to persons other than directors or officers (including employees and agents) with the same or lesser scope and effect as provided herein when and as authorized by appropriate corporate action.</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Merger or Consolidation</w:t>
      </w:r>
      <w:r>
        <w:rPr>
          <w:rFonts w:ascii="Arial" w:cs="Arial" w:eastAsia="Arial" w:hAnsi="Arial"/>
          <w:sz w:val="16"/>
          <w:szCs w:val="16"/>
          <w:color w:val="auto"/>
        </w:rPr>
        <w:t>. For purposes of this ARTICLE V, references to the “Corporation” shall include, in addition to the corporation resulting from or surviving a consolidation or merger with the Corporation, any constituent corporation (including any constituent of a constituent) absorbed in a consolidation or merger with the Corporation which, if its separate existence had continued, would have had power and authority to indemnify its directors, officers or employees, so that any person who is or was a director or officer of such constituent corporation or a wholly owned subsidiary of such constituent corporation or, while a director, officer or employee of such constituent corporation or a wholly owned subsidiary of such constituent corporation is or was serving at the request of such constituent corporation or a wholly owned subsidiary of such constituent corporation as a director, officer, employee, partner, member, manager, trustee, fiduciary or agent of another corporation or of a partnership, joint venture, limited liability company, trust or other entity or enterprise, including service with respect to an employee benefit plan, shall stand in the same position under this</w:t>
      </w:r>
    </w:p>
    <w:p>
      <w:pPr>
        <w:sectPr>
          <w:pgSz w:w="11900" w:h="16933" w:orient="portrait"/>
          <w:cols w:equalWidth="0" w:num="1">
            <w:col w:w="11380"/>
          </w:cols>
          <w:pgMar w:left="240" w:top="125" w:right="279" w:bottom="0" w:gutter="0" w:footer="0" w:header="0"/>
        </w:sectPr>
      </w:pPr>
    </w:p>
    <w:bookmarkStart w:id="15" w:name="page16"/>
    <w:bookmarkEnd w:id="15"/>
    <w:p>
      <w:pPr>
        <w:spacing w:after="0" w:line="5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ARTICLE V with respect to the resulting or surviving corporation as he or she would have with respect to such constituent corporation if its separate existence had continued.</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ARTICLE V shall be found to be invalid or limited in application by reason of any law or regulation, it shall not affect the validity of the remaining provisions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CERTIFICATES OF STOCK</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w:t>
      </w:r>
      <w:r>
        <w:rPr>
          <w:rFonts w:ascii="Arial" w:cs="Arial" w:eastAsia="Arial" w:hAnsi="Arial"/>
          <w:sz w:val="17"/>
          <w:szCs w:val="17"/>
          <w:color w:val="auto"/>
        </w:rPr>
        <w:t>. Every holder of stock in the Corporation shall be entitled to have a certificate, signed by, or in the name of the Corporation by the president or vice president and the secretary or an assistant secretary of the Corporation, certifying the number of shares owned by such holder in the Corporation, provided that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If a certificate is countersigned by a transfer agent or a registrar, the required signatures may be facsimiles.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thereon had not ceased to be such officer or officers of the Corporation. All certificates for shares shall be consecutively numbered or otherwise identified. The name of the person to whom the shares represented thereby are issued, with the number of shares and date of issue, shall be entered on the books of the Corporation. Shares of stock of the Corporation shall only be transferred on the books of the Corporation by the holder of record thereof or by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holder’s attorney duly authorized in writing, upon surrender to the Corporation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Each such new certificate will be registered in such name as is requested by the holder of the surrendered certificate and shall be substantially identical in form to the surrendered certificate. Upon the receipt of proper transfer instructions from the registered owner of uncertificated shares, if any, such uncertificated shares shall be cancelled, issuance of new equivalent uncertificated or certificated shares shall be made to the stockholder entitled thereto and the transaction shall recorded upon the books and records of the Corporation. The Board of Directors may appoint one or more transfer agents or registrars or both in connection with the transfer of any class or series of securities of the Corporation.</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(i) a new certificate or certificates of stock or (ii) uncertificated shares in place of any certificate or certificates previously issued by the Corporation, as applicable, in place of any certificate or certificates previously issued by the Corporation alleged to have been lost, stolen or destroyed, upon the making of an affidavit of that fact by the person claiming the certificate of stock to be lost, stolen or destroyed. When authorizing such issue of a new certificate or certificates, the Corporation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Fixing a Record Date for Stockholder Meetings</w:t>
      </w:r>
      <w:r>
        <w:rPr>
          <w:rFonts w:ascii="Arial" w:cs="Arial" w:eastAsia="Arial" w:hAnsi="Arial"/>
          <w:sz w:val="17"/>
          <w:szCs w:val="17"/>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the close of business on the next day preceding the day on which notice is first given.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Fixing a Record Date for Other Purposes</w:t>
      </w:r>
      <w:r>
        <w:rPr>
          <w:rFonts w:ascii="Arial" w:cs="Arial" w:eastAsia="Arial" w:hAnsi="Arial"/>
          <w:sz w:val="18"/>
          <w:szCs w:val="18"/>
          <w:color w:val="auto"/>
        </w:rPr>
        <w:t>. In order that the Corporation may determine: (i) the stockholders entitled to receive payment of any dividend or other distribution or allotment or any rights; or (ii)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60 days nor less than 10 days prior to such action. If no record date is fixed, the record date for determining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stockholders for any such purpose shall be at the close of business on the day on which the Board of Directors adopts the resolution relating thereto.</w:t>
      </w:r>
    </w:p>
    <w:p>
      <w:pPr>
        <w:spacing w:after="0" w:line="23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with a request to record the transfer of such share or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w:t>
      </w:r>
    </w:p>
    <w:p>
      <w:pPr>
        <w:spacing w:after="0" w:line="15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Subscriptions for Stock</w:t>
      </w:r>
      <w:r>
        <w:rPr>
          <w:rFonts w:ascii="Arial" w:cs="Arial" w:eastAsia="Arial" w:hAnsi="Arial"/>
          <w:sz w:val="16"/>
          <w:szCs w:val="16"/>
          <w:color w:val="auto"/>
        </w:rPr>
        <w:t>. Unless otherwise provided for in any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ectPr>
          <w:pgSz w:w="11900" w:h="16888" w:orient="portrait"/>
          <w:cols w:equalWidth="0" w:num="1">
            <w:col w:w="11420"/>
          </w:cols>
          <w:pgMar w:left="240" w:top="125" w:right="239" w:bottom="0" w:gutter="0" w:footer="0" w:header="0"/>
        </w:sectPr>
      </w:pPr>
    </w:p>
    <w:bookmarkStart w:id="16" w:name="page17"/>
    <w:bookmarkEnd w:id="16"/>
    <w:p>
      <w:pPr>
        <w:spacing w:after="0" w:line="3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Dividends</w:t>
      </w:r>
      <w:r>
        <w:rPr>
          <w:rFonts w:ascii="Arial" w:cs="Arial" w:eastAsia="Arial" w:hAnsi="Arial"/>
          <w:sz w:val="17"/>
          <w:szCs w:val="17"/>
          <w:color w:val="auto"/>
        </w:rPr>
        <w:t>. Dividends upon the capital stock of the Corporation, subject to the provisions of the Certificate of Incorporation, may be declared by the Board of Directors at any regular or special meeting, in accordance with applicable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178"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Checks, Drafts or Orders</w:t>
      </w:r>
      <w:r>
        <w:rPr>
          <w:rFonts w:ascii="Arial" w:cs="Arial" w:eastAsia="Arial" w:hAnsi="Arial"/>
          <w:sz w:val="17"/>
          <w:szCs w:val="17"/>
          <w:color w:val="auto"/>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Contracts</w:t>
      </w:r>
      <w:r>
        <w:rPr>
          <w:rFonts w:ascii="Arial" w:cs="Arial" w:eastAsia="Arial" w:hAnsi="Arial"/>
          <w:sz w:val="18"/>
          <w:szCs w:val="18"/>
          <w:color w:val="auto"/>
        </w:rPr>
        <w:t>. In addition to the powers otherwise granted to officers pursuant to ARTICLE IV hereof, the Board of Directors may authorize any officer or officers, or any agent or agents, of the Corporation to enter into any contract or to execute and deliver any instrument in the name of and on behalf of the Corporation, and such authority may be general or confined to specific instances.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Loans</w:t>
      </w:r>
      <w:r>
        <w:rPr>
          <w:rFonts w:ascii="Arial" w:cs="Arial" w:eastAsia="Arial" w:hAnsi="Arial"/>
          <w:sz w:val="18"/>
          <w:szCs w:val="18"/>
          <w:color w:val="auto"/>
        </w:rPr>
        <w:t>. Subject to compliance with applicable law (including, if applicable, Section 13(k) of the Exchange Act), the Corporation may lend money to, or guarantee any obligation of, or otherwise assist any officer or other employee of the Corporation or of 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subsidiaries, including any officer or employee who is a director of the Corporation or its subsidiaries, whenever, in the judgment of the directors, such loan, guaranty or assistance may reasonably be expected to benefit the Corporation and would not violate applicable law. The loan, guaranty or other assistance may be with or without interest, and may be unsecured, or secured in such manner as the Board of Directors shall approve, including, without limitation, a pledge of shares of stock of the Corporation, subject to applicable law. Nothing in this Section 4 shall be deemed to deny, limit or restrict the powers of guaranty or warranty of the Corporation at common law or under any statute.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Seal</w:t>
      </w:r>
      <w:r>
        <w:rPr>
          <w:rFonts w:ascii="Arial" w:cs="Arial" w:eastAsia="Arial" w:hAnsi="Arial"/>
          <w:sz w:val="17"/>
          <w:szCs w:val="17"/>
          <w:color w:val="auto"/>
        </w:rPr>
        <w:t>. The Board of Directors may provide a corporate seal which shall be in the form of a circle and shall have inscribed thereon the name of the Corporation and the words “Corporate Seal, Delaware.” The seal may be used by causing it or a facsimile thereof to be impressed or affixed or reproduced or otherwise. Notwithstanding the foregoing, no seal shall be required by virtue of this Section.</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Securities Owned By Corporation</w:t>
      </w:r>
      <w:r>
        <w:rPr>
          <w:rFonts w:ascii="Arial" w:cs="Arial" w:eastAsia="Arial" w:hAnsi="Arial"/>
          <w:sz w:val="18"/>
          <w:szCs w:val="18"/>
          <w:color w:val="auto"/>
        </w:rPr>
        <w:t>. Voting securities in any other company held by the Corporation shall be voted by the chief executive officer, the president or a vice president,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Inspection of Books and Records</w:t>
      </w:r>
      <w:r>
        <w:rPr>
          <w:rFonts w:ascii="Arial" w:cs="Arial" w:eastAsia="Arial" w:hAnsi="Arial"/>
          <w:sz w:val="16"/>
          <w:szCs w:val="16"/>
          <w:color w:val="auto"/>
        </w:rPr>
        <w:t>. The Board of Directors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laws of the State of Delaware, unless and until authorized so to do by resolution of the Board of Directors or of the stockholders of the Corporation.</w:t>
      </w:r>
    </w:p>
    <w:p>
      <w:pPr>
        <w:spacing w:after="0" w:line="15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use of facsimile signatures elsewhere specifically authorized in these Bylaws, facsimile signatures of any officer or officers of the Corporation may be used whenever and as authorized by the Board of Directors.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Inconsistent Provisions</w:t>
      </w:r>
      <w:r>
        <w:rPr>
          <w:rFonts w:ascii="Arial" w:cs="Arial" w:eastAsia="Arial" w:hAnsi="Arial"/>
          <w:sz w:val="17"/>
          <w:szCs w:val="17"/>
          <w:color w:val="auto"/>
        </w:rPr>
        <w:t>. In the event that any provision of these Bylaws is or becomes inconsistent with any provision of the Certificate of Incorporation, the DGCL, the Exchange Act or any regulation thereunder, or any other applicable law or regulation, the provision of these Bylaws shall not be given any effect to the extent of such inconsistency but shall otherwise be given full force and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ARTICLE II hereof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ARTICLE III hereof, all notices referred to herein shall be in writing, shall be delivered personally or by first class mail, postage prepaid, and shall be deemed to have been given when so delivered or mailed to the Corporation at its principal executive offices and to any stockholder at such holder’s address as it appears in the stock records of the Corporation (unless otherwise specified in a written notice to the Corporation by such holder).</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Unless the context requires otherwise, references in these Bylaws to the Certificate of Incorporation (as it may be amended and restated from time to time) shall also be deemed to include any duly authorized certificate of designation relating to any series of Preferred Stock of the Corporation that may be outstanding from time to time.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These Bylaws may be made, amended, altered, changed, added to or repealed as set forth in ARTICLE EIGHT of the Certificate of Incorporation.</w:t>
      </w:r>
    </w:p>
    <w:p>
      <w:pPr>
        <w:spacing w:after="0" w:line="237" w:lineRule="exact"/>
        <w:rPr>
          <w:sz w:val="20"/>
          <w:szCs w:val="20"/>
          <w:color w:val="auto"/>
        </w:rPr>
      </w:pPr>
    </w:p>
    <w:p>
      <w:pPr>
        <w:ind w:left="4380"/>
        <w:spacing w:after="0"/>
        <w:tabs>
          <w:tab w:leader="none" w:pos="5000" w:val="left"/>
          <w:tab w:leader="none" w:pos="564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74" w:orient="portrait"/>
          <w:cols w:equalWidth="0" w:num="1">
            <w:col w:w="11400"/>
          </w:cols>
          <w:pgMar w:left="240" w:top="341" w:right="259" w:bottom="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rPr>
              <w:t>MASTER SERVICES AGREEMENT</w:t>
            </w:r>
          </w:p>
        </w:tc>
        <w:tc>
          <w:tcPr>
            <w:tcW w:w="134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by and among</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30"/>
              <w:spacing w:after="0"/>
              <w:rPr>
                <w:sz w:val="20"/>
                <w:szCs w:val="20"/>
                <w:color w:val="auto"/>
              </w:rPr>
            </w:pPr>
            <w:r>
              <w:rPr>
                <w:rFonts w:ascii="Arial" w:cs="Arial" w:eastAsia="Arial" w:hAnsi="Arial"/>
                <w:sz w:val="18"/>
                <w:szCs w:val="18"/>
                <w:b w:val="1"/>
                <w:bCs w:val="1"/>
                <w:color w:val="auto"/>
              </w:rPr>
              <w:t>NRG YIELD, INC.,</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30"/>
              <w:spacing w:after="0"/>
              <w:rPr>
                <w:sz w:val="20"/>
                <w:szCs w:val="20"/>
                <w:color w:val="auto"/>
              </w:rPr>
            </w:pPr>
            <w:r>
              <w:rPr>
                <w:rFonts w:ascii="Arial" w:cs="Arial" w:eastAsia="Arial" w:hAnsi="Arial"/>
                <w:sz w:val="18"/>
                <w:szCs w:val="18"/>
                <w:b w:val="1"/>
                <w:bCs w:val="1"/>
                <w:color w:val="auto"/>
              </w:rPr>
              <w:t>NRG YIELD LLC,</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30"/>
              <w:spacing w:after="0"/>
              <w:rPr>
                <w:sz w:val="20"/>
                <w:szCs w:val="20"/>
                <w:color w:val="auto"/>
              </w:rPr>
            </w:pPr>
            <w:r>
              <w:rPr>
                <w:rFonts w:ascii="Arial" w:cs="Arial" w:eastAsia="Arial" w:hAnsi="Arial"/>
                <w:sz w:val="18"/>
                <w:szCs w:val="18"/>
                <w:b w:val="1"/>
                <w:bCs w:val="1"/>
                <w:color w:val="auto"/>
              </w:rPr>
              <w:t>NRG YIELD OPERATING LLC</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and</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ZEPHYR RENEWABLES LLC</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as Manager</w:t>
            </w:r>
          </w:p>
        </w:tc>
        <w:tc>
          <w:tcPr>
            <w:tcW w:w="13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Dated as of August 31, 2018</w:t>
            </w:r>
          </w:p>
        </w:tc>
        <w:tc>
          <w:tcPr>
            <w:tcW w:w="1340" w:type="dxa"/>
            <w:vAlign w:val="bottom"/>
          </w:tcPr>
          <w:p>
            <w:pPr>
              <w:spacing w:after="0"/>
              <w:rPr>
                <w:sz w:val="24"/>
                <w:szCs w:val="24"/>
                <w:color w:val="auto"/>
              </w:rPr>
            </w:pPr>
          </w:p>
        </w:tc>
      </w:tr>
      <w:tr>
        <w:trPr>
          <w:trHeight w:val="348"/>
        </w:trPr>
        <w:tc>
          <w:tcPr>
            <w:tcW w:w="100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r>
        <w:trPr>
          <w:trHeight w:val="780"/>
        </w:trPr>
        <w:tc>
          <w:tcPr>
            <w:tcW w:w="1000" w:type="dxa"/>
            <w:vAlign w:val="bottom"/>
          </w:tcPr>
          <w:p>
            <w:pPr>
              <w:spacing w:after="0"/>
              <w:rPr>
                <w:sz w:val="24"/>
                <w:szCs w:val="24"/>
                <w:color w:val="auto"/>
              </w:rPr>
            </w:pPr>
          </w:p>
        </w:tc>
        <w:tc>
          <w:tcPr>
            <w:tcW w:w="912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TABLE OF CONTENTS</w:t>
            </w:r>
          </w:p>
        </w:tc>
        <w:tc>
          <w:tcPr>
            <w:tcW w:w="1340" w:type="dxa"/>
            <w:vAlign w:val="bottom"/>
          </w:tcPr>
          <w:p>
            <w:pPr>
              <w:spacing w:after="0"/>
              <w:rPr>
                <w:sz w:val="24"/>
                <w:szCs w:val="24"/>
                <w:color w:val="auto"/>
              </w:rPr>
            </w:pP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1 INTERPRETATION</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912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9120" w:type="dxa"/>
            <w:vAlign w:val="bottom"/>
          </w:tcPr>
          <w:p>
            <w:pPr>
              <w:ind w:left="260"/>
              <w:spacing w:after="0"/>
              <w:rPr>
                <w:sz w:val="20"/>
                <w:szCs w:val="20"/>
                <w:color w:val="auto"/>
              </w:rPr>
            </w:pPr>
            <w:r>
              <w:rPr>
                <w:rFonts w:ascii="Arial" w:cs="Arial" w:eastAsia="Arial" w:hAnsi="Arial"/>
                <w:sz w:val="18"/>
                <w:szCs w:val="18"/>
                <w:color w:val="auto"/>
              </w:rPr>
              <w:t>Headings and Table of Contents</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912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9120" w:type="dxa"/>
            <w:vAlign w:val="bottom"/>
          </w:tcPr>
          <w:p>
            <w:pPr>
              <w:ind w:left="260"/>
              <w:spacing w:after="0"/>
              <w:rPr>
                <w:sz w:val="20"/>
                <w:szCs w:val="20"/>
                <w:color w:val="auto"/>
              </w:rPr>
            </w:pPr>
            <w:r>
              <w:rPr>
                <w:rFonts w:ascii="Arial" w:cs="Arial" w:eastAsia="Arial" w:hAnsi="Arial"/>
                <w:sz w:val="18"/>
                <w:szCs w:val="18"/>
                <w:color w:val="auto"/>
              </w:rPr>
              <w:t>Service Recipients Third Party Beneficiaries</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9120" w:type="dxa"/>
            <w:vAlign w:val="bottom"/>
          </w:tcPr>
          <w:p>
            <w:pPr>
              <w:ind w:left="260"/>
              <w:spacing w:after="0"/>
              <w:rPr>
                <w:sz w:val="20"/>
                <w:szCs w:val="20"/>
                <w:color w:val="auto"/>
              </w:rPr>
            </w:pPr>
            <w:r>
              <w:rPr>
                <w:rFonts w:ascii="Arial" w:cs="Arial" w:eastAsia="Arial" w:hAnsi="Arial"/>
                <w:sz w:val="18"/>
                <w:szCs w:val="18"/>
                <w:color w:val="auto"/>
              </w:rPr>
              <w:t>Actions by the Manager or the Service Recipients</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2 APPOINTMENT OF THE MANAGER</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9120" w:type="dxa"/>
            <w:vAlign w:val="bottom"/>
          </w:tcPr>
          <w:p>
            <w:pPr>
              <w:ind w:left="260"/>
              <w:spacing w:after="0"/>
              <w:rPr>
                <w:sz w:val="20"/>
                <w:szCs w:val="20"/>
                <w:color w:val="auto"/>
              </w:rPr>
            </w:pPr>
            <w:r>
              <w:rPr>
                <w:rFonts w:ascii="Arial" w:cs="Arial" w:eastAsia="Arial" w:hAnsi="Arial"/>
                <w:sz w:val="18"/>
                <w:szCs w:val="18"/>
                <w:color w:val="auto"/>
              </w:rPr>
              <w:t>Appointment and Acceptance</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9120" w:type="dxa"/>
            <w:vAlign w:val="bottom"/>
          </w:tcPr>
          <w:p>
            <w:pPr>
              <w:ind w:left="260"/>
              <w:spacing w:after="0"/>
              <w:rPr>
                <w:sz w:val="20"/>
                <w:szCs w:val="20"/>
                <w:color w:val="auto"/>
              </w:rPr>
            </w:pPr>
            <w:r>
              <w:rPr>
                <w:rFonts w:ascii="Arial" w:cs="Arial" w:eastAsia="Arial" w:hAnsi="Arial"/>
                <w:sz w:val="18"/>
                <w:szCs w:val="18"/>
                <w:color w:val="auto"/>
              </w:rPr>
              <w:t>Other Service Recipients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9120" w:type="dxa"/>
            <w:vAlign w:val="bottom"/>
          </w:tcPr>
          <w:p>
            <w:pPr>
              <w:ind w:left="260"/>
              <w:spacing w:after="0"/>
              <w:rPr>
                <w:sz w:val="20"/>
                <w:szCs w:val="20"/>
                <w:color w:val="auto"/>
              </w:rPr>
            </w:pPr>
            <w:r>
              <w:rPr>
                <w:rFonts w:ascii="Arial" w:cs="Arial" w:eastAsia="Arial" w:hAnsi="Arial"/>
                <w:sz w:val="18"/>
                <w:szCs w:val="18"/>
                <w:color w:val="auto"/>
              </w:rPr>
              <w:t>Subcontracting and Other Arrangements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3 SERVICES AND POWERS OF THE MANAGER</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9120" w:type="dxa"/>
            <w:vAlign w:val="bottom"/>
          </w:tcPr>
          <w:p>
            <w:pPr>
              <w:ind w:left="260"/>
              <w:spacing w:after="0"/>
              <w:rPr>
                <w:sz w:val="20"/>
                <w:szCs w:val="20"/>
                <w:color w:val="auto"/>
              </w:rPr>
            </w:pPr>
            <w:r>
              <w:rPr>
                <w:rFonts w:ascii="Arial" w:cs="Arial" w:eastAsia="Arial" w:hAnsi="Arial"/>
                <w:sz w:val="18"/>
                <w:szCs w:val="18"/>
                <w:color w:val="auto"/>
              </w:rPr>
              <w:t>Services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9120" w:type="dxa"/>
            <w:vAlign w:val="bottom"/>
          </w:tcPr>
          <w:p>
            <w:pPr>
              <w:ind w:left="260"/>
              <w:spacing w:after="0"/>
              <w:rPr>
                <w:sz w:val="20"/>
                <w:szCs w:val="20"/>
                <w:color w:val="auto"/>
              </w:rPr>
            </w:pPr>
            <w:r>
              <w:rPr>
                <w:rFonts w:ascii="Arial" w:cs="Arial" w:eastAsia="Arial" w:hAnsi="Arial"/>
                <w:sz w:val="18"/>
                <w:szCs w:val="18"/>
                <w:color w:val="auto"/>
              </w:rPr>
              <w:t>Supervision of Manager’s Activities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9120" w:type="dxa"/>
            <w:vAlign w:val="bottom"/>
          </w:tcPr>
          <w:p>
            <w:pPr>
              <w:ind w:left="260"/>
              <w:spacing w:after="0"/>
              <w:rPr>
                <w:sz w:val="20"/>
                <w:szCs w:val="20"/>
                <w:color w:val="auto"/>
              </w:rPr>
            </w:pPr>
            <w:r>
              <w:rPr>
                <w:rFonts w:ascii="Arial" w:cs="Arial" w:eastAsia="Arial" w:hAnsi="Arial"/>
                <w:sz w:val="18"/>
                <w:szCs w:val="18"/>
                <w:color w:val="auto"/>
              </w:rPr>
              <w:t>Restrictions on the Manager</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9120" w:type="dxa"/>
            <w:vAlign w:val="bottom"/>
          </w:tcPr>
          <w:p>
            <w:pPr>
              <w:ind w:left="260"/>
              <w:spacing w:after="0"/>
              <w:rPr>
                <w:sz w:val="20"/>
                <w:szCs w:val="20"/>
                <w:color w:val="auto"/>
              </w:rPr>
            </w:pPr>
            <w:r>
              <w:rPr>
                <w:rFonts w:ascii="Arial" w:cs="Arial" w:eastAsia="Arial" w:hAnsi="Arial"/>
                <w:sz w:val="18"/>
                <w:szCs w:val="18"/>
                <w:color w:val="auto"/>
              </w:rPr>
              <w:t>Errors and Omissions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4 RELATIONSHIP BETWEEN THE MANAGER AND THE SERVICE RECIPIENTS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9120" w:type="dxa"/>
            <w:vAlign w:val="bottom"/>
          </w:tcPr>
          <w:p>
            <w:pPr>
              <w:ind w:left="260"/>
              <w:spacing w:after="0"/>
              <w:rPr>
                <w:sz w:val="20"/>
                <w:szCs w:val="20"/>
                <w:color w:val="auto"/>
              </w:rPr>
            </w:pPr>
            <w:r>
              <w:rPr>
                <w:rFonts w:ascii="Arial" w:cs="Arial" w:eastAsia="Arial" w:hAnsi="Arial"/>
                <w:sz w:val="18"/>
                <w:szCs w:val="18"/>
                <w:color w:val="auto"/>
              </w:rPr>
              <w:t>Other Activities</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9120" w:type="dxa"/>
            <w:vAlign w:val="bottom"/>
          </w:tcPr>
          <w:p>
            <w:pPr>
              <w:ind w:left="260"/>
              <w:spacing w:after="0"/>
              <w:rPr>
                <w:sz w:val="20"/>
                <w:szCs w:val="20"/>
                <w:color w:val="auto"/>
              </w:rPr>
            </w:pPr>
            <w:r>
              <w:rPr>
                <w:rFonts w:ascii="Arial" w:cs="Arial" w:eastAsia="Arial" w:hAnsi="Arial"/>
                <w:sz w:val="18"/>
                <w:szCs w:val="18"/>
                <w:color w:val="auto"/>
              </w:rPr>
              <w:t>Independent Contractor, No Partnership or Joint Venture</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5 MANAGEMENT AND EMPLOYEES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9120" w:type="dxa"/>
            <w:vAlign w:val="bottom"/>
          </w:tcPr>
          <w:p>
            <w:pPr>
              <w:ind w:left="260"/>
              <w:spacing w:after="0"/>
              <w:rPr>
                <w:sz w:val="20"/>
                <w:szCs w:val="20"/>
                <w:color w:val="auto"/>
              </w:rPr>
            </w:pPr>
            <w:r>
              <w:rPr>
                <w:rFonts w:ascii="Arial" w:cs="Arial" w:eastAsia="Arial" w:hAnsi="Arial"/>
                <w:sz w:val="18"/>
                <w:szCs w:val="18"/>
                <w:color w:val="auto"/>
              </w:rPr>
              <w:t>Management and Employees</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6 INFORMATION AND RECORDS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9120" w:type="dxa"/>
            <w:vAlign w:val="bottom"/>
          </w:tcPr>
          <w:p>
            <w:pPr>
              <w:ind w:left="260"/>
              <w:spacing w:after="0"/>
              <w:rPr>
                <w:sz w:val="20"/>
                <w:szCs w:val="20"/>
                <w:color w:val="auto"/>
              </w:rPr>
            </w:pPr>
            <w:r>
              <w:rPr>
                <w:rFonts w:ascii="Arial" w:cs="Arial" w:eastAsia="Arial" w:hAnsi="Arial"/>
                <w:sz w:val="18"/>
                <w:szCs w:val="18"/>
                <w:color w:val="auto"/>
              </w:rPr>
              <w:t>Books and Records</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9120" w:type="dxa"/>
            <w:vAlign w:val="bottom"/>
          </w:tcPr>
          <w:p>
            <w:pPr>
              <w:ind w:left="260"/>
              <w:spacing w:after="0"/>
              <w:rPr>
                <w:sz w:val="20"/>
                <w:szCs w:val="20"/>
                <w:color w:val="auto"/>
              </w:rPr>
            </w:pPr>
            <w:r>
              <w:rPr>
                <w:rFonts w:ascii="Arial" w:cs="Arial" w:eastAsia="Arial" w:hAnsi="Arial"/>
                <w:sz w:val="18"/>
                <w:szCs w:val="18"/>
                <w:color w:val="auto"/>
              </w:rPr>
              <w:t>Examination of Records by the Service Recipients</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9120" w:type="dxa"/>
            <w:vAlign w:val="bottom"/>
          </w:tcPr>
          <w:p>
            <w:pPr>
              <w:ind w:left="260"/>
              <w:spacing w:after="0"/>
              <w:rPr>
                <w:sz w:val="20"/>
                <w:szCs w:val="20"/>
                <w:color w:val="auto"/>
              </w:rPr>
            </w:pPr>
            <w:r>
              <w:rPr>
                <w:rFonts w:ascii="Arial" w:cs="Arial" w:eastAsia="Arial" w:hAnsi="Arial"/>
                <w:sz w:val="18"/>
                <w:szCs w:val="18"/>
                <w:color w:val="auto"/>
              </w:rPr>
              <w:t>Access to Information by Manager Group</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6.4</w:t>
            </w:r>
          </w:p>
        </w:tc>
        <w:tc>
          <w:tcPr>
            <w:tcW w:w="9120" w:type="dxa"/>
            <w:vAlign w:val="bottom"/>
          </w:tcPr>
          <w:p>
            <w:pPr>
              <w:ind w:left="260"/>
              <w:spacing w:after="0"/>
              <w:rPr>
                <w:sz w:val="20"/>
                <w:szCs w:val="20"/>
                <w:color w:val="auto"/>
              </w:rPr>
            </w:pPr>
            <w:r>
              <w:rPr>
                <w:rFonts w:ascii="Arial" w:cs="Arial" w:eastAsia="Arial" w:hAnsi="Arial"/>
                <w:sz w:val="18"/>
                <w:szCs w:val="18"/>
                <w:color w:val="auto"/>
              </w:rPr>
              <w:t>Additional Information</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9120" w:type="dxa"/>
            <w:vAlign w:val="bottom"/>
          </w:tcPr>
          <w:p>
            <w:pPr>
              <w:ind w:left="260"/>
              <w:spacing w:after="0"/>
              <w:rPr>
                <w:sz w:val="20"/>
                <w:szCs w:val="20"/>
                <w:color w:val="auto"/>
              </w:rPr>
            </w:pPr>
            <w:r>
              <w:rPr>
                <w:rFonts w:ascii="Arial" w:cs="Arial" w:eastAsia="Arial" w:hAnsi="Arial"/>
                <w:sz w:val="18"/>
                <w:szCs w:val="18"/>
                <w:color w:val="auto"/>
              </w:rPr>
              <w:t>Confidential Information</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7 FEES AND EXPENSES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7.1</w:t>
            </w:r>
          </w:p>
        </w:tc>
        <w:tc>
          <w:tcPr>
            <w:tcW w:w="9120" w:type="dxa"/>
            <w:vAlign w:val="bottom"/>
          </w:tcPr>
          <w:p>
            <w:pPr>
              <w:ind w:left="260"/>
              <w:spacing w:after="0"/>
              <w:rPr>
                <w:sz w:val="20"/>
                <w:szCs w:val="20"/>
                <w:color w:val="auto"/>
              </w:rPr>
            </w:pPr>
            <w:r>
              <w:rPr>
                <w:rFonts w:ascii="Arial" w:cs="Arial" w:eastAsia="Arial" w:hAnsi="Arial"/>
                <w:sz w:val="18"/>
                <w:szCs w:val="18"/>
                <w:color w:val="auto"/>
              </w:rPr>
              <w:t>Annual Fee</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9120" w:type="dxa"/>
            <w:vAlign w:val="bottom"/>
          </w:tcPr>
          <w:p>
            <w:pPr>
              <w:ind w:left="260"/>
              <w:spacing w:after="0"/>
              <w:rPr>
                <w:sz w:val="20"/>
                <w:szCs w:val="20"/>
                <w:color w:val="auto"/>
              </w:rPr>
            </w:pPr>
            <w:r>
              <w:rPr>
                <w:rFonts w:ascii="Arial" w:cs="Arial" w:eastAsia="Arial" w:hAnsi="Arial"/>
                <w:sz w:val="18"/>
                <w:szCs w:val="18"/>
                <w:color w:val="auto"/>
              </w:rPr>
              <w:t>Computation and Payment of Quarterly Annual Fee</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9120" w:type="dxa"/>
            <w:vAlign w:val="bottom"/>
          </w:tcPr>
          <w:p>
            <w:pPr>
              <w:ind w:left="260"/>
              <w:spacing w:after="0"/>
              <w:rPr>
                <w:sz w:val="20"/>
                <w:szCs w:val="20"/>
                <w:color w:val="auto"/>
              </w:rPr>
            </w:pPr>
            <w:r>
              <w:rPr>
                <w:rFonts w:ascii="Arial" w:cs="Arial" w:eastAsia="Arial" w:hAnsi="Arial"/>
                <w:sz w:val="18"/>
                <w:szCs w:val="18"/>
                <w:color w:val="auto"/>
              </w:rPr>
              <w:t>Governmental Charges</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9120" w:type="dxa"/>
            <w:vAlign w:val="bottom"/>
          </w:tcPr>
          <w:p>
            <w:pPr>
              <w:ind w:left="260"/>
              <w:spacing w:after="0"/>
              <w:rPr>
                <w:sz w:val="20"/>
                <w:szCs w:val="20"/>
                <w:color w:val="auto"/>
              </w:rPr>
            </w:pPr>
            <w:r>
              <w:rPr>
                <w:rFonts w:ascii="Arial" w:cs="Arial" w:eastAsia="Arial" w:hAnsi="Arial"/>
                <w:sz w:val="18"/>
                <w:szCs w:val="18"/>
                <w:color w:val="auto"/>
              </w:rPr>
              <w:t>Computation and Payment of Governmental Charges</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8 REPRESENTATIONS AND WARRANTIES OF THE MANAGER AND THE SERVICE RECIPIENTS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9120" w:type="dxa"/>
            <w:vAlign w:val="bottom"/>
          </w:tcPr>
          <w:p>
            <w:pPr>
              <w:ind w:left="260"/>
              <w:spacing w:after="0"/>
              <w:rPr>
                <w:sz w:val="20"/>
                <w:szCs w:val="20"/>
                <w:color w:val="auto"/>
              </w:rPr>
            </w:pPr>
            <w:r>
              <w:rPr>
                <w:rFonts w:ascii="Arial" w:cs="Arial" w:eastAsia="Arial" w:hAnsi="Arial"/>
                <w:sz w:val="18"/>
                <w:szCs w:val="18"/>
                <w:color w:val="auto"/>
              </w:rPr>
              <w:t>Representations and Warranties of the Manager</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9120" w:type="dxa"/>
            <w:vAlign w:val="bottom"/>
          </w:tcPr>
          <w:p>
            <w:pPr>
              <w:ind w:left="260"/>
              <w:spacing w:after="0"/>
              <w:rPr>
                <w:sz w:val="20"/>
                <w:szCs w:val="20"/>
                <w:color w:val="auto"/>
              </w:rPr>
            </w:pPr>
            <w:r>
              <w:rPr>
                <w:rFonts w:ascii="Arial" w:cs="Arial" w:eastAsia="Arial" w:hAnsi="Arial"/>
                <w:sz w:val="18"/>
                <w:szCs w:val="18"/>
                <w:color w:val="auto"/>
              </w:rPr>
              <w:t>Representations and Warranties of the Service Recipients</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000" w:type="dxa"/>
            <w:vAlign w:val="bottom"/>
          </w:tcPr>
          <w:p>
            <w:pPr>
              <w:spacing w:after="0"/>
              <w:rPr>
                <w:sz w:val="24"/>
                <w:szCs w:val="24"/>
                <w:color w:val="auto"/>
              </w:rPr>
            </w:pPr>
          </w:p>
        </w:tc>
        <w:tc>
          <w:tcPr>
            <w:tcW w:w="9120" w:type="dxa"/>
            <w:vAlign w:val="bottom"/>
          </w:tcPr>
          <w:p>
            <w:pPr>
              <w:jc w:val="center"/>
              <w:ind w:left="210"/>
              <w:spacing w:after="0"/>
              <w:rPr>
                <w:sz w:val="20"/>
                <w:szCs w:val="20"/>
                <w:color w:val="auto"/>
              </w:rPr>
            </w:pPr>
            <w:r>
              <w:rPr>
                <w:rFonts w:ascii="Arial" w:cs="Arial" w:eastAsia="Arial" w:hAnsi="Arial"/>
                <w:sz w:val="18"/>
                <w:szCs w:val="18"/>
                <w:color w:val="auto"/>
              </w:rPr>
              <w:t>i</w:t>
            </w:r>
          </w:p>
        </w:tc>
        <w:tc>
          <w:tcPr>
            <w:tcW w:w="1340" w:type="dxa"/>
            <w:vAlign w:val="bottom"/>
          </w:tcPr>
          <w:p>
            <w:pPr>
              <w:spacing w:after="0"/>
              <w:rPr>
                <w:sz w:val="24"/>
                <w:szCs w:val="24"/>
                <w:color w:val="auto"/>
              </w:rPr>
            </w:pPr>
          </w:p>
        </w:tc>
      </w:tr>
      <w:tr>
        <w:trPr>
          <w:trHeight w:val="132"/>
        </w:trPr>
        <w:tc>
          <w:tcPr>
            <w:tcW w:w="10120" w:type="dxa"/>
            <w:vAlign w:val="bottom"/>
            <w:tcBorders>
              <w:bottom w:val="single" w:sz="8" w:color="808080"/>
            </w:tcBorders>
            <w:gridSpan w:val="2"/>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r>
      <w:tr>
        <w:trPr>
          <w:trHeight w:val="766"/>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9 LIABILITY AND INDEMNIFICATION</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9120" w:type="dxa"/>
            <w:vAlign w:val="bottom"/>
          </w:tcPr>
          <w:p>
            <w:pPr>
              <w:ind w:left="260"/>
              <w:spacing w:after="0"/>
              <w:rPr>
                <w:sz w:val="20"/>
                <w:szCs w:val="20"/>
                <w:color w:val="auto"/>
              </w:rPr>
            </w:pPr>
            <w:r>
              <w:rPr>
                <w:rFonts w:ascii="Arial" w:cs="Arial" w:eastAsia="Arial" w:hAnsi="Arial"/>
                <w:sz w:val="18"/>
                <w:szCs w:val="18"/>
                <w:color w:val="auto"/>
              </w:rPr>
              <w:t>Indemnity</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9120" w:type="dxa"/>
            <w:vAlign w:val="bottom"/>
          </w:tcPr>
          <w:p>
            <w:pPr>
              <w:ind w:left="260"/>
              <w:spacing w:after="0"/>
              <w:rPr>
                <w:sz w:val="20"/>
                <w:szCs w:val="20"/>
                <w:color w:val="auto"/>
              </w:rPr>
            </w:pPr>
            <w:r>
              <w:rPr>
                <w:rFonts w:ascii="Arial" w:cs="Arial" w:eastAsia="Arial" w:hAnsi="Arial"/>
                <w:sz w:val="18"/>
                <w:szCs w:val="18"/>
                <w:color w:val="auto"/>
              </w:rPr>
              <w:t>Limitation of Liability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00" w:type="dxa"/>
            <w:vAlign w:val="bottom"/>
          </w:tcPr>
          <w:p>
            <w:pPr>
              <w:jc w:val="right"/>
              <w:ind w:right="170"/>
              <w:spacing w:after="0"/>
              <w:rPr>
                <w:sz w:val="20"/>
                <w:szCs w:val="20"/>
                <w:color w:val="auto"/>
              </w:rPr>
            </w:pPr>
            <w:r>
              <w:rPr>
                <w:rFonts w:ascii="Arial" w:cs="Arial" w:eastAsia="Arial" w:hAnsi="Arial"/>
                <w:sz w:val="18"/>
                <w:szCs w:val="18"/>
                <w:color w:val="auto"/>
              </w:rPr>
              <w:t>9.3</w:t>
            </w:r>
          </w:p>
        </w:tc>
        <w:tc>
          <w:tcPr>
            <w:tcW w:w="9120" w:type="dxa"/>
            <w:vAlign w:val="bottom"/>
          </w:tcPr>
          <w:p>
            <w:pPr>
              <w:ind w:left="260"/>
              <w:spacing w:after="0"/>
              <w:rPr>
                <w:sz w:val="20"/>
                <w:szCs w:val="20"/>
                <w:color w:val="auto"/>
              </w:rPr>
            </w:pPr>
            <w:r>
              <w:rPr>
                <w:rFonts w:ascii="Arial" w:cs="Arial" w:eastAsia="Arial" w:hAnsi="Arial"/>
                <w:sz w:val="18"/>
                <w:szCs w:val="18"/>
                <w:color w:val="auto"/>
              </w:rPr>
              <w:t>Benefit to all Manager Indemnified Parties</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-7565390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-7565390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ARTICLE 10 TERM AND TERMINATION</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7360" w:type="dxa"/>
            <w:vAlign w:val="bottom"/>
          </w:tcPr>
          <w:p>
            <w:pPr>
              <w:ind w:left="240"/>
              <w:spacing w:after="0"/>
              <w:rPr>
                <w:sz w:val="20"/>
                <w:szCs w:val="20"/>
                <w:color w:val="auto"/>
              </w:rPr>
            </w:pPr>
            <w:r>
              <w:rPr>
                <w:rFonts w:ascii="Arial" w:cs="Arial" w:eastAsia="Arial" w:hAnsi="Arial"/>
                <w:sz w:val="18"/>
                <w:szCs w:val="18"/>
                <w:color w:val="auto"/>
              </w:rPr>
              <w:t>Term</w:t>
            </w:r>
          </w:p>
        </w:tc>
        <w:tc>
          <w:tcPr>
            <w:tcW w:w="3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7360" w:type="dxa"/>
            <w:vAlign w:val="bottom"/>
          </w:tcPr>
          <w:p>
            <w:pPr>
              <w:ind w:left="240"/>
              <w:spacing w:after="0"/>
              <w:rPr>
                <w:sz w:val="20"/>
                <w:szCs w:val="20"/>
                <w:color w:val="auto"/>
              </w:rPr>
            </w:pPr>
            <w:r>
              <w:rPr>
                <w:rFonts w:ascii="Arial" w:cs="Arial" w:eastAsia="Arial" w:hAnsi="Arial"/>
                <w:sz w:val="18"/>
                <w:szCs w:val="18"/>
                <w:color w:val="auto"/>
              </w:rPr>
              <w:t>Termination by the Service Recipients</w:t>
            </w:r>
          </w:p>
        </w:tc>
        <w:tc>
          <w:tcPr>
            <w:tcW w:w="3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7360" w:type="dxa"/>
            <w:vAlign w:val="bottom"/>
          </w:tcPr>
          <w:p>
            <w:pPr>
              <w:ind w:left="240"/>
              <w:spacing w:after="0"/>
              <w:rPr>
                <w:sz w:val="20"/>
                <w:szCs w:val="20"/>
                <w:color w:val="auto"/>
              </w:rPr>
            </w:pPr>
            <w:r>
              <w:rPr>
                <w:rFonts w:ascii="Arial" w:cs="Arial" w:eastAsia="Arial" w:hAnsi="Arial"/>
                <w:sz w:val="18"/>
                <w:szCs w:val="18"/>
                <w:color w:val="auto"/>
              </w:rPr>
              <w:t>Termination by the Manager</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7360" w:type="dxa"/>
            <w:vAlign w:val="bottom"/>
          </w:tcPr>
          <w:p>
            <w:pPr>
              <w:ind w:left="240"/>
              <w:spacing w:after="0"/>
              <w:rPr>
                <w:sz w:val="20"/>
                <w:szCs w:val="20"/>
                <w:color w:val="auto"/>
              </w:rPr>
            </w:pPr>
            <w:r>
              <w:rPr>
                <w:rFonts w:ascii="Arial" w:cs="Arial" w:eastAsia="Arial" w:hAnsi="Arial"/>
                <w:sz w:val="18"/>
                <w:szCs w:val="18"/>
                <w:color w:val="auto"/>
              </w:rPr>
              <w:t>Survival Upon Termination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7360" w:type="dxa"/>
            <w:vAlign w:val="bottom"/>
          </w:tcPr>
          <w:p>
            <w:pPr>
              <w:ind w:left="240"/>
              <w:spacing w:after="0"/>
              <w:rPr>
                <w:sz w:val="20"/>
                <w:szCs w:val="20"/>
                <w:color w:val="auto"/>
              </w:rPr>
            </w:pPr>
            <w:r>
              <w:rPr>
                <w:rFonts w:ascii="Arial" w:cs="Arial" w:eastAsia="Arial" w:hAnsi="Arial"/>
                <w:sz w:val="18"/>
                <w:szCs w:val="18"/>
                <w:color w:val="auto"/>
              </w:rPr>
              <w:t>Action Upon Termination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7360" w:type="dxa"/>
            <w:vAlign w:val="bottom"/>
          </w:tcPr>
          <w:p>
            <w:pPr>
              <w:ind w:left="240"/>
              <w:spacing w:after="0"/>
              <w:rPr>
                <w:sz w:val="20"/>
                <w:szCs w:val="20"/>
                <w:color w:val="auto"/>
              </w:rPr>
            </w:pPr>
            <w:r>
              <w:rPr>
                <w:rFonts w:ascii="Arial" w:cs="Arial" w:eastAsia="Arial" w:hAnsi="Arial"/>
                <w:sz w:val="18"/>
                <w:szCs w:val="18"/>
                <w:color w:val="auto"/>
              </w:rPr>
              <w:t>Release of Money or other Property Upon Written Request</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ARTICLE 11 ARBITRATION</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6080" w:type="dxa"/>
            <w:vAlign w:val="bottom"/>
          </w:tcPr>
          <w:p>
            <w:pPr>
              <w:ind w:left="240"/>
              <w:spacing w:after="0"/>
              <w:rPr>
                <w:sz w:val="20"/>
                <w:szCs w:val="20"/>
                <w:color w:val="auto"/>
              </w:rPr>
            </w:pPr>
            <w:r>
              <w:rPr>
                <w:rFonts w:ascii="Arial" w:cs="Arial" w:eastAsia="Arial" w:hAnsi="Arial"/>
                <w:sz w:val="18"/>
                <w:szCs w:val="18"/>
                <w:color w:val="auto"/>
              </w:rPr>
              <w:t>Dispute</w:t>
            </w:r>
          </w:p>
        </w:tc>
        <w:tc>
          <w:tcPr>
            <w:tcW w:w="4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6080" w:type="dxa"/>
            <w:vAlign w:val="bottom"/>
          </w:tcPr>
          <w:p>
            <w:pPr>
              <w:ind w:left="240"/>
              <w:spacing w:after="0"/>
              <w:rPr>
                <w:sz w:val="20"/>
                <w:szCs w:val="20"/>
                <w:color w:val="auto"/>
              </w:rPr>
            </w:pPr>
            <w:r>
              <w:rPr>
                <w:rFonts w:ascii="Arial" w:cs="Arial" w:eastAsia="Arial" w:hAnsi="Arial"/>
                <w:sz w:val="18"/>
                <w:szCs w:val="18"/>
                <w:color w:val="auto"/>
              </w:rPr>
              <w:t>Arbitration</w:t>
            </w:r>
          </w:p>
        </w:tc>
        <w:tc>
          <w:tcPr>
            <w:tcW w:w="4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6080" w:type="dxa"/>
            <w:vAlign w:val="bottom"/>
          </w:tcPr>
          <w:p>
            <w:pPr>
              <w:ind w:left="240"/>
              <w:spacing w:after="0"/>
              <w:rPr>
                <w:sz w:val="20"/>
                <w:szCs w:val="20"/>
                <w:color w:val="auto"/>
              </w:rPr>
            </w:pPr>
            <w:r>
              <w:rPr>
                <w:rFonts w:ascii="Arial" w:cs="Arial" w:eastAsia="Arial" w:hAnsi="Arial"/>
                <w:sz w:val="18"/>
                <w:szCs w:val="18"/>
                <w:color w:val="auto"/>
              </w:rPr>
              <w:t>Continued Performance</w:t>
            </w:r>
          </w:p>
        </w:tc>
        <w:tc>
          <w:tcPr>
            <w:tcW w:w="4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6080" w:type="dxa"/>
            <w:vAlign w:val="bottom"/>
          </w:tcPr>
          <w:p>
            <w:pPr>
              <w:ind w:left="240"/>
              <w:spacing w:after="0"/>
              <w:rPr>
                <w:sz w:val="20"/>
                <w:szCs w:val="20"/>
                <w:color w:val="auto"/>
              </w:rPr>
            </w:pPr>
            <w:r>
              <w:rPr>
                <w:rFonts w:ascii="Arial" w:cs="Arial" w:eastAsia="Arial" w:hAnsi="Arial"/>
                <w:sz w:val="18"/>
                <w:szCs w:val="18"/>
                <w:color w:val="auto"/>
              </w:rPr>
              <w:t>Urgent Relief</w:t>
            </w:r>
          </w:p>
        </w:tc>
        <w:tc>
          <w:tcPr>
            <w:tcW w:w="4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ARTICLE 12 GENERAL PROVISIONS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12.1</w:t>
            </w:r>
          </w:p>
        </w:tc>
        <w:tc>
          <w:tcPr>
            <w:tcW w:w="6180" w:type="dxa"/>
            <w:vAlign w:val="bottom"/>
          </w:tcPr>
          <w:p>
            <w:pPr>
              <w:ind w:left="180"/>
              <w:spacing w:after="0"/>
              <w:rPr>
                <w:sz w:val="20"/>
                <w:szCs w:val="20"/>
                <w:color w:val="auto"/>
              </w:rPr>
            </w:pPr>
            <w:r>
              <w:rPr>
                <w:rFonts w:ascii="Arial" w:cs="Arial" w:eastAsia="Arial" w:hAnsi="Arial"/>
                <w:sz w:val="18"/>
                <w:szCs w:val="18"/>
                <w:color w:val="auto"/>
              </w:rPr>
              <w:t>Amendment, Waiver</w:t>
            </w:r>
          </w:p>
        </w:tc>
        <w:tc>
          <w:tcPr>
            <w:tcW w:w="4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12.2</w:t>
            </w:r>
          </w:p>
        </w:tc>
        <w:tc>
          <w:tcPr>
            <w:tcW w:w="618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4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12.3</w:t>
            </w:r>
          </w:p>
        </w:tc>
        <w:tc>
          <w:tcPr>
            <w:tcW w:w="6180" w:type="dxa"/>
            <w:vAlign w:val="bottom"/>
          </w:tcPr>
          <w:p>
            <w:pPr>
              <w:ind w:left="180"/>
              <w:spacing w:after="0"/>
              <w:rPr>
                <w:sz w:val="20"/>
                <w:szCs w:val="20"/>
                <w:color w:val="auto"/>
              </w:rPr>
            </w:pPr>
            <w:r>
              <w:rPr>
                <w:rFonts w:ascii="Arial" w:cs="Arial" w:eastAsia="Arial" w:hAnsi="Arial"/>
                <w:sz w:val="18"/>
                <w:szCs w:val="18"/>
                <w:color w:val="auto"/>
              </w:rPr>
              <w:t>Failure to Pay When Due</w:t>
            </w:r>
          </w:p>
        </w:tc>
        <w:tc>
          <w:tcPr>
            <w:tcW w:w="4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12.4</w:t>
            </w:r>
          </w:p>
        </w:tc>
        <w:tc>
          <w:tcPr>
            <w:tcW w:w="6180" w:type="dxa"/>
            <w:vAlign w:val="bottom"/>
          </w:tcPr>
          <w:p>
            <w:pPr>
              <w:ind w:left="180"/>
              <w:spacing w:after="0"/>
              <w:rPr>
                <w:sz w:val="20"/>
                <w:szCs w:val="20"/>
                <w:color w:val="auto"/>
              </w:rPr>
            </w:pPr>
            <w:r>
              <w:rPr>
                <w:rFonts w:ascii="Arial" w:cs="Arial" w:eastAsia="Arial" w:hAnsi="Arial"/>
                <w:sz w:val="18"/>
                <w:szCs w:val="18"/>
                <w:color w:val="auto"/>
              </w:rPr>
              <w:t>Invalidity of Provisions</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12.5</w:t>
            </w:r>
          </w:p>
        </w:tc>
        <w:tc>
          <w:tcPr>
            <w:tcW w:w="618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12.6</w:t>
            </w:r>
          </w:p>
        </w:tc>
        <w:tc>
          <w:tcPr>
            <w:tcW w:w="6180" w:type="dxa"/>
            <w:vAlign w:val="bottom"/>
          </w:tcPr>
          <w:p>
            <w:pPr>
              <w:ind w:left="180"/>
              <w:spacing w:after="0"/>
              <w:rPr>
                <w:sz w:val="20"/>
                <w:szCs w:val="20"/>
                <w:color w:val="auto"/>
              </w:rPr>
            </w:pPr>
            <w:r>
              <w:rPr>
                <w:rFonts w:ascii="Arial" w:cs="Arial" w:eastAsia="Arial" w:hAnsi="Arial"/>
                <w:sz w:val="18"/>
                <w:szCs w:val="18"/>
                <w:color w:val="auto"/>
              </w:rPr>
              <w:t>Mutual Waiver of Jury Trial</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12.7</w:t>
            </w:r>
          </w:p>
        </w:tc>
        <w:tc>
          <w:tcPr>
            <w:tcW w:w="6180" w:type="dxa"/>
            <w:vAlign w:val="bottom"/>
          </w:tcPr>
          <w:p>
            <w:pPr>
              <w:ind w:left="180"/>
              <w:spacing w:after="0"/>
              <w:rPr>
                <w:sz w:val="20"/>
                <w:szCs w:val="20"/>
                <w:color w:val="auto"/>
              </w:rPr>
            </w:pPr>
            <w:r>
              <w:rPr>
                <w:rFonts w:ascii="Arial" w:cs="Arial" w:eastAsia="Arial" w:hAnsi="Arial"/>
                <w:sz w:val="18"/>
                <w:szCs w:val="18"/>
                <w:color w:val="auto"/>
              </w:rPr>
              <w:t>Consent to Jurisdiction</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12.8</w:t>
            </w:r>
          </w:p>
        </w:tc>
        <w:tc>
          <w:tcPr>
            <w:tcW w:w="61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12.9</w:t>
            </w:r>
          </w:p>
        </w:tc>
        <w:tc>
          <w:tcPr>
            <w:tcW w:w="6180" w:type="dxa"/>
            <w:vAlign w:val="bottom"/>
          </w:tcPr>
          <w:p>
            <w:pPr>
              <w:ind w:left="180"/>
              <w:spacing w:after="0"/>
              <w:rPr>
                <w:sz w:val="20"/>
                <w:szCs w:val="20"/>
                <w:color w:val="auto"/>
              </w:rPr>
            </w:pPr>
            <w:r>
              <w:rPr>
                <w:rFonts w:ascii="Arial" w:cs="Arial" w:eastAsia="Arial" w:hAnsi="Arial"/>
                <w:sz w:val="18"/>
                <w:szCs w:val="18"/>
                <w:color w:val="auto"/>
              </w:rPr>
              <w:t>Enurement</w:t>
            </w: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88"/>
              </w:rPr>
              <w:t>12.10</w:t>
            </w:r>
          </w:p>
        </w:tc>
        <w:tc>
          <w:tcPr>
            <w:tcW w:w="6180" w:type="dxa"/>
            <w:vAlign w:val="bottom"/>
          </w:tcPr>
          <w:p>
            <w:pPr>
              <w:ind w:left="180"/>
              <w:spacing w:after="0"/>
              <w:rPr>
                <w:sz w:val="20"/>
                <w:szCs w:val="20"/>
                <w:color w:val="auto"/>
              </w:rPr>
            </w:pPr>
            <w:r>
              <w:rPr>
                <w:rFonts w:ascii="Arial" w:cs="Arial" w:eastAsia="Arial" w:hAnsi="Arial"/>
                <w:sz w:val="18"/>
                <w:szCs w:val="18"/>
                <w:color w:val="auto"/>
              </w:rPr>
              <w:t>Notices</w:t>
            </w: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88"/>
              </w:rPr>
              <w:t>12.11</w:t>
            </w:r>
          </w:p>
        </w:tc>
        <w:tc>
          <w:tcPr>
            <w:tcW w:w="61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4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80" w:type="dxa"/>
            <w:vAlign w:val="bottom"/>
          </w:tcPr>
          <w:p>
            <w:pPr>
              <w:jc w:val="center"/>
              <w:ind w:left="110"/>
              <w:spacing w:after="0"/>
              <w:rPr>
                <w:sz w:val="20"/>
                <w:szCs w:val="20"/>
                <w:color w:val="auto"/>
              </w:rPr>
            </w:pPr>
            <w:r>
              <w:rPr>
                <w:rFonts w:ascii="Arial" w:cs="Arial" w:eastAsia="Arial" w:hAnsi="Arial"/>
                <w:sz w:val="18"/>
                <w:szCs w:val="18"/>
                <w:color w:val="auto"/>
                <w:w w:val="88"/>
              </w:rPr>
              <w:t>12.12</w:t>
            </w:r>
          </w:p>
        </w:tc>
        <w:tc>
          <w:tcPr>
            <w:tcW w:w="61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4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Appendices</w:t>
            </w:r>
          </w:p>
        </w:tc>
        <w:tc>
          <w:tcPr>
            <w:tcW w:w="61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Appendix A</w:t>
            </w:r>
          </w:p>
        </w:tc>
        <w:tc>
          <w:tcPr>
            <w:tcW w:w="6180" w:type="dxa"/>
            <w:vAlign w:val="bottom"/>
          </w:tcPr>
          <w:p>
            <w:pPr>
              <w:ind w:left="540"/>
              <w:spacing w:after="0"/>
              <w:rPr>
                <w:sz w:val="20"/>
                <w:szCs w:val="20"/>
                <w:color w:val="auto"/>
              </w:rPr>
            </w:pPr>
            <w:r>
              <w:rPr>
                <w:rFonts w:ascii="Arial" w:cs="Arial" w:eastAsia="Arial" w:hAnsi="Arial"/>
                <w:sz w:val="18"/>
                <w:szCs w:val="18"/>
                <w:color w:val="auto"/>
              </w:rPr>
              <w:t>Services</w:t>
            </w:r>
          </w:p>
        </w:tc>
        <w:tc>
          <w:tcPr>
            <w:tcW w:w="41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MASTER SERVICES AGREEMENT</w:t>
      </w:r>
      <w:r>
        <w:rPr>
          <w:rFonts w:ascii="Arial" w:cs="Arial" w:eastAsia="Arial" w:hAnsi="Arial"/>
          <w:sz w:val="18"/>
          <w:szCs w:val="18"/>
          <w:color w:val="auto"/>
        </w:rPr>
        <w:t xml:space="preserve"> is made as of August 31,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NRG Yield, Inc., a Delaware corporation (“</w:t>
      </w:r>
      <w:r>
        <w:rPr>
          <w:rFonts w:ascii="Arial" w:cs="Arial" w:eastAsia="Arial" w:hAnsi="Arial"/>
          <w:sz w:val="18"/>
          <w:szCs w:val="18"/>
          <w:b w:val="1"/>
          <w:bCs w:val="1"/>
          <w:color w:val="auto"/>
        </w:rPr>
        <w:t>NYLD</w:t>
      </w:r>
      <w:r>
        <w:rPr>
          <w:rFonts w:ascii="Arial" w:cs="Arial" w:eastAsia="Arial" w:hAnsi="Arial"/>
          <w:sz w:val="18"/>
          <w:szCs w:val="18"/>
          <w:color w:val="auto"/>
        </w:rPr>
        <w:t>”), NRG Yield LLC, a Delaware limited liability company (“</w:t>
      </w:r>
      <w:r>
        <w:rPr>
          <w:rFonts w:ascii="Arial" w:cs="Arial" w:eastAsia="Arial" w:hAnsi="Arial"/>
          <w:sz w:val="18"/>
          <w:szCs w:val="18"/>
          <w:b w:val="1"/>
          <w:bCs w:val="1"/>
          <w:color w:val="auto"/>
        </w:rPr>
        <w:t>NYLD LLC</w:t>
      </w:r>
      <w:r>
        <w:rPr>
          <w:rFonts w:ascii="Arial" w:cs="Arial" w:eastAsia="Arial" w:hAnsi="Arial"/>
          <w:sz w:val="18"/>
          <w:szCs w:val="18"/>
          <w:color w:val="auto"/>
        </w:rPr>
        <w:t>”), NRG Yield Operating LLC, a Delaware limited liability company (“</w:t>
      </w:r>
      <w:r>
        <w:rPr>
          <w:rFonts w:ascii="Arial" w:cs="Arial" w:eastAsia="Arial" w:hAnsi="Arial"/>
          <w:sz w:val="18"/>
          <w:szCs w:val="18"/>
          <w:b w:val="1"/>
          <w:bCs w:val="1"/>
          <w:color w:val="auto"/>
        </w:rPr>
        <w:t>NYLD Op</w:t>
      </w:r>
      <w:r>
        <w:rPr>
          <w:rFonts w:ascii="Arial" w:cs="Arial" w:eastAsia="Arial" w:hAnsi="Arial"/>
          <w:sz w:val="18"/>
          <w:szCs w:val="18"/>
          <w:color w:val="auto"/>
        </w:rPr>
        <w:t>”), and Zephyr Renewables LLC, a Delaware limited liability company (the “</w:t>
      </w:r>
      <w:r>
        <w:rPr>
          <w:rFonts w:ascii="Arial" w:cs="Arial" w:eastAsia="Arial" w:hAnsi="Arial"/>
          <w:sz w:val="18"/>
          <w:szCs w:val="18"/>
          <w:b w:val="1"/>
          <w:bCs w:val="1"/>
          <w:color w:val="auto"/>
        </w:rPr>
        <w:t>Manager</w:t>
      </w:r>
      <w:r>
        <w:rPr>
          <w:rFonts w:ascii="Arial" w:cs="Arial" w:eastAsia="Arial" w:hAnsi="Arial"/>
          <w:sz w:val="18"/>
          <w:szCs w:val="18"/>
          <w:color w:val="auto"/>
        </w:rPr>
        <w:t>”). Each of NYLD, NYLD LLC, NYLD Op and the Manager is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20" w:hanging="664"/>
        <w:spacing w:after="0"/>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NYLD, NYLD LLC and NYLD Op directly and indirectly, as applicable, hold interests in the Service Recipients (as defined below).</w:t>
      </w:r>
    </w:p>
    <w:p>
      <w:pPr>
        <w:spacing w:after="0" w:line="236" w:lineRule="exact"/>
        <w:rPr>
          <w:rFonts w:ascii="Arial" w:cs="Arial" w:eastAsia="Arial" w:hAnsi="Arial"/>
          <w:sz w:val="17"/>
          <w:szCs w:val="17"/>
          <w:color w:val="auto"/>
        </w:rPr>
      </w:pPr>
    </w:p>
    <w:p>
      <w:pPr>
        <w:ind w:right="200" w:firstLine="656"/>
        <w:spacing w:after="0" w:line="264" w:lineRule="auto"/>
        <w:tabs>
          <w:tab w:leader="none" w:pos="1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NYLD, NYLD LLC and NYLD Op wish to engage the Manager to provide or arrange for other Service Providers (as defined below) to provide the services set forth in this Agreement to the Service Recipients, subject to the terms and conditions of this Agreement, and the Manager wishes to accept such engagement.</w:t>
      </w:r>
    </w:p>
    <w:p>
      <w:pPr>
        <w:spacing w:after="0" w:line="177" w:lineRule="exact"/>
        <w:rPr>
          <w:rFonts w:ascii="Arial" w:cs="Arial" w:eastAsia="Arial" w:hAnsi="Arial"/>
          <w:sz w:val="18"/>
          <w:szCs w:val="18"/>
          <w:color w:val="auto"/>
        </w:rPr>
      </w:pPr>
    </w:p>
    <w:p>
      <w:pPr>
        <w:ind w:right="480" w:firstLine="656"/>
        <w:spacing w:after="0" w:line="347" w:lineRule="auto"/>
        <w:tabs>
          <w:tab w:leader="none" w:pos="12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NYLD and Manager have also entered into a Master Services Agreement, dated as of August 31, 2018 (the “</w:t>
      </w:r>
      <w:r>
        <w:rPr>
          <w:rFonts w:ascii="Arial" w:cs="Arial" w:eastAsia="Arial" w:hAnsi="Arial"/>
          <w:sz w:val="16"/>
          <w:szCs w:val="16"/>
          <w:b w:val="1"/>
          <w:bCs w:val="1"/>
          <w:color w:val="auto"/>
        </w:rPr>
        <w:t>Corresponding MSA</w:t>
      </w:r>
      <w:r>
        <w:rPr>
          <w:rFonts w:ascii="Arial" w:cs="Arial" w:eastAsia="Arial" w:hAnsi="Arial"/>
          <w:sz w:val="16"/>
          <w:szCs w:val="16"/>
          <w:color w:val="auto"/>
        </w:rPr>
        <w:t>”), pursuant to which NYLD has agreed to provide, or cause to be provided, services to Manager on the terms and conditions set forth therein.</w:t>
      </w:r>
    </w:p>
    <w:p>
      <w:pPr>
        <w:spacing w:after="0" w:line="116"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representations, warranties, covenants and agreements contained in this Agreement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valuable consideration (the receipt and sufficiency of which are hereby acknowledged), the Parties agree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except where the context otherwise requires, the following terms will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Assets</w:t>
      </w:r>
      <w:r>
        <w:rPr>
          <w:rFonts w:ascii="Arial" w:cs="Arial" w:eastAsia="Arial" w:hAnsi="Arial"/>
          <w:sz w:val="18"/>
          <w:szCs w:val="18"/>
          <w:color w:val="auto"/>
        </w:rPr>
        <w:t>” means any renewable and conventional generation and thermal infrastructure asset acquired after the date hereof by any member of the YieldCo Group.</w:t>
      </w:r>
    </w:p>
    <w:p>
      <w:pPr>
        <w:spacing w:after="0" w:line="162" w:lineRule="exact"/>
        <w:rPr>
          <w:sz w:val="20"/>
          <w:szCs w:val="20"/>
          <w:color w:val="auto"/>
        </w:rPr>
      </w:pPr>
    </w:p>
    <w:p>
      <w:pPr>
        <w:ind w:left="660"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in common Control with, such Person.</w:t>
      </w:r>
    </w:p>
    <w:p>
      <w:pPr>
        <w:spacing w:after="0" w:line="162"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Master Services Agreement, and “herein,” “hereof,” “hereby,” “hereunder” and similar expressions refer to this Agreement and include every instrument</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0" w:name="page21"/>
    <w:bookmarkEnd w:id="20"/>
    <w:p>
      <w:pPr>
        <w:ind w:left="4"/>
        <w:spacing w:after="0"/>
        <w:rPr>
          <w:sz w:val="20"/>
          <w:szCs w:val="20"/>
          <w:color w:val="auto"/>
        </w:rPr>
      </w:pPr>
      <w:r>
        <w:rPr>
          <w:rFonts w:ascii="Arial" w:cs="Arial" w:eastAsia="Arial" w:hAnsi="Arial"/>
          <w:sz w:val="17"/>
          <w:szCs w:val="17"/>
          <w:color w:val="auto"/>
        </w:rPr>
        <w:t>supplemental or ancillary to this Agreement and, except where the context otherwise requires, not to any particular article or section thereof.</w:t>
      </w:r>
    </w:p>
    <w:p>
      <w:pPr>
        <w:spacing w:after="0" w:line="233"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Fee</w:t>
      </w:r>
      <w:r>
        <w:rPr>
          <w:rFonts w:ascii="Arial" w:cs="Arial" w:eastAsia="Arial" w:hAnsi="Arial"/>
          <w:sz w:val="18"/>
          <w:szCs w:val="18"/>
          <w:color w:val="auto"/>
        </w:rPr>
        <w:t xml:space="preserve">” means the Management Group’s Cost of providing the Services for any calendar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Annual Fee for the first full calendar year following the Effective Date shall not exceed the amount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under the heading of “Effective Date Cost” or “Post-Transition Cost”, as applicable. The Annual Fee may be increased or decreased from time to time by an agreed upon amount resulting from the amendment of the scope of the Services pursuant to Section 12.1.1.</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 has the meaning assigned thereto in Section 11.2.4.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carried on from time to time by the YieldCo Group.</w:t>
      </w:r>
    </w:p>
    <w:p>
      <w:pPr>
        <w:spacing w:after="0" w:line="225" w:lineRule="exact"/>
        <w:rPr>
          <w:sz w:val="20"/>
          <w:szCs w:val="20"/>
          <w:color w:val="auto"/>
        </w:rPr>
      </w:pPr>
    </w:p>
    <w:p>
      <w:pPr>
        <w:ind w:left="4"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every day except a Saturday or Sunday, or a legal holiday in the City of New York on which banking institutions are authorized or required by law, regulation or executive order to close.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Conflicts Committee</w:t>
      </w:r>
      <w:r>
        <w:rPr>
          <w:rFonts w:ascii="Arial" w:cs="Arial" w:eastAsia="Arial" w:hAnsi="Arial"/>
          <w:sz w:val="18"/>
          <w:szCs w:val="18"/>
          <w:color w:val="auto"/>
        </w:rPr>
        <w:t>” means the Corporate Governance, Conflicts and Nominating Committee of NYLD.</w:t>
      </w:r>
    </w:p>
    <w:p>
      <w:pPr>
        <w:spacing w:after="0" w:line="225"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MSA</w:t>
      </w:r>
      <w:r>
        <w:rPr>
          <w:rFonts w:ascii="Arial" w:cs="Arial" w:eastAsia="Arial" w:hAnsi="Arial"/>
          <w:sz w:val="18"/>
          <w:szCs w:val="18"/>
          <w:color w:val="auto"/>
        </w:rPr>
        <w:t>” has the meaning assigned thereto in the recitals.</w:t>
      </w:r>
    </w:p>
    <w:p>
      <w:pPr>
        <w:spacing w:after="0" w:line="225" w:lineRule="exact"/>
        <w:rPr>
          <w:sz w:val="20"/>
          <w:szCs w:val="20"/>
          <w:color w:val="auto"/>
        </w:rPr>
      </w:pPr>
    </w:p>
    <w:p>
      <w:pPr>
        <w:ind w:left="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Costs</w:t>
      </w:r>
      <w:r>
        <w:rPr>
          <w:rFonts w:ascii="Arial" w:cs="Arial" w:eastAsia="Arial" w:hAnsi="Arial"/>
          <w:sz w:val="16"/>
          <w:szCs w:val="16"/>
          <w:color w:val="auto"/>
        </w:rPr>
        <w:t>” means all costs and expenses incurred by the Manager Group in connection with the provision of the Services. Without limiting the generality of the foregoing, Costs are expected to include, among other things: (a) fees, costs and expenses incurred in connection the calculation and payment of taxes and the preparation and filing of tax returns; (b) fees, costs and expenses in connection with the procurement and allocation of insurance; (c) fees, costs and expenses incurred in connection with acquisition of information technology assets and implementation of information technology systems; and (d) any other fees, costs and expenses incurred by the relevant member of the Manager Group that are reasonably necessary for the performance by the relevant member of the Manager Group of its duties and functions under this Agreement.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assigned thereto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assigned thereto in the preamble.</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 Statement</w:t>
      </w:r>
      <w:r>
        <w:rPr>
          <w:rFonts w:ascii="Arial" w:cs="Arial" w:eastAsia="Arial" w:hAnsi="Arial"/>
          <w:sz w:val="18"/>
          <w:szCs w:val="18"/>
          <w:color w:val="auto"/>
        </w:rPr>
        <w:t>” has the meaning assigned thereto in Section 7.4.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used by NYLD in preparing its financial statements from time to time.</w:t>
      </w:r>
    </w:p>
    <w:p>
      <w:pPr>
        <w:spacing w:after="0" w:line="248"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Governing Body</w:t>
      </w:r>
      <w:r>
        <w:rPr>
          <w:rFonts w:ascii="Arial" w:cs="Arial" w:eastAsia="Arial" w:hAnsi="Arial"/>
          <w:sz w:val="16"/>
          <w:szCs w:val="16"/>
          <w:color w:val="auto"/>
        </w:rPr>
        <w:t>” means (i) with respect to a corporation, the board of directors of such corporation, (ii) with respect to a limited liability company, the manager(s) or managing member(s) of such limited liability company, (iii) with respect to a limited partnership, the board, committee or other body of the general partner of such partnership that serves a similar function or the general partner itself (or if any such general partner is itself a limited partnership, the board, committee or other body of such general partner’s general partner that serves a similar function or such general partner’s partner) and (iv) with respect to any other Person, the body of such Person that serves a similar function, and in the case of each of</w:t>
      </w:r>
    </w:p>
    <w:p>
      <w:pPr>
        <w:spacing w:after="0" w:line="2" w:lineRule="exact"/>
        <w:rPr>
          <w:sz w:val="20"/>
          <w:szCs w:val="20"/>
          <w:color w:val="auto"/>
        </w:rPr>
      </w:pPr>
    </w:p>
    <w:p>
      <w:pPr>
        <w:ind w:left="4" w:right="100" w:hanging="4"/>
        <w:spacing w:after="0" w:line="261"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(iv) includes any committee or other subdivision of such body and any Person to whom such body has delegated any power or authority, including any officer and managing director.</w:t>
      </w:r>
    </w:p>
    <w:p>
      <w:pPr>
        <w:spacing w:after="0" w:line="180" w:lineRule="exact"/>
        <w:rPr>
          <w:sz w:val="20"/>
          <w:szCs w:val="20"/>
          <w:color w:val="auto"/>
        </w:rPr>
      </w:pPr>
    </w:p>
    <w:p>
      <w:pPr>
        <w:ind w:left="4"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Instruments</w:t>
      </w:r>
      <w:r>
        <w:rPr>
          <w:rFonts w:ascii="Arial" w:cs="Arial" w:eastAsia="Arial" w:hAnsi="Arial"/>
          <w:sz w:val="18"/>
          <w:szCs w:val="18"/>
          <w:color w:val="auto"/>
        </w:rPr>
        <w:t>” means (i) the certificate of incorporation and bylaws in the case of a corporation, (ii) the articles of formation and operating agreement in the case of a limited liability company (iii) the partnership agreement in the case of a partnership, and (iv) any other similar governing document under which an entity was organized, formed or created and/or operates.</w:t>
      </w:r>
    </w:p>
    <w:p>
      <w:pPr>
        <w:spacing w:after="0" w:line="176" w:lineRule="exact"/>
        <w:rPr>
          <w:sz w:val="20"/>
          <w:szCs w:val="20"/>
          <w:color w:val="auto"/>
        </w:rPr>
      </w:pPr>
    </w:p>
    <w:p>
      <w:pPr>
        <w:ind w:left="4"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(i) international, national, multinational, federal, state, regional, municipal, local or other government, governmental or public department, central bank, court, tribunal, arbitral body, commission, board, bureau, agency or instrumentality, domestic or foreign, including ISO/RTOs, (ii) self-regulatory organization or stock exchange, (iii) subdivision, agent, commission, board, or authority of any of the foregoing, or (iv) quasi-governmental or private body exercising any regulatory, expropriation or taxing authority under or for the account of any of the foregoing.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Charges</w:t>
      </w:r>
      <w:r>
        <w:rPr>
          <w:rFonts w:ascii="Arial" w:cs="Arial" w:eastAsia="Arial" w:hAnsi="Arial"/>
          <w:sz w:val="18"/>
          <w:szCs w:val="18"/>
          <w:color w:val="auto"/>
        </w:rPr>
        <w:t>” has the meaning assigned thereto in Section 7.3.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Person against whom a claim for indemnification is asserted pursuant to Article 9.</w:t>
      </w:r>
    </w:p>
    <w:p>
      <w:pPr>
        <w:spacing w:after="0" w:line="225" w:lineRule="exact"/>
        <w:rPr>
          <w:sz w:val="20"/>
          <w:szCs w:val="20"/>
          <w:color w:val="auto"/>
        </w:rPr>
      </w:pPr>
    </w:p>
    <w:p>
      <w:pPr>
        <w:ind w:left="4"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for any day, the rate of interest equal to the (a) overnight U.S. dollar London interbank offered rate on such day, and if such rate is unavailable, (b) the weighted average of the rates on overnight Federal funds transactions with members of the Federal Reserve System arranged by Federal funds brokers, as published for such day by the Federal Reserve Bank of New York.</w:t>
      </w:r>
    </w:p>
    <w:p>
      <w:pPr>
        <w:spacing w:after="0" w:line="158" w:lineRule="exact"/>
        <w:rPr>
          <w:sz w:val="20"/>
          <w:szCs w:val="20"/>
          <w:color w:val="auto"/>
        </w:rPr>
      </w:pPr>
    </w:p>
    <w:p>
      <w:pPr>
        <w:ind w:left="4"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ISO/RTO</w:t>
      </w:r>
      <w:r>
        <w:rPr>
          <w:rFonts w:ascii="Arial" w:cs="Arial" w:eastAsia="Arial" w:hAnsi="Arial"/>
          <w:sz w:val="17"/>
          <w:szCs w:val="17"/>
          <w:color w:val="auto"/>
        </w:rPr>
        <w:t>” means an independent electricity system operator, a regional transmission organization, national system operator or any other similar organization overseeing the transmission of energy in any jurisdiction in which the YieldCo Group owns assets or operates.</w:t>
      </w:r>
    </w:p>
    <w:p>
      <w:pPr>
        <w:sectPr>
          <w:pgSz w:w="11900" w:h="16838" w:orient="portrait"/>
          <w:cols w:equalWidth="0" w:num="1">
            <w:col w:w="10744"/>
          </w:cols>
          <w:pgMar w:left="896" w:top="584" w:right="259" w:bottom="0" w:gutter="0" w:footer="0" w:header="0"/>
        </w:sectPr>
      </w:pPr>
    </w:p>
    <w:bookmarkStart w:id="21" w:name="page22"/>
    <w:bookmarkEnd w:id="21"/>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any and all applicable (i) laws, constitutions, treaties, statutes, codes, ordinances, principles of common law and equity, rules, regulations and municipal bylaws whether domestic, foreign or international, (ii) judicial, arbitral, administrative, ministerial, departmental and regulatory judgments, orders, writs, injunctions, decisions, and awards of any Governmental Authority, and (iii) policies, practices and guidelines of any Governmental Authority which, although not actually having the force of law, are considered by such Governmental Authority as requiring compliance as if having the force of law, and the term “</w:t>
      </w:r>
      <w:r>
        <w:rPr>
          <w:rFonts w:ascii="Arial" w:cs="Arial" w:eastAsia="Arial" w:hAnsi="Arial"/>
          <w:sz w:val="16"/>
          <w:szCs w:val="16"/>
          <w:b w:val="1"/>
          <w:bCs w:val="1"/>
          <w:color w:val="auto"/>
        </w:rPr>
        <w:t>applicable</w:t>
      </w:r>
      <w:r>
        <w:rPr>
          <w:rFonts w:ascii="Arial" w:cs="Arial" w:eastAsia="Arial" w:hAnsi="Arial"/>
          <w:sz w:val="16"/>
          <w:szCs w:val="16"/>
          <w:color w:val="auto"/>
        </w:rPr>
        <w:t>,” with respect to such Laws and in the context that refers to one or more Persons, means such Laws that apply to such Person or Persons or its or their business, undertaking, property or securities at the relevant time and that emanate from a Governmental Authority having jurisdiction over the Person or Persons or its or their business, undertaking, property 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 Group</w:t>
      </w:r>
      <w:r>
        <w:rPr>
          <w:rFonts w:ascii="Arial" w:cs="Arial" w:eastAsia="Arial" w:hAnsi="Arial"/>
          <w:sz w:val="18"/>
          <w:szCs w:val="18"/>
          <w:color w:val="auto"/>
        </w:rPr>
        <w:t>” means the Manager and its direct and indirect Subsidiaries (other than any member of the YieldCo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 Indemnified Parties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 LLC</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 Op</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and Administrative Agreements</w:t>
      </w:r>
      <w:r>
        <w:rPr>
          <w:rFonts w:ascii="Arial" w:cs="Arial" w:eastAsia="Arial" w:hAnsi="Arial"/>
          <w:sz w:val="16"/>
          <w:szCs w:val="16"/>
          <w:color w:val="auto"/>
        </w:rPr>
        <w:t>” means the operating and administrative agreements in effect as of the Effective Date between certain members of the YieldCo Group and Affiliates of the Manager for such YieldCo Group members’ operating and administrative needs and, with respect to any Acquired Assets any operating and administrative agreements between any of the Acquired Assets and Affiliates of the Manager for such asset’s operating and administrative needs in effect as of the date of acquisition of the Acquired Asset by a member of the YieldCo Group.</w:t>
      </w:r>
    </w:p>
    <w:p>
      <w:pPr>
        <w:spacing w:after="0" w:line="151" w:lineRule="exact"/>
        <w:rPr>
          <w:sz w:val="20"/>
          <w:szCs w:val="20"/>
          <w:color w:val="auto"/>
        </w:rPr>
      </w:pPr>
    </w:p>
    <w:p>
      <w:pPr>
        <w:jc w:val="both"/>
        <w:ind w:left="66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Operational and Other Services</w:t>
      </w:r>
      <w:r>
        <w:rPr>
          <w:rFonts w:ascii="Arial" w:cs="Arial" w:eastAsia="Arial" w:hAnsi="Arial"/>
          <w:sz w:val="18"/>
          <w:szCs w:val="18"/>
          <w:color w:val="auto"/>
        </w:rPr>
        <w:t>” means any services provided by any member of the Manager Group to any member of the YieldCo Group, including financial advisory, operations and maintenance, marketing, agency, development, operating management and other services, including services provided under any Operating and Administrative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any consent, license, approval, registration, permit or other authorization granted by any Governmental Authority.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natural person, partnership, limited partnership, limited liability partnership, joint venture, syndicate, sole proprietorship, company or corporation (with or without share capital), limited liability corporation, unlimited liability company, joint stock company, unincorporated association, trust, trustee, executor, administrator or other legal personal representative, regulatory body or agency, government or Governmental Authority, authority or entity however designated or constituted and pronouns have a similarly extended meaning.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a calendar quarter ending on the last day of March, June, September or December.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left="66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Providers</w:t>
      </w:r>
      <w:r>
        <w:rPr>
          <w:rFonts w:ascii="Arial" w:cs="Arial" w:eastAsia="Arial" w:hAnsi="Arial"/>
          <w:sz w:val="18"/>
          <w:szCs w:val="18"/>
          <w:color w:val="auto"/>
        </w:rPr>
        <w:t>” means the Manager, any member of the Manager Group and any other entity or individual that the Manager has arranged to provide the Services to any Service Recipient.</w:t>
      </w:r>
    </w:p>
    <w:p>
      <w:pPr>
        <w:spacing w:after="0" w:line="162" w:lineRule="exact"/>
        <w:rPr>
          <w:sz w:val="20"/>
          <w:szCs w:val="20"/>
          <w:color w:val="auto"/>
        </w:rPr>
      </w:pPr>
    </w:p>
    <w:p>
      <w:pPr>
        <w:ind w:left="66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Recipient</w:t>
      </w:r>
      <w:r>
        <w:rPr>
          <w:rFonts w:ascii="Arial" w:cs="Arial" w:eastAsia="Arial" w:hAnsi="Arial"/>
          <w:sz w:val="18"/>
          <w:szCs w:val="18"/>
          <w:color w:val="auto"/>
        </w:rPr>
        <w:t>” means NYLD, NYLD LLC, NYLD Op and their Subsidiaries as of the Effective Date, as well as any other direct and indirect Subsidiary of NYLD, NYLD LLC, NYLD Op, as applicable, acquired or formed after the date hereof that receives Services from a Service Provider pursuant to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has the meaning assigned thereto in Section 3.1.</w:t>
      </w:r>
    </w:p>
    <w:p>
      <w:pPr>
        <w:spacing w:after="0" w:line="225" w:lineRule="exact"/>
        <w:rPr>
          <w:sz w:val="20"/>
          <w:szCs w:val="20"/>
          <w:color w:val="auto"/>
        </w:rPr>
      </w:pPr>
    </w:p>
    <w:p>
      <w:pPr>
        <w:jc w:val="both"/>
        <w:ind w:left="660"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any other Person that is directly or indirectly Controlled by such Person, (ii) any trust in which such Person holds all of the beneficial interests or (iii) any partnership, limited liability company or similar entity in which such Person holds all of the interests other than the interests of any general partner, managing member or similar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assigned thereto in Section 9.1.2.</w:t>
      </w:r>
    </w:p>
    <w:p>
      <w:pPr>
        <w:spacing w:after="0" w:line="225"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Fees</w:t>
      </w:r>
      <w:r>
        <w:rPr>
          <w:rFonts w:ascii="Arial" w:cs="Arial" w:eastAsia="Arial" w:hAnsi="Arial"/>
          <w:sz w:val="18"/>
          <w:szCs w:val="18"/>
          <w:color w:val="auto"/>
        </w:rPr>
        <w:t>” means fees paid or payable by the Service Recipients, which are on market terms, with respect to financial advisory services ordinarily carried out by investment banks in the context of mergers and acquisitions transactions.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YieldCo Group</w:t>
      </w:r>
      <w:r>
        <w:rPr>
          <w:rFonts w:ascii="Arial" w:cs="Arial" w:eastAsia="Arial" w:hAnsi="Arial"/>
          <w:sz w:val="18"/>
          <w:szCs w:val="18"/>
          <w:color w:val="auto"/>
        </w:rPr>
        <w:t>” means NYLD, NYLD LLC, NYLD Op and their direct and indirect Subsidiaries.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Headings and Table of Contents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inclusion of headings and a table of contents in this Agreement are for convenience of reference only and will not affect the construction or interpretation hereof.</w:t>
      </w:r>
    </w:p>
    <w:p>
      <w:pPr>
        <w:sectPr>
          <w:pgSz w:w="11900" w:h="16929" w:orient="portrait"/>
          <w:cols w:equalWidth="0" w:num="1">
            <w:col w:w="11400"/>
          </w:cols>
          <w:pgMar w:left="240" w:top="125" w:right="259" w:bottom="0" w:gutter="0" w:footer="0" w:header="0"/>
        </w:sectPr>
      </w:pPr>
    </w:p>
    <w:bookmarkStart w:id="22" w:name="page23"/>
    <w:bookmarkEnd w:id="22"/>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1.3.1 words importing the singular shall include the plural and vice versa, words importing gender shall include all genders or the neuter, and words importing the neuter shall include all genders;</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1.3.2 the words “include”, “includes”, “including”, or any variations thereof, when following any general term or statement, are not to be construed as limiting the general term or statement to the specific items or matters set forth or to similar items or matters, but rather as referring to all other items or matters that could reasonably fall within the broadest possible scope of the general term or statement;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color w:val="auto"/>
        </w:rPr>
        <w:t>references to any Person include such Person’s successors and permitted assigns;</w:t>
      </w:r>
    </w:p>
    <w:p>
      <w:pPr>
        <w:spacing w:after="0" w:line="225"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1.3.4 any reference to a statute, regulation, policy, rule or instrument shall include, and shall be deemed to be a reference also to, all amendments made to such statute, regulation, policy, rule or instrument and to any statute, regulation, policy, rule or instrument that may be passed which has the effect of supplementing or superseding the statute, regulation, policy, rule or instrument so referred to;</w:t>
      </w:r>
    </w:p>
    <w:p>
      <w:pPr>
        <w:spacing w:after="0" w:line="181"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1.3.5 any reference to this Agreement or any other agreement, document or instrument shall be construed as a reference to this Agreement or, as the case may be, such other agreement, document or instrument as the same may have been, or may from time to time be, amended, varied, replaced, amended and restated, supplemented or otherwise modified;</w:t>
      </w:r>
    </w:p>
    <w:p>
      <w:pPr>
        <w:spacing w:after="0" w:line="18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1.3.6 where a reference in this Agreement is made to a Section or Schedule, such reference shall be to a Section or Schedule to this Agreement unless otherwise indicated;</w:t>
      </w:r>
    </w:p>
    <w:p>
      <w:pPr>
        <w:spacing w:after="0" w:line="170"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1.3.7 in the event that any day on which any amount is to be determined or any action is required to be taken hereunder is not a Business Day, then such amount shall be determined or such action shall be required to be taken at or before the requisite time on the next succeeding day that is a Business Day; and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except where otherwise expressly provided, all amounts in this Agreement are stated and shall be paid in U.S. currency.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Service Recipients Third Party Beneficiaries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Manager agrees that each of the Service Recipients, including any Service Recipient formed or acquired after the Effective Date in accordance with Section 2.2, shall be, and is hereby, named as express third-party beneficiaries of this Agreement entitled to all the benefits conferred under this Agreement.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Actions by the Manager or the Service Recipients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Unless the context requires otherwise, where the consent of or a determination is required by the Manager or Service Recipient hereunder, the Parties shall be entitled to conclusively rely upon it having been given or taken, as applicable, if, the Manager or such Service Recipient, as applicable, has communicated the same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THE MANAGER</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Appointment and Acceptance</w:t>
      </w:r>
    </w:p>
    <w:p>
      <w:pPr>
        <w:spacing w:after="0" w:line="229"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2.1.1 Subject to and in accordance with the terms, conditions and limitations in this Agreement, NYLD, NYLD LLC and NYLD Op hereby appoint the Manager to provide or arrange for other Service Providers to provide the Services to the Service Recipients.</w:t>
      </w:r>
    </w:p>
    <w:p>
      <w:pPr>
        <w:spacing w:after="0" w:line="170"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2.1.2 The Manager hereby accepts the appointment provided for in Section 2.1.1 and agrees to act in such capacity and to provide or arrange for other Service Providers to provide the Services to the Service Recipients upon the terms, conditions and limitations in this Agreement.</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Other Service Recipients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Parties acknowledge that any Subsidiary of NYLD, NYLD LLC or NYLD Op formed or acquired in the future that is not a Service Recipient on the date hereof may become a Service Recipient under this Agreement. In the event that any such addition results in an amendment of the scope of the Services, such amendment shall be effectuated as provided by Section 12.1.1.</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Subcontracting and Other Arrangements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Manager may subcontract to any other member of the Manager Group or any of its Affiliates, or arrange for the provision of any or all of the Services to be provided by it under this Agreement by any other member of the Manager Group or any of its Affiliates, and each of NYLD, NYLD LLC and NYLD Op hereby consents to any such subcontracting or arrangement;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Manager shall remain responsible to the Service Recipients for any Services provided by such Person. Any such subcontracting will be subject to the terms of this Agreement and covered by the fees payable under this Agreement.</w:t>
      </w:r>
    </w:p>
    <w:p>
      <w:pPr>
        <w:sectPr>
          <w:pgSz w:w="11900" w:h="16838" w:orient="portrait"/>
          <w:cols w:equalWidth="0" w:num="1">
            <w:col w:w="11400"/>
          </w:cols>
          <w:pgMar w:left="240" w:top="337" w:right="259" w:bottom="0" w:gutter="0" w:footer="0" w:header="0"/>
        </w:sectPr>
      </w:pPr>
    </w:p>
    <w:bookmarkStart w:id="23" w:name="page24"/>
    <w:bookmarkEnd w:id="23"/>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POWERS OF THE MANAGER</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Services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The Manager will provide, or arrange for the provision by other Service Providers of, and will have the exclusive power and authority to provide or arrange for the provision by other Service Providers of, the services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as such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may be updated from time to time in accordance with this Agreement (the “</w:t>
      </w:r>
      <w:r>
        <w:rPr>
          <w:rFonts w:ascii="Arial" w:cs="Arial" w:eastAsia="Arial" w:hAnsi="Arial"/>
          <w:sz w:val="18"/>
          <w:szCs w:val="18"/>
          <w:b w:val="1"/>
          <w:bCs w:val="1"/>
          <w:color w:val="auto"/>
        </w:rPr>
        <w:t>Services</w:t>
      </w:r>
      <w:r>
        <w:rPr>
          <w:rFonts w:ascii="Arial" w:cs="Arial" w:eastAsia="Arial" w:hAnsi="Arial"/>
          <w:sz w:val="18"/>
          <w:szCs w:val="18"/>
          <w:color w:val="auto"/>
        </w:rPr>
        <w:t>”), to the Service Recipients.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Supervision of Manager’s Activities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Manager shall, at all times, be subject to the supervision of the relevant Service Recipient’s Governing Body and shall only provide or arrange for the provision of such Services as such Governing Body may request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Restrictions on the Manager</w:t>
      </w:r>
    </w:p>
    <w:p>
      <w:pPr>
        <w:spacing w:after="0" w:line="229"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3.3.1 The Manager shall, and shall cause any other Service Provider to, refrain from taking any action that is not in compliance with or would violate any Laws or that otherwise would not be permitted by the Governing Instruments of the Service Recipients. If the Manager or any Service Provider is instructed to take any action that is not in such compliance by a Service Recipient’s Governing Body, such person will promptly notify such Governing Body of its judgment that such action would not comply with or violate any such Laws or otherwise would not be permitted by such Governing Instrument.</w:t>
      </w:r>
    </w:p>
    <w:p>
      <w:pPr>
        <w:spacing w:after="0" w:line="188"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3.3.2 In performing its duties under this Agreement, each member of the Manager Group shall be entitled to rely in good faith on qualified experts, professionals and other agents (including on accountants, appraisers, consultants, legal counsel and other professional advisors) and shall be permitted to rely in good faith upon the direction of a Service Recipient’s Governing Body to evidence any approvals or authorizations that are required under this Agreement. All references in this Agreement to the Service Recipients or Governing Body for the purposes of instructions, approvals and requests to the Manager will refer to the Governing Body.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Errors and Omissions Insurance</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Manager shall, and shall cause any other Service Provider to, at all times during the term of this Agreement maintain “errors and omissions” insurance coverage and other insurance coverage which is customarily carried by Persons performing functions that are similar to those performed by the Service Providers under this Agreement with reputable insurance companies and in an amount which is comparable to that which is customarily maintained by such other Persons. In each case, the relevant Service Recipients shall be included as additional insured or loss payees under the relevant policies.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BETWEEN THE MANAGER AND THE SERVICE RECIPIENTS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Other Activities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No member of the Manager Group (and no Affiliate, director, officer, member, partner, shareholder or employee of any member of the Manager Group) shall be prohibited from engaging in other business activities or sponsoring, or providing services to, third parties that compete directly or indirectly with the Service Recipients.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Independent Contractor, No Partnership or Joint Venture</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The Parties acknowledge that the Manager is providing or arranging for the provision of the Services hereunder as an independent contractor and that the Service Recipients and the Manager are not partners or joint venturers with or agents of each other, and nothing herein will be construed so as to make them partners, joint venturers or agents or impose any liability for that reason on any of them as a result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will be construed so as to prohibit the Service Recipients and the Manager from embarking upon an investment together as partners, joint venturers or in any other manner whatsoever.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EMPLOYEES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Management and Employees</w:t>
      </w:r>
    </w:p>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5.1.1 The Manager shall arrange, or shall cause another member of the Manager Group to arrange, for such qualified personnel and support staff to be available to carry out the Services. Such personnel and support staff shall devote such of their time to the provision of the Services to the Service Recipients as the relevant member of the Manager Group reasonably deems necessary and appropriate in order to fulfill its obligations hereunder. Such personnel and support staff need not have as their primary responsibility the provision of the Services to the Service Recipients or be dedicated exclusively to the provision of the Services to the Service Recipients.</w:t>
      </w:r>
    </w:p>
    <w:p>
      <w:pPr>
        <w:spacing w:after="0" w:line="188" w:lineRule="exact"/>
        <w:rPr>
          <w:sz w:val="20"/>
          <w:szCs w:val="20"/>
          <w:color w:val="auto"/>
        </w:rPr>
      </w:pPr>
    </w:p>
    <w:p>
      <w:pPr>
        <w:ind w:left="660" w:right="200"/>
        <w:spacing w:after="0" w:line="312" w:lineRule="auto"/>
        <w:rPr>
          <w:sz w:val="20"/>
          <w:szCs w:val="20"/>
          <w:color w:val="auto"/>
        </w:rPr>
      </w:pPr>
      <w:r>
        <w:rPr>
          <w:rFonts w:ascii="Arial" w:cs="Arial" w:eastAsia="Arial" w:hAnsi="Arial"/>
          <w:sz w:val="16"/>
          <w:szCs w:val="16"/>
          <w:color w:val="auto"/>
        </w:rPr>
        <w:t>5.1.2 Each of NYLD, NYLD LLC and NYLD Op shall, and shall cause each of the other Service Recipients to, do all things reasonably necessary on its part as requested by any member of the Manager Group consistent with the terms of this Agreement to enable such member of the Manager Group to fulfill its obligations, covenants and responsibilities hereunder, including making available to such member of the Manager</w:t>
      </w:r>
    </w:p>
    <w:p>
      <w:pPr>
        <w:sectPr>
          <w:pgSz w:w="11900" w:h="16952" w:orient="portrait"/>
          <w:cols w:equalWidth="0" w:num="1">
            <w:col w:w="11420"/>
          </w:cols>
          <w:pgMar w:left="240" w:top="121" w:right="239" w:bottom="0" w:gutter="0" w:footer="0" w:header="0"/>
        </w:sectPr>
      </w:pPr>
    </w:p>
    <w:bookmarkStart w:id="24" w:name="page25"/>
    <w:bookmarkEnd w:id="24"/>
    <w:p>
      <w:pPr>
        <w:spacing w:after="0" w:line="86"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Group, and granting such member of the Manager Group access to, the employees and contractors of the Service Recipients as any member of the Manager Group may from time to time reasonably request.</w:t>
      </w:r>
    </w:p>
    <w:p>
      <w:pPr>
        <w:spacing w:after="0" w:line="170" w:lineRule="exact"/>
        <w:rPr>
          <w:sz w:val="20"/>
          <w:szCs w:val="20"/>
          <w:color w:val="auto"/>
        </w:rPr>
      </w:pPr>
    </w:p>
    <w:p>
      <w:pPr>
        <w:ind w:left="660" w:right="380"/>
        <w:spacing w:after="0" w:line="259" w:lineRule="auto"/>
        <w:rPr>
          <w:sz w:val="20"/>
          <w:szCs w:val="20"/>
          <w:color w:val="auto"/>
        </w:rPr>
      </w:pPr>
      <w:r>
        <w:rPr>
          <w:rFonts w:ascii="Arial" w:cs="Arial" w:eastAsia="Arial" w:hAnsi="Arial"/>
          <w:sz w:val="18"/>
          <w:szCs w:val="18"/>
          <w:color w:val="auto"/>
        </w:rPr>
        <w:t>5.1.3 The Manager agrees, and agrees to cause the Manager Group, to exercise the power and discharge the duties conferred under this Agreement honestly and in good faith, and to exercise the degree of care, diligence and skill that a reasonably prudent person would exercise in comparable circumstances. Manager shall be responsible for any member of the Manager Group’s failure to exercise such power and duties in accordance with the standards set forth in this Section 5.1.3.</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AND RECORDS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Books and Records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Manager shall, or shall cause any other member of the Manager Group to, as applicable, maintain proper books, records and documents on behalf of each Service Recipient, in which complete, true and correct entries, in conformity in all material respects with GAAP and all requirements of applicable Laws, will be made.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Examination of Records by the Service Recipients</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Upon reasonable prior notice by the Service Recipients to the relevant member of the Manager Group, the relevant member of the Manager Group will make available to the Service Recipients and their authorized representatives, for examination during normal business hours on</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any Business Day, all books, records and documents required to be maintained under Section 6.1. In addition, the applicable member of the Manager Group will make available to the Service Recipients or their authorized representatives such financial and operating data in respect of the performance of the Services under this Agreement as may be in existence and as the Service Recipients or their authorized representatives will from time to time reasonably request, including for the purposes of conducting any audit in respect of expenses of the Service Recipients or other matters necessary or advisable to be audited in order to conduct an audit of the financial affairs of the Service Recipients. Any examination of records will be conducted in a manner which will not unduly interfere with the conduct of the business of any member of the Manager Group in the ordinary course.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Access to Information by Manager Group</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Each of NYLD, NYLD LLC and NYLD Op shall, and shall cause the other Service Recipients to:</w:t>
      </w:r>
    </w:p>
    <w:p>
      <w:pPr>
        <w:spacing w:after="0" w:line="225" w:lineRule="exact"/>
        <w:rPr>
          <w:sz w:val="20"/>
          <w:szCs w:val="20"/>
          <w:color w:val="auto"/>
        </w:rPr>
      </w:pPr>
    </w:p>
    <w:p>
      <w:pPr>
        <w:ind w:left="1300" w:right="220"/>
        <w:spacing w:after="0" w:line="264" w:lineRule="auto"/>
        <w:rPr>
          <w:sz w:val="20"/>
          <w:szCs w:val="20"/>
          <w:color w:val="auto"/>
        </w:rPr>
      </w:pPr>
      <w:r>
        <w:rPr>
          <w:rFonts w:ascii="Arial" w:cs="Arial" w:eastAsia="Arial" w:hAnsi="Arial"/>
          <w:sz w:val="18"/>
          <w:szCs w:val="18"/>
          <w:color w:val="auto"/>
        </w:rPr>
        <w:t>6.3.1.1 grant, or cause to be granted, to the Manager Group full access to all documentation and information reasonably necessary in order for the Manager Group to perform its obligations, covenants and responsibilities pursuant to the terms hereof and to enable the Manager Group to provide the Services; and</w:t>
      </w:r>
    </w:p>
    <w:p>
      <w:pPr>
        <w:spacing w:after="0" w:line="181" w:lineRule="exact"/>
        <w:rPr>
          <w:sz w:val="20"/>
          <w:szCs w:val="20"/>
          <w:color w:val="auto"/>
        </w:rPr>
      </w:pPr>
    </w:p>
    <w:p>
      <w:pPr>
        <w:ind w:left="1300" w:right="240"/>
        <w:spacing w:after="0" w:line="297" w:lineRule="auto"/>
        <w:rPr>
          <w:sz w:val="20"/>
          <w:szCs w:val="20"/>
          <w:color w:val="auto"/>
        </w:rPr>
      </w:pPr>
      <w:r>
        <w:rPr>
          <w:rFonts w:ascii="Arial" w:cs="Arial" w:eastAsia="Arial" w:hAnsi="Arial"/>
          <w:sz w:val="16"/>
          <w:szCs w:val="16"/>
          <w:color w:val="auto"/>
        </w:rPr>
        <w:t>6.3.1.2 provide, or cause to be provided, all documentation and information as may be reasonably requested by any member of the Manager Group, and promptly notify the appropriate member of the Manager Group of any material facts or information of which the Service Recipients are aware, including any known, pending or threatened suits, actions, claims, proceedings or orders by or against any member of the YieldCo Group before any Governmental Authority, that may affect the performance of the obligations, covenants or responsibilities of the Manager Group pursuant to this Agreement, including maintenance of proper financial records.</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Additional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Parties acknowledge and agree that conducting the activities and providing the Services contemplated herein may have the incidental effect of providing additional information which may be utilized with respect to, or may augment the value of, business interests and related assets in which any of the Service Providers or any of its Affiliates has an interest and that, subject to compliance with this Agreement, none of the Service Providers or any of their respective Affiliates will be liable to account to the Service Recipients with respect to such activities or results;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relevant Service Provider will not (and will cause its Affiliates not to), in making any use of such additional information, do so in any manner that the relevant Service Provider or its Affiliates knows, or ought reasonably to know, would cause or result in a breach of any confidentiality provision of agreements to which any Service Recipient is a party or is bound.</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Manager shall not, and shall cause the other members of the Management Group not to, without the prior written consent of NYLD, publicly disclose any information it may have or obtain, in Manager’s capacity as a manager under this Agreement, concerning the Service Recipients and their respective assets, business, operations or prospects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Confidential Information shall not include information that (a) becomes generally available to the public other than as a result of a disclosure by a member of the Manager Group or any of its directors, officers, agents, or other representatives, (b) becomes available to a member of the Manager Group or any of its directors, officers, agents, or other representatives on a nonconfidential basis prior to its disclosure by the Service Recipients or their respective Affiliates, or their respective directors, officers, agents, or other representatives (and is not received in any other capacity of the members of the Manager Group) or (c) is required or requested to be disclosed by a member of the Manager Group as a result of any applicable legal or regulatory requirement or rule or regulation of any stock exchange, or other regulatory authority having jurisdiction over such member of the Manager Group. Notwithstanding the foregoing, the members of the Manager Group may disclose Confidential Information received by them to their employees, consultants, legal counsel, or other agents involved in providing services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Manager informs each such Person who has access to the Confidential Information of the confidential nature of such Confidential Information, the terms of this Agreement, and that such terms apply to them. If any member of the Manager Group is required to disclose information pursuant to clause (c) or (d) above, such member of the Manager Group will provide the NYLD with prompt written notice so that the NYLD</w:t>
      </w:r>
    </w:p>
    <w:p>
      <w:pPr>
        <w:sectPr>
          <w:pgSz w:w="11900" w:h="16924" w:orient="portrait"/>
          <w:cols w:equalWidth="0" w:num="1">
            <w:col w:w="11360"/>
          </w:cols>
          <w:pgMar w:left="240" w:top="125" w:right="299" w:bottom="0" w:gutter="0" w:footer="0" w:header="0"/>
        </w:sectPr>
      </w:pPr>
    </w:p>
    <w:bookmarkStart w:id="25" w:name="page26"/>
    <w:bookmarkEnd w:id="25"/>
    <w:p>
      <w:pPr>
        <w:spacing w:after="0" w:line="10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may seek a protective order or other appropriate remedy or waive compliance with the non-disclosure provisions of this Section 6.5 with respect to the information required to be disclosed. If such protective order or other remedy is not obtained, Manager will furnish only that portion of such information that counsel advises is legally required to be furnished and will exercise reasonable efforts, at NYLD’s expense, to obtain reliable assurance that confidential treatment will be accorded such information. Notwithstanding anything contained in this Agreement to the contrary, the obligations of Manager set forth in this Section 6.5 shall survive any termination of this Agreement for a period of 12 months after such termination.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FEES AND EXPENSES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Annual Fee</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7.1.1 NYLD LLC, on behalf of the Service Recipients, hereby agrees to pay, during the term of this Agreement, the Annual Fee. The Annual Fee shall be pro-rated and paid quarterly in arrears. For purposes of the initial payment hereunder, the Annual Fee will accrue commencing on the Effective Date and will be pro-rated based on the actual number of days during the first Quarter in which this Agreement is in effect.</w:t>
      </w:r>
    </w:p>
    <w:p>
      <w:pPr>
        <w:spacing w:after="0" w:line="166"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7.1.2 The Annual Fee will not be reduced by operation of this Agreement by the amount of (i) any fees for Operational and Other Services that are paid or payable by any member of the YieldCo Group to any member of the Manager Group or (ii) any Transaction Fees.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7.1.3 Notwithstanding Section 7.1.2, the Annual Fee will be offset against the Annual Fee (as defined in the Corresponding MSA) payable under the Corresponding MSA.</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Computation and Payment of Quarterly Annual Fee</w:t>
      </w:r>
    </w:p>
    <w:p>
      <w:pPr>
        <w:spacing w:after="0" w:line="22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7.2.1 Following the end of each Quarter, Manager shall prepare and deliver to NYLD LLC the accrued quarterly installment of the Annual Fee for such Quarter. NYLD LLC will, subject to any offset as contemplated by Section 7.1.3, pay the quarterly installment of the Annual Fee for each Quarter as soon as practicable following the end of the Quarter with respect to which such payment is due, but in any event no later than 30 days following the end of such Quarter.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Governmental Charges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NYLD LLC, on behalf of the Service Recipients, shall pay or reimburse the relevant member of the Manager Group for all sales taxes, use taxes, value added taxes, withholding taxes or other similar taxes, customs duties or other governmental charges (“</w:t>
      </w:r>
      <w:r>
        <w:rPr>
          <w:rFonts w:ascii="Arial" w:cs="Arial" w:eastAsia="Arial" w:hAnsi="Arial"/>
          <w:sz w:val="17"/>
          <w:szCs w:val="17"/>
          <w:b w:val="1"/>
          <w:bCs w:val="1"/>
          <w:color w:val="auto"/>
        </w:rPr>
        <w:t>Governmental Charges</w:t>
      </w:r>
      <w:r>
        <w:rPr>
          <w:rFonts w:ascii="Arial" w:cs="Arial" w:eastAsia="Arial" w:hAnsi="Arial"/>
          <w:sz w:val="17"/>
          <w:szCs w:val="17"/>
          <w:color w:val="auto"/>
        </w:rPr>
        <w:t>”) that are levied or imposed by any Governmental Authority on such member of the Manager Group by reason of the provision of the Services by such member of the Manager Group in connection with this Agreement or any other agreement contemplated by this Agreement, or the fees or other amounts payable in connection therewith, except for any income taxes, corporation taxes, capital taxes or other similar taxes payable by any member of the Manager Group which are personal to such member of the Manager Group. Any failure by any member of the Manager Group to collect monies on account of these Governmental Charges shall not constitute a waiver of the right to do so. Governmental Charges will be offset against Governmental Charges (as defined in the Corresponding MSA) payable under the Corresponding MSA.</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Computation and Payment of Governmental Charges</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From time to time the Manager shall, or shall cause the other Service Providers to, prepare statements (each an “</w:t>
      </w:r>
      <w:r>
        <w:rPr>
          <w:rFonts w:ascii="Arial" w:cs="Arial" w:eastAsia="Arial" w:hAnsi="Arial"/>
          <w:sz w:val="18"/>
          <w:szCs w:val="18"/>
          <w:b w:val="1"/>
          <w:bCs w:val="1"/>
          <w:color w:val="auto"/>
        </w:rPr>
        <w:t>Expense Statement</w:t>
      </w:r>
      <w:r>
        <w:rPr>
          <w:rFonts w:ascii="Arial" w:cs="Arial" w:eastAsia="Arial" w:hAnsi="Arial"/>
          <w:sz w:val="18"/>
          <w:szCs w:val="18"/>
          <w:color w:val="auto"/>
        </w:rPr>
        <w:t>”) documenting the Governmental Charges to be reimbursed pursuant to this Article 7 and shall deliver such statements to the relevant Service Recipient. All Governmental Charges reimbursable pursuant to this Article 7 shall, subject to any offset as contemplated by Section 7.3, be reimbursed by NYLD LLC, on behalf of the Service Recipients, no later than the date which is 30 days after receipt of an Expense Statement. The provisions of this Section 7.4 shall survive the termination of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MANAGER AND THE SERVICE RECIPIENTS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Representations and Warranties of the Manager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Manager hereby represents and warrants to the Service Recipients that: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it is validly organized and existing under the laws of the State of Delaware;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8.1.2 it, or any another Service Provider, as applicable, holds, and shall hold, such Permits as are necessary to perform its obligations hereunder and is not aware of, or shall inform the Service Recipients promptly upon knowledge of, any reason why such Permits might be cancelled;</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it has the power, capacity and authority to enter into this Agreement and to perform its obligations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color w:val="auto"/>
        </w:rPr>
        <w:t>it has taken all necessary action to authorize the execution, delivery and performance of this Agreement;</w:t>
      </w:r>
    </w:p>
    <w:p>
      <w:pPr>
        <w:spacing w:after="0" w:line="225"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8.1.5 the execution and delivery of this Agreement by it and the performance by it of its obligations hereunder do not and will not contravene, breach or result in any default under its Governing Instruments, or under any mortgage, lease, agreement or other legally binding instrument, Permit or applicable Law to which it is a party or by which it or any of its properties or assets may be bound, except for any such contravention, breach or default which would not have a material adverse effect on the business, assets, financial condition or results of operations of the Manager;</w:t>
      </w:r>
    </w:p>
    <w:p>
      <w:pPr>
        <w:sectPr>
          <w:pgSz w:w="11900" w:h="16945" w:orient="portrait"/>
          <w:cols w:equalWidth="0" w:num="1">
            <w:col w:w="11340"/>
          </w:cols>
          <w:pgMar w:left="240" w:top="125" w:right="319" w:bottom="0" w:gutter="0" w:footer="0" w:header="0"/>
        </w:sectPr>
      </w:pPr>
    </w:p>
    <w:bookmarkStart w:id="26" w:name="page27"/>
    <w:bookmarkEnd w:id="26"/>
    <w:p>
      <w:pPr>
        <w:spacing w:after="0" w:line="114"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8.1.6 no authorization, consent or approval, or filing with or notice to any Person is required in connection with the execution, delivery or performance by it of this Agreement;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color w:val="auto"/>
        </w:rPr>
        <w:t>this Agreement constitutes its valid and legally binding obligation, enforceable against it in accordance with its terms, subject to</w:t>
      </w:r>
    </w:p>
    <w:p>
      <w:pPr>
        <w:spacing w:after="0" w:line="23"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applicable bankruptcy, insolvency, moratorium, fraudulent conveyance, reorganization and other laws of general application limiting the</w:t>
      </w:r>
    </w:p>
    <w:p>
      <w:pPr>
        <w:spacing w:after="0" w:line="20" w:lineRule="exact"/>
        <w:rPr>
          <w:rFonts w:ascii="Arial" w:cs="Arial" w:eastAsia="Arial" w:hAnsi="Arial"/>
          <w:sz w:val="17"/>
          <w:szCs w:val="17"/>
          <w:color w:val="auto"/>
        </w:rPr>
      </w:pPr>
    </w:p>
    <w:p>
      <w:pPr>
        <w:ind w:left="660" w:right="260"/>
        <w:spacing w:after="0" w:line="255" w:lineRule="auto"/>
        <w:rPr>
          <w:rFonts w:ascii="Arial" w:cs="Arial" w:eastAsia="Arial" w:hAnsi="Arial"/>
          <w:sz w:val="17"/>
          <w:szCs w:val="17"/>
          <w:color w:val="auto"/>
        </w:rPr>
      </w:pPr>
      <w:r>
        <w:rPr>
          <w:rFonts w:ascii="Arial" w:cs="Arial" w:eastAsia="Arial" w:hAnsi="Arial"/>
          <w:sz w:val="18"/>
          <w:szCs w:val="18"/>
          <w:color w:val="auto"/>
        </w:rPr>
        <w:t>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Representations and Warranties of the Service Recipients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NYLD, NYLD LLC and NYLD Op, each hereby represents and warrants, on its behalf and on behalf of each of the other Service Recipients,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Manager that: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it is validly organized and existing under the Laws governing its formation and organization;</w:t>
      </w:r>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8.2.2 it, or the relevant Service Recipient, holds such Permits necessary to own and operate the projects and entities that it directly or indirectly owns or operates from time to time and is not aware of any reason why such Permits might be cancelled;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it has the power, capacity and authority to enter into this Agreement and to perform its duties and obligations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it has taken all necessary action to authorize the execution, delivery and performance of this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8.2.5 the execution and delivery of this Agreement by it and the performance by it of its obligations hereunder do not and will not contravene, breach or result in any default under its Governing Instruments, or under any mortgage, lease, agreement or other legally binding instrument, Permit or applicable Law to which it is a party or by which any of its properties or assets may be bound, except for any such contravention, breach or default which would not have a material adverse effect on the business, assets, financial condition or results of operations of the Service Recipients as a whole;</w:t>
      </w:r>
    </w:p>
    <w:p>
      <w:pPr>
        <w:spacing w:after="0" w:line="188"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8.2.6 no authorization, consent or approval, or filing with or notice to any Person is required in connection with the execution, delivery or performance by it of this Agreement;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8.2.7</w:t>
      </w:r>
      <w:r>
        <w:rPr>
          <w:sz w:val="20"/>
          <w:szCs w:val="20"/>
          <w:color w:val="auto"/>
        </w:rPr>
        <w:tab/>
      </w:r>
      <w:r>
        <w:rPr>
          <w:rFonts w:ascii="Arial" w:cs="Arial" w:eastAsia="Arial" w:hAnsi="Arial"/>
          <w:sz w:val="16"/>
          <w:szCs w:val="16"/>
          <w:color w:val="auto"/>
        </w:rPr>
        <w:t>this Agreement constitutes its valid and legally binding obligation, enforceable against it in accordance with its terms, subject to:</w:t>
      </w:r>
    </w:p>
    <w:p>
      <w:pPr>
        <w:spacing w:after="0" w:line="23" w:lineRule="exact"/>
        <w:rPr>
          <w:sz w:val="20"/>
          <w:szCs w:val="20"/>
          <w:color w:val="auto"/>
        </w:rPr>
      </w:pPr>
    </w:p>
    <w:p>
      <w:pPr>
        <w:ind w:left="660" w:right="260" w:hanging="4"/>
        <w:spacing w:after="0" w:line="254" w:lineRule="auto"/>
        <w:tabs>
          <w:tab w:leader="none" w:pos="8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bankruptcy, insolvency, moratorium, fraudulent conveyance, reorganization and other laws of general application limiting the 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Indemnity</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9.1.1 NYLD, NYLD LLC and NYLD Op hereby jointly and severally agree, to the fullest extent permitted by applicable Laws, to indemnify and hold harmless, and to cause each other Service Recipient to indemnify and hold harmless, each member of the Manager Group, any of its Affiliates (other than any member of the YieldCo Group) and any directors, officers, agents, members, partners, stockholders and employees and other representatives of each of the foregoing (each, a “</w:t>
      </w:r>
      <w:r>
        <w:rPr>
          <w:rFonts w:ascii="Arial" w:cs="Arial" w:eastAsia="Arial" w:hAnsi="Arial"/>
          <w:sz w:val="16"/>
          <w:szCs w:val="16"/>
          <w:b w:val="1"/>
          <w:bCs w:val="1"/>
          <w:color w:val="auto"/>
        </w:rPr>
        <w:t>Manager Indemnified Party</w:t>
      </w:r>
      <w:r>
        <w:rPr>
          <w:rFonts w:ascii="Arial" w:cs="Arial" w:eastAsia="Arial" w:hAnsi="Arial"/>
          <w:sz w:val="16"/>
          <w:szCs w:val="16"/>
          <w:color w:val="auto"/>
        </w:rPr>
        <w:t>”) from and against any claims, liabilities, losses, damages (but expressly excluding any consequential damages that were not reasonably foreseeable and punitive damages, except to the extent awarded in a final judgment in respect of a Third Party Claim), costs or expenses (including legal fees) (“</w:t>
      </w:r>
      <w:r>
        <w:rPr>
          <w:rFonts w:ascii="Arial" w:cs="Arial" w:eastAsia="Arial" w:hAnsi="Arial"/>
          <w:sz w:val="16"/>
          <w:szCs w:val="16"/>
          <w:b w:val="1"/>
          <w:bCs w:val="1"/>
          <w:color w:val="auto"/>
        </w:rPr>
        <w:t>Liabilities</w:t>
      </w:r>
      <w:r>
        <w:rPr>
          <w:rFonts w:ascii="Arial" w:cs="Arial" w:eastAsia="Arial" w:hAnsi="Arial"/>
          <w:sz w:val="16"/>
          <w:szCs w:val="16"/>
          <w:color w:val="auto"/>
        </w:rPr>
        <w:t>”) incurred by them or threatened in connection with any and all actions, suits, investigations, proceedings or claims of any kind whatsoever, whether arising under statute or action of a Governmental Authority or otherwise or in connection with the business, investments and activities of the Service Recipients or in respect of or arising from this Agreement or the Services provided hereunder (“</w:t>
      </w:r>
      <w:r>
        <w:rPr>
          <w:rFonts w:ascii="Arial" w:cs="Arial" w:eastAsia="Arial" w:hAnsi="Arial"/>
          <w:sz w:val="16"/>
          <w:szCs w:val="16"/>
          <w:b w:val="1"/>
          <w:bCs w:val="1"/>
          <w:color w:val="auto"/>
        </w:rPr>
        <w:t>Claims</w:t>
      </w:r>
      <w:r>
        <w:rPr>
          <w:rFonts w:ascii="Arial" w:cs="Arial" w:eastAsia="Arial" w:hAnsi="Arial"/>
          <w:sz w:val="16"/>
          <w:szCs w:val="16"/>
          <w:color w:val="auto"/>
        </w:rPr>
        <w:t xml:space="preserve">”), including any Claims arising on account of the Governmental Charges contemplated by Section 7.3; </w:t>
      </w:r>
      <w:r>
        <w:rPr>
          <w:rFonts w:ascii="Arial" w:cs="Arial" w:eastAsia="Arial" w:hAnsi="Arial"/>
          <w:sz w:val="16"/>
          <w:szCs w:val="16"/>
          <w:i w:val="1"/>
          <w:iCs w:val="1"/>
          <w:color w:val="auto"/>
        </w:rPr>
        <w:t>provided</w:t>
      </w:r>
      <w:r>
        <w:rPr>
          <w:rFonts w:ascii="Arial" w:cs="Arial" w:eastAsia="Arial" w:hAnsi="Arial"/>
          <w:sz w:val="16"/>
          <w:szCs w:val="16"/>
          <w:color w:val="auto"/>
        </w:rPr>
        <w:t>, that no Manager Indemnified Party shall be so indemnified with respect to any Claim to the extent that such Claim is finally determined by a final and non-appealable judgment entered by a court of competent jurisdiction, or pursuant to a settlement agreement agreed to by such Manager Indemnified Party, to have resulted from such Manager Indemnified Party’s bad faith, fraud, willful misconduct or gross negligence or, in the case of a criminal matter, conduct undertaken with knowledge that the conduct was unlawful.</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9.1.2 If any action, suit, investigation, proceeding or claim is made or brought by any third party with respect to which an Indemnifying Party is obligated to provide indemnification under this Agreement (a “</w:t>
      </w:r>
      <w:r>
        <w:rPr>
          <w:rFonts w:ascii="Arial" w:cs="Arial" w:eastAsia="Arial" w:hAnsi="Arial"/>
          <w:sz w:val="18"/>
          <w:szCs w:val="18"/>
          <w:b w:val="1"/>
          <w:bCs w:val="1"/>
          <w:color w:val="auto"/>
        </w:rPr>
        <w:t>Third Party Claim</w:t>
      </w:r>
      <w:r>
        <w:rPr>
          <w:rFonts w:ascii="Arial" w:cs="Arial" w:eastAsia="Arial" w:hAnsi="Arial"/>
          <w:sz w:val="18"/>
          <w:szCs w:val="18"/>
          <w:color w:val="auto"/>
        </w:rPr>
        <w:t>”), the Manager Indemnified Party will have the right to employ its own counsel in connection therewith, and the reasonable fees and expenses of such counsel, as well as the reasonable costs (excluding an amount reimbursed to such Manager Indemnified Party for the time spent in connection therewith) and out-of-pocket expenses incurred in connection therewith will be paid by the Indemnifying Party in such case, as incurred but subject to recoupment by the Indemnifying Party if ultimately it is not liable to pay indemnification hereunder.</w:t>
      </w:r>
    </w:p>
    <w:p>
      <w:pPr>
        <w:spacing w:after="0" w:line="193"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9.1.3 The Manager Indemnified Party and the Indemnifying Party agree that, promptly after the receipt of notice of the commencement of any Third Party Claim, the Manager Indemnified Party will notify the Indemnifying Party in writing of the commencement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that any accidental failure to provide any such notice will not prejudice the right of any such Manager Indemnified Party hereunder) and,</w:t>
      </w:r>
    </w:p>
    <w:p>
      <w:pPr>
        <w:sectPr>
          <w:pgSz w:w="11900" w:h="16952" w:orient="portrait"/>
          <w:cols w:equalWidth="0" w:num="1">
            <w:col w:w="11340"/>
          </w:cols>
          <w:pgMar w:left="240" w:top="341" w:right="319" w:bottom="0" w:gutter="0" w:footer="0" w:header="0"/>
        </w:sectPr>
      </w:pPr>
    </w:p>
    <w:bookmarkStart w:id="27" w:name="page28"/>
    <w:bookmarkEnd w:id="27"/>
    <w:p>
      <w:pPr>
        <w:spacing w:after="0" w:line="11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throughout the course of such Third Party Claim, such Manager Indemnified Party will use its reasonable best efforts to provide copies of all relevant documentation to such Indemnifying Party, and to keep the Indemnifying Party apprised of the progress thereof, and to discuss with the Indemnifying Party all significant actions proposed.</w:t>
      </w:r>
    </w:p>
    <w:p>
      <w:pPr>
        <w:spacing w:after="0" w:line="181"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9.1.4 The Parties expressly acknowledge and agree that the right to indemnity provided in this Section 9.1 shall be in addition to and not in derogation of any other liability which the Indemnifying Party in any particular case may have or of any other right to indemnity or contribution which any Manager Indemnified Party may have by statute or otherwise at law.</w:t>
      </w:r>
    </w:p>
    <w:p>
      <w:pPr>
        <w:spacing w:after="0" w:line="181"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9.1.5 The indemnity provided in this Section 9.1 shall survive the completion of Services rendered under, or any termination or purported termination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Limitation of Liability</w:t>
      </w:r>
    </w:p>
    <w:p>
      <w:pPr>
        <w:spacing w:after="0" w:line="229"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9.2.1 The Manager assumes no responsibility under this Agreement other than to render the Services in good faith and will not be responsible for any action of a Service Recipient’s Governing Body in following or declining to follow any advice or recommendations of the relevant Service Provider.</w:t>
      </w:r>
    </w:p>
    <w:p>
      <w:pPr>
        <w:spacing w:after="0" w:line="181"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9.2.2 The Service Recipients hereby agree that no Manager Indemnified Party will be liable to a Service Recipient, a Service Recipient’s Governing Body (including, for greater certainty, a director or officer of a Service Recipient or another individual with similar function or capacity) or any security holder or partner of a Service Recipient for any Liabilities that may occur as a result of any acts or omissions by the Manager Indemnified Party pursuant to or in accordance with this Agreement, except to the extent that such Liabilities are finally determined by a final and non-appealable judgment entered by a court of competent jurisdiction to have resulted from the Manager Indemnified Party’s bad faith, fraud, willful misconduct or gross negligence, or 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case of a criminal matter, conduct undertaken with knowledge that the conduct was unlawful.</w:t>
      </w:r>
    </w:p>
    <w:p>
      <w:pPr>
        <w:spacing w:after="0" w:line="22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9.2.3 The maximum amount of the aggregate liability of the Manager Indemnified Parties pursuant to this Agreement will be equal to the amounts previously payable (not taking into account any offset contemplated by Article 7) in respect of Services pursuant to this Agreement in the two most recent calendar years by the Service Recipients pursuant to Article 7.</w:t>
      </w:r>
    </w:p>
    <w:p>
      <w:pPr>
        <w:spacing w:after="0" w:line="181"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9.2.4 For the avoidance of doubt, the provisions of this Section 9.2 shall survive the completion of the Services rendered under, or any termination or purported termination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Benefit to all Manager Indemnified Parties</w:t>
      </w:r>
    </w:p>
    <w:p>
      <w:pPr>
        <w:spacing w:after="0" w:line="229"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color w:val="auto"/>
        </w:rPr>
        <w:t>9.3.1 NYLD, NYLD LLC and NYLD Op on behalf of themselves and the other Service Recipients, hereby constitute the Manager as trustee for each of the Manager Indemnified Parties of the covenants of the Service Recipients under this Article 9 with respect to such Manager Indemnified Parties and the Manager hereby accepts such trust and agrees to hold and enforce such covenants on behalf of the Manager Indemnified Parties.</w:t>
      </w:r>
    </w:p>
    <w:p>
      <w:pPr>
        <w:spacing w:after="0" w:line="147"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9.3.2 The Manager hereby constitutes the Service Recipients as trustees for each Service Recipient’s Governing Body (including, for greater certainty, a director or officer of a Service Recipient or another individual with similar function or capacity) or any security holder or partner of a Service Recipient, of the covenants of the Manager under this Article 9 with respect to such parties and the Service Recipients hereby accept such trust and agree to hold and enforce such covenants on behalf of such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Term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continue in full force and effect in perpetuity until terminated in accordance with Section 10.2, Section 10.3 or Section 12.1.1.</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 by the Service Recipients</w:t>
      </w:r>
    </w:p>
    <w:p>
      <w:pPr>
        <w:spacing w:after="0" w:line="22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10.2.1 NYLD, on behalf of the Service Recipients, may, subject to Section 10.2.2, terminate this Agreement effective upon 30 days’ prior written notice of termination to the Manager without payment of any termination fee if:</w:t>
      </w:r>
    </w:p>
    <w:p>
      <w:pPr>
        <w:spacing w:after="0" w:line="170" w:lineRule="exact"/>
        <w:rPr>
          <w:sz w:val="20"/>
          <w:szCs w:val="20"/>
          <w:color w:val="auto"/>
        </w:rPr>
      </w:pPr>
    </w:p>
    <w:p>
      <w:pPr>
        <w:ind w:left="1300" w:right="240"/>
        <w:spacing w:after="0" w:line="312" w:lineRule="auto"/>
        <w:rPr>
          <w:sz w:val="20"/>
          <w:szCs w:val="20"/>
          <w:color w:val="auto"/>
        </w:rPr>
      </w:pPr>
      <w:r>
        <w:rPr>
          <w:rFonts w:ascii="Arial" w:cs="Arial" w:eastAsia="Arial" w:hAnsi="Arial"/>
          <w:sz w:val="16"/>
          <w:szCs w:val="16"/>
          <w:color w:val="auto"/>
        </w:rPr>
        <w:t>10.2.1.1 any member of the Manager Group defaults in the performance or observance of any material term, condition or agreement contained in this Agreement in a manner that results in material harm to the Service Recipients and such default continues for a period of 30 days after written notice thereof specifying such default and requesting that the same be remedied in such 30-day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10.2.1.2</w:t>
      </w:r>
      <w:r>
        <w:rPr>
          <w:sz w:val="20"/>
          <w:szCs w:val="20"/>
          <w:color w:val="auto"/>
        </w:rPr>
        <w:tab/>
      </w:r>
      <w:r>
        <w:rPr>
          <w:rFonts w:ascii="Arial" w:cs="Arial" w:eastAsia="Arial" w:hAnsi="Arial"/>
          <w:sz w:val="16"/>
          <w:szCs w:val="16"/>
          <w:color w:val="auto"/>
        </w:rPr>
        <w:t>any member of the Manager Group engages in fraud, misappropriation of funds or embezzlement against any Service Recipient;</w:t>
      </w:r>
    </w:p>
    <w:p>
      <w:pPr>
        <w:spacing w:after="0" w:line="225"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10.2.1.3 any member of the Manager Group is grossly negligent in the performance of its obligations under this Agreement, and such gross negligence results in material harm to the Service Recipients;</w:t>
      </w:r>
    </w:p>
    <w:p>
      <w:pPr>
        <w:spacing w:after="0" w:line="170" w:lineRule="exact"/>
        <w:rPr>
          <w:sz w:val="20"/>
          <w:szCs w:val="20"/>
          <w:color w:val="auto"/>
        </w:rPr>
      </w:pPr>
    </w:p>
    <w:p>
      <w:pPr>
        <w:ind w:left="1300" w:right="140"/>
        <w:spacing w:after="0" w:line="312" w:lineRule="auto"/>
        <w:rPr>
          <w:sz w:val="20"/>
          <w:szCs w:val="20"/>
          <w:color w:val="auto"/>
        </w:rPr>
      </w:pPr>
      <w:r>
        <w:rPr>
          <w:rFonts w:ascii="Arial" w:cs="Arial" w:eastAsia="Arial" w:hAnsi="Arial"/>
          <w:sz w:val="16"/>
          <w:szCs w:val="16"/>
          <w:color w:val="auto"/>
        </w:rPr>
        <w:t>10.2.1.4 the Manager, NYLD, NYLD LLC or NYLD Op makes a general assignment for the benefit of its 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w:t>
      </w:r>
    </w:p>
    <w:p>
      <w:pPr>
        <w:sectPr>
          <w:pgSz w:w="11900" w:h="16952" w:orient="portrait"/>
          <w:cols w:equalWidth="0" w:num="1">
            <w:col w:w="11420"/>
          </w:cols>
          <w:pgMar w:left="240" w:top="125" w:right="239" w:bottom="0" w:gutter="0" w:footer="0" w:header="0"/>
        </w:sectPr>
      </w:pPr>
    </w:p>
    <w:bookmarkStart w:id="28" w:name="page29"/>
    <w:bookmarkEnd w:id="28"/>
    <w:p>
      <w:pPr>
        <w:spacing w:after="0" w:line="114"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seeking such reorganization or has a decree entered against it by a court of competent jurisdiction appointing a receiver liquidator, trustee or assignee in bankruptcy or in insolvency.</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10.2.2 This Agreement may only be terminated pursuant to Section 10.2.1 above by NYLD with the prior approval of a majority of the members of the Conflicts Committee.</w:t>
      </w:r>
    </w:p>
    <w:p>
      <w:pPr>
        <w:spacing w:after="0" w:line="17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10.2.3 This Agreement may also be terminated by NYLD pursuant to Section 12.1.1 with the prior approval of a majority of the members of the Conflicts Committee.</w:t>
      </w:r>
    </w:p>
    <w:p>
      <w:pPr>
        <w:spacing w:after="0" w:line="17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10.2.4 Each of NYLD, NYLD LLC and NYLD Op hereby agrees and confirms that this Agreement may not be terminated due solely to the poor performance or underperformance of any of their Subsidiaries or the Business or any investment made by any member of the YieldCo Group on the recommendation of any member of the Manager Group.</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Termination by the Manager</w:t>
      </w:r>
    </w:p>
    <w:p>
      <w:pPr>
        <w:spacing w:after="0" w:line="229" w:lineRule="exact"/>
        <w:rPr>
          <w:sz w:val="20"/>
          <w:szCs w:val="20"/>
          <w:color w:val="auto"/>
        </w:rPr>
      </w:pPr>
    </w:p>
    <w:p>
      <w:pPr>
        <w:jc w:val="both"/>
        <w:ind w:left="660" w:right="120"/>
        <w:spacing w:after="0" w:line="277" w:lineRule="auto"/>
        <w:rPr>
          <w:sz w:val="20"/>
          <w:szCs w:val="20"/>
          <w:color w:val="auto"/>
        </w:rPr>
      </w:pPr>
      <w:r>
        <w:rPr>
          <w:rFonts w:ascii="Arial" w:cs="Arial" w:eastAsia="Arial" w:hAnsi="Arial"/>
          <w:sz w:val="18"/>
          <w:szCs w:val="18"/>
          <w:color w:val="auto"/>
        </w:rPr>
        <w:t>10.3.1 The Manager may terminate this Agreement effective upon 180 days’ prior written notice of termination to NYLD without payment of any termination fee if:</w:t>
      </w:r>
    </w:p>
    <w:p>
      <w:pPr>
        <w:spacing w:after="0" w:line="170" w:lineRule="exact"/>
        <w:rPr>
          <w:sz w:val="20"/>
          <w:szCs w:val="20"/>
          <w:color w:val="auto"/>
        </w:rPr>
      </w:pPr>
    </w:p>
    <w:p>
      <w:pPr>
        <w:jc w:val="both"/>
        <w:ind w:left="1300" w:right="140"/>
        <w:spacing w:after="0" w:line="286" w:lineRule="auto"/>
        <w:rPr>
          <w:sz w:val="20"/>
          <w:szCs w:val="20"/>
          <w:color w:val="auto"/>
        </w:rPr>
      </w:pPr>
      <w:r>
        <w:rPr>
          <w:rFonts w:ascii="Arial" w:cs="Arial" w:eastAsia="Arial" w:hAnsi="Arial"/>
          <w:sz w:val="17"/>
          <w:szCs w:val="17"/>
          <w:color w:val="auto"/>
        </w:rPr>
        <w:t>10.3.1.1 any Service Recipient defaults in the performance or observance of any material term, condition or agreement contained in this Agreement in a manner that results in material harm to the Manager and such default continues for a period of 30 days after written notice thereof specifying such default and requesting that the same be remedied in such 30-day period; or</w:t>
      </w:r>
    </w:p>
    <w:p>
      <w:pPr>
        <w:spacing w:after="0" w:line="166" w:lineRule="exact"/>
        <w:rPr>
          <w:sz w:val="20"/>
          <w:szCs w:val="20"/>
          <w:color w:val="auto"/>
        </w:rPr>
      </w:pPr>
    </w:p>
    <w:p>
      <w:pPr>
        <w:ind w:left="1300" w:right="40"/>
        <w:spacing w:after="0" w:line="257" w:lineRule="auto"/>
        <w:rPr>
          <w:sz w:val="20"/>
          <w:szCs w:val="20"/>
          <w:color w:val="auto"/>
        </w:rPr>
      </w:pPr>
      <w:r>
        <w:rPr>
          <w:rFonts w:ascii="Arial" w:cs="Arial" w:eastAsia="Arial" w:hAnsi="Arial"/>
          <w:sz w:val="18"/>
          <w:szCs w:val="18"/>
          <w:color w:val="auto"/>
        </w:rPr>
        <w:t>10.3.1.2 any Service Recipient makes a general assignment for the benefit of its 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 seeking such reorganization or has a decree entered against it by a court of competent jurisdiction appointing a receiver liquidator, trustee or assignee in bankruptcy or in insolvency.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Survival Upon Termination</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If this Agreement is terminated pursuant to this Article 10 or Article 12, such termination will be without any further liability or obligation of any Party, except as provided in Section 1.3, Section 6.4, Section 6.5, Article 9, this Section 10.4, Section 10.6, Article 11, Section 12.3, Section 12.4, Section 12.5, Section 12.6, Section 12.7, Section 12.8, Section 12.9 and Section 12.10.</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Action Upon Termination</w:t>
      </w:r>
    </w:p>
    <w:p>
      <w:pPr>
        <w:spacing w:after="0" w:line="229" w:lineRule="exact"/>
        <w:rPr>
          <w:sz w:val="20"/>
          <w:szCs w:val="20"/>
          <w:color w:val="auto"/>
        </w:rPr>
      </w:pPr>
    </w:p>
    <w:p>
      <w:pPr>
        <w:ind w:left="660" w:right="400"/>
        <w:spacing w:after="0" w:line="342" w:lineRule="auto"/>
        <w:rPr>
          <w:sz w:val="20"/>
          <w:szCs w:val="20"/>
          <w:color w:val="auto"/>
        </w:rPr>
      </w:pPr>
      <w:r>
        <w:rPr>
          <w:rFonts w:ascii="Arial" w:cs="Arial" w:eastAsia="Arial" w:hAnsi="Arial"/>
          <w:sz w:val="16"/>
          <w:szCs w:val="16"/>
          <w:color w:val="auto"/>
        </w:rPr>
        <w:t>10.5.1 From and after the effective date of the termination of this Agreement, the Manager shall not be entitled to receive the Annual Fee for further Services under this Agreement, but will be paid all compensation accruing to and including the date of termination (including such day).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Upon any termination of this Agreement, the Manager shall promptly:</w:t>
      </w:r>
    </w:p>
    <w:p>
      <w:pPr>
        <w:spacing w:after="0" w:line="225"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color w:val="auto"/>
        </w:rPr>
        <w:t>10.5.2.1 after deducting any accrued compensation and reimbursements to which it is then entitled, pay to the Service Recipients all money collected and held for the account of the Service Recipients pursuant to this Agreement;</w:t>
      </w:r>
    </w:p>
    <w:p>
      <w:pPr>
        <w:spacing w:after="0" w:line="170" w:lineRule="exact"/>
        <w:rPr>
          <w:sz w:val="20"/>
          <w:szCs w:val="20"/>
          <w:color w:val="auto"/>
        </w:rPr>
      </w:pPr>
    </w:p>
    <w:p>
      <w:pPr>
        <w:jc w:val="both"/>
        <w:ind w:left="1300" w:right="100"/>
        <w:spacing w:after="0" w:line="264" w:lineRule="auto"/>
        <w:rPr>
          <w:sz w:val="20"/>
          <w:szCs w:val="20"/>
          <w:color w:val="auto"/>
        </w:rPr>
      </w:pPr>
      <w:r>
        <w:rPr>
          <w:rFonts w:ascii="Arial" w:cs="Arial" w:eastAsia="Arial" w:hAnsi="Arial"/>
          <w:sz w:val="18"/>
          <w:szCs w:val="18"/>
          <w:color w:val="auto"/>
        </w:rPr>
        <w:t>10.5.2.2 deliver to the Service Recipients’ Governing Bodies a full accounting, including a statement showing all payments collected by it and a statement of all money held by it, covering the period following the date of the last accounting furnished to the Governing Bodies with respect to the Service Recipients; and</w:t>
      </w:r>
    </w:p>
    <w:p>
      <w:pPr>
        <w:spacing w:after="0" w:line="181"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10.5.2.3 deliver to the Service Recipients’ Governing Bodies all property and documents of the Service Recipients then in the custody of the Manager Group.</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Release of Money or other Property Upon Written Request</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Manager hereby agrees that any money or other property of the Service Recipients or their Subsidiaries held by the Manager Group under this Agreement shall be held by the relevant member of the Manager Group as custodian for such Person, and the relevant member of the Manager Group’s records shall be appropriately marked clearly to reflect the ownership of such money or other property by such Person. Upon the receipt by the relevant member of the Manager Group of a written request signed by a duly authorized representative of a Service Recipient requesting the relevant member of the Manager Group to release to the Service Recipient any money or other property then held by the relevant member of the Manager Group for the account of such Service Recipient under this Agreement, the relevant member of the Manager Group shall release such money or other property to the Service Recipient promptly, but in no event later than 7 days following such request. The relevant member of the Manager Group shall not be liable to any Service Recipient, a Service Recipient’s Governing Body or any other Person for any acts performed or omissions to act by a Service Recipient in connection with the money or other property released to the Service Recipient in accordance with the second sentence of this Section 10.6. Each Service Recipient shall indemnify and hold harmless the relevant member of the Manager Group, any of its Affiliates (other than any member of the YieldCo Group) and any directors, officers, agents, members, partners, shareholders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employees and other representatives of each of the foregoing from and against any and all Liabilities which arise in connection with the relevant member of the Manager Group’s release of such money or other property to such Service Recipient in accordance with the terms of this Section 10.6. Indemnification pursuant to this provision shall be in addition to any right of such Persons to indemnification under Section 10.1. For the avoidance of doubt, the provisions of</w:t>
      </w:r>
    </w:p>
    <w:p>
      <w:pPr>
        <w:sectPr>
          <w:pgSz w:w="11900" w:h="16952" w:orient="portrait"/>
          <w:cols w:equalWidth="0" w:num="1">
            <w:col w:w="11420"/>
          </w:cols>
          <w:pgMar w:left="240" w:top="125" w:right="239" w:bottom="0" w:gutter="0" w:footer="0" w:header="0"/>
        </w:sectPr>
      </w:pPr>
    </w:p>
    <w:bookmarkStart w:id="29" w:name="page30"/>
    <w:bookmarkEnd w:id="29"/>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Section 10.6 shall survive termination of this Agreement. The Service Recipients hereby constitute the Manager as trustee for each Person entitled to indemnification pursuant to this Section 10.6 of the covenants of the Service Recipients under this Section 10.6 with respect to such Persons and the Manager hereby accepts such trust and agrees to hold and enforce such covenants on behalf of such Persons.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ARBITRATION</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Dispute</w:t>
      </w:r>
    </w:p>
    <w:p>
      <w:pPr>
        <w:spacing w:after="0" w:line="225" w:lineRule="exact"/>
        <w:rPr>
          <w:sz w:val="20"/>
          <w:szCs w:val="20"/>
          <w:color w:val="auto"/>
        </w:rPr>
      </w:pPr>
    </w:p>
    <w:p>
      <w:pPr>
        <w:ind w:left="120" w:right="320" w:firstLine="540"/>
        <w:spacing w:after="0" w:line="282" w:lineRule="auto"/>
        <w:rPr>
          <w:sz w:val="20"/>
          <w:szCs w:val="20"/>
          <w:color w:val="auto"/>
        </w:rPr>
      </w:pPr>
      <w:r>
        <w:rPr>
          <w:rFonts w:ascii="Arial" w:cs="Arial" w:eastAsia="Arial" w:hAnsi="Arial"/>
          <w:sz w:val="18"/>
          <w:szCs w:val="18"/>
          <w:color w:val="auto"/>
        </w:rPr>
        <w:t>Any dispute or disagreement of any kind or nature between the Parties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 shall be resolved in accordance with this Article 11.</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Arbitration</w:t>
      </w:r>
    </w:p>
    <w:p>
      <w:pPr>
        <w:spacing w:after="0" w:line="225"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11.2.1 Any Dispute shall be submitted to arbitration (the “</w:t>
      </w:r>
      <w:r>
        <w:rPr>
          <w:rFonts w:ascii="Arial" w:cs="Arial" w:eastAsia="Arial" w:hAnsi="Arial"/>
          <w:sz w:val="18"/>
          <w:szCs w:val="18"/>
          <w:b w:val="1"/>
          <w:bCs w:val="1"/>
          <w:color w:val="auto"/>
        </w:rPr>
        <w:t>Arbitration</w:t>
      </w:r>
      <w:r>
        <w:rPr>
          <w:rFonts w:ascii="Arial" w:cs="Arial" w:eastAsia="Arial" w:hAnsi="Arial"/>
          <w:sz w:val="18"/>
          <w:szCs w:val="18"/>
          <w:color w:val="auto"/>
        </w:rPr>
        <w:t>”) by three (3) Arbitrators pursuant to the procedure set forth in this Section 11.2 and pursuant to the then current Commercial Arbitration Rules (the “</w:t>
      </w:r>
      <w:r>
        <w:rPr>
          <w:rFonts w:ascii="Arial" w:cs="Arial" w:eastAsia="Arial" w:hAnsi="Arial"/>
          <w:sz w:val="18"/>
          <w:szCs w:val="18"/>
          <w:b w:val="1"/>
          <w:bCs w:val="1"/>
          <w:color w:val="auto"/>
        </w:rPr>
        <w:t>Rules</w:t>
      </w:r>
      <w:r>
        <w:rPr>
          <w:rFonts w:ascii="Arial" w:cs="Arial" w:eastAsia="Arial" w:hAnsi="Arial"/>
          <w:sz w:val="18"/>
          <w:szCs w:val="18"/>
          <w:color w:val="auto"/>
        </w:rPr>
        <w:t>”)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If the provisions of this Section 11.2 are inconsistent with the provisions of the Rules and to the extent of such inconsistency, the provisions of this Section 11.2 shall prevail in any Arbitration.</w:t>
      </w:r>
    </w:p>
    <w:p>
      <w:pPr>
        <w:spacing w:after="0" w:line="184"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11.2.2 Any Party may make a demand for Arbitration by sending a notice in writing to any other Party, setting forth the nature of the Dispute, the amount involved and the name of one arbitrator appointed by such Party. The demand for Arbitration shall be made no later than thirty (30) days after the event giving rise to the Dispute.</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11.2.3 Within thirty (30) days after any demand for Arbitration under Section 11.2.2, the other Party shall send a responding statement, which shall contain the name of one arbitrator appointed by the responding Party.</w:t>
      </w:r>
    </w:p>
    <w:p>
      <w:pPr>
        <w:spacing w:after="0" w:line="170"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11.2.4 Within thirty (30) days of the appointment of the second arbitrator, the two party-appointed arbitrators shall appoint the third arbitrator, who shall act as the chair of the arbitration panel. The third arbitrator shall be appointed from the AAA National Roster (collectively with the two party-appointed arbitrators, the “</w:t>
      </w:r>
      <w:r>
        <w:rPr>
          <w:rFonts w:ascii="Arial" w:cs="Arial" w:eastAsia="Arial" w:hAnsi="Arial"/>
          <w:sz w:val="18"/>
          <w:szCs w:val="18"/>
          <w:b w:val="1"/>
          <w:bCs w:val="1"/>
          <w:color w:val="auto"/>
        </w:rPr>
        <w:t>Arbitrators</w:t>
      </w:r>
      <w:r>
        <w:rPr>
          <w:rFonts w:ascii="Arial" w:cs="Arial" w:eastAsia="Arial" w:hAnsi="Arial"/>
          <w:sz w:val="18"/>
          <w:szCs w:val="18"/>
          <w:color w:val="auto"/>
        </w:rPr>
        <w:t>”).</w:t>
      </w:r>
    </w:p>
    <w:p>
      <w:pPr>
        <w:spacing w:after="0" w:line="181"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11.2.5 In connection with any Arbitration, the Arbitrators shall allow reasonable requests for (i) the production of documents relevant to the dispute and (ii) taking of depositions.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11.2.6 The seat of the arbitration will be the State of Delaware and the language of the arbitration will be English. The Arbitration hearings shall be held in a location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State of Delaware specified in the demand for Arbitration and shall commence no later than thirty (30) days after the determination of the Arbitrator under Section 11.2.4.</w:t>
      </w:r>
    </w:p>
    <w:p>
      <w:pPr>
        <w:spacing w:after="0" w:line="17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11.2.7 The decision of the Arbitrators shall be made not later than sixty (60) days after its appointment. The decision of the Arbitrators shall be final without appeal and binding on the Parties, and may be enforced in any court of competent jurisdiction.</w:t>
      </w:r>
    </w:p>
    <w:p>
      <w:pPr>
        <w:spacing w:after="0" w:line="170" w:lineRule="exact"/>
        <w:rPr>
          <w:sz w:val="20"/>
          <w:szCs w:val="20"/>
          <w:color w:val="auto"/>
        </w:rPr>
      </w:pPr>
    </w:p>
    <w:p>
      <w:pPr>
        <w:ind w:left="660" w:right="60"/>
        <w:spacing w:after="0" w:line="342" w:lineRule="auto"/>
        <w:rPr>
          <w:sz w:val="20"/>
          <w:szCs w:val="20"/>
          <w:color w:val="auto"/>
        </w:rPr>
      </w:pPr>
      <w:r>
        <w:rPr>
          <w:rFonts w:ascii="Arial" w:cs="Arial" w:eastAsia="Arial" w:hAnsi="Arial"/>
          <w:sz w:val="16"/>
          <w:szCs w:val="16"/>
          <w:color w:val="auto"/>
        </w:rPr>
        <w:t>11.2.8 Each Party involved in the Dispute shall bear the costs and expenses of all lawyers, consultants, advisors, witnesses and employees retained by it in any Arbitration. The expenses of the Arbitrators shall be paid equally by the Parties unless the Arbitrators otherwise provides in its award.</w:t>
      </w:r>
    </w:p>
    <w:p>
      <w:pPr>
        <w:spacing w:after="0" w:line="124"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11.2.9 Notwithstanding any conflicting choice of law provisions in this Agreement or any applicable principles of conflicts of law, the arbitration provisions set forth herein, and any Arbitration conducted hereunder, shall be governed exclusively by the Federal Arbitration Act, 9 U.S.C. § 1, et seq.</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11.2.10 Judgment on the award rendered by the Arbitrators may be entered in any court having jurisdiction thereof.</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Continued Performance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conduct of Dispute resolution procedures pursuant to this Article 11, the Parties shall continue to perform their respective obligations under this Agreement and neither Party shall exercise any other remedies to resolve a Dispute.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Urgent Relief</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Nothing in this Article 11 will prejudice the right of a Party to seek urgent injunctive or declaratory relief from a court pursuant to Section 12.8.2.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Amendment, Waiver</w:t>
      </w:r>
    </w:p>
    <w:p>
      <w:pPr>
        <w:spacing w:after="0" w:line="229"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 xml:space="preserve">12.1.1 NYLD is entitled to amend the scope of the Services, including by reducing the number of Service Recipients or the nature or description of the Services or otherwise, by providing 90 days’ prior written notice to the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NYLD may not increase the scope of the Services without the Manager’s prior written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such modification, NYLD and the Manager shall agree in writing to any modification of the Annual Fee resulting from such change in scope. Subject to Section 10.2.3, in the event that NYLD and the Manager are unable to agree on a modified Annual Fee, NYLD may terminate this Agreement after the end of such 90-day period by providing 30 days’ prior written notice to the Manager. Notwithstanding the notice period set forth in this Section 12.1.1, in the event of an assignment pursuant to</w:t>
      </w:r>
    </w:p>
    <w:p>
      <w:pPr>
        <w:sectPr>
          <w:pgSz w:w="11900" w:h="16854" w:orient="portrait"/>
          <w:cols w:equalWidth="0" w:num="1">
            <w:col w:w="11420"/>
          </w:cols>
          <w:pgMar w:left="240" w:top="125" w:right="2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Section 12.2.1(ii) below, NYLD may amend the scope of Services as set forth in this Section 12.1.1 by providing 30 days’ prior written notice to the Manager.</w:t>
      </w:r>
    </w:p>
    <w:p>
      <w:pPr>
        <w:spacing w:after="0" w:line="170"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12.1.2 Except as expressly provided in this Agreement, no amendment or waiver of this Agreement, except pursuant to the first sentence of Section 12.1.1 above, will be binding unless the prior approval of a majority of the members of the Conflicts Committee is obtained and the amendment or waiver is executed in writing by the Party to be bound thereby. No waiver of any provision of this Agreement will constitute a waiver of any other provision nor will any waiver of any provision of this Agreement constitute a continuing waiver unless otherwise expressly provided. A Party’s failure or delay in exercising any right under this Agreement will not operate as a waiver of that right. A single or partial exercise of any right will not preclude a Party from any other or further exercise of that right or the exercise of any other right.</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Assignment</w:t>
      </w:r>
    </w:p>
    <w:p>
      <w:pPr>
        <w:spacing w:after="0" w:line="229"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 xml:space="preserve">12.2.1 This Agreement shall not be assigned by the Manager without the prior written consent of NYLD, except (i) pursuant to Section 2.3, (ii) in the case of assignment to a Person that is the Manager’s successor by merger, consolidation or purchase of assets, in which case the successor shall be bound under this Agreement and by the terms of the assignment in the same manner as the Manager is bound under this Agreement or (iii) to an Affiliate of the Manager or a Person that is, in the reasonable and good faith determination of the Conflicts Committee, an experienced and reputable manager, in which case the Affiliate or assignee shall be bound under this Agreement and by the terms of the assignment in the same manner as the Manager is bound under this Agreement. In addition,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Manager provides prior written notice to the Service Recipients for informational purposes only, nothing contained in this Agreement shall preclude any pledge, hypothecation or other transfer or assignment of the Manager’ rights under this Agreement, including any amounts payable to the Manager under this Agreement,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lender as security.</w:t>
      </w:r>
    </w:p>
    <w:p>
      <w:pPr>
        <w:spacing w:after="0" w:line="16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12.2.2 This Agreement shall not be assigned by any of the Service Recipients without the prior written consent of the Manager, except in the case of assignment by any such Service Recipient to a Person that is its successor by merger, consolidation or purchase of assets, in which case the successor shall be bound under this Agreement and by the terms of the assignment in the same manner as such Service Recipient is bound under this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Any purported assignment of this Agreement in violation of this Article 12 shall be null and void.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Failure to Pay When Due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amount payable by any Service Recipient to any member of the Manager Group hereunder which is not remitted when so due will remain due (whether on demand or otherwise) and interest will accrue on such overdue amounts (both before and after judgment) at a rate per annum equal to the Interest 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Invalidity of Provisions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of the provisions contained in this Agreement is distinct and severable and a declaration of invalidity or unenforceability of any such provision or part thereof by a court of competent jurisdiction will not affect the validity or enforceability of any other provision hereof. To the extent permitted by applicable law, the Parties waive any provision of law which renders any provision of this Agreement invalid or unenforceable in any respect. The Parties will engage in good faith negotiations to replace any provision which is declared invalid or unenforceable with a valid and enforceable provision, the economic effect of which comes as close as possible to that of the invalid or unenforceable provision which it replaces.</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This Agreement constitutes the entire agreement between the Parties pertaining to the subject matter of this Agreement. There are no warranties, conditions, or representations (including any that may be implied by statute) and there are no agreements in connection with such subject matter except as specifically set forth or referred to in this Agreement. No reliance is placed on any warranty, representation, opinion, advice or assertion of fact made either prior to, contemporaneous with, or after entering into this Agreement, by any Party or its directors, officers, employees or agents, to any other Party or its directors, officers, employees or agents, except to the extent that the same has been reduced to writing and included as a term of this Agreement, and none of the Parties has been induced to enter into this Agreement by reason of any such warranty, representation, opinion, advice or assertion of fact. Accordingly, there will be no liability, either in tort or in contract, assessed in relation to any such warranty, representation, opinion, advice or assertion of fact, except to the extent contemplated above.</w:t>
      </w:r>
    </w:p>
    <w:p>
      <w:pPr>
        <w:spacing w:after="0" w:line="19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avoidance of doubt, nothing in this Agreement should be construed or interpreted as an amendment, modification or termination of, or conflict with, any of the Operating and Administrative Agreements. Each such agreement, and all its terms, including payments to be made thereunder, shall survive the entry into this Agreement and shall terminate in accordance with its terms.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Mutual Waiver of Jury Trial</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A SPECIFICALLY BARGAINED FOR INDUCEMENT FOR EACH OF THE PARTIES TO ENTER INTO THIS AGREEMENT (AFTER HAVING THE OPPORTUNITY TO CONSULT WITH COUNSEL), EACH PARTY EXPRESSLY WAIVES THE RIGHT TO TRIAL BY JURY IN ANY LAWSUIT OR PROCEEDING RELATING TO OR ARISING IN ANY WAY FROM THIS AGREEMENT OR THE MATTERS CONTEMPLATED HEREBY.</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Consent to Jurisdiction</w:t>
      </w:r>
    </w:p>
    <w:p>
      <w:pPr>
        <w:sectPr>
          <w:pgSz w:w="11900" w:h="16838" w:orient="portrait"/>
          <w:cols w:equalWidth="0" w:num="1">
            <w:col w:w="11400"/>
          </w:cols>
          <w:pgMar w:left="240" w:top="341" w:right="259" w:bottom="36" w:gutter="0" w:footer="0" w:header="0"/>
        </w:sectPr>
      </w:pPr>
    </w:p>
    <w:bookmarkStart w:id="31" w:name="page32"/>
    <w:bookmarkEnd w:id="31"/>
    <w:p>
      <w:pPr>
        <w:ind w:right="260" w:firstLine="648"/>
        <w:spacing w:after="0" w:line="259" w:lineRule="auto"/>
        <w:rPr>
          <w:sz w:val="20"/>
          <w:szCs w:val="20"/>
          <w:color w:val="auto"/>
        </w:rPr>
      </w:pPr>
      <w:r>
        <w:rPr>
          <w:rFonts w:ascii="Arial" w:cs="Arial" w:eastAsia="Arial" w:hAnsi="Arial"/>
          <w:sz w:val="18"/>
          <w:szCs w:val="18"/>
          <w:color w:val="auto"/>
        </w:rPr>
        <w:t>EACH OF THE PARTIES IRREVOCABLY SUBMITS TO THE NON-EXCLUSIVE JURISDICTION OF THE DELAWARE COURT OF CHANCERY OR, TO THE EXTENT SUCH COURT DECLINES TO ACCEPT JURISDICTION OVER A PARTICULAR MATTER, ANY FEDERAL COURT OF THE UNITED STATES OF AMERICA LOCATED IN THE STATE OF DELAWARE, FOR THE PURPOSES OF ANY SUIT, ACTION OR OTHER PROCEEDING TO ENFORCE THE ARBITRATION PROVISION IN ARTICLE 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SPECIFICALLY ENFORCE THE TERMS OF THIS AGREEMENT PURSUANT TO SECTION 12.8.2. THE DECISION IN ANY ARBITRATION SHALL BE FINAL AND BINDING AND MAY BE ENTERED IN ANY COURT HAVING JURISDICTION THEREOF. IF ANY PARTY FAILS TO APPEAR AT ANY PROPERLY NOTICED ARBITRATION PROCEEDING, AN AWARD MAY BE ENTERED AGAINST THAT PARTY IN A COURT HAVING JURISDICTION THEREOF.</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12.8.1 The internal law of the State of Delaware will govern and be used to construe this Agreement without giving effect to applicable principles of conflicts of law to the extent that the application of the laws of another jurisdiction would be required thereby.</w:t>
      </w:r>
    </w:p>
    <w:p>
      <w:pPr>
        <w:spacing w:after="0" w:line="170"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12.8.2 The Parties agree that irreparable damage would occur in the event that any of the provisions of this Agreement and the transactions contemplated hereby were not performed in accordance with their specific terms or were otherwise breached. It is accordingly agreed that the Parties shall be entitled to an injunction or injunctions to prevent breaches of this Agreement and the transactions contemplated hereby and to enforce specifically the terms and provisions of this Agreement and the transactions contemplated hereby in the courts of Delaware, this being in addition to any other remedy to which such Party is entitled at law or in equity.</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Enurement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will enure to the benefit of and be binding upon the Parties and their respective successors and permitted assigns.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addresses specified below,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Notices and other communications will be addressed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Service Recipients: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Chad Plotkin, Chief Financial Officer</w:t>
      </w:r>
    </w:p>
    <w:p>
      <w:pPr>
        <w:spacing w:after="0" w:line="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Email:</w:t>
        <w:tab/>
        <w:t>chad.plotkin@nrg.com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ogc@nrgyield.com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Manager: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California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Alicia Stevenson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Alicia.stevenson@nrg.com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5790 Fleet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Jennifer.hein@nrg.com</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of the Parties will promptly do, make, execute or deliver, or cause to be done, made, executed or delivered, all such further acts, documents and things as the other Party may reasonably require from time to time for the purpose of giving effect to this Agreement and will use reasonable efforts and take all such steps as may be reasonably within its power to implement to their full extent the provisions of this Agreement.</w:t>
      </w:r>
    </w:p>
    <w:p>
      <w:pPr>
        <w:sectPr>
          <w:pgSz w:w="11900" w:h="16838" w:orient="portrait"/>
          <w:cols w:equalWidth="0" w:num="1">
            <w:col w:w="11420"/>
          </w:cols>
          <w:pgMar w:left="240" w:top="125" w:right="239" w:bottom="0" w:gutter="0" w:footer="0" w:header="0"/>
        </w:sectPr>
      </w:pPr>
    </w:p>
    <w:bookmarkStart w:id="32" w:name="page33"/>
    <w:bookmarkEnd w:id="32"/>
    <w:p>
      <w:pPr>
        <w:spacing w:after="0"/>
        <w:tabs>
          <w:tab w:leader="none" w:pos="62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Agreement may be signed in counterparts and each of such counterparts will constitute an original document and such counterparts, taken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NRG YIELD, INC.</w:t>
            </w:r>
          </w:p>
        </w:tc>
        <w:tc>
          <w:tcPr>
            <w:tcW w:w="4140" w:type="dxa"/>
            <w:vAlign w:val="bottom"/>
          </w:tcPr>
          <w:p>
            <w:pPr>
              <w:spacing w:after="0"/>
              <w:rPr>
                <w:sz w:val="20"/>
                <w:szCs w:val="20"/>
                <w:color w:val="auto"/>
              </w:rPr>
            </w:pP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6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60"/>
              <w:spacing w:after="0"/>
              <w:rPr>
                <w:sz w:val="20"/>
                <w:szCs w:val="20"/>
                <w:color w:val="auto"/>
              </w:rPr>
            </w:pPr>
            <w:r>
              <w:rPr>
                <w:rFonts w:ascii="Arial" w:cs="Arial" w:eastAsia="Arial" w:hAnsi="Arial"/>
                <w:sz w:val="18"/>
                <w:szCs w:val="18"/>
                <w:color w:val="auto"/>
              </w:rPr>
              <w:t>Senior Vice President &amp; CFO</w:t>
            </w:r>
          </w:p>
        </w:tc>
      </w:tr>
      <w:tr>
        <w:trPr>
          <w:trHeight w:val="648"/>
        </w:trPr>
        <w:tc>
          <w:tcPr>
            <w:tcW w:w="1460" w:type="dxa"/>
            <w:vAlign w:val="bottom"/>
            <w:gridSpan w:val="2"/>
          </w:tcPr>
          <w:p>
            <w:pPr>
              <w:spacing w:after="0"/>
              <w:rPr>
                <w:sz w:val="20"/>
                <w:szCs w:val="20"/>
                <w:color w:val="auto"/>
              </w:rPr>
            </w:pPr>
            <w:r>
              <w:rPr>
                <w:rFonts w:ascii="Arial" w:cs="Arial" w:eastAsia="Arial" w:hAnsi="Arial"/>
                <w:sz w:val="18"/>
                <w:szCs w:val="18"/>
                <w:color w:val="auto"/>
              </w:rPr>
              <w:t>NRG YIELD LLC</w:t>
            </w:r>
          </w:p>
        </w:tc>
        <w:tc>
          <w:tcPr>
            <w:tcW w:w="4140" w:type="dxa"/>
            <w:vAlign w:val="bottom"/>
          </w:tcPr>
          <w:p>
            <w:pPr>
              <w:spacing w:after="0"/>
              <w:rPr>
                <w:sz w:val="24"/>
                <w:szCs w:val="24"/>
                <w:color w:val="auto"/>
              </w:rPr>
            </w:pP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6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60"/>
              <w:spacing w:after="0"/>
              <w:rPr>
                <w:sz w:val="20"/>
                <w:szCs w:val="20"/>
                <w:color w:val="auto"/>
              </w:rPr>
            </w:pPr>
            <w:r>
              <w:rPr>
                <w:rFonts w:ascii="Arial" w:cs="Arial" w:eastAsia="Arial" w:hAnsi="Arial"/>
                <w:sz w:val="18"/>
                <w:szCs w:val="18"/>
                <w:color w:val="auto"/>
              </w:rPr>
              <w:t>Senior Vice President, CFO &amp; Treasurer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NRG YIELD OPERATING LLC</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6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60"/>
              <w:spacing w:after="0"/>
              <w:rPr>
                <w:sz w:val="20"/>
                <w:szCs w:val="20"/>
                <w:color w:val="auto"/>
              </w:rPr>
            </w:pPr>
            <w:r>
              <w:rPr>
                <w:rFonts w:ascii="Arial" w:cs="Arial" w:eastAsia="Arial" w:hAnsi="Arial"/>
                <w:sz w:val="18"/>
                <w:szCs w:val="18"/>
                <w:color w:val="auto"/>
              </w:rPr>
              <w:t>Senior Vice President, CFO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Services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ZEPHYR RENEWABLES LLC, as Manager</w:t>
      </w:r>
    </w:p>
    <w:p>
      <w:pPr>
        <w:spacing w:after="0" w:line="200" w:lineRule="exact"/>
        <w:rPr>
          <w:sz w:val="20"/>
          <w:szCs w:val="20"/>
          <w:color w:val="auto"/>
        </w:rPr>
      </w:pPr>
    </w:p>
    <w:p>
      <w:pPr>
        <w:spacing w:after="0" w:line="24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Cornelius</w:t>
            </w:r>
          </w:p>
        </w:tc>
      </w:tr>
      <w:tr>
        <w:trPr>
          <w:trHeight w:val="195"/>
        </w:trPr>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40"/>
              <w:spacing w:after="0" w:line="195" w:lineRule="exact"/>
              <w:rPr>
                <w:sz w:val="20"/>
                <w:szCs w:val="20"/>
                <w:color w:val="auto"/>
              </w:rPr>
            </w:pPr>
            <w:r>
              <w:rPr>
                <w:rFonts w:ascii="Arial" w:cs="Arial" w:eastAsia="Arial" w:hAnsi="Arial"/>
                <w:sz w:val="18"/>
                <w:szCs w:val="18"/>
                <w:color w:val="auto"/>
              </w:rPr>
              <w:t>Craig Cornelius</w:t>
            </w:r>
          </w:p>
        </w:tc>
      </w:tr>
      <w:tr>
        <w:trPr>
          <w:trHeight w:val="230"/>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Services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ZEPHYR RENEWABLES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collectively, as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86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ARTICLE 1 INTERPRETATION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786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7860" w:type="dxa"/>
            <w:vAlign w:val="bottom"/>
          </w:tcPr>
          <w:p>
            <w:pPr>
              <w:ind w:left="220"/>
              <w:spacing w:after="0"/>
              <w:rPr>
                <w:sz w:val="20"/>
                <w:szCs w:val="20"/>
                <w:color w:val="auto"/>
              </w:rPr>
            </w:pPr>
            <w:r>
              <w:rPr>
                <w:rFonts w:ascii="Arial" w:cs="Arial" w:eastAsia="Arial" w:hAnsi="Arial"/>
                <w:sz w:val="18"/>
                <w:szCs w:val="18"/>
                <w:color w:val="auto"/>
              </w:rPr>
              <w:t>Headings and Table of Contents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786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7860" w:type="dxa"/>
            <w:vAlign w:val="bottom"/>
          </w:tcPr>
          <w:p>
            <w:pPr>
              <w:ind w:left="220"/>
              <w:spacing w:after="0"/>
              <w:rPr>
                <w:sz w:val="20"/>
                <w:szCs w:val="20"/>
                <w:color w:val="auto"/>
              </w:rPr>
            </w:pPr>
            <w:r>
              <w:rPr>
                <w:rFonts w:ascii="Arial" w:cs="Arial" w:eastAsia="Arial" w:hAnsi="Arial"/>
                <w:sz w:val="18"/>
                <w:szCs w:val="18"/>
                <w:color w:val="auto"/>
              </w:rPr>
              <w:t>Service Recipients Third Party Beneficiaries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7860" w:type="dxa"/>
            <w:vAlign w:val="bottom"/>
          </w:tcPr>
          <w:p>
            <w:pPr>
              <w:ind w:left="220"/>
              <w:spacing w:after="0"/>
              <w:rPr>
                <w:sz w:val="20"/>
                <w:szCs w:val="20"/>
                <w:color w:val="auto"/>
              </w:rPr>
            </w:pPr>
            <w:r>
              <w:rPr>
                <w:rFonts w:ascii="Arial" w:cs="Arial" w:eastAsia="Arial" w:hAnsi="Arial"/>
                <w:sz w:val="18"/>
                <w:szCs w:val="18"/>
                <w:color w:val="auto"/>
              </w:rPr>
              <w:t>Actions by the Manager or the Service Recipients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2 APPOINTMENT OF THE MANAGER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8980" w:type="dxa"/>
            <w:vAlign w:val="bottom"/>
          </w:tcPr>
          <w:p>
            <w:pPr>
              <w:ind w:left="220"/>
              <w:spacing w:after="0"/>
              <w:rPr>
                <w:sz w:val="20"/>
                <w:szCs w:val="20"/>
                <w:color w:val="auto"/>
              </w:rPr>
            </w:pPr>
            <w:r>
              <w:rPr>
                <w:rFonts w:ascii="Arial" w:cs="Arial" w:eastAsia="Arial" w:hAnsi="Arial"/>
                <w:sz w:val="18"/>
                <w:szCs w:val="18"/>
                <w:color w:val="auto"/>
              </w:rPr>
              <w:t>Appointment and Acceptance</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8980" w:type="dxa"/>
            <w:vAlign w:val="bottom"/>
          </w:tcPr>
          <w:p>
            <w:pPr>
              <w:ind w:left="220"/>
              <w:spacing w:after="0"/>
              <w:rPr>
                <w:sz w:val="20"/>
                <w:szCs w:val="20"/>
                <w:color w:val="auto"/>
              </w:rPr>
            </w:pPr>
            <w:r>
              <w:rPr>
                <w:rFonts w:ascii="Arial" w:cs="Arial" w:eastAsia="Arial" w:hAnsi="Arial"/>
                <w:sz w:val="18"/>
                <w:szCs w:val="18"/>
                <w:color w:val="auto"/>
              </w:rPr>
              <w:t>Other Service Recipients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8980" w:type="dxa"/>
            <w:vAlign w:val="bottom"/>
          </w:tcPr>
          <w:p>
            <w:pPr>
              <w:ind w:left="220"/>
              <w:spacing w:after="0"/>
              <w:rPr>
                <w:sz w:val="20"/>
                <w:szCs w:val="20"/>
                <w:color w:val="auto"/>
              </w:rPr>
            </w:pPr>
            <w:r>
              <w:rPr>
                <w:rFonts w:ascii="Arial" w:cs="Arial" w:eastAsia="Arial" w:hAnsi="Arial"/>
                <w:sz w:val="18"/>
                <w:szCs w:val="18"/>
                <w:color w:val="auto"/>
              </w:rPr>
              <w:t>Subcontracting and Other Arrangements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3 SERVICES AND POWERS OF THE MANAGER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8980" w:type="dxa"/>
            <w:vAlign w:val="bottom"/>
          </w:tcPr>
          <w:p>
            <w:pPr>
              <w:ind w:left="220"/>
              <w:spacing w:after="0"/>
              <w:rPr>
                <w:sz w:val="20"/>
                <w:szCs w:val="20"/>
                <w:color w:val="auto"/>
              </w:rPr>
            </w:pPr>
            <w:r>
              <w:rPr>
                <w:rFonts w:ascii="Arial" w:cs="Arial" w:eastAsia="Arial" w:hAnsi="Arial"/>
                <w:sz w:val="18"/>
                <w:szCs w:val="18"/>
                <w:color w:val="auto"/>
              </w:rPr>
              <w:t>Services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8980" w:type="dxa"/>
            <w:vAlign w:val="bottom"/>
          </w:tcPr>
          <w:p>
            <w:pPr>
              <w:ind w:left="220"/>
              <w:spacing w:after="0"/>
              <w:rPr>
                <w:sz w:val="20"/>
                <w:szCs w:val="20"/>
                <w:color w:val="auto"/>
              </w:rPr>
            </w:pPr>
            <w:r>
              <w:rPr>
                <w:rFonts w:ascii="Arial" w:cs="Arial" w:eastAsia="Arial" w:hAnsi="Arial"/>
                <w:sz w:val="18"/>
                <w:szCs w:val="18"/>
                <w:color w:val="auto"/>
              </w:rPr>
              <w:t>Supervision of Manager’s Activities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8980" w:type="dxa"/>
            <w:vAlign w:val="bottom"/>
          </w:tcPr>
          <w:p>
            <w:pPr>
              <w:ind w:left="220"/>
              <w:spacing w:after="0"/>
              <w:rPr>
                <w:sz w:val="20"/>
                <w:szCs w:val="20"/>
                <w:color w:val="auto"/>
              </w:rPr>
            </w:pPr>
            <w:r>
              <w:rPr>
                <w:rFonts w:ascii="Arial" w:cs="Arial" w:eastAsia="Arial" w:hAnsi="Arial"/>
                <w:sz w:val="18"/>
                <w:szCs w:val="18"/>
                <w:color w:val="auto"/>
              </w:rPr>
              <w:t>Restrictions on the Manager</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8980" w:type="dxa"/>
            <w:vAlign w:val="bottom"/>
          </w:tcPr>
          <w:p>
            <w:pPr>
              <w:ind w:left="220"/>
              <w:spacing w:after="0"/>
              <w:rPr>
                <w:sz w:val="20"/>
                <w:szCs w:val="20"/>
                <w:color w:val="auto"/>
              </w:rPr>
            </w:pPr>
            <w:r>
              <w:rPr>
                <w:rFonts w:ascii="Arial" w:cs="Arial" w:eastAsia="Arial" w:hAnsi="Arial"/>
                <w:sz w:val="18"/>
                <w:szCs w:val="18"/>
                <w:color w:val="auto"/>
              </w:rPr>
              <w:t>Errors and Omissions Insurance</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4 RELATIONSHIP BETWEEN THE MANAGER AND THE SERVICE RECIPIENTS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8980" w:type="dxa"/>
            <w:vAlign w:val="bottom"/>
          </w:tcPr>
          <w:p>
            <w:pPr>
              <w:ind w:left="220"/>
              <w:spacing w:after="0"/>
              <w:rPr>
                <w:sz w:val="20"/>
                <w:szCs w:val="20"/>
                <w:color w:val="auto"/>
              </w:rPr>
            </w:pPr>
            <w:r>
              <w:rPr>
                <w:rFonts w:ascii="Arial" w:cs="Arial" w:eastAsia="Arial" w:hAnsi="Arial"/>
                <w:sz w:val="18"/>
                <w:szCs w:val="18"/>
                <w:color w:val="auto"/>
              </w:rPr>
              <w:t>Other Activities</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8980" w:type="dxa"/>
            <w:vAlign w:val="bottom"/>
          </w:tcPr>
          <w:p>
            <w:pPr>
              <w:ind w:left="220"/>
              <w:spacing w:after="0"/>
              <w:rPr>
                <w:sz w:val="20"/>
                <w:szCs w:val="20"/>
                <w:color w:val="auto"/>
              </w:rPr>
            </w:pPr>
            <w:r>
              <w:rPr>
                <w:rFonts w:ascii="Arial" w:cs="Arial" w:eastAsia="Arial" w:hAnsi="Arial"/>
                <w:sz w:val="18"/>
                <w:szCs w:val="18"/>
                <w:color w:val="auto"/>
              </w:rPr>
              <w:t>Independent Contractor, No Partnership or Joint Venture</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5 MANAGEMENT AND EMPLOYEES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32"/>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8980" w:type="dxa"/>
            <w:vAlign w:val="bottom"/>
          </w:tcPr>
          <w:p>
            <w:pPr>
              <w:ind w:left="220"/>
              <w:spacing w:after="0"/>
              <w:rPr>
                <w:sz w:val="20"/>
                <w:szCs w:val="20"/>
                <w:color w:val="auto"/>
              </w:rPr>
            </w:pPr>
            <w:r>
              <w:rPr>
                <w:rFonts w:ascii="Arial" w:cs="Arial" w:eastAsia="Arial" w:hAnsi="Arial"/>
                <w:sz w:val="18"/>
                <w:szCs w:val="18"/>
                <w:color w:val="auto"/>
              </w:rPr>
              <w:t>Management and Employees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6 INFORMATION AND RECORDS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898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8980" w:type="dxa"/>
            <w:vAlign w:val="bottom"/>
          </w:tcPr>
          <w:p>
            <w:pPr>
              <w:ind w:left="220"/>
              <w:spacing w:after="0"/>
              <w:rPr>
                <w:sz w:val="20"/>
                <w:szCs w:val="20"/>
                <w:color w:val="auto"/>
              </w:rPr>
            </w:pPr>
            <w:r>
              <w:rPr>
                <w:rFonts w:ascii="Arial" w:cs="Arial" w:eastAsia="Arial" w:hAnsi="Arial"/>
                <w:sz w:val="18"/>
                <w:szCs w:val="18"/>
                <w:color w:val="auto"/>
              </w:rPr>
              <w:t>Examination of Records by the Service Recipients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8980" w:type="dxa"/>
            <w:vAlign w:val="bottom"/>
          </w:tcPr>
          <w:p>
            <w:pPr>
              <w:ind w:left="220"/>
              <w:spacing w:after="0"/>
              <w:rPr>
                <w:sz w:val="20"/>
                <w:szCs w:val="20"/>
                <w:color w:val="auto"/>
              </w:rPr>
            </w:pPr>
            <w:r>
              <w:rPr>
                <w:rFonts w:ascii="Arial" w:cs="Arial" w:eastAsia="Arial" w:hAnsi="Arial"/>
                <w:sz w:val="18"/>
                <w:szCs w:val="18"/>
                <w:color w:val="auto"/>
              </w:rPr>
              <w:t>Access to Information by Manager Group</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8980" w:type="dxa"/>
            <w:vAlign w:val="bottom"/>
          </w:tcPr>
          <w:p>
            <w:pPr>
              <w:ind w:left="220"/>
              <w:spacing w:after="0"/>
              <w:rPr>
                <w:sz w:val="20"/>
                <w:szCs w:val="20"/>
                <w:color w:val="auto"/>
              </w:rPr>
            </w:pPr>
            <w:r>
              <w:rPr>
                <w:rFonts w:ascii="Arial" w:cs="Arial" w:eastAsia="Arial" w:hAnsi="Arial"/>
                <w:sz w:val="18"/>
                <w:szCs w:val="18"/>
                <w:color w:val="auto"/>
              </w:rPr>
              <w:t>Additional Information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8980" w:type="dxa"/>
            <w:vAlign w:val="bottom"/>
          </w:tcPr>
          <w:p>
            <w:pPr>
              <w:ind w:left="220"/>
              <w:spacing w:after="0"/>
              <w:rPr>
                <w:sz w:val="20"/>
                <w:szCs w:val="20"/>
                <w:color w:val="auto"/>
              </w:rPr>
            </w:pPr>
            <w:r>
              <w:rPr>
                <w:rFonts w:ascii="Arial" w:cs="Arial" w:eastAsia="Arial" w:hAnsi="Arial"/>
                <w:sz w:val="18"/>
                <w:szCs w:val="18"/>
                <w:color w:val="auto"/>
              </w:rPr>
              <w:t>Confidential Information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7 FEES AND EXPENSES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8980" w:type="dxa"/>
            <w:vAlign w:val="bottom"/>
          </w:tcPr>
          <w:p>
            <w:pPr>
              <w:ind w:left="220"/>
              <w:spacing w:after="0"/>
              <w:rPr>
                <w:sz w:val="20"/>
                <w:szCs w:val="20"/>
                <w:color w:val="auto"/>
              </w:rPr>
            </w:pPr>
            <w:r>
              <w:rPr>
                <w:rFonts w:ascii="Arial" w:cs="Arial" w:eastAsia="Arial" w:hAnsi="Arial"/>
                <w:sz w:val="18"/>
                <w:szCs w:val="18"/>
                <w:color w:val="auto"/>
              </w:rPr>
              <w:t>Annual Fee</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8980" w:type="dxa"/>
            <w:vAlign w:val="bottom"/>
          </w:tcPr>
          <w:p>
            <w:pPr>
              <w:ind w:left="220"/>
              <w:spacing w:after="0"/>
              <w:rPr>
                <w:sz w:val="20"/>
                <w:szCs w:val="20"/>
                <w:color w:val="auto"/>
              </w:rPr>
            </w:pPr>
            <w:r>
              <w:rPr>
                <w:rFonts w:ascii="Arial" w:cs="Arial" w:eastAsia="Arial" w:hAnsi="Arial"/>
                <w:sz w:val="18"/>
                <w:szCs w:val="18"/>
                <w:color w:val="auto"/>
              </w:rPr>
              <w:t>Computation and Payment of Quarterly Annual Fee</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8980" w:type="dxa"/>
            <w:vAlign w:val="bottom"/>
          </w:tcPr>
          <w:p>
            <w:pPr>
              <w:ind w:left="220"/>
              <w:spacing w:after="0"/>
              <w:rPr>
                <w:sz w:val="20"/>
                <w:szCs w:val="20"/>
                <w:color w:val="auto"/>
              </w:rPr>
            </w:pPr>
            <w:r>
              <w:rPr>
                <w:rFonts w:ascii="Arial" w:cs="Arial" w:eastAsia="Arial" w:hAnsi="Arial"/>
                <w:sz w:val="18"/>
                <w:szCs w:val="18"/>
                <w:color w:val="auto"/>
              </w:rPr>
              <w:t>Governmental Charges</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8980" w:type="dxa"/>
            <w:vAlign w:val="bottom"/>
          </w:tcPr>
          <w:p>
            <w:pPr>
              <w:ind w:left="220"/>
              <w:spacing w:after="0"/>
              <w:rPr>
                <w:sz w:val="20"/>
                <w:szCs w:val="20"/>
                <w:color w:val="auto"/>
              </w:rPr>
            </w:pPr>
            <w:r>
              <w:rPr>
                <w:rFonts w:ascii="Arial" w:cs="Arial" w:eastAsia="Arial" w:hAnsi="Arial"/>
                <w:sz w:val="18"/>
                <w:szCs w:val="18"/>
                <w:color w:val="auto"/>
              </w:rPr>
              <w:t>Computation and Payment of Governmental Charges</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ARTICLE 8 REPRESENTATIONS AND WARRANTIES OF THE MANAGER AND THE SERVICE RECIPIENTS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8"/>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8.1</w:t>
            </w:r>
          </w:p>
        </w:tc>
        <w:tc>
          <w:tcPr>
            <w:tcW w:w="8980" w:type="dxa"/>
            <w:vAlign w:val="bottom"/>
          </w:tcPr>
          <w:p>
            <w:pPr>
              <w:ind w:left="220"/>
              <w:spacing w:after="0"/>
              <w:rPr>
                <w:sz w:val="20"/>
                <w:szCs w:val="20"/>
                <w:color w:val="auto"/>
              </w:rPr>
            </w:pPr>
            <w:r>
              <w:rPr>
                <w:rFonts w:ascii="Arial" w:cs="Arial" w:eastAsia="Arial" w:hAnsi="Arial"/>
                <w:sz w:val="18"/>
                <w:szCs w:val="18"/>
                <w:color w:val="auto"/>
              </w:rPr>
              <w:t>Representations and Warranties of the Manager</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8980" w:type="dxa"/>
            <w:vAlign w:val="bottom"/>
          </w:tcPr>
          <w:p>
            <w:pPr>
              <w:ind w:left="220"/>
              <w:spacing w:after="0"/>
              <w:rPr>
                <w:sz w:val="20"/>
                <w:szCs w:val="20"/>
                <w:color w:val="auto"/>
              </w:rPr>
            </w:pPr>
            <w:r>
              <w:rPr>
                <w:rFonts w:ascii="Arial" w:cs="Arial" w:eastAsia="Arial" w:hAnsi="Arial"/>
                <w:sz w:val="18"/>
                <w:szCs w:val="18"/>
                <w:color w:val="auto"/>
              </w:rPr>
              <w:t>Representations and Warranties of the Service Recipients</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121"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82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5640" w:type="dxa"/>
            <w:vAlign w:val="bottom"/>
            <w:tcBorders>
              <w:bottom w:val="single" w:sz="8" w:color="808080"/>
            </w:tcBorders>
            <w:gridSpan w:val="2"/>
          </w:tcPr>
          <w:p>
            <w:pPr>
              <w:spacing w:after="0"/>
              <w:rPr>
                <w:sz w:val="11"/>
                <w:szCs w:val="11"/>
                <w:color w:val="auto"/>
              </w:rPr>
            </w:pPr>
          </w:p>
        </w:tc>
        <w:tc>
          <w:tcPr>
            <w:tcW w:w="5820" w:type="dxa"/>
            <w:vAlign w:val="bottom"/>
            <w:tcBorders>
              <w:bottom w:val="single" w:sz="8" w:color="808080"/>
            </w:tcBorders>
          </w:tcPr>
          <w:p>
            <w:pPr>
              <w:spacing w:after="0"/>
              <w:rPr>
                <w:sz w:val="11"/>
                <w:szCs w:val="11"/>
                <w:color w:val="auto"/>
              </w:rPr>
            </w:pPr>
          </w:p>
        </w:tc>
      </w:tr>
      <w:tr>
        <w:trPr>
          <w:trHeight w:val="78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ARTICLE 9 LIABILITY AND INDEMNIFICATION</w:t>
            </w: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8"/>
        </w:trPr>
        <w:tc>
          <w:tcPr>
            <w:tcW w:w="1160" w:type="dxa"/>
            <w:vAlign w:val="bottom"/>
          </w:tcPr>
          <w:p>
            <w:pPr>
              <w:ind w:left="680"/>
              <w:spacing w:after="0"/>
              <w:rPr>
                <w:sz w:val="20"/>
                <w:szCs w:val="20"/>
                <w:color w:val="auto"/>
              </w:rPr>
            </w:pPr>
            <w:r>
              <w:rPr>
                <w:rFonts w:ascii="Arial" w:cs="Arial" w:eastAsia="Arial" w:hAnsi="Arial"/>
                <w:sz w:val="18"/>
                <w:szCs w:val="18"/>
                <w:color w:val="auto"/>
              </w:rPr>
              <w:t>9.1</w:t>
            </w:r>
          </w:p>
        </w:tc>
        <w:tc>
          <w:tcPr>
            <w:tcW w:w="448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5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9.2</w:t>
            </w:r>
          </w:p>
        </w:tc>
        <w:tc>
          <w:tcPr>
            <w:tcW w:w="448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5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60" w:type="dxa"/>
            <w:vAlign w:val="bottom"/>
          </w:tcPr>
          <w:p>
            <w:pPr>
              <w:ind w:left="680"/>
              <w:spacing w:after="0"/>
              <w:rPr>
                <w:sz w:val="20"/>
                <w:szCs w:val="20"/>
                <w:color w:val="auto"/>
              </w:rPr>
            </w:pPr>
            <w:r>
              <w:rPr>
                <w:rFonts w:ascii="Arial" w:cs="Arial" w:eastAsia="Arial" w:hAnsi="Arial"/>
                <w:sz w:val="18"/>
                <w:szCs w:val="18"/>
                <w:color w:val="auto"/>
              </w:rPr>
              <w:t>9.3</w:t>
            </w:r>
          </w:p>
        </w:tc>
        <w:tc>
          <w:tcPr>
            <w:tcW w:w="4480" w:type="dxa"/>
            <w:vAlign w:val="bottom"/>
          </w:tcPr>
          <w:p>
            <w:pPr>
              <w:ind w:left="200"/>
              <w:spacing w:after="0"/>
              <w:rPr>
                <w:sz w:val="20"/>
                <w:szCs w:val="20"/>
                <w:color w:val="auto"/>
              </w:rPr>
            </w:pPr>
            <w:r>
              <w:rPr>
                <w:rFonts w:ascii="Arial" w:cs="Arial" w:eastAsia="Arial" w:hAnsi="Arial"/>
                <w:sz w:val="18"/>
                <w:szCs w:val="18"/>
                <w:color w:val="auto"/>
              </w:rPr>
              <w:t>Benefit to all Manager Indemnified Parties</w:t>
            </w:r>
          </w:p>
        </w:tc>
        <w:tc>
          <w:tcPr>
            <w:tcW w:w="5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ARTICLE 10 TERM AND TERMINATION</w:t>
            </w: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8"/>
        </w:trPr>
        <w:tc>
          <w:tcPr>
            <w:tcW w:w="1160" w:type="dxa"/>
            <w:vAlign w:val="bottom"/>
          </w:tcPr>
          <w:p>
            <w:pPr>
              <w:ind w:left="680"/>
              <w:spacing w:after="0"/>
              <w:rPr>
                <w:sz w:val="20"/>
                <w:szCs w:val="20"/>
                <w:color w:val="auto"/>
              </w:rPr>
            </w:pPr>
            <w:r>
              <w:rPr>
                <w:rFonts w:ascii="Arial" w:cs="Arial" w:eastAsia="Arial" w:hAnsi="Arial"/>
                <w:sz w:val="18"/>
                <w:szCs w:val="18"/>
                <w:color w:val="auto"/>
              </w:rPr>
              <w:t>10.1</w:t>
            </w:r>
          </w:p>
        </w:tc>
        <w:tc>
          <w:tcPr>
            <w:tcW w:w="4480" w:type="dxa"/>
            <w:vAlign w:val="bottom"/>
          </w:tcPr>
          <w:p>
            <w:pPr>
              <w:ind w:left="200"/>
              <w:spacing w:after="0"/>
              <w:rPr>
                <w:sz w:val="20"/>
                <w:szCs w:val="20"/>
                <w:color w:val="auto"/>
              </w:rPr>
            </w:pPr>
            <w:r>
              <w:rPr>
                <w:rFonts w:ascii="Arial" w:cs="Arial" w:eastAsia="Arial" w:hAnsi="Arial"/>
                <w:sz w:val="18"/>
                <w:szCs w:val="18"/>
                <w:color w:val="auto"/>
              </w:rPr>
              <w:t>Term</w:t>
            </w:r>
          </w:p>
        </w:tc>
        <w:tc>
          <w:tcPr>
            <w:tcW w:w="5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10.2</w:t>
            </w:r>
          </w:p>
        </w:tc>
        <w:tc>
          <w:tcPr>
            <w:tcW w:w="4480" w:type="dxa"/>
            <w:vAlign w:val="bottom"/>
          </w:tcPr>
          <w:p>
            <w:pPr>
              <w:ind w:left="200"/>
              <w:spacing w:after="0"/>
              <w:rPr>
                <w:sz w:val="20"/>
                <w:szCs w:val="20"/>
                <w:color w:val="auto"/>
              </w:rPr>
            </w:pPr>
            <w:r>
              <w:rPr>
                <w:rFonts w:ascii="Arial" w:cs="Arial" w:eastAsia="Arial" w:hAnsi="Arial"/>
                <w:sz w:val="18"/>
                <w:szCs w:val="18"/>
                <w:color w:val="auto"/>
              </w:rPr>
              <w:t>Termination by the Service Recipients</w:t>
            </w:r>
          </w:p>
        </w:tc>
        <w:tc>
          <w:tcPr>
            <w:tcW w:w="5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10.3</w:t>
            </w:r>
          </w:p>
        </w:tc>
        <w:tc>
          <w:tcPr>
            <w:tcW w:w="4480" w:type="dxa"/>
            <w:vAlign w:val="bottom"/>
          </w:tcPr>
          <w:p>
            <w:pPr>
              <w:ind w:left="200"/>
              <w:spacing w:after="0"/>
              <w:rPr>
                <w:sz w:val="20"/>
                <w:szCs w:val="20"/>
                <w:color w:val="auto"/>
              </w:rPr>
            </w:pPr>
            <w:r>
              <w:rPr>
                <w:rFonts w:ascii="Arial" w:cs="Arial" w:eastAsia="Arial" w:hAnsi="Arial"/>
                <w:sz w:val="18"/>
                <w:szCs w:val="18"/>
                <w:color w:val="auto"/>
              </w:rPr>
              <w:t>Termination by the Manager</w:t>
            </w:r>
          </w:p>
        </w:tc>
        <w:tc>
          <w:tcPr>
            <w:tcW w:w="5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10.4</w:t>
            </w:r>
          </w:p>
        </w:tc>
        <w:tc>
          <w:tcPr>
            <w:tcW w:w="4480" w:type="dxa"/>
            <w:vAlign w:val="bottom"/>
          </w:tcPr>
          <w:p>
            <w:pPr>
              <w:ind w:left="200"/>
              <w:spacing w:after="0"/>
              <w:rPr>
                <w:sz w:val="20"/>
                <w:szCs w:val="20"/>
                <w:color w:val="auto"/>
              </w:rPr>
            </w:pPr>
            <w:r>
              <w:rPr>
                <w:rFonts w:ascii="Arial" w:cs="Arial" w:eastAsia="Arial" w:hAnsi="Arial"/>
                <w:sz w:val="18"/>
                <w:szCs w:val="18"/>
                <w:color w:val="auto"/>
              </w:rPr>
              <w:t>Survival Upon Termination</w:t>
            </w:r>
          </w:p>
        </w:tc>
        <w:tc>
          <w:tcPr>
            <w:tcW w:w="5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10.5</w:t>
            </w:r>
          </w:p>
        </w:tc>
        <w:tc>
          <w:tcPr>
            <w:tcW w:w="4480" w:type="dxa"/>
            <w:vAlign w:val="bottom"/>
          </w:tcPr>
          <w:p>
            <w:pPr>
              <w:ind w:left="200"/>
              <w:spacing w:after="0"/>
              <w:rPr>
                <w:sz w:val="20"/>
                <w:szCs w:val="20"/>
                <w:color w:val="auto"/>
              </w:rPr>
            </w:pPr>
            <w:r>
              <w:rPr>
                <w:rFonts w:ascii="Arial" w:cs="Arial" w:eastAsia="Arial" w:hAnsi="Arial"/>
                <w:sz w:val="18"/>
                <w:szCs w:val="18"/>
                <w:color w:val="auto"/>
              </w:rPr>
              <w:t>Action Upon Termination</w:t>
            </w:r>
          </w:p>
        </w:tc>
        <w:tc>
          <w:tcPr>
            <w:tcW w:w="5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60" w:type="dxa"/>
            <w:vAlign w:val="bottom"/>
          </w:tcPr>
          <w:p>
            <w:pPr>
              <w:ind w:left="680"/>
              <w:spacing w:after="0"/>
              <w:rPr>
                <w:sz w:val="20"/>
                <w:szCs w:val="20"/>
                <w:color w:val="auto"/>
              </w:rPr>
            </w:pPr>
            <w:r>
              <w:rPr>
                <w:rFonts w:ascii="Arial" w:cs="Arial" w:eastAsia="Arial" w:hAnsi="Arial"/>
                <w:sz w:val="18"/>
                <w:szCs w:val="18"/>
                <w:color w:val="auto"/>
              </w:rPr>
              <w:t>10.6</w:t>
            </w:r>
          </w:p>
        </w:tc>
        <w:tc>
          <w:tcPr>
            <w:tcW w:w="4480" w:type="dxa"/>
            <w:vAlign w:val="bottom"/>
          </w:tcPr>
          <w:p>
            <w:pPr>
              <w:ind w:left="200"/>
              <w:spacing w:after="0"/>
              <w:rPr>
                <w:sz w:val="20"/>
                <w:szCs w:val="20"/>
                <w:color w:val="auto"/>
              </w:rPr>
            </w:pPr>
            <w:r>
              <w:rPr>
                <w:rFonts w:ascii="Arial" w:cs="Arial" w:eastAsia="Arial" w:hAnsi="Arial"/>
                <w:sz w:val="18"/>
                <w:szCs w:val="18"/>
                <w:color w:val="auto"/>
                <w:w w:val="91"/>
              </w:rPr>
              <w:t>Release of Money or other Property Upon Written Request</w:t>
            </w:r>
          </w:p>
        </w:tc>
        <w:tc>
          <w:tcPr>
            <w:tcW w:w="5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ARTICLE 11 ARBITRATION</w:t>
            </w: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18"/>
        </w:trPr>
        <w:tc>
          <w:tcPr>
            <w:tcW w:w="1160" w:type="dxa"/>
            <w:vAlign w:val="bottom"/>
          </w:tcPr>
          <w:p>
            <w:pPr>
              <w:ind w:left="680"/>
              <w:spacing w:after="0"/>
              <w:rPr>
                <w:sz w:val="20"/>
                <w:szCs w:val="20"/>
                <w:color w:val="auto"/>
              </w:rPr>
            </w:pPr>
            <w:r>
              <w:rPr>
                <w:rFonts w:ascii="Arial" w:cs="Arial" w:eastAsia="Arial" w:hAnsi="Arial"/>
                <w:sz w:val="18"/>
                <w:szCs w:val="18"/>
                <w:color w:val="auto"/>
              </w:rPr>
              <w:t>11.1</w:t>
            </w:r>
          </w:p>
        </w:tc>
        <w:tc>
          <w:tcPr>
            <w:tcW w:w="4480" w:type="dxa"/>
            <w:vAlign w:val="bottom"/>
          </w:tcPr>
          <w:p>
            <w:pPr>
              <w:ind w:left="200"/>
              <w:spacing w:after="0"/>
              <w:rPr>
                <w:sz w:val="20"/>
                <w:szCs w:val="20"/>
                <w:color w:val="auto"/>
              </w:rPr>
            </w:pPr>
            <w:r>
              <w:rPr>
                <w:rFonts w:ascii="Arial" w:cs="Arial" w:eastAsia="Arial" w:hAnsi="Arial"/>
                <w:sz w:val="18"/>
                <w:szCs w:val="18"/>
                <w:color w:val="auto"/>
              </w:rPr>
              <w:t>Dispute</w:t>
            </w:r>
          </w:p>
        </w:tc>
        <w:tc>
          <w:tcPr>
            <w:tcW w:w="5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11.2</w:t>
            </w:r>
          </w:p>
        </w:tc>
        <w:tc>
          <w:tcPr>
            <w:tcW w:w="4480" w:type="dxa"/>
            <w:vAlign w:val="bottom"/>
          </w:tcPr>
          <w:p>
            <w:pPr>
              <w:ind w:left="200"/>
              <w:spacing w:after="0"/>
              <w:rPr>
                <w:sz w:val="20"/>
                <w:szCs w:val="20"/>
                <w:color w:val="auto"/>
              </w:rPr>
            </w:pPr>
            <w:r>
              <w:rPr>
                <w:rFonts w:ascii="Arial" w:cs="Arial" w:eastAsia="Arial" w:hAnsi="Arial"/>
                <w:sz w:val="18"/>
                <w:szCs w:val="18"/>
                <w:color w:val="auto"/>
              </w:rPr>
              <w:t>Arbitration</w:t>
            </w:r>
          </w:p>
        </w:tc>
        <w:tc>
          <w:tcPr>
            <w:tcW w:w="5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11.3</w:t>
            </w:r>
          </w:p>
        </w:tc>
        <w:tc>
          <w:tcPr>
            <w:tcW w:w="4480" w:type="dxa"/>
            <w:vAlign w:val="bottom"/>
          </w:tcPr>
          <w:p>
            <w:pPr>
              <w:ind w:left="200"/>
              <w:spacing w:after="0"/>
              <w:rPr>
                <w:sz w:val="20"/>
                <w:szCs w:val="20"/>
                <w:color w:val="auto"/>
              </w:rPr>
            </w:pPr>
            <w:r>
              <w:rPr>
                <w:rFonts w:ascii="Arial" w:cs="Arial" w:eastAsia="Arial" w:hAnsi="Arial"/>
                <w:sz w:val="18"/>
                <w:szCs w:val="18"/>
                <w:color w:val="auto"/>
              </w:rPr>
              <w:t>Continued Performance</w:t>
            </w:r>
          </w:p>
        </w:tc>
        <w:tc>
          <w:tcPr>
            <w:tcW w:w="5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160" w:type="dxa"/>
            <w:vAlign w:val="bottom"/>
          </w:tcPr>
          <w:p>
            <w:pPr>
              <w:ind w:left="680"/>
              <w:spacing w:after="0"/>
              <w:rPr>
                <w:sz w:val="20"/>
                <w:szCs w:val="20"/>
                <w:color w:val="auto"/>
              </w:rPr>
            </w:pPr>
            <w:r>
              <w:rPr>
                <w:rFonts w:ascii="Arial" w:cs="Arial" w:eastAsia="Arial" w:hAnsi="Arial"/>
                <w:sz w:val="18"/>
                <w:szCs w:val="18"/>
                <w:color w:val="auto"/>
              </w:rPr>
              <w:t>11.4</w:t>
            </w:r>
          </w:p>
        </w:tc>
        <w:tc>
          <w:tcPr>
            <w:tcW w:w="4480" w:type="dxa"/>
            <w:vAlign w:val="bottom"/>
          </w:tcPr>
          <w:p>
            <w:pPr>
              <w:ind w:left="200"/>
              <w:spacing w:after="0"/>
              <w:rPr>
                <w:sz w:val="20"/>
                <w:szCs w:val="20"/>
                <w:color w:val="auto"/>
              </w:rPr>
            </w:pPr>
            <w:r>
              <w:rPr>
                <w:rFonts w:ascii="Arial" w:cs="Arial" w:eastAsia="Arial" w:hAnsi="Arial"/>
                <w:sz w:val="18"/>
                <w:szCs w:val="18"/>
                <w:color w:val="auto"/>
              </w:rPr>
              <w:t>Urgent Relief</w:t>
            </w:r>
          </w:p>
        </w:tc>
        <w:tc>
          <w:tcPr>
            <w:tcW w:w="5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ARTICLE 12 GENERAL PROVISIONS</w:t>
            </w: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18"/>
        </w:trPr>
        <w:tc>
          <w:tcPr>
            <w:tcW w:w="1160" w:type="dxa"/>
            <w:vAlign w:val="bottom"/>
          </w:tcPr>
          <w:p>
            <w:pPr>
              <w:ind w:left="680"/>
              <w:spacing w:after="0"/>
              <w:rPr>
                <w:sz w:val="20"/>
                <w:szCs w:val="20"/>
                <w:color w:val="auto"/>
              </w:rPr>
            </w:pPr>
            <w:r>
              <w:rPr>
                <w:rFonts w:ascii="Arial" w:cs="Arial" w:eastAsia="Arial" w:hAnsi="Arial"/>
                <w:sz w:val="18"/>
                <w:szCs w:val="18"/>
                <w:color w:val="auto"/>
              </w:rPr>
              <w:t>12.1</w:t>
            </w:r>
          </w:p>
        </w:tc>
        <w:tc>
          <w:tcPr>
            <w:tcW w:w="4480" w:type="dxa"/>
            <w:vAlign w:val="bottom"/>
          </w:tcPr>
          <w:p>
            <w:pPr>
              <w:ind w:left="200"/>
              <w:spacing w:after="0"/>
              <w:rPr>
                <w:sz w:val="20"/>
                <w:szCs w:val="20"/>
                <w:color w:val="auto"/>
              </w:rPr>
            </w:pPr>
            <w:r>
              <w:rPr>
                <w:rFonts w:ascii="Arial" w:cs="Arial" w:eastAsia="Arial" w:hAnsi="Arial"/>
                <w:sz w:val="18"/>
                <w:szCs w:val="18"/>
                <w:color w:val="auto"/>
              </w:rPr>
              <w:t>Amendment, Waiver</w:t>
            </w:r>
          </w:p>
        </w:tc>
        <w:tc>
          <w:tcPr>
            <w:tcW w:w="5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12.2</w:t>
            </w:r>
          </w:p>
        </w:tc>
        <w:tc>
          <w:tcPr>
            <w:tcW w:w="44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5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12.3</w:t>
            </w:r>
          </w:p>
        </w:tc>
        <w:tc>
          <w:tcPr>
            <w:tcW w:w="4480" w:type="dxa"/>
            <w:vAlign w:val="bottom"/>
          </w:tcPr>
          <w:p>
            <w:pPr>
              <w:ind w:left="200"/>
              <w:spacing w:after="0"/>
              <w:rPr>
                <w:sz w:val="20"/>
                <w:szCs w:val="20"/>
                <w:color w:val="auto"/>
              </w:rPr>
            </w:pPr>
            <w:r>
              <w:rPr>
                <w:rFonts w:ascii="Arial" w:cs="Arial" w:eastAsia="Arial" w:hAnsi="Arial"/>
                <w:sz w:val="18"/>
                <w:szCs w:val="18"/>
                <w:color w:val="auto"/>
              </w:rPr>
              <w:t>Failure to Pay When Due</w:t>
            </w:r>
          </w:p>
        </w:tc>
        <w:tc>
          <w:tcPr>
            <w:tcW w:w="5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12.4</w:t>
            </w:r>
          </w:p>
        </w:tc>
        <w:tc>
          <w:tcPr>
            <w:tcW w:w="4480" w:type="dxa"/>
            <w:vAlign w:val="bottom"/>
          </w:tcPr>
          <w:p>
            <w:pPr>
              <w:ind w:left="200"/>
              <w:spacing w:after="0"/>
              <w:rPr>
                <w:sz w:val="20"/>
                <w:szCs w:val="20"/>
                <w:color w:val="auto"/>
              </w:rPr>
            </w:pPr>
            <w:r>
              <w:rPr>
                <w:rFonts w:ascii="Arial" w:cs="Arial" w:eastAsia="Arial" w:hAnsi="Arial"/>
                <w:sz w:val="18"/>
                <w:szCs w:val="18"/>
                <w:color w:val="auto"/>
              </w:rPr>
              <w:t>Invalidity of Provisions</w:t>
            </w:r>
          </w:p>
        </w:tc>
        <w:tc>
          <w:tcPr>
            <w:tcW w:w="5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12.5</w:t>
            </w:r>
          </w:p>
        </w:tc>
        <w:tc>
          <w:tcPr>
            <w:tcW w:w="44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5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12.6</w:t>
            </w:r>
          </w:p>
        </w:tc>
        <w:tc>
          <w:tcPr>
            <w:tcW w:w="4480" w:type="dxa"/>
            <w:vAlign w:val="bottom"/>
          </w:tcPr>
          <w:p>
            <w:pPr>
              <w:ind w:left="200"/>
              <w:spacing w:after="0"/>
              <w:rPr>
                <w:sz w:val="20"/>
                <w:szCs w:val="20"/>
                <w:color w:val="auto"/>
              </w:rPr>
            </w:pPr>
            <w:r>
              <w:rPr>
                <w:rFonts w:ascii="Arial" w:cs="Arial" w:eastAsia="Arial" w:hAnsi="Arial"/>
                <w:sz w:val="18"/>
                <w:szCs w:val="18"/>
                <w:color w:val="auto"/>
              </w:rPr>
              <w:t>Mutual Waiver of Jury Trial</w:t>
            </w:r>
          </w:p>
        </w:tc>
        <w:tc>
          <w:tcPr>
            <w:tcW w:w="5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12.7</w:t>
            </w:r>
          </w:p>
        </w:tc>
        <w:tc>
          <w:tcPr>
            <w:tcW w:w="4480" w:type="dxa"/>
            <w:vAlign w:val="bottom"/>
          </w:tcPr>
          <w:p>
            <w:pPr>
              <w:ind w:left="200"/>
              <w:spacing w:after="0"/>
              <w:rPr>
                <w:sz w:val="20"/>
                <w:szCs w:val="20"/>
                <w:color w:val="auto"/>
              </w:rPr>
            </w:pPr>
            <w:r>
              <w:rPr>
                <w:rFonts w:ascii="Arial" w:cs="Arial" w:eastAsia="Arial" w:hAnsi="Arial"/>
                <w:sz w:val="18"/>
                <w:szCs w:val="18"/>
                <w:color w:val="auto"/>
              </w:rPr>
              <w:t>Consent to Jurisdiction</w:t>
            </w:r>
          </w:p>
        </w:tc>
        <w:tc>
          <w:tcPr>
            <w:tcW w:w="5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12.8</w:t>
            </w:r>
          </w:p>
        </w:tc>
        <w:tc>
          <w:tcPr>
            <w:tcW w:w="44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5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12.9</w:t>
            </w:r>
          </w:p>
        </w:tc>
        <w:tc>
          <w:tcPr>
            <w:tcW w:w="4480" w:type="dxa"/>
            <w:vAlign w:val="bottom"/>
          </w:tcPr>
          <w:p>
            <w:pPr>
              <w:ind w:left="200"/>
              <w:spacing w:after="0"/>
              <w:rPr>
                <w:sz w:val="20"/>
                <w:szCs w:val="20"/>
                <w:color w:val="auto"/>
              </w:rPr>
            </w:pPr>
            <w:r>
              <w:rPr>
                <w:rFonts w:ascii="Arial" w:cs="Arial" w:eastAsia="Arial" w:hAnsi="Arial"/>
                <w:sz w:val="18"/>
                <w:szCs w:val="18"/>
                <w:color w:val="auto"/>
              </w:rPr>
              <w:t>Enurement</w:t>
            </w:r>
          </w:p>
        </w:tc>
        <w:tc>
          <w:tcPr>
            <w:tcW w:w="5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12.10</w:t>
            </w:r>
          </w:p>
        </w:tc>
        <w:tc>
          <w:tcPr>
            <w:tcW w:w="4480" w:type="dxa"/>
            <w:vAlign w:val="bottom"/>
          </w:tcPr>
          <w:p>
            <w:pPr>
              <w:ind w:left="200"/>
              <w:spacing w:after="0"/>
              <w:rPr>
                <w:sz w:val="20"/>
                <w:szCs w:val="20"/>
                <w:color w:val="auto"/>
              </w:rPr>
            </w:pPr>
            <w:r>
              <w:rPr>
                <w:rFonts w:ascii="Arial" w:cs="Arial" w:eastAsia="Arial" w:hAnsi="Arial"/>
                <w:sz w:val="18"/>
                <w:szCs w:val="18"/>
                <w:color w:val="auto"/>
              </w:rPr>
              <w:t>Notices</w:t>
            </w:r>
          </w:p>
        </w:tc>
        <w:tc>
          <w:tcPr>
            <w:tcW w:w="5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680"/>
              <w:spacing w:after="0"/>
              <w:rPr>
                <w:sz w:val="20"/>
                <w:szCs w:val="20"/>
                <w:color w:val="auto"/>
              </w:rPr>
            </w:pPr>
            <w:r>
              <w:rPr>
                <w:rFonts w:ascii="Arial" w:cs="Arial" w:eastAsia="Arial" w:hAnsi="Arial"/>
                <w:sz w:val="18"/>
                <w:szCs w:val="18"/>
                <w:color w:val="auto"/>
              </w:rPr>
              <w:t>12.11</w:t>
            </w:r>
          </w:p>
        </w:tc>
        <w:tc>
          <w:tcPr>
            <w:tcW w:w="44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5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160" w:type="dxa"/>
            <w:vAlign w:val="bottom"/>
          </w:tcPr>
          <w:p>
            <w:pPr>
              <w:ind w:left="680"/>
              <w:spacing w:after="0"/>
              <w:rPr>
                <w:sz w:val="20"/>
                <w:szCs w:val="20"/>
                <w:color w:val="auto"/>
              </w:rPr>
            </w:pPr>
            <w:r>
              <w:rPr>
                <w:rFonts w:ascii="Arial" w:cs="Arial" w:eastAsia="Arial" w:hAnsi="Arial"/>
                <w:sz w:val="18"/>
                <w:szCs w:val="18"/>
                <w:color w:val="auto"/>
              </w:rPr>
              <w:t>12.12</w:t>
            </w:r>
          </w:p>
        </w:tc>
        <w:tc>
          <w:tcPr>
            <w:tcW w:w="44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5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Appendices</w:t>
            </w:r>
          </w:p>
        </w:tc>
        <w:tc>
          <w:tcPr>
            <w:tcW w:w="448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Appendix A</w:t>
            </w:r>
          </w:p>
        </w:tc>
        <w:tc>
          <w:tcPr>
            <w:tcW w:w="4480" w:type="dxa"/>
            <w:vAlign w:val="bottom"/>
          </w:tcPr>
          <w:p>
            <w:pPr>
              <w:ind w:left="80"/>
              <w:spacing w:after="0"/>
              <w:rPr>
                <w:sz w:val="20"/>
                <w:szCs w:val="20"/>
                <w:color w:val="auto"/>
              </w:rPr>
            </w:pPr>
            <w:r>
              <w:rPr>
                <w:rFonts w:ascii="Arial" w:cs="Arial" w:eastAsia="Arial" w:hAnsi="Arial"/>
                <w:sz w:val="18"/>
                <w:szCs w:val="18"/>
                <w:color w:val="auto"/>
              </w:rPr>
              <w:t>Services</w:t>
            </w:r>
          </w:p>
        </w:tc>
        <w:tc>
          <w:tcPr>
            <w:tcW w:w="5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-5738495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-5738495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MASTER SERVICES AGREEMENT</w:t>
      </w:r>
      <w:r>
        <w:rPr>
          <w:rFonts w:ascii="Arial" w:cs="Arial" w:eastAsia="Arial" w:hAnsi="Arial"/>
          <w:sz w:val="18"/>
          <w:szCs w:val="18"/>
          <w:color w:val="auto"/>
        </w:rPr>
        <w:t xml:space="preserve"> is made as of August 31,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Zephyr Renewables LLC, a Delaware limited liability company (“</w:t>
      </w:r>
      <w:r>
        <w:rPr>
          <w:rFonts w:ascii="Arial" w:cs="Arial" w:eastAsia="Arial" w:hAnsi="Arial"/>
          <w:sz w:val="18"/>
          <w:szCs w:val="18"/>
          <w:b w:val="1"/>
          <w:bCs w:val="1"/>
          <w:color w:val="auto"/>
        </w:rPr>
        <w:t>Zephyr</w:t>
      </w:r>
      <w:r>
        <w:rPr>
          <w:rFonts w:ascii="Arial" w:cs="Arial" w:eastAsia="Arial" w:hAnsi="Arial"/>
          <w:sz w:val="18"/>
          <w:szCs w:val="18"/>
          <w:color w:val="auto"/>
        </w:rPr>
        <w:t>”), and NRG Yield, Inc., a Delaware corporation (“</w:t>
      </w:r>
      <w:r>
        <w:rPr>
          <w:rFonts w:ascii="Arial" w:cs="Arial" w:eastAsia="Arial" w:hAnsi="Arial"/>
          <w:sz w:val="18"/>
          <w:szCs w:val="18"/>
          <w:b w:val="1"/>
          <w:bCs w:val="1"/>
          <w:color w:val="auto"/>
        </w:rPr>
        <w:t>NYLD</w:t>
      </w:r>
      <w:r>
        <w:rPr>
          <w:rFonts w:ascii="Arial" w:cs="Arial" w:eastAsia="Arial" w:hAnsi="Arial"/>
          <w:sz w:val="18"/>
          <w:szCs w:val="18"/>
          <w:color w:val="auto"/>
        </w:rPr>
        <w:t>”), NRG Yield LLC, a Delaware limited liability company (“</w:t>
      </w:r>
      <w:r>
        <w:rPr>
          <w:rFonts w:ascii="Arial" w:cs="Arial" w:eastAsia="Arial" w:hAnsi="Arial"/>
          <w:sz w:val="18"/>
          <w:szCs w:val="18"/>
          <w:b w:val="1"/>
          <w:bCs w:val="1"/>
          <w:color w:val="auto"/>
        </w:rPr>
        <w:t>NYLD LLC</w:t>
      </w:r>
      <w:r>
        <w:rPr>
          <w:rFonts w:ascii="Arial" w:cs="Arial" w:eastAsia="Arial" w:hAnsi="Arial"/>
          <w:sz w:val="18"/>
          <w:szCs w:val="18"/>
          <w:color w:val="auto"/>
        </w:rPr>
        <w:t>”), and NRG Yield Operating LLC, a Delaware limited liability company (“</w:t>
      </w:r>
      <w:r>
        <w:rPr>
          <w:rFonts w:ascii="Arial" w:cs="Arial" w:eastAsia="Arial" w:hAnsi="Arial"/>
          <w:sz w:val="18"/>
          <w:szCs w:val="18"/>
          <w:b w:val="1"/>
          <w:bCs w:val="1"/>
          <w:color w:val="auto"/>
        </w:rPr>
        <w:t>NYLD Op</w:t>
      </w:r>
      <w:r>
        <w:rPr>
          <w:rFonts w:ascii="Arial" w:cs="Arial" w:eastAsia="Arial" w:hAnsi="Arial"/>
          <w:sz w:val="18"/>
          <w:szCs w:val="18"/>
          <w:color w:val="auto"/>
        </w:rPr>
        <w:t>” and together with NYLD and NYLD LLC, the “</w:t>
      </w:r>
      <w:r>
        <w:rPr>
          <w:rFonts w:ascii="Arial" w:cs="Arial" w:eastAsia="Arial" w:hAnsi="Arial"/>
          <w:sz w:val="18"/>
          <w:szCs w:val="18"/>
          <w:b w:val="1"/>
          <w:bCs w:val="1"/>
          <w:color w:val="auto"/>
        </w:rPr>
        <w:t>Manager</w:t>
      </w:r>
      <w:r>
        <w:rPr>
          <w:rFonts w:ascii="Arial" w:cs="Arial" w:eastAsia="Arial" w:hAnsi="Arial"/>
          <w:sz w:val="18"/>
          <w:szCs w:val="18"/>
          <w:color w:val="auto"/>
        </w:rPr>
        <w:t>”). Each of Zephyr and Manager is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Zephyr directly and indirectly, as applicable, holds interests in the Service Recipients (as defined below).</w:t>
      </w:r>
    </w:p>
    <w:p>
      <w:pPr>
        <w:spacing w:after="0" w:line="225" w:lineRule="exact"/>
        <w:rPr>
          <w:rFonts w:ascii="Arial" w:cs="Arial" w:eastAsia="Arial" w:hAnsi="Arial"/>
          <w:sz w:val="18"/>
          <w:szCs w:val="18"/>
          <w:color w:val="auto"/>
        </w:rPr>
      </w:pPr>
    </w:p>
    <w:p>
      <w:pPr>
        <w:ind w:right="120" w:firstLine="656"/>
        <w:spacing w:after="0" w:line="342" w:lineRule="auto"/>
        <w:tabs>
          <w:tab w:leader="none" w:pos="1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Zephyr wishes to engage the Manager to provide or arrange for other Service Providers (as defined below) to provide the services set forth in this Agreement to the Service Recipients, subject to the terms and conditions of this Agreement, and the Manager wishes to accept such engagement.</w:t>
      </w:r>
    </w:p>
    <w:p>
      <w:pPr>
        <w:spacing w:after="0" w:line="119" w:lineRule="exact"/>
        <w:rPr>
          <w:rFonts w:ascii="Arial" w:cs="Arial" w:eastAsia="Arial" w:hAnsi="Arial"/>
          <w:sz w:val="16"/>
          <w:szCs w:val="16"/>
          <w:color w:val="auto"/>
        </w:rPr>
      </w:pPr>
    </w:p>
    <w:p>
      <w:pPr>
        <w:ind w:right="460" w:firstLine="656"/>
        <w:spacing w:after="0" w:line="347" w:lineRule="auto"/>
        <w:tabs>
          <w:tab w:leader="none" w:pos="1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Zephyr and Manager have also entered into a Master Services Agreement, dated as of August 31, 2018 (the “</w:t>
      </w:r>
      <w:r>
        <w:rPr>
          <w:rFonts w:ascii="Arial" w:cs="Arial" w:eastAsia="Arial" w:hAnsi="Arial"/>
          <w:sz w:val="16"/>
          <w:szCs w:val="16"/>
          <w:b w:val="1"/>
          <w:bCs w:val="1"/>
          <w:color w:val="auto"/>
        </w:rPr>
        <w:t>Corresponding MSA</w:t>
      </w:r>
      <w:r>
        <w:rPr>
          <w:rFonts w:ascii="Arial" w:cs="Arial" w:eastAsia="Arial" w:hAnsi="Arial"/>
          <w:sz w:val="16"/>
          <w:szCs w:val="16"/>
          <w:color w:val="auto"/>
        </w:rPr>
        <w:t>”), pursuant to which Zephyr has agreed to provide, or cause to be provided, services to Manager on the terms and conditions set forth therein.</w:t>
      </w:r>
    </w:p>
    <w:p>
      <w:pPr>
        <w:spacing w:after="0" w:line="116" w:lineRule="exact"/>
        <w:rPr>
          <w:sz w:val="20"/>
          <w:szCs w:val="20"/>
          <w:color w:val="auto"/>
        </w:rPr>
      </w:pPr>
    </w:p>
    <w:p>
      <w:pPr>
        <w:ind w:right="220" w:firstLine="648"/>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representations, warranties, covenants and agreements contained in this Agreement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valuable consideration (the receipt and sufficiency of which are hereby acknowledged), the Parties agree as follows:</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except where the context otherwise requires, the following terms will have the following meanings:</w:t>
      </w:r>
    </w:p>
    <w:p>
      <w:pPr>
        <w:sectPr>
          <w:pgSz w:w="11900" w:h="16838" w:orient="portrait"/>
          <w:cols w:equalWidth="0" w:num="1">
            <w:col w:w="11460"/>
          </w:cols>
          <w:pgMar w:left="240" w:top="341" w:right="199" w:bottom="0" w:gutter="0" w:footer="0" w:header="0"/>
        </w:sectPr>
      </w:pPr>
    </w:p>
    <w:bookmarkStart w:id="35" w:name="page36"/>
    <w:bookmarkEnd w:id="35"/>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Assets</w:t>
      </w:r>
      <w:r>
        <w:rPr>
          <w:rFonts w:ascii="Arial" w:cs="Arial" w:eastAsia="Arial" w:hAnsi="Arial"/>
          <w:sz w:val="18"/>
          <w:szCs w:val="18"/>
          <w:color w:val="auto"/>
        </w:rPr>
        <w:t>” means any renewable infrastructure asset acquired after the date hereof by any member of the Zephyr Group.</w:t>
      </w:r>
    </w:p>
    <w:p>
      <w:pPr>
        <w:spacing w:after="0" w:line="225" w:lineRule="exact"/>
        <w:rPr>
          <w:sz w:val="20"/>
          <w:szCs w:val="20"/>
          <w:color w:val="auto"/>
        </w:rPr>
      </w:pPr>
    </w:p>
    <w:p>
      <w:pPr>
        <w:ind w:left="4"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in common Control with, such Person.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Master Services Agreement, and “herein,” “hereof,” “hereby,”</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“hereunder” and similar expressions refer to this Agreement and include every instrument supplemental or ancillary to this Agreement and, except where the context otherwise requires, not to any particular article or section thereof.</w:t>
      </w:r>
    </w:p>
    <w:p>
      <w:pPr>
        <w:spacing w:after="0" w:line="166"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Fee</w:t>
      </w:r>
      <w:r>
        <w:rPr>
          <w:rFonts w:ascii="Arial" w:cs="Arial" w:eastAsia="Arial" w:hAnsi="Arial"/>
          <w:sz w:val="18"/>
          <w:szCs w:val="18"/>
          <w:color w:val="auto"/>
        </w:rPr>
        <w:t xml:space="preserve">” means the Management Group’s Cost of providing the Services for any calendar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Annual Fee for the first full calendar year following the Effective Date shall not exceed the amount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under the heading of “Effective Date Cost” or “Post-Transition Cost”, as applicable. The Annual Fee may be increased or decreased from time to time by an agreed upon amount resulting from the amendment of the scope of the Services pursuant to Section 12.1.1.</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 has the meaning assigned thereto in Section 11.2.4.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Zephyr.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carried on from time to time by the Zephyr Group.</w:t>
      </w:r>
    </w:p>
    <w:p>
      <w:pPr>
        <w:spacing w:after="0" w:line="225" w:lineRule="exact"/>
        <w:rPr>
          <w:sz w:val="20"/>
          <w:szCs w:val="20"/>
          <w:color w:val="auto"/>
        </w:rPr>
      </w:pPr>
    </w:p>
    <w:p>
      <w:pPr>
        <w:ind w:left="4"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every day except a Saturday or Sunday, or a legal holiday in the City of New York on which banking institutions are authorized or required by law, regulation or executive order to close.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MSA</w:t>
      </w:r>
      <w:r>
        <w:rPr>
          <w:rFonts w:ascii="Arial" w:cs="Arial" w:eastAsia="Arial" w:hAnsi="Arial"/>
          <w:sz w:val="18"/>
          <w:szCs w:val="18"/>
          <w:color w:val="auto"/>
        </w:rPr>
        <w:t>” has the meaning assigned thereto in the recitals.</w:t>
      </w:r>
    </w:p>
    <w:p>
      <w:pPr>
        <w:spacing w:after="0" w:line="225" w:lineRule="exact"/>
        <w:rPr>
          <w:sz w:val="20"/>
          <w:szCs w:val="20"/>
          <w:color w:val="auto"/>
        </w:rPr>
      </w:pPr>
    </w:p>
    <w:p>
      <w:pPr>
        <w:ind w:left="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Costs</w:t>
      </w:r>
      <w:r>
        <w:rPr>
          <w:rFonts w:ascii="Arial" w:cs="Arial" w:eastAsia="Arial" w:hAnsi="Arial"/>
          <w:sz w:val="16"/>
          <w:szCs w:val="16"/>
          <w:color w:val="auto"/>
        </w:rPr>
        <w:t>” means all costs and expenses incurred by the Manager Group in connection with the provision of the Services. Without limiting the generality of the foregoing, Costs are expected to include, among other things: (a) fees, costs and expenses incurred in connection the calculation and payment of taxes and the preparation and filing of tax returns; (b) fees, costs and expenses in connection with the procurement and allocation of insurance; (c) fees, costs and expenses incurred in connection with acquisition of information technology assets and implementation of information technology systems; and (d) any other fees, costs and expenses incurred by the relevant member of the Manager Group that are reasonably necessary for the performance by the relevant member of the Manager Group of its duties and functions under this Agreement.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assigned thereto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assigned thereto in the preamble.</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 Statement</w:t>
      </w:r>
      <w:r>
        <w:rPr>
          <w:rFonts w:ascii="Arial" w:cs="Arial" w:eastAsia="Arial" w:hAnsi="Arial"/>
          <w:sz w:val="18"/>
          <w:szCs w:val="18"/>
          <w:color w:val="auto"/>
        </w:rPr>
        <w:t>” has the meaning assigned thereto in Section 7.4.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used by Zephyr in preparing its financial statements from time to time.</w:t>
      </w:r>
    </w:p>
    <w:p>
      <w:pPr>
        <w:spacing w:after="0" w:line="248"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Governing Body</w:t>
      </w:r>
      <w:r>
        <w:rPr>
          <w:rFonts w:ascii="Arial" w:cs="Arial" w:eastAsia="Arial" w:hAnsi="Arial"/>
          <w:sz w:val="16"/>
          <w:szCs w:val="16"/>
          <w:color w:val="auto"/>
        </w:rPr>
        <w:t>” means (i) with respect to a corporation, the board of directors of such corporation, (ii) with respect to a limited liability company, the manager(s) or managing member(s) of such limited liability company, (iii) with respect to a limited partnership, the board, committee or other body of the general partner of such partnership that serves a similar function or the general partner itself (or if any such general partner is itself a limited partnership, the board, committee or other body of such general partner’s general partner that serves a similar function or such general partner’s partner) and (iv) with respect to any other Person, the body of such Person that serves a similar function, and in the case of each of</w:t>
      </w:r>
    </w:p>
    <w:p>
      <w:pPr>
        <w:spacing w:after="0" w:line="2" w:lineRule="exact"/>
        <w:rPr>
          <w:sz w:val="20"/>
          <w:szCs w:val="20"/>
          <w:color w:val="auto"/>
        </w:rPr>
      </w:pPr>
    </w:p>
    <w:p>
      <w:pPr>
        <w:ind w:left="4" w:right="100" w:hanging="4"/>
        <w:spacing w:after="0" w:line="261"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(iv) includes any committee or other subdivision of such body and any Person to whom such body has delegated any power or authority, including any officer and managing director.</w:t>
      </w:r>
    </w:p>
    <w:p>
      <w:pPr>
        <w:spacing w:after="0" w:line="180" w:lineRule="exact"/>
        <w:rPr>
          <w:sz w:val="20"/>
          <w:szCs w:val="20"/>
          <w:color w:val="auto"/>
        </w:rPr>
      </w:pPr>
    </w:p>
    <w:p>
      <w:pPr>
        <w:ind w:left="4"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Instruments</w:t>
      </w:r>
      <w:r>
        <w:rPr>
          <w:rFonts w:ascii="Arial" w:cs="Arial" w:eastAsia="Arial" w:hAnsi="Arial"/>
          <w:sz w:val="18"/>
          <w:szCs w:val="18"/>
          <w:color w:val="auto"/>
        </w:rPr>
        <w:t>” means (i) the certificate of incorporation and bylaws in the case of a corporation, (ii) the articles of formation and operating agreement in the case of a limited liability company (iii) the partnership agreement in the case of a partnership, and (iv) any other similar governing document under which an entity was organized, formed or created and/or operates.</w:t>
      </w:r>
    </w:p>
    <w:p>
      <w:pPr>
        <w:spacing w:after="0" w:line="176" w:lineRule="exact"/>
        <w:rPr>
          <w:sz w:val="20"/>
          <w:szCs w:val="20"/>
          <w:color w:val="auto"/>
        </w:rPr>
      </w:pPr>
    </w:p>
    <w:p>
      <w:pPr>
        <w:ind w:left="4"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(i) international, national, multinational, federal, state, regional, municipal, local or other government, governmental or public department, central bank, court, tribunal, arbitral body, commission, board, bureau, agency or instrumentality, domestic or foreign, including ISO/RTOs, (ii) self-regulatory organization or stock exchange, (iii) subdivision, agent, commission, board, or authority of any of the foregoing, or (iv) quasi-governmental or private body exercising any regulatory, expropriation or taxing authority under or for the account of any of the foregoing.</w:t>
      </w:r>
    </w:p>
    <w:p>
      <w:pPr>
        <w:sectPr>
          <w:pgSz w:w="11900" w:h="16911" w:orient="portrait"/>
          <w:cols w:equalWidth="0" w:num="1">
            <w:col w:w="10744"/>
          </w:cols>
          <w:pgMar w:left="896" w:top="121" w:right="259" w:bottom="0" w:gutter="0" w:footer="0" w:header="0"/>
        </w:sectPr>
      </w:pPr>
    </w:p>
    <w:bookmarkStart w:id="36" w:name="page37"/>
    <w:bookmarkEnd w:id="36"/>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Charges</w:t>
      </w:r>
      <w:r>
        <w:rPr>
          <w:rFonts w:ascii="Arial" w:cs="Arial" w:eastAsia="Arial" w:hAnsi="Arial"/>
          <w:sz w:val="18"/>
          <w:szCs w:val="18"/>
          <w:color w:val="auto"/>
        </w:rPr>
        <w:t>” has the meaning assigned thereto in Section 7.3.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Person against whom a claim for indemnification is asserted pursuant to Article 9.</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for any day, the rate of interest equal to the (a) overnight U.S. dollar London interbank offered rate on such day, and if such rate is unavailable, (b) the weighted average of the rates on overnight Federal funds transactions with members of the Federal Reserve System arranged by Federal funds brokers, as published for such day by the Federal Reserve Bank of New York.</w:t>
      </w:r>
    </w:p>
    <w:p>
      <w:pPr>
        <w:spacing w:after="0" w:line="158"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ISO/RTO</w:t>
      </w:r>
      <w:r>
        <w:rPr>
          <w:rFonts w:ascii="Arial" w:cs="Arial" w:eastAsia="Arial" w:hAnsi="Arial"/>
          <w:sz w:val="17"/>
          <w:szCs w:val="17"/>
          <w:color w:val="auto"/>
        </w:rPr>
        <w:t>” means an independent electricity system operator, a regional transmission organization, national system operator or any other similar organization overseeing the transmission of energy in any jurisdiction in which the Zephyr Group owns assets or operates.</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any and all applicable (i) laws, constitutions, treaties, statutes, codes, ordinances, principles of common law and equity, rules, regulations and municipal bylaws whether domestic, foreign or international, (ii) judicial, arbitral, administrative, ministerial, departmental and regulatory judgments, orders, writs, injunctions, decisions, and awards of any Governmental Authority, and (iii) policies, practices and guidelines of any Governmental Authority which, although not actually having the force of law, are considered by such Governmental Authority as requiring compliance as if having the force of law, and the term “</w:t>
      </w:r>
      <w:r>
        <w:rPr>
          <w:rFonts w:ascii="Arial" w:cs="Arial" w:eastAsia="Arial" w:hAnsi="Arial"/>
          <w:sz w:val="16"/>
          <w:szCs w:val="16"/>
          <w:b w:val="1"/>
          <w:bCs w:val="1"/>
          <w:color w:val="auto"/>
        </w:rPr>
        <w:t>applicable</w:t>
      </w:r>
      <w:r>
        <w:rPr>
          <w:rFonts w:ascii="Arial" w:cs="Arial" w:eastAsia="Arial" w:hAnsi="Arial"/>
          <w:sz w:val="16"/>
          <w:szCs w:val="16"/>
          <w:color w:val="auto"/>
        </w:rPr>
        <w:t>,” with respect to such Laws and in the context that refers to one or more Persons, means such Laws that apply to such Person or Persons or its or their business, undertaking, property or securities at the relevant time and that emanate from a Governmental Authority having jurisdiction over the Person or Persons or its or their business, undertaking, property 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 Group</w:t>
      </w:r>
      <w:r>
        <w:rPr>
          <w:rFonts w:ascii="Arial" w:cs="Arial" w:eastAsia="Arial" w:hAnsi="Arial"/>
          <w:sz w:val="18"/>
          <w:szCs w:val="18"/>
          <w:color w:val="auto"/>
        </w:rPr>
        <w:t>” means the Manager and its direct and indirect Subsidiaries (other than any member of the Zephyr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 Indemnified Parties</w:t>
      </w:r>
      <w:r>
        <w:rPr>
          <w:rFonts w:ascii="Arial" w:cs="Arial" w:eastAsia="Arial" w:hAnsi="Arial"/>
          <w:sz w:val="18"/>
          <w:szCs w:val="18"/>
          <w:color w:val="auto"/>
        </w:rPr>
        <w:t>” has the meaning assigned thereto in Section 9.1.1.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 LLC</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NYLD Op</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and Administrative Agreements</w:t>
      </w:r>
      <w:r>
        <w:rPr>
          <w:rFonts w:ascii="Arial" w:cs="Arial" w:eastAsia="Arial" w:hAnsi="Arial"/>
          <w:sz w:val="16"/>
          <w:szCs w:val="16"/>
          <w:color w:val="auto"/>
        </w:rPr>
        <w:t>” means the operating and administrative agreements in effect as of the Effective Date between certain members of the Zephyr Group and Affiliates of the Manager for such Zephyr Group members’ operating and administrative needs and, with respect to any Acquired Assets any operating and administrative agreements between any of the Acquired Assets and Affiliates of the Manager for such asset’s operating and administrative needs in effect as of the date of acquisition of the Acquired Asset by a member of the Zephyr Group.</w:t>
      </w:r>
    </w:p>
    <w:p>
      <w:pPr>
        <w:spacing w:after="0" w:line="15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Operational and Other Services</w:t>
      </w:r>
      <w:r>
        <w:rPr>
          <w:rFonts w:ascii="Arial" w:cs="Arial" w:eastAsia="Arial" w:hAnsi="Arial"/>
          <w:sz w:val="18"/>
          <w:szCs w:val="18"/>
          <w:color w:val="auto"/>
        </w:rPr>
        <w:t>” means any services provided by any member of the Manager Group to any member of the Zephyr Group, including financial advisory, operations and maintenance, marketing, agency, development, operating management and other services, including services provided under any Operating and Administrative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any consent, license, approval, registration, permit or other authorization granted by any Governmental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partnership, limited partnership, limited liability</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partnership, joint venture, syndicate, sole proprietorship, company or corporation (with or without share capital), limited liability corporation, unlimited liability company, joint stock company, unincorporated association, trust, trustee, executor, administrator or other legal personal representative, regulatory body or agency, government or Governmental Authority, authority or entity however designated or constituted and pronouns have a similarly extended meaning.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a calendar quarter ending on the last day of March, June, September or December.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assigned thereto in Section 11.2.1.</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Providers</w:t>
      </w:r>
      <w:r>
        <w:rPr>
          <w:rFonts w:ascii="Arial" w:cs="Arial" w:eastAsia="Arial" w:hAnsi="Arial"/>
          <w:sz w:val="18"/>
          <w:szCs w:val="18"/>
          <w:color w:val="auto"/>
        </w:rPr>
        <w:t>” means the Manager, any member of the Manager Group and any other entity or individual that the Manager has arranged to provide the Services to any Service Recipient.</w:t>
      </w:r>
    </w:p>
    <w:p>
      <w:pPr>
        <w:spacing w:after="0" w:line="162"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Recipient</w:t>
      </w:r>
      <w:r>
        <w:rPr>
          <w:rFonts w:ascii="Arial" w:cs="Arial" w:eastAsia="Arial" w:hAnsi="Arial"/>
          <w:sz w:val="17"/>
          <w:szCs w:val="17"/>
          <w:color w:val="auto"/>
        </w:rPr>
        <w:t>” means Zephyr and their Subsidiaries as of the Effective Date, as well as any other direct and indirect Subsidiary of Zephyr acquired or formed after the date hereof that receives Services from a Service Provider pursuant to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has the meaning assigned thereto in Section 3.1.</w:t>
      </w:r>
    </w:p>
    <w:p>
      <w:pPr>
        <w:spacing w:after="0" w:line="225"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(i) any other Person that is directly or indirectly Controlled by such Person, (ii) any trust in which such Person holds all of the beneficial interests or (iii) any partnership, limited liability company or similar entity in which such Person holds all of</w:t>
      </w:r>
    </w:p>
    <w:p>
      <w:pPr>
        <w:sectPr>
          <w:pgSz w:w="11900" w:h="16979" w:orient="portrait"/>
          <w:cols w:equalWidth="0" w:num="1">
            <w:col w:w="10740"/>
          </w:cols>
          <w:pgMar w:left="900" w:top="337" w:right="259" w:bottom="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interests other than the interests of any general partner, managing member or similar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assigned thereto in Section 9.1.2.</w:t>
      </w:r>
    </w:p>
    <w:p>
      <w:pPr>
        <w:spacing w:after="0" w:line="225"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Fees</w:t>
      </w:r>
      <w:r>
        <w:rPr>
          <w:rFonts w:ascii="Arial" w:cs="Arial" w:eastAsia="Arial" w:hAnsi="Arial"/>
          <w:sz w:val="18"/>
          <w:szCs w:val="18"/>
          <w:color w:val="auto"/>
        </w:rPr>
        <w:t>” means fees paid or payable by the Service Recipients, which are on market terms, with respect to financial advisory services ordinarily carried out by investment banks in the context of mergers and acquisitions transactions.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Zephyr</w:t>
      </w:r>
      <w:r>
        <w:rPr>
          <w:rFonts w:ascii="Arial" w:cs="Arial" w:eastAsia="Arial" w:hAnsi="Arial"/>
          <w:sz w:val="18"/>
          <w:szCs w:val="18"/>
          <w:color w:val="auto"/>
        </w:rPr>
        <w:t>” has the meaning assigned thereto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Zephyr Group</w:t>
      </w:r>
      <w:r>
        <w:rPr>
          <w:rFonts w:ascii="Arial" w:cs="Arial" w:eastAsia="Arial" w:hAnsi="Arial"/>
          <w:sz w:val="18"/>
          <w:szCs w:val="18"/>
          <w:color w:val="auto"/>
        </w:rPr>
        <w:t>” means Zephyr and its direct and indirect Subsidiaries.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Headings and Table of Contents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inclusion of headings and a table of contents in this Agreement are for convenience of reference only and will not affect the construction or interpretation hereof.</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words importing the singular shall include the plural and vice versa, words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importing gender shall include all genders or the neuter, and words importing the neuter shall include all genders;</w:t>
      </w:r>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1.3.2 the words “include”, “includes”, “including”, or any variations thereof, when following any general term or statement, are not to be construed as limiting the general term or statement to the specific items or matters set forth or to similar items or matters, but rather as referring to all other items or matters that could reasonably fall within the broadest possible scope of the general term or statement;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color w:val="auto"/>
        </w:rPr>
        <w:t>references to any Person include such Person’s successors and permitted assigns;</w:t>
      </w:r>
    </w:p>
    <w:p>
      <w:pPr>
        <w:spacing w:after="0" w:line="225"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1.3.4 any reference to a statute, regulation, policy, rule or instrument shall include, and shall be deemed to be a reference also to, all amendments made to such statute, regulation, policy, rule or instrument and to any statute, regulation, policy, rule or instrument that may be passed which has the effect of supplementing or superseding the statute, regulation, policy, rule or instrument so referred to;</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1.3.5 any reference to this Agreement or any other agreement, document or instrument shall be construed as a reference to this Agreement or, as the case may be, such other agreement, document or instrument as the same may have been, or may from time to time be, amended, varied, replaced, amended and restated, supplemented or otherwise modified;</w:t>
      </w:r>
    </w:p>
    <w:p>
      <w:pPr>
        <w:spacing w:after="0" w:line="1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1.3.6 where a reference in this Agreement is made to a Section or Schedule, such reference shall be to a Section or Schedule to this Agreement unless otherwise indicated;</w:t>
      </w:r>
    </w:p>
    <w:p>
      <w:pPr>
        <w:spacing w:after="0" w:line="170"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1.3.7 in the event that any day on which any amount is to be determined or any action is required to be taken hereunder is not a Business Day, then such amount shall be determined or such action shall be required to be taken at or before the requisite time on the next succeeding day that is a Business Day; and</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except where otherwise expressly provided, all amounts in this Agreement are stated and shall be paid in U.S. currency.</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Service Recipients Third Party Beneficiaries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Manager agrees that each of the Service Recipients, including any Service Recipient formed or acquired after the Effective Date in accordance with Section 2.2, shall be, and is hereby, named as express third-party beneficiaries of this Agreement entitled to all the benefits conferred under this Agreement.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Actions by the Manager or the Service Recipients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Unless the context requires otherwise, where the consent of or a determination is required by the Manager or Service Recipient hereunder, the Parties shall be entitled to conclusively rely upon it having been given or taken, as applicable, if, the Manager or such Service Recipient, as applicable, has communicated the same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THE MANAGER</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Appointment and Acceptance</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2.1.1 Subject to and in accordance with the terms, conditions and limitations in this Agreement, Zephyr hereby appoints the Manager to provide or arrange for other Service Providers to provide the Services to the Service Recipients.</w:t>
      </w:r>
    </w:p>
    <w:p>
      <w:pPr>
        <w:sectPr>
          <w:pgSz w:w="11900" w:h="16838" w:orient="portrait"/>
          <w:cols w:equalWidth="0" w:num="1">
            <w:col w:w="11400"/>
          </w:cols>
          <w:pgMar w:left="240" w:top="125" w:right="259" w:bottom="0" w:gutter="0" w:footer="0" w:header="0"/>
        </w:sectPr>
      </w:pPr>
    </w:p>
    <w:bookmarkStart w:id="38" w:name="page39"/>
    <w:bookmarkEnd w:id="38"/>
    <w:p>
      <w:pPr>
        <w:ind w:left="660" w:right="60"/>
        <w:spacing w:after="0" w:line="342" w:lineRule="auto"/>
        <w:rPr>
          <w:sz w:val="20"/>
          <w:szCs w:val="20"/>
          <w:color w:val="auto"/>
        </w:rPr>
      </w:pPr>
      <w:r>
        <w:rPr>
          <w:rFonts w:ascii="Arial" w:cs="Arial" w:eastAsia="Arial" w:hAnsi="Arial"/>
          <w:sz w:val="16"/>
          <w:szCs w:val="16"/>
          <w:color w:val="auto"/>
        </w:rPr>
        <w:t>2.1.2 The Manager hereby accepts the appointment provided for in Section 2.1.1 and agrees to act in such capacity and to provide or arrange for other Service Providers to provide the Services to the Service Recipients upon the terms, conditions and limitations in this Agreement.</w:t>
      </w:r>
    </w:p>
    <w:p>
      <w:pPr>
        <w:spacing w:after="0" w:line="1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Other Service Recipients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Parties acknowledge that any Subsidiary of Zephyr formed or acquired in the future that is not a Service Recipient on the date hereof may become a Service Recipient under this Agreement. In the event that any such addition results in an amendment of the scope of the Services, such amendment shall be effectuated as provided by Section 12.1.1.</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Subcontracting and Other Arrangements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The Manager may subcontract to any other member of the Manager Group or any of its Affiliates, or arrange for the provision of any or all of the Services to be provided by it under this Agreement by any other member of the Manager Group or any of its Affiliates, and Zephyr hereby consents to any such subcontracting or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Manager shall remain responsible to the Service Recipients for any Services provided by such Person. Any such subcontracting will be subject to the terms of this Agreement and covered by the fees payable under this Agreement.</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SERVICES AND POWERS OF THE MANAGER</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Services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Manager will provide, or arrange for the provision by other Service Providers of, and will have the exclusive power and authority to provide or arrange for the provision by other Service Providers of, the services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as such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may be updated from time to time in accordance with this Agreement (the “</w:t>
      </w:r>
      <w:r>
        <w:rPr>
          <w:rFonts w:ascii="Arial" w:cs="Arial" w:eastAsia="Arial" w:hAnsi="Arial"/>
          <w:sz w:val="18"/>
          <w:szCs w:val="18"/>
          <w:b w:val="1"/>
          <w:bCs w:val="1"/>
          <w:color w:val="auto"/>
        </w:rPr>
        <w:t>Services</w:t>
      </w:r>
      <w:r>
        <w:rPr>
          <w:rFonts w:ascii="Arial" w:cs="Arial" w:eastAsia="Arial" w:hAnsi="Arial"/>
          <w:sz w:val="18"/>
          <w:szCs w:val="18"/>
          <w:color w:val="auto"/>
        </w:rPr>
        <w:t>”), to the Service Recipients.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Supervision of Manager’s Activities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Manager shall, at all times, be subject to the supervision of the relevant Service Recipient’s Governing Body and shall only provide or arrange for the provision of such Services as such Governing Body may request from time to time.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Restrictions on the Manager</w:t>
      </w:r>
    </w:p>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3.3.1 The Manager shall, and shall cause any other Service Provider to, refrain from taking any action that is not in compliance with or would violate any Laws or that otherwise would not be permitted by the Governing Instruments of the Service Recipients. If the Manager or any Service Provider is instructed to take any action that is not in such compliance by a Service Recipient’s Governing Body, such person will promptly notify such Governing Body of its judgment that such action would not comply with or violate any such Laws or otherwise would not be permitted by such Governing Instrument.</w:t>
      </w:r>
    </w:p>
    <w:p>
      <w:pPr>
        <w:spacing w:after="0" w:line="188"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3.3.2 In performing its duties under this Agreement, each member of the Manager Group shall be entitled to rely in good faith on qualified experts, professionals and other agents (including on accountants, appraisers, consultants, legal counsel and other professional advisors) and shall be permitted to rely in good faith upon the direction of a Service Recipient’s Governing Body to evidence any approvals or authorizations that are required under this Agreement. All references in this Agreement to the Service Recipients or Governing Body for the purposes of instructions, approvals and requests to the Manager will refer to the Governing Body.</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Errors and Omissions Insurance</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Manager shall, and shall cause any other Service Provider to, at all times during the term of this Agreement maintain “errors and omissions” insurance coverage and other insurance coverage which is customarily carried by Persons performing functions that are similar to those performed by the Service Providers under this Agreement with reputable insurance companies and in an amount which is comparable to that which is customarily maintained by such other Persons. In each case, the relevant Service Recipients shall be included as additional insured or loss payees under the relevant policies.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RELATIONSHIP BETWEEN THE MANAGER AND THE SERVICE RECIPIENTS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Other Activities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 member of the Manager Group (and no Affiliate, director, officer, member, partner, shareholder or employee of any member of the Manager Group) shall be prohibited from engaging in other business activities or sponsoring, or providing services to, third parties that compete directly or indirectly with the Service Recipients.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Independent Contractor, No Partnership or Joint Venture</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The Parties acknowledge that the Manager is providing or arranging for the provision of the Services hereunder as an independent contractor and that the Service Recipients and the Manager are not partners or joint venturers with or agents of each other, and nothing herein will be construed so as to make them partners, joint venturers or agents or impose any liability for that reason on any of them as a result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herein will be construed so as to prohibit the Service Recipients and the Manager from embarking upon an investment together as partners, joint venturers or in any other manner whatsoever.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316" w:gutter="0" w:footer="0" w:header="0"/>
        </w:sectPr>
      </w:pPr>
    </w:p>
    <w:bookmarkStart w:id="39" w:name="page40"/>
    <w:bookmarkEnd w:id="39"/>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EMPLOYEES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Management and Employees</w:t>
      </w:r>
    </w:p>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5.1.1 The Manager shall arrange, or shall cause another member of the Manager Group to arrange, for such qualified personnel and support staff to be available to carry out the Services. Such personnel and support staff shall devote such of their time to the provision of the Services to the Service Recipients as the relevant member of the Manager Group reasonably deems necessary and appropriate in order to fulfill its obligations hereunder. Such personnel and support staff need not have as their primary responsibility the provision of the Services to the Service Recipients or be dedicated exclusively to the provision of the Services to the Service Recipients.</w:t>
      </w:r>
    </w:p>
    <w:p>
      <w:pPr>
        <w:spacing w:after="0" w:line="188"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5.1.2 Zephyr shall, and shall cause each of the other Service Recipients to, do all things reasonably necessary on its part as requested by any member of the Manager Group consistent with the terms of this Agreement to enable such member of the Manager Group to fulfill its obligations, covenants and responsibilities hereunder, including making available to such member of the Manager Group, and granting such member of the Manager Group access to, the employees and contractors of the Service Recipients as any member of the Manager Group may from time to time reasonably request.</w:t>
      </w:r>
    </w:p>
    <w:p>
      <w:pPr>
        <w:spacing w:after="0" w:line="188"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color w:val="auto"/>
        </w:rPr>
        <w:t>5.1.3 The Manager agrees, and agrees to cause the Manager Group, to exercise the power and discharge the duties conferred under this Agreement honestly and in good faith, and to exercise the degree of care, diligence and skill that a reasonably prudent person would exercise in comparable circumstances. Manager shall be responsible for any member of the Manager Group’s failure to exercise such power and duties in accordance with the standards set forth in this Section 5.1.3.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AND RECORDS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Books and Records</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Manager shall, or shall cause any other member of the Manager Group to, as applicable, maintain proper books, records and documents on behalf of each Service Recipient, in which complete, true and correct entries, in conformity in all material respects with GAAP and all requirements of applicable Laws, will be made.</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Examination of Records by the Service Recipients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reasonable prior notice by the Service Recipients to the relevant member of the Manager Group, the relevant member of the Manager Group will make available to the Service Recipients and their authorized representatives, for examination during normal business hours on any Business Day, all books, records and documents required to be maintained under Section 6.1. In addition, the applicable member of the Manager Group will make available to the Service Recipients or their authorized representatives such financial and operating data in respect of the performance of the Services under this Agreement as may be in existence and as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Service Recipients or their authorized representatives will from time to time reasonably request, including for the purposes of conducting any audit in respect of expenses of the Service Recipients or other matters necessary or advisable to be audited in order to conduct an audit of the financial affairs of the Service Recipients. Any examination of records will be conducted in a manner which will not unduly interfere with the conduct of the business of any member of the Manager Group in the ordinary course.</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Access to Information by Manager Group</w:t>
      </w:r>
    </w:p>
    <w:p>
      <w:pPr>
        <w:spacing w:after="0" w:line="22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Zephyr shall, and shall cause the other Service Recipients to:</w:t>
      </w:r>
    </w:p>
    <w:p>
      <w:pPr>
        <w:spacing w:after="0" w:line="225" w:lineRule="exact"/>
        <w:rPr>
          <w:sz w:val="20"/>
          <w:szCs w:val="20"/>
          <w:color w:val="auto"/>
        </w:rPr>
      </w:pPr>
    </w:p>
    <w:p>
      <w:pPr>
        <w:ind w:left="1300" w:right="260"/>
        <w:spacing w:after="0" w:line="264" w:lineRule="auto"/>
        <w:rPr>
          <w:sz w:val="20"/>
          <w:szCs w:val="20"/>
          <w:color w:val="auto"/>
        </w:rPr>
      </w:pPr>
      <w:r>
        <w:rPr>
          <w:rFonts w:ascii="Arial" w:cs="Arial" w:eastAsia="Arial" w:hAnsi="Arial"/>
          <w:sz w:val="18"/>
          <w:szCs w:val="18"/>
          <w:color w:val="auto"/>
        </w:rPr>
        <w:t>6.3.1.1 grant, or cause to be granted, to the Manager Group full access to all documentation and information reasonably necessary in order for the Manager Group to perform its obligations, covenants and responsibilities pursuant to the terms hereof and to enable the Manager Group to provide the Services; and</w:t>
      </w:r>
    </w:p>
    <w:p>
      <w:pPr>
        <w:spacing w:after="0" w:line="181" w:lineRule="exact"/>
        <w:rPr>
          <w:sz w:val="20"/>
          <w:szCs w:val="20"/>
          <w:color w:val="auto"/>
        </w:rPr>
      </w:pPr>
    </w:p>
    <w:p>
      <w:pPr>
        <w:ind w:left="1300" w:right="300"/>
        <w:spacing w:after="0" w:line="297" w:lineRule="auto"/>
        <w:rPr>
          <w:sz w:val="20"/>
          <w:szCs w:val="20"/>
          <w:color w:val="auto"/>
        </w:rPr>
      </w:pPr>
      <w:r>
        <w:rPr>
          <w:rFonts w:ascii="Arial" w:cs="Arial" w:eastAsia="Arial" w:hAnsi="Arial"/>
          <w:sz w:val="16"/>
          <w:szCs w:val="16"/>
          <w:color w:val="auto"/>
        </w:rPr>
        <w:t>6.3.1.2 provide, or cause to be provided, all documentation and information as may be reasonably requested by any member of the Manager Group, and promptly notify the appropriate member of the Manager Group of any material facts or information of which the Service Recipients are aware, including any known, pending or threatened suits, actions, claims, proceedings or orders by or against any member of the Zephyr Group before any Governmental Authority, that may affect the performance of the obligations, covenants or responsibilities of the Manager Group pursuant to this Agreement, including maintenance of proper financial records.</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Additional Information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The Parties acknowledge and agree that conducting the activities and providing the Services contemplated herein may have the incidental effect of providing additional information which may be utilized with respect to, or may augment the value of, business interests and related assets in which any of the Service Providers or any of its Affiliates has an interest and that, subject to compliance with this Agreement, none of the Service Providers or any of their respective Affiliates will be liable to account to the Service Recipients with respect to such activities or results;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relevant Service Provider will not (and will cause its Affiliates not to), in making any use of such additional information, do so in any manner that the relevant Service Provider or its Affiliates knows, or ought reasonably to know, would cause or result in a breach of any confidentiality provision of agreements to which any Service Recipient is a party or is bound.</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Manager shall not, and shall cause the other members of the Management Group not to, without the prior written consent of Zephyr, publicly disclose any information it may have or obtain, in Manager’s capacity as a manager under this Agreement, concerning the Service Recipients and their</w:t>
      </w:r>
    </w:p>
    <w:p>
      <w:pPr>
        <w:sectPr>
          <w:pgSz w:w="11900" w:h="16908" w:orient="portrait"/>
          <w:cols w:equalWidth="0" w:num="1">
            <w:col w:w="11420"/>
          </w:cols>
          <w:pgMar w:left="240" w:top="121" w:right="239" w:bottom="0" w:gutter="0" w:footer="0" w:header="0"/>
        </w:sectPr>
      </w:pPr>
    </w:p>
    <w:bookmarkStart w:id="40" w:name="page41"/>
    <w:bookmarkEnd w:id="40"/>
    <w:p>
      <w:pPr>
        <w:ind w:right="440"/>
        <w:spacing w:after="0" w:line="277" w:lineRule="auto"/>
        <w:rPr>
          <w:sz w:val="20"/>
          <w:szCs w:val="20"/>
          <w:color w:val="auto"/>
        </w:rPr>
      </w:pPr>
      <w:r>
        <w:rPr>
          <w:rFonts w:ascii="Arial" w:cs="Arial" w:eastAsia="Arial" w:hAnsi="Arial"/>
          <w:sz w:val="18"/>
          <w:szCs w:val="18"/>
          <w:color w:val="auto"/>
        </w:rPr>
        <w:t>respective assets, business, operations or prospects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shall not include information that (a) becomes generally available to the public other than as a result of a disclosure by 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member of the Manager Group or any of its directors, officers, agents, or other representatives, (b) becomes available to a member of the Manager Group or any of its directors, officers, agents, or other representatives on a nonconfidential basis prior to its disclosure by the Service Recipients or their respective Affiliates, or their respective directors, officers, agents, or other representatives (and is not received in any other capacity of the members of the Manager Group) or (c) is required or requested to be disclosed by a member of the Manager Group as a result of any applicable legal or regulatory requirement or rule or regulation of any stock exchange, or other regulatory authority having jurisdiction over such member of the Manager Group. Notwithstanding the foregoing, the members of the Manager Group may disclose Confidential Information received by them to their employees, consultants, legal counsel, or other agents involved in providing services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Manager informs each such Person who has access to the Confidential Information of the confidential nature of such Confidential Information, the terms of this Agreement, and that such terms apply to them. If any member of the Manager Group is required to disclose information pursuant to clause (c) or (d) above, such member of the Manager Group will provide the Zephyr with prompt written notice so that the Zephyr may seek a protective order or other appropriate remedy or waive compliance with the non-disclosure provisions of this Section 6.5 with respect to the information required to be disclosed. If such protective order or other remedy is not obtained, Manager will furnish only that portion of such information that counsel advises is legally required to be furnished and will exercise reasonable efforts, at Zephyr’s expense, to obtain reliable assurance that confidential treatment will be accorded such information. Notwithstanding anything contained in this Agreement to the contrary, the obligations of Manager set forth in this Section 6.5 shall survive any termination of this Agreement for a period of 12 months after such termination.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AND EXPENSES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Annual Fee</w:t>
      </w:r>
    </w:p>
    <w:p>
      <w:pPr>
        <w:spacing w:after="0" w:line="229"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7.1.1 Zephyr, on behalf of the Service Recipients, hereby agrees to pay, during the term of this Agreement, the Annual Fee. The Annual Fee shall be pro-rated and paid quarterly in arrears. For purposes of the initial payment hereunder, the Annual Fee will accrue commencing on the Effective Date and will be pro-rated based on the actual number of days during the first Quarter in which this Agreement is in effect.</w:t>
      </w:r>
    </w:p>
    <w:p>
      <w:pPr>
        <w:spacing w:after="0" w:line="166"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7.1.2 The Annual Fee will not be reduced by operation of this Agreement by the amount of (i) any fees for Operational and Other Services that are paid or payable by any member of the Zephyr Group to any member of the Manager Group or (ii) any Transaction Fees.</w:t>
      </w:r>
    </w:p>
    <w:p>
      <w:pPr>
        <w:spacing w:after="0" w:line="14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7.1.3 Notwithstanding Section 7.1.2, the Annual Fee will be offset against the Annual Fee (as defined in the Corresponding MSA) payable under the Corresponding MSA.</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Computation and Payment of Quarterly Annual Fee</w:t>
      </w:r>
    </w:p>
    <w:p>
      <w:pPr>
        <w:spacing w:after="0" w:line="229"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7.2.1 Following the end of each Quarter, Manager shall prepare and deliver to Zephyr the accrued quarterly installment of the Annual Fee for such Quarter. Zephyr will, subject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342" w:lineRule="auto"/>
        <w:rPr>
          <w:sz w:val="20"/>
          <w:szCs w:val="20"/>
          <w:color w:val="auto"/>
        </w:rPr>
      </w:pPr>
      <w:r>
        <w:rPr>
          <w:rFonts w:ascii="Arial" w:cs="Arial" w:eastAsia="Arial" w:hAnsi="Arial"/>
          <w:sz w:val="16"/>
          <w:szCs w:val="16"/>
          <w:color w:val="auto"/>
        </w:rPr>
        <w:t>to any offset as contemplated by Section 7.1.3, pay the quarterly installment of the Annual Fee for each Quarter as soon as practicable following the end of the Quarter with respect to which such payment is due, but in any event no later than 30 days following the end of such Quarter.</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Governmental Charges</w:t>
      </w:r>
    </w:p>
    <w:p>
      <w:pPr>
        <w:spacing w:after="0" w:line="229" w:lineRule="exact"/>
        <w:rPr>
          <w:sz w:val="20"/>
          <w:szCs w:val="20"/>
          <w:color w:val="auto"/>
        </w:rPr>
      </w:pPr>
    </w:p>
    <w:p>
      <w:pPr>
        <w:ind w:right="40" w:firstLine="689"/>
        <w:spacing w:after="0" w:line="271" w:lineRule="auto"/>
        <w:rPr>
          <w:sz w:val="20"/>
          <w:szCs w:val="20"/>
          <w:color w:val="auto"/>
        </w:rPr>
      </w:pPr>
      <w:r>
        <w:rPr>
          <w:rFonts w:ascii="Arial" w:cs="Arial" w:eastAsia="Arial" w:hAnsi="Arial"/>
          <w:sz w:val="17"/>
          <w:szCs w:val="17"/>
          <w:color w:val="auto"/>
        </w:rPr>
        <w:t>Zephyr, on behalf of the Service Recipients, shall pay or reimburse the relevant member of the Manager Group for all sales taxes, use taxes, value added taxes, withholding taxes or other similar taxes, customs duties or other governmental charges (“</w:t>
      </w:r>
      <w:r>
        <w:rPr>
          <w:rFonts w:ascii="Arial" w:cs="Arial" w:eastAsia="Arial" w:hAnsi="Arial"/>
          <w:sz w:val="17"/>
          <w:szCs w:val="17"/>
          <w:b w:val="1"/>
          <w:bCs w:val="1"/>
          <w:color w:val="auto"/>
        </w:rPr>
        <w:t>Governmental Charges</w:t>
      </w:r>
      <w:r>
        <w:rPr>
          <w:rFonts w:ascii="Arial" w:cs="Arial" w:eastAsia="Arial" w:hAnsi="Arial"/>
          <w:sz w:val="17"/>
          <w:szCs w:val="17"/>
          <w:color w:val="auto"/>
        </w:rPr>
        <w:t>”) that are levied or imposed by any Governmental Authority on such member of the Manager Group by reason of the provision of the Services by such member of the Manager Group in connection with this Agreement or any other agreement contemplated by this Agreement, or the fees or other amounts payable in connection therewith, except for any income taxes, corporation taxes, capital taxes or other similar taxes payable by any member of the Manager Group which are personal to such member of the Manager Group. Any failure by any member of the Manager Group to collect monies on account of these Governmental Charges shall not constitute a waiver of the right to do so. Governmental Charges will be offset against Governmental Charges (as defined in the Corresponding MSA) payable under the Corresponding MSA.</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Computation and Payment of Governmental Charges</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From time to time the Manager shall, or shall cause the other Service Providers to, prepare statements (each an “</w:t>
      </w:r>
      <w:r>
        <w:rPr>
          <w:rFonts w:ascii="Arial" w:cs="Arial" w:eastAsia="Arial" w:hAnsi="Arial"/>
          <w:sz w:val="18"/>
          <w:szCs w:val="18"/>
          <w:b w:val="1"/>
          <w:bCs w:val="1"/>
          <w:color w:val="auto"/>
        </w:rPr>
        <w:t>Expense Statement</w:t>
      </w:r>
      <w:r>
        <w:rPr>
          <w:rFonts w:ascii="Arial" w:cs="Arial" w:eastAsia="Arial" w:hAnsi="Arial"/>
          <w:sz w:val="18"/>
          <w:szCs w:val="18"/>
          <w:color w:val="auto"/>
        </w:rPr>
        <w:t>”) documenting the Governmental Charges to be reimbursed pursuant to this Article 7 and shall deliver such statements to the relevant Service Recipient. All Governmental Charges reimbursable pursuant to this Article 7 shall, subject to any offset as contemplated by Section 7.3, be reimbursed by Zephyr, on behalf of the Service Recipients, no later than the date which is 30 days after receipt of an Expense Statement. The provisions of this Section 7.4 shall survive the termination of this Agreement.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MANAGER AND THE SERVICE RECIPIENTS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Representations and Warranties of the Manager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Manager hereby represents and warrants to the Service Recipients that:</w:t>
      </w:r>
    </w:p>
    <w:p>
      <w:pPr>
        <w:sectPr>
          <w:pgSz w:w="11900" w:h="16838" w:orient="portrait"/>
          <w:cols w:equalWidth="0" w:num="1">
            <w:col w:w="11380"/>
          </w:cols>
          <w:pgMar w:left="240" w:top="125" w:right="279" w:bottom="0" w:gutter="0" w:footer="0" w:header="0"/>
        </w:sectPr>
      </w:pPr>
    </w:p>
    <w:bookmarkStart w:id="41" w:name="page42"/>
    <w:bookmarkEnd w:id="41"/>
    <w:p>
      <w:pPr>
        <w:ind w:left="660"/>
        <w:spacing w:after="0"/>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it is validly organized and existing under the laws of the State of Delaware;</w:t>
      </w:r>
    </w:p>
    <w:p>
      <w:pPr>
        <w:spacing w:after="0" w:line="225"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8.1.2 it, or any another Service Provider, as applicable, holds, and shall hold, such Permits as are necessary to perform its obligations hereunder and is not aware of, or shall inform the Service Recipients promptly upon knowledge of, any reason why such Permits might be cancelled;</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it has the power, capacity and authority to enter into this Agreement and to perform its obligations hereunder;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color w:val="auto"/>
        </w:rPr>
        <w:t>it has taken all necessary action to authorize the execution, delivery and performance of this Agreement;</w:t>
      </w:r>
    </w:p>
    <w:p>
      <w:pPr>
        <w:spacing w:after="0" w:line="22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8.1.5 the execution and delivery of this Agreement by it and the performance by it of its obligations hereunder do not and will not contravene, breach or result in any default under its Governing Instruments, or under any mortgage, lease, agreement or other legally binding instrument, Permit or applicable Law to which it is a party or by which it or any of its properties or assets may be bound, except for any such contravention, breach or default which would not have a material adverse effect on the business, assets, financial condition or results of operations of the Manager;</w:t>
      </w:r>
    </w:p>
    <w:p>
      <w:pPr>
        <w:spacing w:after="0" w:line="154"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8.1.6 no authorization, consent or approval, or filing with or notice to any Person is required in connection with the execution, delivery or performance by it of this Agreement;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color w:val="auto"/>
        </w:rPr>
        <w:t>this Agreement constitutes its valid and legally binding obligation, enforceable against it in accordance with its terms, subject to</w:t>
      </w:r>
    </w:p>
    <w:p>
      <w:pPr>
        <w:spacing w:after="0" w:line="23"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applicable bankruptcy, insolvency, moratorium, fraudulent conveyance, reorganization and other laws of general application limiting the</w:t>
      </w:r>
    </w:p>
    <w:p>
      <w:pPr>
        <w:spacing w:after="0" w:line="20" w:lineRule="exact"/>
        <w:rPr>
          <w:rFonts w:ascii="Arial" w:cs="Arial" w:eastAsia="Arial" w:hAnsi="Arial"/>
          <w:sz w:val="17"/>
          <w:szCs w:val="17"/>
          <w:color w:val="auto"/>
        </w:rPr>
      </w:pPr>
    </w:p>
    <w:p>
      <w:pPr>
        <w:ind w:left="660" w:right="300"/>
        <w:spacing w:after="0" w:line="255" w:lineRule="auto"/>
        <w:rPr>
          <w:rFonts w:ascii="Arial" w:cs="Arial" w:eastAsia="Arial" w:hAnsi="Arial"/>
          <w:sz w:val="17"/>
          <w:szCs w:val="17"/>
          <w:color w:val="auto"/>
        </w:rPr>
      </w:pPr>
      <w:r>
        <w:rPr>
          <w:rFonts w:ascii="Arial" w:cs="Arial" w:eastAsia="Arial" w:hAnsi="Arial"/>
          <w:sz w:val="18"/>
          <w:szCs w:val="18"/>
          <w:color w:val="auto"/>
        </w:rPr>
        <w:t>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Representations and Warranties of the Service Recipients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Zephyr hereby represents and warrants, on its behalf and on behalf of each of the other Service Recipients, to the Manager that: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it is validly organized and existing under the Laws governing its formation and organization;</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8.2.2 it, or the relevant Service Recipient, holds such Permits necessary to own and operate the projects and entities that it directly or indirectly owns or operates from time to time and is not aware of any reason why such Permits might be cancelled;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it has the power, capacity and authority to enter into this Agreement and to perform its duties and obligations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it has taken all necessary action to authorize the execution, delivery and performance of this Agreement;</w:t>
      </w:r>
    </w:p>
    <w:p>
      <w:pPr>
        <w:spacing w:after="0" w:line="22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8.2.5 the execution and delivery of this Agreement by it and the performance by it of its obligations hereunder do not and will not contravene, breach or result in any default under its Governing Instruments, or under any mortgage, lease, agreement or other legally binding instrument, Permit or applicable Law to which it is a party or by which any of its properties or assets may be bound, except for any such contravention, breach or default which would not have a material adverse effect on the business, assets, financial condition or results of operations of the Service Recipients as a whole;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8.2.6 no authorization, consent or approval, or filing with or notice to any Person is required in connection with the execution, delivery or performance by it of this Agreement;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8.2.7</w:t>
      </w:r>
      <w:r>
        <w:rPr>
          <w:sz w:val="20"/>
          <w:szCs w:val="20"/>
          <w:color w:val="auto"/>
        </w:rPr>
        <w:tab/>
      </w:r>
      <w:r>
        <w:rPr>
          <w:rFonts w:ascii="Arial" w:cs="Arial" w:eastAsia="Arial" w:hAnsi="Arial"/>
          <w:sz w:val="16"/>
          <w:szCs w:val="16"/>
          <w:color w:val="auto"/>
        </w:rPr>
        <w:t>this Agreement constitutes its valid and legally binding obligation, enforceable against it in accordance with its terms, subject to:</w:t>
      </w:r>
    </w:p>
    <w:p>
      <w:pPr>
        <w:spacing w:after="0" w:line="23" w:lineRule="exact"/>
        <w:rPr>
          <w:sz w:val="20"/>
          <w:szCs w:val="20"/>
          <w:color w:val="auto"/>
        </w:rPr>
      </w:pPr>
    </w:p>
    <w:p>
      <w:pPr>
        <w:ind w:left="660" w:right="300" w:hanging="4"/>
        <w:spacing w:after="0" w:line="254"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applicable bankruptcy, insolvency, moratorium, fraudulent conveyance, reorganization and other laws of general application limiting the 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Indemnity</w:t>
      </w:r>
    </w:p>
    <w:p>
      <w:pPr>
        <w:spacing w:after="0" w:line="229" w:lineRule="exact"/>
        <w:rPr>
          <w:sz w:val="20"/>
          <w:szCs w:val="20"/>
          <w:color w:val="auto"/>
        </w:rPr>
      </w:pPr>
    </w:p>
    <w:p>
      <w:pPr>
        <w:jc w:val="both"/>
        <w:ind w:left="660" w:right="140"/>
        <w:spacing w:after="0" w:line="288" w:lineRule="auto"/>
        <w:rPr>
          <w:sz w:val="20"/>
          <w:szCs w:val="20"/>
          <w:color w:val="auto"/>
        </w:rPr>
      </w:pPr>
      <w:r>
        <w:rPr>
          <w:rFonts w:ascii="Arial" w:cs="Arial" w:eastAsia="Arial" w:hAnsi="Arial"/>
          <w:sz w:val="16"/>
          <w:szCs w:val="16"/>
          <w:color w:val="auto"/>
        </w:rPr>
        <w:t>9.1.1 Zephyr hereby agrees, to the fullest extent permitted by applicable Laws, to indemnify and hold harmless, and to cause each other Service Recipient to indemnify and hold harmless, each member of the Manager Group, any of its Affiliates (other than any member of the Zephyr Group) and any directors, officers, agents, members, partners, stockholders and employees and other representatives of each of the foregoing (each,</w:t>
      </w:r>
    </w:p>
    <w:p>
      <w:pPr>
        <w:ind w:left="660"/>
        <w:spacing w:after="0" w:line="28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Manager Indemnified Party</w:t>
      </w:r>
      <w:r>
        <w:rPr>
          <w:rFonts w:ascii="Arial" w:cs="Arial" w:eastAsia="Arial" w:hAnsi="Arial"/>
          <w:sz w:val="16"/>
          <w:szCs w:val="16"/>
          <w:color w:val="auto"/>
        </w:rPr>
        <w:t>”) from and against any claims, liabilities, losses, damages (but expressly excluding any consequential damages that were not reasonably foreseeable and punitive damages, except to the extent awarded in a final judgment in respect of a Third Party Claim), costs or expenses (including legal fees) (“</w:t>
      </w:r>
      <w:r>
        <w:rPr>
          <w:rFonts w:ascii="Arial" w:cs="Arial" w:eastAsia="Arial" w:hAnsi="Arial"/>
          <w:sz w:val="16"/>
          <w:szCs w:val="16"/>
          <w:b w:val="1"/>
          <w:bCs w:val="1"/>
          <w:color w:val="auto"/>
        </w:rPr>
        <w:t>Liabilities</w:t>
      </w:r>
      <w:r>
        <w:rPr>
          <w:rFonts w:ascii="Arial" w:cs="Arial" w:eastAsia="Arial" w:hAnsi="Arial"/>
          <w:sz w:val="16"/>
          <w:szCs w:val="16"/>
          <w:color w:val="auto"/>
        </w:rPr>
        <w:t>”) incurred by them or threatened in connection with any and all actions, suits, investigations, proceedings or claims of any kind whatsoever, whether arising under statute or action of a Governmental Authority or otherwise or in connection with the business, investments and activities of the Service Recipients or in respect of or arising from this Agreement or the Services provided hereunder (“</w:t>
      </w:r>
      <w:r>
        <w:rPr>
          <w:rFonts w:ascii="Arial" w:cs="Arial" w:eastAsia="Arial" w:hAnsi="Arial"/>
          <w:sz w:val="16"/>
          <w:szCs w:val="16"/>
          <w:b w:val="1"/>
          <w:bCs w:val="1"/>
          <w:color w:val="auto"/>
        </w:rPr>
        <w:t>Claims</w:t>
      </w:r>
      <w:r>
        <w:rPr>
          <w:rFonts w:ascii="Arial" w:cs="Arial" w:eastAsia="Arial" w:hAnsi="Arial"/>
          <w:sz w:val="16"/>
          <w:szCs w:val="16"/>
          <w:color w:val="auto"/>
        </w:rPr>
        <w:t xml:space="preserve">”), including any Claims arising on account of the Governmental Charges contemplated by Section 7.3; </w:t>
      </w:r>
      <w:r>
        <w:rPr>
          <w:rFonts w:ascii="Arial" w:cs="Arial" w:eastAsia="Arial" w:hAnsi="Arial"/>
          <w:sz w:val="16"/>
          <w:szCs w:val="16"/>
          <w:i w:val="1"/>
          <w:iCs w:val="1"/>
          <w:color w:val="auto"/>
        </w:rPr>
        <w:t>provided</w:t>
      </w:r>
      <w:r>
        <w:rPr>
          <w:rFonts w:ascii="Arial" w:cs="Arial" w:eastAsia="Arial" w:hAnsi="Arial"/>
          <w:sz w:val="16"/>
          <w:szCs w:val="16"/>
          <w:color w:val="auto"/>
        </w:rPr>
        <w:t>, that no Manager Indemnified Party shall be so indemnified with respect to any Claim to the extent that such Claim is finally determined by a final and non-appealable judgment entered by a court of competent jurisdiction, or pursuant to a settlement agreement agreed to by such Manager Indemnified</w:t>
      </w:r>
    </w:p>
    <w:p>
      <w:pPr>
        <w:sectPr>
          <w:pgSz w:w="11900" w:h="16838" w:orient="portrait"/>
          <w:cols w:equalWidth="0" w:num="1">
            <w:col w:w="11380"/>
          </w:cols>
          <w:pgMar w:left="240" w:top="125" w:right="279" w:bottom="0" w:gutter="0" w:footer="0" w:header="0"/>
        </w:sectPr>
      </w:pPr>
    </w:p>
    <w:bookmarkStart w:id="42" w:name="page43"/>
    <w:bookmarkEnd w:id="42"/>
    <w:p>
      <w:pPr>
        <w:spacing w:after="0" w:line="9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Party, to have resulted from such Manager Indemnified Party’s bad faith, fraud, willful misconduct or gross negligence or, in the case of a criminal matter, conduct undertaken with knowledge that the conduct was unlawful.</w:t>
      </w:r>
    </w:p>
    <w:p>
      <w:pPr>
        <w:spacing w:after="0" w:line="170"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9.1.2 If any action, suit, investigation, proceeding or claim is made or brought by any third party with respect to which an Indemnifying Party is obligated to provide indemnification under this Agreement (a “</w:t>
      </w:r>
      <w:r>
        <w:rPr>
          <w:rFonts w:ascii="Arial" w:cs="Arial" w:eastAsia="Arial" w:hAnsi="Arial"/>
          <w:sz w:val="18"/>
          <w:szCs w:val="18"/>
          <w:b w:val="1"/>
          <w:bCs w:val="1"/>
          <w:color w:val="auto"/>
        </w:rPr>
        <w:t>Third Party Claim</w:t>
      </w:r>
      <w:r>
        <w:rPr>
          <w:rFonts w:ascii="Arial" w:cs="Arial" w:eastAsia="Arial" w:hAnsi="Arial"/>
          <w:sz w:val="18"/>
          <w:szCs w:val="18"/>
          <w:color w:val="auto"/>
        </w:rPr>
        <w:t>”), the Manager Indemnified Party will have the right to employ its own counsel in connection therewith, and the reasonable fees and expenses of such counsel, as well as the reasonable costs (excluding an amount reimbursed to such Manager Indemnified Party for the time spent in connection therewith) and out-of-pocket expenses incurred in connection therewith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will be paid by the Indemnifying Party in such case, as incurred but subject to recoupment by the Indemnifying Party if ultimately it is not liable to pay indemnification hereunder.</w:t>
      </w:r>
    </w:p>
    <w:p>
      <w:pPr>
        <w:spacing w:after="0" w:line="17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9.1.3 The Manager Indemnified Party and the Indemnifying Party agree that, promptly after the receipt of notice of the commencement of any Third Party Claim, the Manager Indemnified Party will notify the Indemnifying Party in writing of the commencement of such Third Party Claim (</w:t>
      </w:r>
      <w:r>
        <w:rPr>
          <w:rFonts w:ascii="Arial" w:cs="Arial" w:eastAsia="Arial" w:hAnsi="Arial"/>
          <w:sz w:val="18"/>
          <w:szCs w:val="18"/>
          <w:i w:val="1"/>
          <w:iCs w:val="1"/>
          <w:color w:val="auto"/>
        </w:rPr>
        <w:t>provided</w:t>
      </w:r>
      <w:r>
        <w:rPr>
          <w:rFonts w:ascii="Arial" w:cs="Arial" w:eastAsia="Arial" w:hAnsi="Arial"/>
          <w:sz w:val="18"/>
          <w:szCs w:val="18"/>
          <w:color w:val="auto"/>
        </w:rPr>
        <w:t>, that any accidental failure to provide any such notice will not prejudice the right of any such Manager Indemnified Party hereunder) and, throughout the course of such Third Party Claim, such Manager Indemnified Party will use its reasonable best efforts to provide copies of all relevant documentation to such Indemnifying Party, and to keep the Indemnifying Party apprised of the progress thereof, and to discuss with the Indemnifying Party all significant actions proposed.</w:t>
      </w:r>
    </w:p>
    <w:p>
      <w:pPr>
        <w:spacing w:after="0" w:line="193"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9.1.4 The Parties expressly acknowledge and agree that the right to indemnity provided in this Section 9.1 shall be in addition to and not in derogation of any other liability which the Indemnifying Party in any particular case may have or of any other right to indemnity or contribution which any Manager Indemnified Party may have by statute or otherwise at law.</w:t>
      </w:r>
    </w:p>
    <w:p>
      <w:pPr>
        <w:spacing w:after="0" w:line="181"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9.1.5 The indemnity provided in this Section 9.1 shall survive the completion of Services rendered under, or any termination or purported termination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Limitation of Liability</w:t>
      </w:r>
    </w:p>
    <w:p>
      <w:pPr>
        <w:spacing w:after="0" w:line="229"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9.2.1 The Manager assumes no responsibility under this Agreement other than to render the Services in good faith and will not be responsible for any action of a Service Recipient’s Governing Body in following or declining to follow any advice or recommendations of the relevant Service Provider.</w:t>
      </w:r>
    </w:p>
    <w:p>
      <w:pPr>
        <w:spacing w:after="0" w:line="181"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9.2.2 The Service Recipients hereby agree that no Manager Indemnified Party will be liable to a Service Recipient, a Service Recipient’s Governing Body (including, for greater certainty, a director or officer of a Service Recipient or another individual with similar function or capacity) or any security holder or partner of a Service Recipient for any Liabilities that may occur as a result of any acts or omissions by the Manager Indemnified Party pursuant to or in accordance with this Agreement, except to the extent that such Liabilities are finally determined by a final and non-appealable judgment entered by a court of competent jurisdiction to have resulted from the Manager Indemnified Party’s bad faith, fraud, willful misconduct or gross negligence, or in the case of a criminal matter, conduct undertaken with knowledge that the conduct was unlawful.</w:t>
      </w:r>
    </w:p>
    <w:p>
      <w:pPr>
        <w:spacing w:after="0" w:line="16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9.2.3 The maximum amount of the aggregate liability of the Manager Indemnified Parties pursuant to this Agreement will be equal to the amounts previously payable (not taking into account any offset contemplated by Article 7) in respect of Services pursuant to this Agreement in the two most recent calendar years by the Service Recipients pursuant to Article 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9.2.4 For the avoidance of doubt, the provisions of this Section 9.2 shall survive the completion of the Services rendered under, or any termination or purported termination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Benefit to all Manager Indemnified Parties</w:t>
      </w:r>
    </w:p>
    <w:p>
      <w:pPr>
        <w:spacing w:after="0" w:line="229" w:lineRule="exact"/>
        <w:rPr>
          <w:sz w:val="20"/>
          <w:szCs w:val="20"/>
          <w:color w:val="auto"/>
        </w:rPr>
      </w:pPr>
    </w:p>
    <w:p>
      <w:pPr>
        <w:ind w:left="660" w:right="220"/>
        <w:spacing w:after="0" w:line="286" w:lineRule="auto"/>
        <w:rPr>
          <w:sz w:val="20"/>
          <w:szCs w:val="20"/>
          <w:color w:val="auto"/>
        </w:rPr>
      </w:pPr>
      <w:r>
        <w:rPr>
          <w:rFonts w:ascii="Arial" w:cs="Arial" w:eastAsia="Arial" w:hAnsi="Arial"/>
          <w:sz w:val="17"/>
          <w:szCs w:val="17"/>
          <w:color w:val="auto"/>
        </w:rPr>
        <w:t>9.3.1 Zephyr on behalf of itself and the other Service Recipients, hereby constitute the Manager as trustee for each of the Manager Indemnified Parties of the covenants of the Service Recipients under this Article 9 with respect to such Manager Indemnified Parties and the Manager hereby accepts such trust and agrees to hold and enforce such covenants on behalf of the Manager Indemnified Parties.</w:t>
      </w:r>
    </w:p>
    <w:p>
      <w:pPr>
        <w:spacing w:after="0" w:line="166"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9.3.2 The Manager hereby constitutes the Service Recipients as trustees for each Service Recipient’s Governing Body (including, for greater certainty, a director or officer of a Service Recipient or another individual with similar function or capacity) or any security holder or partner of a Service Recipient, of the covenants of the Manager under this Article 9 with respect to such parties and the Service Recipients hereby accept such trust and agree to hold and enforce such covenants on behalf of such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Term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continue in full force and effect in perpetuity until terminated in accordance with Section 10.2, Section 10.3 or Section 12.1.1.</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 by the Service Recipients</w:t>
      </w:r>
    </w:p>
    <w:p>
      <w:pPr>
        <w:spacing w:after="0" w:line="22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10.2.1 Zephyr, on behalf of the Service Recipients, may, subject to Section 10.2.2, terminate this Agreement effective upon 30 days’ prior written notice of termination to the Manager without payment of any termination fee if:</w:t>
      </w:r>
    </w:p>
    <w:p>
      <w:pPr>
        <w:sectPr>
          <w:pgSz w:w="11900" w:h="16929" w:orient="portrait"/>
          <w:cols w:equalWidth="0" w:num="1">
            <w:col w:w="11420"/>
          </w:cols>
          <w:pgMar w:left="240" w:top="125" w:right="239" w:bottom="0" w:gutter="0" w:footer="0" w:header="0"/>
        </w:sectPr>
      </w:pPr>
    </w:p>
    <w:bookmarkStart w:id="43" w:name="page44"/>
    <w:bookmarkEnd w:id="43"/>
    <w:p>
      <w:pPr>
        <w:ind w:left="1300" w:right="200"/>
        <w:spacing w:after="0" w:line="312" w:lineRule="auto"/>
        <w:rPr>
          <w:sz w:val="20"/>
          <w:szCs w:val="20"/>
          <w:color w:val="auto"/>
        </w:rPr>
      </w:pPr>
      <w:r>
        <w:rPr>
          <w:rFonts w:ascii="Arial" w:cs="Arial" w:eastAsia="Arial" w:hAnsi="Arial"/>
          <w:sz w:val="16"/>
          <w:szCs w:val="16"/>
          <w:color w:val="auto"/>
        </w:rPr>
        <w:t>10.2.1.1 any member of the Manager Group defaults in the performance or observance of any material term, condition or agreement contained in this Agreement in a manner that results in material harm to the Service Recipients and such default continues for a period of 30 days after written notice thereof specifying such default and requesting that the same be remedied in such 30-day period;</w:t>
      </w:r>
    </w:p>
    <w:p>
      <w:pPr>
        <w:spacing w:after="0" w:line="147"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10.2.1.2</w:t>
      </w:r>
      <w:r>
        <w:rPr>
          <w:sz w:val="20"/>
          <w:szCs w:val="20"/>
          <w:color w:val="auto"/>
        </w:rPr>
        <w:tab/>
      </w:r>
      <w:r>
        <w:rPr>
          <w:rFonts w:ascii="Arial" w:cs="Arial" w:eastAsia="Arial" w:hAnsi="Arial"/>
          <w:sz w:val="16"/>
          <w:szCs w:val="16"/>
          <w:color w:val="auto"/>
        </w:rPr>
        <w:t>any member of the Manager Group engages in fraud, misappropriation of funds or embezzlement against any Service Recipient;</w:t>
      </w:r>
    </w:p>
    <w:p>
      <w:pPr>
        <w:spacing w:after="0" w:line="225"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10.2.1.3 any member of the Manager Group is grossly negligent in the performance of its obligations under this Agreement, and such gross negligence results in material harm to the Service Recipients;</w:t>
      </w:r>
    </w:p>
    <w:p>
      <w:pPr>
        <w:spacing w:after="0" w:line="17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10.2.1.4</w:t>
      </w:r>
      <w:r>
        <w:rPr>
          <w:sz w:val="20"/>
          <w:szCs w:val="20"/>
          <w:color w:val="auto"/>
        </w:rPr>
        <w:tab/>
      </w:r>
      <w:r>
        <w:rPr>
          <w:rFonts w:ascii="Arial" w:cs="Arial" w:eastAsia="Arial" w:hAnsi="Arial"/>
          <w:sz w:val="16"/>
          <w:szCs w:val="16"/>
          <w:color w:val="auto"/>
        </w:rPr>
        <w:t>the Manager or Zephyr makes a general assignment for the benefit of 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 seeking such reorganization or has a decree entered against it by a court of competent jurisdiction appointing a receiver liquidator, trustee or assignee in bankruptcy or in insolvency.</w:t>
      </w:r>
    </w:p>
    <w:p>
      <w:pPr>
        <w:spacing w:after="0" w:line="18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10.2.2 This Agreement may only be terminated pursuant to Section 10.2.1 above by Zephyr with the prior approval of a majority of the members of the Board of Directors.</w:t>
      </w:r>
    </w:p>
    <w:p>
      <w:pPr>
        <w:spacing w:after="0" w:line="170"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10.2.3 This Agreement may also be terminated by Zephyr pursuant to Section 12.1.1 with the prior approval of a majority of the members of the Board of Directors.</w:t>
      </w:r>
    </w:p>
    <w:p>
      <w:pPr>
        <w:spacing w:after="0" w:line="170"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10.2.4 Zephyr hereby agrees and confirms that this Agreement may not be terminated due solely to the poor performance or underperformance of any of their Subsidiaries or the Business or any investment made by any member of the Zephyr Group on the recommendation of any member of the Manager Group.</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Termination by the Manager</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10.3.1 The Manager may terminate this Agreement effective upon 180 days’ prior written notice of termination to Zephyr without payment of any termination fee if:</w:t>
      </w:r>
    </w:p>
    <w:p>
      <w:pPr>
        <w:spacing w:after="0" w:line="170" w:lineRule="exact"/>
        <w:rPr>
          <w:sz w:val="20"/>
          <w:szCs w:val="20"/>
          <w:color w:val="auto"/>
        </w:rPr>
      </w:pPr>
    </w:p>
    <w:p>
      <w:pPr>
        <w:jc w:val="both"/>
        <w:ind w:left="1300" w:right="100"/>
        <w:spacing w:after="0" w:line="286" w:lineRule="auto"/>
        <w:rPr>
          <w:sz w:val="20"/>
          <w:szCs w:val="20"/>
          <w:color w:val="auto"/>
        </w:rPr>
      </w:pPr>
      <w:r>
        <w:rPr>
          <w:rFonts w:ascii="Arial" w:cs="Arial" w:eastAsia="Arial" w:hAnsi="Arial"/>
          <w:sz w:val="17"/>
          <w:szCs w:val="17"/>
          <w:color w:val="auto"/>
        </w:rPr>
        <w:t>10.3.1.1 any Service Recipient defaults in the performance or observance of any material term, condition or agreement contained in this Agreement in a manner that results in material harm to the Manager and such default continues for a period of 30 days after written notice thereof specifying such default and requesting that the same be remedied in such 30-day period; or</w:t>
      </w:r>
    </w:p>
    <w:p>
      <w:pPr>
        <w:spacing w:after="0" w:line="166"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10.3.1.2 any Service Recipient makes a general assignment for the benefit of its 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 seeking such reorganization or has a decree entered against it by a court of competent jurisdiction appointing a receiver liquidator, trustee or assignee in bankruptcy or in insolvency.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Survival Upon Termination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If this Agreement is terminated pursuant to this Article 10 or Article 12, such termination will be without any further liability or obligation of any Party, except as provided in Section 1.3, Section 6.4, Section 6.5, Article 9, this Section 10.4, Section 10.6, Article 11, Section 12.3, Section 12.4, Section 12.5, Section 12.6, Section 12.7, Section 12.8, Section 12.9 and Section 12.10.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Action Upon Termination</w:t>
      </w:r>
    </w:p>
    <w:p>
      <w:pPr>
        <w:spacing w:after="0" w:line="229"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10.5.1 From and after the effective date of the termination of this Agreement, the Manager shall not be entitled to receive the Annual Fee for further Services under this Agreement, but will be paid all compensation accruing to and including the date of termination (including such day).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Upon any termination of this Agreement, the Manager shall promptly:</w:t>
      </w:r>
    </w:p>
    <w:p>
      <w:pPr>
        <w:spacing w:after="0" w:line="225" w:lineRule="exact"/>
        <w:rPr>
          <w:sz w:val="20"/>
          <w:szCs w:val="20"/>
          <w:color w:val="auto"/>
        </w:rPr>
      </w:pPr>
    </w:p>
    <w:p>
      <w:pPr>
        <w:ind w:left="1300" w:right="380"/>
        <w:spacing w:after="0" w:line="277" w:lineRule="auto"/>
        <w:rPr>
          <w:sz w:val="20"/>
          <w:szCs w:val="20"/>
          <w:color w:val="auto"/>
        </w:rPr>
      </w:pPr>
      <w:r>
        <w:rPr>
          <w:rFonts w:ascii="Arial" w:cs="Arial" w:eastAsia="Arial" w:hAnsi="Arial"/>
          <w:sz w:val="18"/>
          <w:szCs w:val="18"/>
          <w:color w:val="auto"/>
        </w:rPr>
        <w:t>10.5.2.1 after deducting any accrued compensation and reimbursements to which it is then entitled, pay to the Service Recipients all money collected and held for the account of the Service Recipients pursuant to this Agreement;</w:t>
      </w:r>
    </w:p>
    <w:p>
      <w:pPr>
        <w:spacing w:after="0" w:line="170" w:lineRule="exact"/>
        <w:rPr>
          <w:sz w:val="20"/>
          <w:szCs w:val="20"/>
          <w:color w:val="auto"/>
        </w:rPr>
      </w:pPr>
    </w:p>
    <w:p>
      <w:pPr>
        <w:jc w:val="both"/>
        <w:ind w:left="1300" w:right="60"/>
        <w:spacing w:after="0" w:line="264" w:lineRule="auto"/>
        <w:rPr>
          <w:sz w:val="20"/>
          <w:szCs w:val="20"/>
          <w:color w:val="auto"/>
        </w:rPr>
      </w:pPr>
      <w:r>
        <w:rPr>
          <w:rFonts w:ascii="Arial" w:cs="Arial" w:eastAsia="Arial" w:hAnsi="Arial"/>
          <w:sz w:val="18"/>
          <w:szCs w:val="18"/>
          <w:color w:val="auto"/>
        </w:rPr>
        <w:t>10.5.2.2 deliver to the Service Recipients’ Governing Bodies a full accounting, including a statement showing all payments collected by it and a statement of all money held by it, covering the period following the date of the last accounting furnished to the Governing Bodies with respect to the Service Recipients; and</w:t>
      </w:r>
    </w:p>
    <w:p>
      <w:pPr>
        <w:spacing w:after="0" w:line="181"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10.5.2.3 deliver to the Service Recipients’ Governing Bodies all property and documents of the Service Recipients then in the custody of the Manager Group.</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Release of Money or other Property Upon Written Request</w:t>
      </w:r>
    </w:p>
    <w:p>
      <w:pPr>
        <w:sectPr>
          <w:pgSz w:w="11900" w:h="16838" w:orient="portrait"/>
          <w:cols w:equalWidth="0" w:num="1">
            <w:col w:w="11380"/>
          </w:cols>
          <w:pgMar w:left="240" w:top="341" w:right="279" w:bottom="36" w:gutter="0" w:footer="0" w:header="0"/>
        </w:sectPr>
      </w:pPr>
    </w:p>
    <w:bookmarkStart w:id="44" w:name="page45"/>
    <w:bookmarkEnd w:id="44"/>
    <w:p>
      <w:pPr>
        <w:ind w:right="20" w:firstLine="648"/>
        <w:spacing w:after="0" w:line="285" w:lineRule="auto"/>
        <w:rPr>
          <w:sz w:val="20"/>
          <w:szCs w:val="20"/>
          <w:color w:val="auto"/>
        </w:rPr>
      </w:pPr>
      <w:r>
        <w:rPr>
          <w:rFonts w:ascii="Arial" w:cs="Arial" w:eastAsia="Arial" w:hAnsi="Arial"/>
          <w:sz w:val="16"/>
          <w:szCs w:val="16"/>
          <w:color w:val="auto"/>
        </w:rPr>
        <w:t>The Manager hereby agrees that any money or other property of the Service Recipients or their Subsidiaries held by the Manager Group under this Agreement shall be held by the relevant member of the Manager Group as custodian for such Person, and the relevant member of the Manager Group’s records shall be appropriately marked clearly to reflect the ownership of such money or other property by such Person. Upon the receipt by the relevant member of the Manager Group of a written request signed by a duly authorized representative of a Service Recipient requesting the relevant member of the Manager Group to release to the Service Recipient any money or other property then held by the relevant member of the Manager Group for the account of such Service Recipient under this Agreement, the relevant member of the Manager Group shall release such money or other property to the Service Recipient promptly, but in no event later than 7 days following such request. The relevant member of the Manager Group shall not be liable to any Service Recipient, a Service Recipient’s Governing Body or any other Person for any acts performed or omissions to act by a Service Recipient in connection with the money or other property released to the Service Recipient in accordance with the second sentence of this Section 10.6. Each Service Recipient shall indemnify and hold harmless the relevant member of the Manager Group, any of its Affiliates (other than any member of the Zephyr Group) and any directors, officers, agents, members, partners, shareholders and employees and other representatives of each of the foregoing from and against any and all Liabilities which arise in connection with the relevant member of the Manager Group’s release of such money or other property to such Service Recipient in accordance with the terms of this Section 10.6. Indemnification pursuant to this provision shall be in addition to any right of such Persons to indemnification under Section 10.1. For the avoidance of doubt, the provisions of this Section 10.6 shall survive termination of this Agreement. The Service Recipients hereby constitute the Manager as trustee for each Person entitled to indemnification pursuant to this Section 10.6 of the covenants of the Service Recipients under this Section 10.6 with respect to such Persons and the Manager hereby accepts such trust and agrees to hold and enforce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covenants on behalf of such Persons.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ARBITRATION</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Dispute</w:t>
      </w:r>
    </w:p>
    <w:p>
      <w:pPr>
        <w:spacing w:after="0" w:line="225" w:lineRule="exact"/>
        <w:rPr>
          <w:sz w:val="20"/>
          <w:szCs w:val="20"/>
          <w:color w:val="auto"/>
        </w:rPr>
      </w:pPr>
    </w:p>
    <w:p>
      <w:pPr>
        <w:ind w:left="120" w:right="320" w:firstLine="540"/>
        <w:spacing w:after="0" w:line="282" w:lineRule="auto"/>
        <w:rPr>
          <w:sz w:val="20"/>
          <w:szCs w:val="20"/>
          <w:color w:val="auto"/>
        </w:rPr>
      </w:pPr>
      <w:r>
        <w:rPr>
          <w:rFonts w:ascii="Arial" w:cs="Arial" w:eastAsia="Arial" w:hAnsi="Arial"/>
          <w:sz w:val="18"/>
          <w:szCs w:val="18"/>
          <w:color w:val="auto"/>
        </w:rPr>
        <w:t>Any dispute or disagreement of any kind or nature between the Parties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 shall be resolved in accordance with this Article 11.</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Arbitration</w:t>
      </w:r>
    </w:p>
    <w:p>
      <w:pPr>
        <w:spacing w:after="0" w:line="225"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11.2.1 Any Dispute shall be submitted to arbitration (the “</w:t>
      </w:r>
      <w:r>
        <w:rPr>
          <w:rFonts w:ascii="Arial" w:cs="Arial" w:eastAsia="Arial" w:hAnsi="Arial"/>
          <w:sz w:val="18"/>
          <w:szCs w:val="18"/>
          <w:b w:val="1"/>
          <w:bCs w:val="1"/>
          <w:color w:val="auto"/>
        </w:rPr>
        <w:t>Arbitration</w:t>
      </w:r>
      <w:r>
        <w:rPr>
          <w:rFonts w:ascii="Arial" w:cs="Arial" w:eastAsia="Arial" w:hAnsi="Arial"/>
          <w:sz w:val="18"/>
          <w:szCs w:val="18"/>
          <w:color w:val="auto"/>
        </w:rPr>
        <w:t>”) by three (3) Arbitrators pursuant to the procedure set forth in this Section 11.2 and pursuant to the then current Commercial Arbitration Rules (the “</w:t>
      </w:r>
      <w:r>
        <w:rPr>
          <w:rFonts w:ascii="Arial" w:cs="Arial" w:eastAsia="Arial" w:hAnsi="Arial"/>
          <w:sz w:val="18"/>
          <w:szCs w:val="18"/>
          <w:b w:val="1"/>
          <w:bCs w:val="1"/>
          <w:color w:val="auto"/>
        </w:rPr>
        <w:t>Rules</w:t>
      </w:r>
      <w:r>
        <w:rPr>
          <w:rFonts w:ascii="Arial" w:cs="Arial" w:eastAsia="Arial" w:hAnsi="Arial"/>
          <w:sz w:val="18"/>
          <w:szCs w:val="18"/>
          <w:color w:val="auto"/>
        </w:rPr>
        <w:t>”)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If the provisions of this Section 11.2 are inconsistent with the provisions of the Rules and to the extent of such inconsistency, the provisions of this Section 11.2 shall prevail in any Arbitration.</w:t>
      </w:r>
    </w:p>
    <w:p>
      <w:pPr>
        <w:spacing w:after="0" w:line="184"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11.2.2 Any Party may make a demand for Arbitration by sending a notice in writing to any other Party, setting forth the nature of the Dispute, the amount involved and the name of one arbitrator appointed by such Party. The demand for Arbitration shall be made no later than thirty (30) days after the event giving rise to the Dispute.</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11.2.3 Within thirty (30) days after any demand for Arbitration under Section 11.2.2, the other Party shall send a responding statement, which shall contain the name of one arbitrator appointed by the responding Party.</w:t>
      </w:r>
    </w:p>
    <w:p>
      <w:pPr>
        <w:spacing w:after="0" w:line="170"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11.2.4 Within thirty (30) days of the appointment of the second arbitrator, the two party-appointed arbitrators shall appoint the third arbitrator, who shall act as the chair of the arbitration panel. The third arbitrator shall be appointed from the AAA National Roster (collectively with the two party-appointed arbitrators, the “</w:t>
      </w:r>
      <w:r>
        <w:rPr>
          <w:rFonts w:ascii="Arial" w:cs="Arial" w:eastAsia="Arial" w:hAnsi="Arial"/>
          <w:sz w:val="18"/>
          <w:szCs w:val="18"/>
          <w:b w:val="1"/>
          <w:bCs w:val="1"/>
          <w:color w:val="auto"/>
        </w:rPr>
        <w:t>Arbitrators</w:t>
      </w:r>
      <w:r>
        <w:rPr>
          <w:rFonts w:ascii="Arial" w:cs="Arial" w:eastAsia="Arial" w:hAnsi="Arial"/>
          <w:sz w:val="18"/>
          <w:szCs w:val="18"/>
          <w:color w:val="auto"/>
        </w:rPr>
        <w:t>”).</w:t>
      </w:r>
    </w:p>
    <w:p>
      <w:pPr>
        <w:spacing w:after="0" w:line="181"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11.2.5 In connection with any Arbitration, the Arbitrators shall allow reasonable requests for (i) the production of documents relevant to the dispute and (ii) taking of depositions.</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11.2.6 The seat of the arbitration will be the State of Delaware and the language of the arbitration will be English. The Arbitration hearings shall be held in a location in the State of Delaware specified in the demand for Arbitration and shall commence no later than thirty (30) days after the determination of the Arbitrator under Section 11.2.4.</w:t>
      </w:r>
    </w:p>
    <w:p>
      <w:pPr>
        <w:spacing w:after="0" w:line="18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11.2.7 The decision of the Arbitrators shall be made not later than sixty (60) days after its appointment. The decision of the Arbitrators shall be final without appeal and binding on the Parties, and may be enforced in any court of competent jurisdiction.</w:t>
      </w:r>
    </w:p>
    <w:p>
      <w:pPr>
        <w:spacing w:after="0" w:line="17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11.2.8 Each Party involved in the Dispute shall bear the costs and expenses of all lawyers, consultants, advisors, witnesses and employees retained by it in any Arbitration. The expenses of the Arbitrators shall be paid equally by the Parties unless the Arbitrators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provides in its award.</w:t>
      </w:r>
    </w:p>
    <w:p>
      <w:pPr>
        <w:spacing w:after="0" w:line="225"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11.2.9 Notwithstanding any conflicting choice of law provisions in this Agreement or any applicable principles of conflicts of law, the arbitration provisions set forth herein, and any Arbitration conducted hereunder, shall be governed exclusively by the Federal Arbitration Act, 9 U.S.C. § 1, et seq.</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11.2.10 Judgment on the award rendered by the Arbitrators may be entered in any court having jurisdiction thereof.</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Continued Performance</w:t>
      </w:r>
    </w:p>
    <w:p>
      <w:pPr>
        <w:sectPr>
          <w:pgSz w:w="11900" w:h="16838" w:orient="portrait"/>
          <w:cols w:equalWidth="0" w:num="1">
            <w:col w:w="11420"/>
          </w:cols>
          <w:pgMar w:left="240" w:top="125" w:right="239" w:bottom="0" w:gutter="0" w:footer="0" w:header="0"/>
        </w:sectPr>
      </w:pPr>
    </w:p>
    <w:bookmarkStart w:id="45" w:name="page46"/>
    <w:bookmarkEnd w:id="45"/>
    <w:p>
      <w:pPr>
        <w:spacing w:after="0" w:line="1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conduct of Dispute resolution procedures pursuant to this Article 11, the Parties shall continue to perform their respective obligations under this Agreement and neither Party shall exercise any other remedies to resolve a Dispute.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Urgent Relief</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Nothing in this Article 11 will prejudice the right of a Party to seek urgent injunctive or declaratory relief from a court pursuant to Section 12.8.2.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Amendment, Waiver</w:t>
      </w:r>
    </w:p>
    <w:p>
      <w:pPr>
        <w:spacing w:after="0" w:line="229"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 xml:space="preserve">12.1.1 Zephyr is entitled to amend the scope of the Services, including by reducing the number of Service Recipients or the nature or description of the Services or otherwise, by providing 90 days’ prior written notice to the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Zephyr may not increase the scope of the Services without the Manager’s prior written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such modification, Zephyr and the Manager shall agree in writing to any modification of the Annual Fee resulting from such change in scope. Subject to Section 10.2.3, in the event that Zephyr and the Manager are unable to agree on a modified Annual Fee, Zephyr may terminate this Agreement after the end of such 90-day period by providing 30 days’ prior written notice to the Manager. Notwithstanding the notice period set forth in this Section 12.1.1, in the event of an assignment pursuant to Section 12.2.1(ii) below, Zephyr may amend the scope of Services as set forth in this Section 12.1.1 by providing 30 days’ prior written notice to the Manager.</w:t>
      </w:r>
    </w:p>
    <w:p>
      <w:pPr>
        <w:spacing w:after="0" w:line="179"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12.1.2 Except as expressly provided in this Agreement, no amendment or waiver of this Agreement, except pursuant to the first sentence of Section 12.1.1 above, will be binding unless the prior approval of a majority of the members of the Board of Directors is obtained and the amendment or waiver is executed in writing by the Party to be bound thereby. No waiver of any provision of this Agreement will constitute a waiver of any other provision nor will any waiver of any provision of this Agreement constitute a continuing waiver unless otherwise expressly provided. A Party’s failure or delay in exercising any right under this Agreement will not operate as a waiver of that right. 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single or partial exercise of any right will not preclude a Party from any other or further exercise of that right or the exercise of any other right.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Assignment</w:t>
      </w:r>
    </w:p>
    <w:p>
      <w:pPr>
        <w:spacing w:after="0" w:line="229" w:lineRule="exact"/>
        <w:rPr>
          <w:sz w:val="20"/>
          <w:szCs w:val="20"/>
          <w:color w:val="auto"/>
        </w:rPr>
      </w:pPr>
    </w:p>
    <w:p>
      <w:pPr>
        <w:ind w:left="660" w:right="120"/>
        <w:spacing w:after="0" w:line="290" w:lineRule="auto"/>
        <w:rPr>
          <w:sz w:val="20"/>
          <w:szCs w:val="20"/>
          <w:color w:val="auto"/>
        </w:rPr>
      </w:pPr>
      <w:r>
        <w:rPr>
          <w:rFonts w:ascii="Arial" w:cs="Arial" w:eastAsia="Arial" w:hAnsi="Arial"/>
          <w:sz w:val="16"/>
          <w:szCs w:val="16"/>
          <w:color w:val="auto"/>
        </w:rPr>
        <w:t xml:space="preserve">12.2.1 This Agreement shall not be assigned by the Manager without the prior written consent of Zephyr, except (i) pursuant to Section 2.3, (ii) in the case of assignment to a Person that is the Manager’s successor by merger, consolidation or purchase of assets, in which case the successor shall be bound under this Agreement and by the terms of the assignment in the same manner as the Manager is bound under this Agreement or (iii) to an Affiliate of the Manager or a Person that is, in the reasonable and good faith determination of the Board of Directors, an experienced and reputable manager, in which case the Affiliate or assignee shall be bound under this Agreement and by the terms of the assignment in the same manner as the Manager is bound under this Agreement. In addition,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Manager provides prior written notice to the Service Recipients for informational purposes only, nothing contained in this Agreement shall preclude any pledge, hypothecation or other transfer or assignment of the Manager’ rights under this Agreement, including any amounts payable to the Manager under this Agreement,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lender as security.</w:t>
      </w:r>
    </w:p>
    <w:p>
      <w:pPr>
        <w:spacing w:after="0" w:line="166"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12.2.2 This Agreement shall not be assigned by any of the Service Recipients without the prior written consent of the Manager, except in the case of assignment by any such Service Recipient to a Person that is its successor by merger, consolidation or purchase of assets, in which case the successor shall be bound under this Agreement and by the terms of the assignment in the same manner as such Service Recipient is bound under this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Any purported assignment of this Agreement in violation of this Article 12 shall be null and void.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Failure to Pay When Due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amount payable by any Service Recipient to any member of the Manager Group hereunder which is not remitted when so due will remain due (whether on demand or otherwise) and interest will accrue on such overdue amounts (both before and after judgment) at a rate per annum equal to the Interest Rate.</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Invalidity of Provisions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Each of the provisions contained in this Agreement is distinct and severable and a declaration of invalidity or unenforceability of any such provision or part thereof by a court of competent jurisdiction will not affect the validity or enforceability of any other provision hereof. To the extent permitted by applicable law, the Parties waive any provision of law which renders any provision of this Agreement invalid or unenforceable in any respect. The Parties will engage in good faith negotiations to replace any provision which is declared invalid or unenforceable with a valid and enforceable provision, the economic effect of which comes as close as possible to that of the invalid or unenforceable provision which it replaces.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This Agreement constitutes the entire agreement between the Parties pertaining to the subject matter of this Agreement. There are no warranties, conditions, or representations (including any that may be implied by statute) and there are no agreements in connection with such subject matter except as specifically set forth or referred to in this Agreement. No reliance is placed on any warranty, representation, opinion, advice or assertion of fact made either prior to, contemporaneous with, or after entering into this Agreement, by any Party or its directors, officers, employees or agents, to any other Party or its directors, officers, employees or agents, except to the extent that the same has been reduced to writing and included as a term of this Agreement, and none of</w:t>
      </w:r>
    </w:p>
    <w:p>
      <w:pPr>
        <w:sectPr>
          <w:pgSz w:w="11900" w:h="16941" w:orient="portrait"/>
          <w:cols w:equalWidth="0" w:num="1">
            <w:col w:w="11420"/>
          </w:cols>
          <w:pgMar w:left="240" w:top="125" w:right="239" w:bottom="0" w:gutter="0" w:footer="0" w:header="0"/>
        </w:sectPr>
      </w:pPr>
    </w:p>
    <w:bookmarkStart w:id="46" w:name="page47"/>
    <w:bookmarkEnd w:id="46"/>
    <w:p>
      <w:pPr>
        <w:jc w:val="both"/>
        <w:ind w:right="200"/>
        <w:spacing w:after="0" w:line="264" w:lineRule="auto"/>
        <w:rPr>
          <w:sz w:val="20"/>
          <w:szCs w:val="20"/>
          <w:color w:val="auto"/>
        </w:rPr>
      </w:pPr>
      <w:r>
        <w:rPr>
          <w:rFonts w:ascii="Arial" w:cs="Arial" w:eastAsia="Arial" w:hAnsi="Arial"/>
          <w:sz w:val="18"/>
          <w:szCs w:val="18"/>
          <w:color w:val="auto"/>
        </w:rPr>
        <w:t>the Parties has been induced to enter into this Agreement by reason of any such warranty, representation, opinion, advice or assertion of fact. Accordingly, there will be no liability, either in tort or in contract, assessed in relation to any such warranty, representation, opinion, advice or assertion of fact, except to the extent contemplated above.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avoidance of doubt, nothing in this Agreement should be construed or interpreted as an amendment, modification or termination of, or conflict with, any of the Operating and Administrative Agreements. Each such agreement, and all its terms, including payments to be made thereunder, shall survive the entry into this Agreement and shall terminate in accordance with its terms.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Mutual Waiver of Jury Trial</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A SPECIFICALLY BARGAINED FOR INDUCEMENT FOR EACH OF THE PARTIES TO ENTER INTO THIS AGREEMENT (AFTER HAVING THE OPPORTUNITY TO CONSULT WITH COUNSEL), EACH PARTY EXPRESSLY WAIVES THE RIGHT TO TRIAL BY JURY IN ANY LAWSUIT OR PROCEEDING RELATING TO OR ARISING IN ANY WAY FROM THIS AGREEMENT OR THE MATTERS CONTEMPLATED HEREBY.</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Consent to Jurisdiction</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EACH OF THE PARTIES IRREVOCABLY SUBMITS TO THE NON-EXCLUSIVE JURISDICTION OF THE DELAWARE COURT OF CHANCERY OR, TO THE EXTENT SUCH COURT DECLINES TO ACCEPT JURISDICTION OVER A PARTICULAR MATTER, ANY FEDERAL COURT OF THE UNITED STATES OF AMERICA LOCATED IN THE STATE OF DELAWARE, FOR THE PURPOSES OF ANY SUIT, ACTION OR OTHER PROCEEDING TO ENFORCE THE ARBITRATION PROVISION IN ARTICLE 11 OR TO SPECIFICALLY ENFORCE THE TERMS OF THIS AGREEMENT PURSUANT TO SECTION 12.8.2. THE DECISION IN ANY ARBITRATION SHALL BE FINAL AND BINDING AND MAY BE ENTERED IN ANY COURT HAVING JURISDICTION THEREOF. IF ANY PARTY FAILS TO APPEAR AT ANY PROPERLY NOTICED ARBITRATION PROCEEDING, AN AWARD MAY BE ENTERED AGAINST THAT PARTY IN A COURT HAVING JURISDICTION THEREOF.</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12.8.1 The internal law of the State of Delaware will govern and be used to construe this Agreement without giving effect to applicable principles of conflicts of law to the extent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the application of the laws of another jurisdiction would be required thereby.</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12.8.2 The Parties agree that irreparable damage would occur in the event that any of the provisions of this Agreement and the transactions contemplated hereby were not performed in accordance with their specific terms or were otherwise breached. It is accordingly agreed that the Parties shall be entitled to an injunction or injunctions to prevent breaches of this Agreement and the transactions contemplated hereby and to enforce specifically the terms and provisions of this Agreement and the transactions contemplated hereby in the courts of Delaware, this being in addition to any other remedy to which such Party is entitled at law or in equity.</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Enurement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will enure to the benefit of and be binding upon the Parties and their respective successors and permitted assigns.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addresses specified below,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Notices and other communications will be addressed as follows: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Service Recipients: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California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Alicia Stevenson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Alicia.stevenson@nrg.com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5790 Fleet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Jennifer.hein@nrg.com</w:t>
      </w:r>
    </w:p>
    <w:p>
      <w:pPr>
        <w:sectPr>
          <w:pgSz w:w="11900" w:h="16838" w:orient="portrait"/>
          <w:cols w:equalWidth="0" w:num="1">
            <w:col w:w="11380"/>
          </w:cols>
          <w:pgMar w:left="240" w:top="125" w:right="279" w:bottom="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47" w:name="page48"/>
    <w:bookmarkEnd w:id="47"/>
    <w:p>
      <w:pPr>
        <w:ind w:left="1300"/>
        <w:spacing w:after="0"/>
        <w:rPr>
          <w:sz w:val="20"/>
          <w:szCs w:val="20"/>
          <w:color w:val="auto"/>
        </w:rPr>
      </w:pPr>
      <w:r>
        <w:rPr>
          <w:rFonts w:ascii="Arial" w:cs="Arial" w:eastAsia="Arial" w:hAnsi="Arial"/>
          <w:sz w:val="18"/>
          <w:szCs w:val="18"/>
          <w:color w:val="auto"/>
        </w:rPr>
        <w:t>If to the Manager: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Chad Plotkin, Chief Financial Officer</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chad.plotkin@nrg.com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ogc@nrgyield.com</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of the Parties will promptly do, make, execute or deliver, or cause to be done, made, executed or delivered, all such further acts, documents and things as the other Party may reasonably require from time to time for the purpose of giving effect to this Agreement and will use reasonable efforts and take all such steps as may be reasonably within its power to implement to their full extent the provisions of this Agreement.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Agreement may be signed in counterparts and each of such counterparts will constitute an original document and such counterparts, taken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ZEPHYR RENEWABLES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 Craig Cornelius</w:t>
            </w:r>
          </w:p>
        </w:tc>
      </w:tr>
      <w:tr>
        <w:trPr>
          <w:trHeight w:val="195"/>
        </w:trPr>
        <w:tc>
          <w:tcPr>
            <w:tcW w:w="460" w:type="dxa"/>
            <w:vAlign w:val="bottom"/>
          </w:tcPr>
          <w:p>
            <w:pPr>
              <w:spacing w:after="0"/>
              <w:rPr>
                <w:sz w:val="16"/>
                <w:szCs w:val="16"/>
                <w:color w:val="auto"/>
              </w:rPr>
            </w:pPr>
          </w:p>
        </w:tc>
        <w:tc>
          <w:tcPr>
            <w:tcW w:w="90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160"/>
              <w:spacing w:after="0" w:line="195" w:lineRule="exact"/>
              <w:rPr>
                <w:sz w:val="20"/>
                <w:szCs w:val="20"/>
                <w:color w:val="auto"/>
              </w:rPr>
            </w:pPr>
            <w:r>
              <w:rPr>
                <w:rFonts w:ascii="Arial" w:cs="Arial" w:eastAsia="Arial" w:hAnsi="Arial"/>
                <w:sz w:val="18"/>
                <w:szCs w:val="18"/>
                <w:color w:val="auto"/>
              </w:rPr>
              <w:t>Craig Cornelius</w:t>
            </w:r>
          </w:p>
        </w:tc>
      </w:tr>
      <w:tr>
        <w:trPr>
          <w:trHeight w:val="230"/>
        </w:trPr>
        <w:tc>
          <w:tcPr>
            <w:tcW w:w="46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4340" w:type="dxa"/>
            <w:vAlign w:val="bottom"/>
          </w:tcPr>
          <w:p>
            <w:pPr>
              <w:ind w:left="16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Services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 as Manager</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 Chad Plotkin</w:t>
            </w:r>
          </w:p>
        </w:tc>
      </w:tr>
      <w:tr>
        <w:trPr>
          <w:trHeight w:val="195"/>
        </w:trPr>
        <w:tc>
          <w:tcPr>
            <w:tcW w:w="460" w:type="dxa"/>
            <w:vAlign w:val="bottom"/>
          </w:tcPr>
          <w:p>
            <w:pPr>
              <w:spacing w:after="0"/>
              <w:rPr>
                <w:sz w:val="16"/>
                <w:szCs w:val="16"/>
                <w:color w:val="auto"/>
              </w:rPr>
            </w:pPr>
          </w:p>
        </w:tc>
        <w:tc>
          <w:tcPr>
            <w:tcW w:w="90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1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46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4340" w:type="dxa"/>
            <w:vAlign w:val="bottom"/>
          </w:tcPr>
          <w:p>
            <w:pPr>
              <w:ind w:left="160"/>
              <w:spacing w:after="0"/>
              <w:rPr>
                <w:sz w:val="20"/>
                <w:szCs w:val="20"/>
                <w:color w:val="auto"/>
              </w:rPr>
            </w:pPr>
            <w:r>
              <w:rPr>
                <w:rFonts w:ascii="Arial" w:cs="Arial" w:eastAsia="Arial" w:hAnsi="Arial"/>
                <w:sz w:val="18"/>
                <w:szCs w:val="18"/>
                <w:color w:val="auto"/>
              </w:rPr>
              <w:t>Senior Vice President &amp; CFO</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NRG YIELD LLC, as Manager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 Chad Plotkin</w:t>
            </w:r>
          </w:p>
        </w:tc>
      </w:tr>
      <w:tr>
        <w:trPr>
          <w:trHeight w:val="195"/>
        </w:trPr>
        <w:tc>
          <w:tcPr>
            <w:tcW w:w="460" w:type="dxa"/>
            <w:vAlign w:val="bottom"/>
          </w:tcPr>
          <w:p>
            <w:pPr>
              <w:spacing w:after="0"/>
              <w:rPr>
                <w:sz w:val="16"/>
                <w:szCs w:val="16"/>
                <w:color w:val="auto"/>
              </w:rPr>
            </w:pPr>
          </w:p>
        </w:tc>
        <w:tc>
          <w:tcPr>
            <w:tcW w:w="90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1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46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4340" w:type="dxa"/>
            <w:vAlign w:val="bottom"/>
          </w:tcPr>
          <w:p>
            <w:pPr>
              <w:ind w:left="160"/>
              <w:spacing w:after="0"/>
              <w:rPr>
                <w:sz w:val="20"/>
                <w:szCs w:val="20"/>
                <w:color w:val="auto"/>
              </w:rPr>
            </w:pPr>
            <w:r>
              <w:rPr>
                <w:rFonts w:ascii="Arial" w:cs="Arial" w:eastAsia="Arial" w:hAnsi="Arial"/>
                <w:sz w:val="18"/>
                <w:szCs w:val="18"/>
                <w:color w:val="auto"/>
              </w:rPr>
              <w:t>Senior Vice President, CFO &amp; Treasurer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NRG YIELD OPERATING LLC, as Manager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 Chad Plotkin</w:t>
            </w:r>
          </w:p>
        </w:tc>
      </w:tr>
      <w:tr>
        <w:trPr>
          <w:trHeight w:val="195"/>
        </w:trPr>
        <w:tc>
          <w:tcPr>
            <w:tcW w:w="460" w:type="dxa"/>
            <w:vAlign w:val="bottom"/>
          </w:tcPr>
          <w:p>
            <w:pPr>
              <w:spacing w:after="0"/>
              <w:rPr>
                <w:sz w:val="16"/>
                <w:szCs w:val="16"/>
                <w:color w:val="auto"/>
              </w:rPr>
            </w:pPr>
          </w:p>
        </w:tc>
        <w:tc>
          <w:tcPr>
            <w:tcW w:w="90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1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46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4340" w:type="dxa"/>
            <w:vAlign w:val="bottom"/>
          </w:tcPr>
          <w:p>
            <w:pPr>
              <w:ind w:left="160"/>
              <w:spacing w:after="0"/>
              <w:rPr>
                <w:sz w:val="20"/>
                <w:szCs w:val="20"/>
                <w:color w:val="auto"/>
              </w:rPr>
            </w:pPr>
            <w:r>
              <w:rPr>
                <w:rFonts w:ascii="Arial" w:cs="Arial" w:eastAsia="Arial" w:hAnsi="Arial"/>
                <w:sz w:val="18"/>
                <w:szCs w:val="18"/>
                <w:color w:val="auto"/>
              </w:rPr>
              <w:t>Senior Vice President, CFO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Services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RIGHT OF FIRST OFFER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August 31,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between </w:t>
      </w:r>
      <w:r>
        <w:rPr>
          <w:rFonts w:ascii="Arial" w:cs="Arial" w:eastAsia="Arial" w:hAnsi="Arial"/>
          <w:sz w:val="18"/>
          <w:szCs w:val="18"/>
          <w:b w:val="1"/>
          <w:bCs w:val="1"/>
          <w:color w:val="auto"/>
        </w:rPr>
        <w:t>ZEPHYR RENEWABLES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Zephyr</w:t>
      </w:r>
      <w:r>
        <w:rPr>
          <w:rFonts w:ascii="Arial" w:cs="Arial" w:eastAsia="Arial" w:hAnsi="Arial"/>
          <w:sz w:val="18"/>
          <w:szCs w:val="18"/>
          <w:color w:val="auto"/>
        </w:rPr>
        <w:t xml:space="preserve">”), and </w:t>
      </w:r>
      <w:r>
        <w:rPr>
          <w:rFonts w:ascii="Arial" w:cs="Arial" w:eastAsia="Arial" w:hAnsi="Arial"/>
          <w:sz w:val="18"/>
          <w:szCs w:val="18"/>
          <w:b w:val="1"/>
          <w:bCs w:val="1"/>
          <w:color w:val="auto"/>
        </w:rPr>
        <w:t>NRG YIELD, INC.</w:t>
      </w:r>
      <w:r>
        <w:rPr>
          <w:rFonts w:ascii="Arial" w:cs="Arial" w:eastAsia="Arial" w:hAnsi="Arial"/>
          <w:sz w:val="18"/>
          <w:szCs w:val="18"/>
          <w:color w:val="auto"/>
        </w:rPr>
        <w:t>,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Yield</w:t>
      </w:r>
      <w:r>
        <w:rPr>
          <w:rFonts w:ascii="Arial" w:cs="Arial" w:eastAsia="Arial" w:hAnsi="Arial"/>
          <w:sz w:val="17"/>
          <w:szCs w:val="17"/>
          <w:color w:val="auto"/>
        </w:rPr>
        <w:t xml:space="preserve">”), and solely for purposes of </w:t>
      </w:r>
      <w:r>
        <w:rPr>
          <w:rFonts w:ascii="Arial" w:cs="Arial" w:eastAsia="Arial" w:hAnsi="Arial"/>
          <w:sz w:val="17"/>
          <w:szCs w:val="17"/>
          <w:u w:val="single" w:color="auto"/>
          <w:color w:val="auto"/>
        </w:rPr>
        <w:t>Section 2.4</w:t>
      </w:r>
      <w:r>
        <w:rPr>
          <w:rFonts w:ascii="Arial" w:cs="Arial" w:eastAsia="Arial" w:hAnsi="Arial"/>
          <w:sz w:val="17"/>
          <w:szCs w:val="17"/>
          <w:color w:val="auto"/>
        </w:rPr>
        <w:t>, GIP III Zephyr Acquisition Partners, L.P., a Delaware limited partnership (“</w:t>
      </w:r>
      <w:r>
        <w:rPr>
          <w:rFonts w:ascii="Arial" w:cs="Arial" w:eastAsia="Arial" w:hAnsi="Arial"/>
          <w:sz w:val="17"/>
          <w:szCs w:val="17"/>
          <w:u w:val="single" w:color="auto"/>
          <w:color w:val="auto"/>
        </w:rPr>
        <w:t>Zephyr Parent</w:t>
      </w:r>
      <w:r>
        <w:rPr>
          <w:rFonts w:ascii="Arial" w:cs="Arial" w:eastAsia="Arial" w:hAnsi="Arial"/>
          <w:sz w:val="17"/>
          <w:szCs w:val="17"/>
          <w:color w:val="auto"/>
        </w:rPr>
        <w:t>”). Zephyr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Yield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Yield expects to increase its cash available for distribution and dividend per share by acquiring additional assets, including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from Zephyr; and</w:t>
      </w:r>
    </w:p>
    <w:p>
      <w:pPr>
        <w:spacing w:after="0" w:line="16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Zephyr desires to grant Yield an exclusive right of first offer to acquire certain assets owned by Zephyr and its Subsidiaries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on the terms and conditions set forth in this Agreement.</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in this Agreement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Zephyr and Yield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above in the introduction and Recitals to this Agreement, the following terms when used in this Agreement shall have the 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the Person in question, any other Person that, directly or indirectly, Controls, is Controlled by or is under common Control with, such Person.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statutes, laws, common law, rules, regulations, ordinances, codes or other legal requirements of any Governmental Authority or quasi-governmental agencies or entities, and any judgment, injunction, order, directive, decree or other judicial or regulatory requirement of any court or Governmental Authority of competent jurisdiction affecting or relating to the Person or property in question.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any federal legal holiday.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Carlsbad</w:t>
      </w:r>
      <w:r>
        <w:rPr>
          <w:rFonts w:ascii="Arial" w:cs="Arial" w:eastAsia="Arial" w:hAnsi="Arial"/>
          <w:sz w:val="18"/>
          <w:szCs w:val="18"/>
          <w:color w:val="auto"/>
        </w:rPr>
        <w:t>” consists of 100% of the membership interest in Carlsbad Energy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Carlsbad Accrual Adjustment</w:t>
      </w:r>
      <w:r>
        <w:rPr>
          <w:rFonts w:ascii="Arial" w:cs="Arial" w:eastAsia="Arial" w:hAnsi="Arial"/>
          <w:sz w:val="16"/>
          <w:szCs w:val="16"/>
          <w:color w:val="auto"/>
        </w:rPr>
        <w:t xml:space="preserve">” means the amount equal to (a) the Final Purchase Price (as defined in the Carlsbad Drop Down PSA), </w:t>
      </w:r>
      <w:r>
        <w:rPr>
          <w:rFonts w:ascii="Arial" w:cs="Arial" w:eastAsia="Arial" w:hAnsi="Arial"/>
          <w:sz w:val="16"/>
          <w:szCs w:val="16"/>
          <w:u w:val="single" w:color="auto"/>
          <w:color w:val="auto"/>
        </w:rPr>
        <w:t>multiplied by</w:t>
      </w:r>
    </w:p>
    <w:p>
      <w:pPr>
        <w:spacing w:after="0" w:line="46" w:lineRule="exact"/>
        <w:rPr>
          <w:sz w:val="20"/>
          <w:szCs w:val="20"/>
          <w:color w:val="auto"/>
        </w:rPr>
      </w:pPr>
    </w:p>
    <w:p>
      <w:pPr>
        <w:ind w:right="320" w:firstLine="8"/>
        <w:spacing w:after="0" w:line="26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Adjusted Trading CAFD Yield (as defined in the Carlsbad Drop Down PSA) as was used to determine the Final Purchase Price under the Carlsbad Drop Down PSA,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(c) the number of days between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Closing Date under the Carlsbad Drop Down PSA and the closing of the purchase of Carlsbad under the Carlsbad Purchase Option,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(d) 365.</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Carlsbad Drop Down PSA</w:t>
      </w:r>
      <w:r>
        <w:rPr>
          <w:rFonts w:ascii="Arial" w:cs="Arial" w:eastAsia="Arial" w:hAnsi="Arial"/>
          <w:sz w:val="18"/>
          <w:szCs w:val="18"/>
          <w:color w:val="auto"/>
        </w:rPr>
        <w:t>” means that certain Purchase and Sale Agreement, dated as of February 6, 2018, by and between NRG Gas Development Company, LLC, as Seller and NRG Yield Operating LLC, as Purchaser.</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and policies of the Person in question, whether by the ownership of voting securities, contract or otherwise.</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or local government or political subdivision thereof, including any agency or entity exercising executive, legislative, judicial, regulatory or administrative governmental powers or functions, in each case to the extent the same has jurisdiction over the Person or property in question.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Kawailoa</w:t>
      </w:r>
      <w:r>
        <w:rPr>
          <w:rFonts w:ascii="Arial" w:cs="Arial" w:eastAsia="Arial" w:hAnsi="Arial"/>
          <w:sz w:val="18"/>
          <w:szCs w:val="18"/>
          <w:color w:val="auto"/>
        </w:rPr>
        <w:t>” consists of 100% of the membership interests in Kawailoa Renewables, LLC, which in turn owns 100% of the membership interests in Kawailoa Solar Portfolio, LLC, which in turn owns 100% of the membership interests in Kawailoa Solar Holdings, LLC which in turn owns 100% of the membership interests in Kawailoa Solar, LLC.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Langford</w:t>
      </w:r>
      <w:r>
        <w:rPr>
          <w:rFonts w:ascii="Arial" w:cs="Arial" w:eastAsia="Arial" w:hAnsi="Arial"/>
          <w:sz w:val="18"/>
          <w:szCs w:val="18"/>
          <w:color w:val="auto"/>
        </w:rPr>
        <w:t>” consists of 100% of the membership interest in Langford Wind Power, LLC.</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the Person in question, any actual liabilities, damages (but expressly excluding any consequential damages that were not reasonably foreseeable and punitive damages), losses, costs or expenses, including reasonable attorneys’ fees and expenses and court costs, incurred by such Person, as a result of the act, omission or occurrence in question.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Mesquite Star</w:t>
      </w:r>
      <w:r>
        <w:rPr>
          <w:rFonts w:ascii="Arial" w:cs="Arial" w:eastAsia="Arial" w:hAnsi="Arial"/>
          <w:sz w:val="18"/>
          <w:szCs w:val="18"/>
          <w:color w:val="auto"/>
        </w:rPr>
        <w:t>” consists of 100% of the membership interests in Mesquite Star Special,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NYLD Op</w:t>
      </w:r>
      <w:r>
        <w:rPr>
          <w:rFonts w:ascii="Arial" w:cs="Arial" w:eastAsia="Arial" w:hAnsi="Arial"/>
          <w:sz w:val="18"/>
          <w:szCs w:val="18"/>
          <w:color w:val="auto"/>
        </w:rPr>
        <w:t>” means NRG Yield Operating LLC, a Delaware limited liability company.</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Oahu</w:t>
      </w:r>
      <w:r>
        <w:rPr>
          <w:rFonts w:ascii="Arial" w:cs="Arial" w:eastAsia="Arial" w:hAnsi="Arial"/>
          <w:sz w:val="18"/>
          <w:szCs w:val="18"/>
          <w:color w:val="auto"/>
        </w:rPr>
        <w:t>” consists of 100% of the membership interests in Oahu Renewables, LLC, which in turn owns 100% of the membership interests in NRG Oahu Solar Holdings LLC, which in turn owns 100% of the membership interests in NRG Oahu Solar LLC, which in turn owns 100% of the membership interest in (i) Lanikuhana Solar, LLC and (ii) Waipio PV, LLC.</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Back-Leverage Financing</w:t>
      </w:r>
      <w:r>
        <w:rPr>
          <w:rFonts w:ascii="Arial" w:cs="Arial" w:eastAsia="Arial" w:hAnsi="Arial"/>
          <w:sz w:val="17"/>
          <w:szCs w:val="17"/>
          <w:color w:val="auto"/>
        </w:rPr>
        <w:t>” means in respect of any Zephyr ROFO Asset, a debt financing structure pursuant to which Zephyr causes an entity that is a part of such Zephyr ROFO Asset to monetize its investment and cash flow in a project owned by the Zephyr ROFO Asset.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Tax Equity Financing</w:t>
      </w:r>
      <w:r>
        <w:rPr>
          <w:rFonts w:ascii="Arial" w:cs="Arial" w:eastAsia="Arial" w:hAnsi="Arial"/>
          <w:sz w:val="17"/>
          <w:szCs w:val="17"/>
          <w:color w:val="auto"/>
        </w:rPr>
        <w:t>” means a tax equity financing entered into in connection with the acquisition, financing or refinancing by any Zephyr ROFO Asset (or any Subsidiary thereof) of any energy generating, transmission or distribution assets (or any assets related thereto).</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general or limited partnership, limited liability company, association, joint venture, trust, estate, Governmental Authority or other legal entity, in each case whether in its own or a representative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Securities Disclosure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Solar Portfolio</w:t>
      </w:r>
      <w:r>
        <w:rPr>
          <w:rFonts w:ascii="Arial" w:cs="Arial" w:eastAsia="Arial" w:hAnsi="Arial"/>
          <w:sz w:val="17"/>
          <w:szCs w:val="17"/>
          <w:color w:val="auto"/>
        </w:rPr>
        <w:t>” means one or more distributed generation portfolios developed or owned by Zephyr or its Subsidiaries after the Effective Date.</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general partnership or limited partnership Controlled by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Party or an Affiliate of a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other than in connection with any granting of liens permitted under any indebtedness of any Zephyr ROFO Asset or any disposition of assets resulting from the enforcement of such liens, any Permitted Tax Equity Financing or any Permitted Back-Leverage Financing, in each case, in respect of any Zephyr ROFO Asset, any assignment, sale, offer to sell, pledge, mortgage, hypothecation, encumbrance, disposition of or any other like transfer or encumbering (whether with or without consideration, directly or indirectly, voluntarily or involuntarily or by operation of law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that this definition shall not include any (i) merger with or into, or sale of all or substantially all of Zephyr’s assets to, an unaffiliated third-party or</w:t>
      </w:r>
    </w:p>
    <w:p>
      <w:pPr>
        <w:spacing w:after="0" w:line="2" w:lineRule="exact"/>
        <w:rPr>
          <w:sz w:val="20"/>
          <w:szCs w:val="20"/>
          <w:color w:val="auto"/>
        </w:rPr>
      </w:pPr>
    </w:p>
    <w:p>
      <w:pPr>
        <w:ind w:right="20" w:firstLine="8"/>
        <w:spacing w:after="0" w:line="255"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 restructuring involving any Zephyr ROFO Assets, so long as the terms of any such restructuring will not limit, delay or hinder the ability of Yield or any of its Subsidiaries to acquire such Zephyr ROFO Assets from Zephyr in accordance with the terms of this Agreement when Zephyr elects to sell, transfer or otherwise dispose of such Zephyr ROFO Assets.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Zephyr 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Zephyr Indemnitees</w:t>
      </w:r>
      <w:r>
        <w:rPr>
          <w:rFonts w:ascii="Arial" w:cs="Arial" w:eastAsia="Arial" w:hAnsi="Arial"/>
          <w:sz w:val="18"/>
          <w:szCs w:val="18"/>
          <w:color w:val="auto"/>
        </w:rPr>
        <w:t>” means Zephyr and its Affiliates, and each of their respective shareholders, members, partners, trustees, beneficiaries, directors, officers, employees, attorneys, accountants, consultants and agents, and the successors, assigns, legal representatives, heirs, devisees and donees of each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Zephyr ROFO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 OF FIRST OFFER ON ZEPHYR ROFO ASSETS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Zephyr ROFO Assets.</w:t>
      </w:r>
      <w:r>
        <w:rPr>
          <w:rFonts w:ascii="Arial" w:cs="Arial" w:eastAsia="Arial" w:hAnsi="Arial"/>
          <w:sz w:val="18"/>
          <w:szCs w:val="18"/>
          <w:color w:val="auto"/>
        </w:rPr>
        <w:t xml:space="preserve"> During the Term, Zephyr hereby grants to Yield and its Subsidiaries a right of first offer on any proposed Transfer of each of Kawailoa, Oahu, Langford, Mesquite Star, Carlsbad (but only if Zephyr or one of its Subsidiaries has acquired Carlsbad following the assignment of NYLD Op’s rights and obligations under the Carlsbad Drop Down PSA pursuant to Section 6.04 of the Carlsbad Drop Down PSA) and the Solar Portfolio (the “</w:t>
      </w:r>
      <w:r>
        <w:rPr>
          <w:rFonts w:ascii="Arial" w:cs="Arial" w:eastAsia="Arial" w:hAnsi="Arial"/>
          <w:sz w:val="18"/>
          <w:szCs w:val="18"/>
          <w:u w:val="single" w:color="auto"/>
          <w:color w:val="auto"/>
        </w:rPr>
        <w:t>Zephyr ROFO Assets</w:t>
      </w:r>
      <w:r>
        <w:rPr>
          <w:rFonts w:ascii="Arial" w:cs="Arial" w:eastAsia="Arial" w:hAnsi="Arial"/>
          <w:sz w:val="18"/>
          <w:szCs w:val="18"/>
          <w:color w:val="auto"/>
        </w:rPr>
        <w:t>”). In connection with the right of first offer on any proposed Transfer of the Solar Portfolio, Zephyr hereby grants Yield the right to make an equity investment of up to $190,000,000 in the Solar Portfolio.</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Notice of Transaction Related to Zephyr ROFO Assets and Negotiation of Definitive Terms for Transaction</w:t>
      </w:r>
      <w:r>
        <w:rPr>
          <w:rFonts w:ascii="Arial" w:cs="Arial" w:eastAsia="Arial" w:hAnsi="Arial"/>
          <w:sz w:val="16"/>
          <w:szCs w:val="16"/>
          <w:color w:val="auto"/>
        </w:rPr>
        <w:t>. Zephyr must deliver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to Yield no later than forty-five (45) days prior to engaging in any negotiation regarding any proposed Transfer of any Zephyr ROFO Asset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portion thereof), setting forth in reasonable detail the material terms and conditions of the proposed transaction (such offer notice, a “</w:t>
      </w:r>
      <w:r>
        <w:rPr>
          <w:rFonts w:ascii="Arial" w:cs="Arial" w:eastAsia="Arial" w:hAnsi="Arial"/>
          <w:sz w:val="17"/>
          <w:szCs w:val="17"/>
          <w:u w:val="single" w:color="auto"/>
          <w:color w:val="auto"/>
        </w:rPr>
        <w:t>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If Zephyr delivers a Transaction Notice to Yield, then Zephyr and Yield shall enter non-binding discussions and negotiate in good faith to attempt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on definitive terms that are acceptable to both Parties, in their sole and absolute discretion, for the Transfer of the applicable Zephyr ROFO Asset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or any of its Subsidiaries. If, within thirty (30) calendar days after the delivery of such Transaction Notice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the Parties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agreed to definitive terms for the Transfer of such Zephyr ROFO Asset to Yield, Zephyr will be able, within the next one hundred eighty (180) calendar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days, to Transfer such Zephyr ROFO Asset to a Third Party (or enter into a definitive agreement to undertake such transaction with a Third Party)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ectPr>
          <w:pgSz w:w="11900" w:h="16838" w:orient="portrait"/>
          <w:cols w:equalWidth="0" w:num="1">
            <w:col w:w="11380"/>
          </w:cols>
          <w:pgMar w:left="240" w:top="125" w:right="279" w:bottom="18" w:gutter="0" w:footer="0" w:header="0"/>
        </w:sectPr>
      </w:pPr>
    </w:p>
    <w:bookmarkStart w:id="50" w:name="page51"/>
    <w:bookmarkEnd w:id="50"/>
    <w:p>
      <w:pPr>
        <w:spacing w:after="0" w:line="9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Negotiations with Third Parties</w:t>
      </w:r>
      <w:r>
        <w:rPr>
          <w:rFonts w:ascii="Arial" w:cs="Arial" w:eastAsia="Arial" w:hAnsi="Arial"/>
          <w:sz w:val="17"/>
          <w:szCs w:val="17"/>
          <w:color w:val="auto"/>
        </w:rPr>
        <w:t>. Neither Zephyr nor any of its representatives, agents or Subsidiaries shall solicit offers from, or negotiate or enter into any agreement with, any Third Party for the Transfer of any Zephyr ROFO Asset (or any portion thereof) until the expiration of the Negotiation Period related to such Zephyr ROFO Asset and the proposed Transfer (the “</w:t>
      </w:r>
      <w:r>
        <w:rPr>
          <w:rFonts w:ascii="Arial" w:cs="Arial" w:eastAsia="Arial" w:hAnsi="Arial"/>
          <w:sz w:val="17"/>
          <w:szCs w:val="17"/>
          <w:u w:val="single" w:color="auto"/>
          <w:color w:val="auto"/>
        </w:rPr>
        <w:t>ROFO Termination Date</w:t>
      </w:r>
      <w:r>
        <w:rPr>
          <w:rFonts w:ascii="Arial" w:cs="Arial" w:eastAsia="Arial" w:hAnsi="Arial"/>
          <w:sz w:val="17"/>
          <w:szCs w:val="17"/>
          <w:color w:val="auto"/>
        </w:rPr>
        <w:t xml:space="preserve">”). Yield agrees and acknowledges that for a period of one hundred eighty (180) calendar days from and after the ROFO Termination Date for any Zephyr ROFO Asset and the applicable proposed Transfer: (a) Zephyr shall have the absolute right to solicit offers from, negotiate with, and enter into agreements with, any Third Party to Transfer such Zephyr ROFO Asset, on terms generally no less favorable to Zephyr than those offered to Yield pursuant to the Transaction Notice, and (b) Zephyr shall have no further obligation to negotiate with Yield regarding, or offer Yield the opportunity to acquire any interest in, such Zephyr ROFO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final terms of the Transfer of any Zephyr ROFO Asset to any Third Party be on terms generally no less favorable to Zephyr than those offered to Yield pursuant to the Transaction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one hundred eighty (180) calendar day period Zephyr has not Transferred such Zephyr ROFO Asset to a Third Party, such Zephyr ROFO Asset shall again be subject to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Carlsbad Purchase Option</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84" w:lineRule="auto"/>
        <w:tabs>
          <w:tab w:leader="none" w:pos="19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Zephyr Parent or one of its Subsidiaries (other than Yield or one of its Subsidiaries) acquires Carlsbad pursuant to the Carlsbad Drop Down PSA following the assignment of NYLD Op’s rights and obligations under the Carlsbad Drop Down PSA pursuant to Section 6.04 of the Carlsbad Drop Down PSA, then for a period of eighteen (18) months following the Closing Date (as defined in the Carlsbad Drop Down PSA), Yield shall have the right to purchase Carlsbad from Zephyr Parent or its applicable Subsidiary (other than Yield and its Subsidiaries), and Zephyr Parent or its applicable Subsidiary (other than Yield and its Subsidiaries) shall be required to sell Carlsbad to Yield (the “</w:t>
      </w:r>
      <w:r>
        <w:rPr>
          <w:rFonts w:ascii="Arial" w:cs="Arial" w:eastAsia="Arial" w:hAnsi="Arial"/>
          <w:sz w:val="16"/>
          <w:szCs w:val="16"/>
          <w:u w:val="single" w:color="auto"/>
          <w:color w:val="auto"/>
        </w:rPr>
        <w:t>Carlsbad Purchase Option</w:t>
      </w:r>
      <w:r>
        <w:rPr>
          <w:rFonts w:ascii="Arial" w:cs="Arial" w:eastAsia="Arial" w:hAnsi="Arial"/>
          <w:sz w:val="16"/>
          <w:szCs w:val="16"/>
          <w:color w:val="auto"/>
        </w:rPr>
        <w:t xml:space="preserve">”). The purchase price payable by Yield to purchase Carlsbad upon exercising its purchase right shall be equal to (a) the Final Purchase Price (as defined in the Carlsbad Drop Down PSA) </w:t>
      </w:r>
      <w:r>
        <w:rPr>
          <w:rFonts w:ascii="Arial" w:cs="Arial" w:eastAsia="Arial" w:hAnsi="Arial"/>
          <w:sz w:val="16"/>
          <w:szCs w:val="16"/>
          <w:u w:val="single" w:color="auto"/>
          <w:color w:val="auto"/>
        </w:rPr>
        <w:t>plus</w:t>
      </w:r>
    </w:p>
    <w:p>
      <w:pPr>
        <w:spacing w:after="0" w:line="4" w:lineRule="exact"/>
        <w:rPr>
          <w:rFonts w:ascii="Arial" w:cs="Arial" w:eastAsia="Arial" w:hAnsi="Arial"/>
          <w:sz w:val="16"/>
          <w:szCs w:val="16"/>
          <w:color w:val="auto"/>
        </w:rPr>
      </w:pPr>
    </w:p>
    <w:p>
      <w:pPr>
        <w:ind w:right="40" w:firstLine="8"/>
        <w:spacing w:after="0" w:line="26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Carlsbad Accrual Adjustment,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(c) the amount of distributions received by Zephyr Parent or its applicable Subsidiary (other than Yield and its Subsidiaries) from Carlsbad following the Closing Date under the Carlsbad Drop Down PSA. If upon the closing of the purchase of Carlsbad by Yield pursuant to the Carlsbad Purchase Option, all parts of the Final Purchase Price under the Carlsbad Drop Down PSA have not been finally determined, the portion of the purchase price payable at the closing of the purchase of Carlsbad pursuant to the Carlsbad Purchase Option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shall instead be equal to the amount paid by Zephyr Parent or its applicable Subsidiary (other than Yield and its Subsidiaries) on the Closing Date under the Carlsbad Drop Down PSA pursuant to Section 2.03(b)(i) of the Carlsbad Drop Down PSA, and the purchase agreement for the Carlsbad Purchase Option shall include a purchase price adjustment to place the parties in the same economic position as they would have been in had the Final Purchase Price under the Carlsbad Drop Down PSA been known at the closing of the purchase of Carlsbad pursuant to the Carlsbad Purchase Option. The purchase agreement for the Carlsbad Purchase Option shall otherwise be substantially consistent with the Carlsbad Drop Down PSA with such modifications thereto as shall be reasonably agreed by Zephyr Parent and Yield.</w:t>
      </w:r>
    </w:p>
    <w:p>
      <w:pPr>
        <w:spacing w:after="0" w:line="179" w:lineRule="exact"/>
        <w:rPr>
          <w:rFonts w:ascii="Arial" w:cs="Arial" w:eastAsia="Arial" w:hAnsi="Arial"/>
          <w:sz w:val="17"/>
          <w:szCs w:val="17"/>
          <w:color w:val="auto"/>
        </w:rPr>
      </w:pPr>
    </w:p>
    <w:p>
      <w:pPr>
        <w:ind w:right="320" w:firstLine="1305"/>
        <w:spacing w:after="0" w:line="277" w:lineRule="auto"/>
        <w:tabs>
          <w:tab w:leader="none" w:pos="19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Yield does not exercise the Carlsbad Purchase Option during the eighteen (18)-month period following the Closing Date, the Carlsbad Purchase Option shall expire, but Carlsbad shall continue to constitute a Zephyr ROFO Asset.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TERMINATION RIGHTS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Unless earlier terminated in accordance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shall commence on the Effective Date and shall continue in effect until the fifth (5th) anniversary of the Effective Date, at which time this Agreement shall terminate and the Parties shall have no further rights or obligations under this Agreement, except those that expressly survive the termination of this Agreement.</w:t>
      </w:r>
    </w:p>
    <w:p>
      <w:pPr>
        <w:spacing w:after="0" w:line="16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Termination Rights</w:t>
      </w:r>
      <w:r>
        <w:rPr>
          <w:rFonts w:ascii="Arial" w:cs="Arial" w:eastAsia="Arial" w:hAnsi="Arial"/>
          <w:sz w:val="17"/>
          <w:szCs w:val="17"/>
          <w:color w:val="auto"/>
        </w:rPr>
        <w:t>. This Agreement may be terminated at any time (a) by mutual written consent of Zephyr and Yield or (b) by Zephyr or Yield, as the case may be, with written notice to the other Party, if the other Party materially breaches or defaults in the performance of its obligations under this Agreement or under any transaction agreement entered into by the Parties in connection with any Zephyr ROFO Assets, and such breach or default is continuing for thirty (30) days after such breaching Party has been given a written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specifying such default or breach and requiring it to be remedied and stating that such notice is a “Notice of Default” hereunder. Upon any such termination the Parties shall have no further rights or obligations under this Agreement, except those that expressly survive the termination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Zephyr Confidential Information</w:t>
      </w:r>
      <w:r>
        <w:rPr>
          <w:rFonts w:ascii="Arial" w:cs="Arial" w:eastAsia="Arial" w:hAnsi="Arial"/>
          <w:sz w:val="16"/>
          <w:szCs w:val="16"/>
          <w:color w:val="auto"/>
        </w:rPr>
        <w:t>. Yield shall keep confidential and not make any public announcement or disclose to any Person any terms of any documents, materials, data or other information with respect to any Zephyr ROFO Asset which is not generally known to the public (the “</w:t>
      </w:r>
      <w:r>
        <w:rPr>
          <w:rFonts w:ascii="Arial" w:cs="Arial" w:eastAsia="Arial" w:hAnsi="Arial"/>
          <w:sz w:val="16"/>
          <w:szCs w:val="16"/>
          <w:u w:val="single" w:color="auto"/>
          <w:color w:val="auto"/>
        </w:rPr>
        <w:t>Zephyr Confidential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Zephyr Confidential Information shall not include (a) the terms and conditions of this Agreement or (b) information that becomes available to Yield on a non-confidential basis from a source other than the Zephyr, its Affiliates or their directors, officers or employees; </w:t>
      </w:r>
      <w:r>
        <w:rPr>
          <w:rFonts w:ascii="Arial" w:cs="Arial" w:eastAsia="Arial" w:hAnsi="Arial"/>
          <w:sz w:val="16"/>
          <w:szCs w:val="16"/>
          <w:u w:val="single" w:color="auto"/>
          <w:color w:val="auto"/>
        </w:rPr>
        <w:t>provided</w:t>
      </w:r>
      <w:r>
        <w:rPr>
          <w:rFonts w:ascii="Arial" w:cs="Arial" w:eastAsia="Arial" w:hAnsi="Arial"/>
          <w:sz w:val="16"/>
          <w:szCs w:val="16"/>
          <w:color w:val="auto"/>
        </w:rPr>
        <w:t>, that, to Yield’s knowledge, such source was not prohibited from disclosing such information to Yield by any legal, contractual or fiduciary duty. Notwithstanding the foregoing, Yield shall be permitted to (A) disclose any Zephyr Confidential Information to the extent required by court order or under Applicable Law, (B) make a public announcement regarding such matters (1) as agreed to in writing by Zephyr or (2) as required by the provisions of any securities laws or the requirements of any exchange on which Yield securities may be listed (a “</w:t>
      </w:r>
      <w:r>
        <w:rPr>
          <w:rFonts w:ascii="Arial" w:cs="Arial" w:eastAsia="Arial" w:hAnsi="Arial"/>
          <w:sz w:val="16"/>
          <w:szCs w:val="16"/>
          <w:u w:val="single" w:color="auto"/>
          <w:color w:val="auto"/>
        </w:rPr>
        <w:t>Required 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or (C) disclose any Zephyr Confidential Information to any Person on a “need-to-know” basis, such as its shareholders, partners, members, trustees, beneficiaries, directors, officers, employees, attorneys, consultants, lenders or other advisors;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other than in connection with a Required Securities Disclosure, Yield shall (x) advise such Person of the confidential nature of such Zephyr Confidential Information, and (y) cause such Person to be bound by obligations of confidentiality pursuant to the terms hereof that are no less stringent than the obligations set forth herein. Yield shall indemnify and hold harmless the Zephyr Indemnitees for any Losses incurred by any of the Zephyr Indemnitees for a breach or default of Yield’s obligations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survive the termination of this Agreement. If Yield purchases any Zephyr ROFO Asset pursuant to the terms of this Agreement, the confidentiality obligations of Yield with respect to such Zephyr ROFO Asset shall terminate upon the consummation of such purchase.</w:t>
      </w:r>
    </w:p>
    <w:p>
      <w:pPr>
        <w:sectPr>
          <w:pgSz w:w="11900" w:h="16931" w:orient="portrait"/>
          <w:cols w:equalWidth="0" w:num="1">
            <w:col w:w="11420"/>
          </w:cols>
          <w:pgMar w:left="240" w:top="125" w:right="239" w:bottom="0" w:gutter="0" w:footer="0" w:header="0"/>
        </w:sectPr>
      </w:pPr>
    </w:p>
    <w:bookmarkStart w:id="51" w:name="page52"/>
    <w:bookmarkEnd w:id="51"/>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Method of Delivery</w:t>
      </w:r>
      <w:r>
        <w:rPr>
          <w:rFonts w:ascii="Arial" w:cs="Arial" w:eastAsia="Arial" w:hAnsi="Arial"/>
          <w:sz w:val="18"/>
          <w:szCs w:val="18"/>
          <w:color w:val="auto"/>
        </w:rPr>
        <w:t>. All notices, requests, demands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required to be provided to the other Party pursuant to this Agreement shall be in writing and shall be delivered (i) in person, (ii) by certified U.S. mail, with postage prepaid and return receipt requested, (iii) by overnight courier service, (iv) by facsimile transmittal or (v) by email (which requires an acknowledgement by the recipient, it being understood that the recipient shall be obligated to confirm receipt if requested); </w:t>
      </w:r>
      <w:r>
        <w:rPr>
          <w:rFonts w:ascii="Arial" w:cs="Arial" w:eastAsia="Arial" w:hAnsi="Arial"/>
          <w:sz w:val="18"/>
          <w:szCs w:val="18"/>
          <w:u w:val="single" w:color="auto"/>
          <w:color w:val="auto"/>
        </w:rPr>
        <w:t>provided</w:t>
      </w:r>
      <w:r>
        <w:rPr>
          <w:rFonts w:ascii="Arial" w:cs="Arial" w:eastAsia="Arial" w:hAnsi="Arial"/>
          <w:sz w:val="18"/>
          <w:szCs w:val="18"/>
          <w:color w:val="auto"/>
        </w:rPr>
        <w:t>, that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the case of clauses (iv) and (v), a verification copy is sent on the same day by any of the methods set forth in clauses (i), (ii) and (iii), to the other Party to this Agreement at the following address, facsimile number or email address (or to such other address, facsimile number or email address as Zephyr or Yield may designate from time to time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Zephyr</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California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Alicia Stevenson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Alicia.stevenson@nrg.com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Zephyr Renewables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5790 Fleet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Jennifer.hein@nrg.com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Zephyr Parent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Global Infrastructure Management,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1345 Avenue of the Americas,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Jonathan Bram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+1 646 282 1500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jonathan.bram@global-infra.com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Global Infrastructure Management,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Peak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Wilton Road, 6th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SW1V 1AN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Joseph Blum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+44 207 798 0530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joe.blum@global-infra.com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Lieberman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+1 212 455 2502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dlieberman@stblaw.com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Yield: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Suite 300</w:t>
      </w:r>
    </w:p>
    <w:p>
      <w:pPr>
        <w:sectPr>
          <w:pgSz w:w="11900" w:h="16888" w:orient="portrait"/>
          <w:cols w:equalWidth="0" w:num="1">
            <w:col w:w="11420"/>
          </w:cols>
          <w:pgMar w:left="240" w:top="337" w:right="239" w:bottom="0" w:gutter="0" w:footer="0" w:header="0"/>
        </w:sectPr>
      </w:pPr>
    </w:p>
    <w:bookmarkStart w:id="52" w:name="page53"/>
    <w:bookmarkEnd w:id="52"/>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2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Attn:</w:t>
        <w:tab/>
        <w:t>Christopher Sotos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Chad Plotkin</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christopher.sotos@nrgyield.com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chad.plotkin@nrg.com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20004-2595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plynch@crowell.com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(202) 628-5116</w:t>
      </w:r>
    </w:p>
    <w:p>
      <w:pPr>
        <w:spacing w:after="0" w:line="211" w:lineRule="exact"/>
        <w:rPr>
          <w:sz w:val="20"/>
          <w:szCs w:val="20"/>
          <w:color w:val="auto"/>
        </w:rPr>
      </w:pPr>
    </w:p>
    <w:p>
      <w:pPr>
        <w:jc w:val="both"/>
        <w:ind w:right="280" w:firstLine="1305"/>
        <w:spacing w:after="0" w:line="291" w:lineRule="auto"/>
        <w:tabs>
          <w:tab w:leader="none" w:pos="195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Receipt of Notices</w:t>
      </w:r>
      <w:r>
        <w:rPr>
          <w:rFonts w:ascii="Arial" w:cs="Arial" w:eastAsia="Arial" w:hAnsi="Arial"/>
          <w:sz w:val="16"/>
          <w:szCs w:val="16"/>
          <w:color w:val="auto"/>
        </w:rPr>
        <w:t>. All Notices sent by the Parties under this Agreement shall be deemed to have been received by the Party to whom such Notice is sent (i) in the case of delivery by hand, when delivered; (ii) in the case of delivery by first class certified mail, receipt requested, five</w:t>
      </w:r>
    </w:p>
    <w:p>
      <w:pPr>
        <w:ind w:right="20" w:firstLine="8"/>
        <w:spacing w:after="0" w:line="287"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Business Days after being deposited in the mail, (iii) in the case of overnight courier service guaranteeing next day delivery, on the next Business Day after timely delivery to the courier (iv) in the case of facsimile, on acknowledgement of the addressee’s facsimile receiving equipment if received prior to 5 p.m., recipient’s time, on the Business Day of such transmittal, or on the next Business Day if received later than 5 p.m., recipient’s time or (v) in the case of an email, which requires an acknowledgement of receipt to be sent to the sender, at the time such acknowledgement is received by the sender if received prior to 5 p.m., recipient’s time, on the Business Day of such transmittal, or on the next Business Day if received later than 5 p.m., recipient’s time. If any Party attempts to deliver Notice and such recipient Party refuses delivery of such Notice or such recipient Party is no longer at such address, facsimile number or email address, and such recipient Party failed to provide the sending Party with its current address, facsimile number or email address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then such Notice shall be deemed to have been received by the recipient Party upon the sending Party’s attempted delivery.</w:t>
      </w:r>
    </w:p>
    <w:p>
      <w:pPr>
        <w:spacing w:after="0" w:line="170" w:lineRule="exact"/>
        <w:rPr>
          <w:rFonts w:ascii="Arial" w:cs="Arial" w:eastAsia="Arial" w:hAnsi="Arial"/>
          <w:sz w:val="16"/>
          <w:szCs w:val="16"/>
          <w:color w:val="auto"/>
        </w:rPr>
      </w:pPr>
    </w:p>
    <w:p>
      <w:pPr>
        <w:ind w:right="20" w:firstLine="1305"/>
        <w:spacing w:after="0" w:line="264" w:lineRule="auto"/>
        <w:tabs>
          <w:tab w:leader="none" w:pos="195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Change of Address</w:t>
      </w:r>
      <w:r>
        <w:rPr>
          <w:rFonts w:ascii="Arial" w:cs="Arial" w:eastAsia="Arial" w:hAnsi="Arial"/>
          <w:sz w:val="18"/>
          <w:szCs w:val="18"/>
          <w:color w:val="auto"/>
        </w:rPr>
        <w:t xml:space="preserve">. Zephyr and Yield and their respective counsel shall have the right to change their respective address, facsimile number and/or email address for the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by providing a Notice of such change in address, facsimile number and/or email address as required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Time is of the Essence</w:t>
      </w:r>
      <w:r>
        <w:rPr>
          <w:rFonts w:ascii="Arial" w:cs="Arial" w:eastAsia="Arial" w:hAnsi="Arial"/>
          <w:sz w:val="16"/>
          <w:szCs w:val="16"/>
          <w:color w:val="auto"/>
        </w:rPr>
        <w:t xml:space="preserve">. Time is of the essence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in this Agreement, if the time period for the performance of any covenant or obligation, satisfaction of any condition or delivery of any notice or item required under this Agreement shall expire on a day other than a Business Day, such time period shall be extended automatically to the next Business Day.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this Agreement or any interest therein to any Person, without the prior written consent of the other Party, which consent may be withheld in such Party’s sole discretion.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Zephyr and Yield and their respective successors and permitted assigns.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not confer any rights or remedies on any Person other than (i) the Parties and their respective successors and permitted assigns, and (ii) the Zephyr Indemnitees to the extent such Zephyr Indemnitees are expressly granted certain rights of indemnification in this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Other Activities</w:t>
      </w:r>
      <w:r>
        <w:rPr>
          <w:rFonts w:ascii="Arial" w:cs="Arial" w:eastAsia="Arial" w:hAnsi="Arial"/>
          <w:sz w:val="18"/>
          <w:szCs w:val="18"/>
          <w:color w:val="auto"/>
        </w:rPr>
        <w:t>. No Party shall be prohibited from engaging in or holding an interest in any other business ventures of any kind or description, or any responsibility to account to the other for the income or profits of any such enterprises or have this Agreement be deemed to constitute any agreement not to compete. This Agreement shall not be deemed to create a partnership, joint venture, association or any other similar relationship between the Parties.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59" w:lineRule="auto"/>
        <w:tabs>
          <w:tab w:leader="none" w:pos="1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and the transactions contemplated hereby shall be governed by the laws of the State of Delaware, without giving effect to any principles regarding conflict of laws. Any litigation or other court proceeding with respect to any matter arising from or in connection with this Agreement shall be conducted in the courts of record in the State of Delaware of the United States District Court for the District of Delaware, and Zephyr and Yield hereby submit to jurisdiction and consent to venue in such courts.</w:t>
      </w:r>
    </w:p>
    <w:p>
      <w:pPr>
        <w:spacing w:after="0" w:line="186" w:lineRule="exact"/>
        <w:rPr>
          <w:rFonts w:ascii="Arial" w:cs="Arial" w:eastAsia="Arial" w:hAnsi="Arial"/>
          <w:sz w:val="18"/>
          <w:szCs w:val="18"/>
          <w:color w:val="auto"/>
        </w:rPr>
      </w:pPr>
    </w:p>
    <w:p>
      <w:pPr>
        <w:ind w:right="220" w:firstLine="1305"/>
        <w:spacing w:after="0" w:line="27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Zephyr and Yield hereby waive their right to a trial by jury in any litigation or other court proceeding by either Party against the other Party with respect to any matter arising from or in connection with this Agreement or the transactions contemplated hereby.</w:t>
      </w:r>
    </w:p>
    <w:p>
      <w:pPr>
        <w:spacing w:after="0" w:line="170" w:lineRule="exact"/>
        <w:rPr>
          <w:rFonts w:ascii="Arial" w:cs="Arial" w:eastAsia="Arial" w:hAnsi="Arial"/>
          <w:sz w:val="18"/>
          <w:szCs w:val="18"/>
          <w:color w:val="auto"/>
        </w:rPr>
      </w:pPr>
    </w:p>
    <w:p>
      <w:pPr>
        <w:ind w:right="320" w:firstLine="1305"/>
        <w:spacing w:after="0" w:line="312" w:lineRule="auto"/>
        <w:tabs>
          <w:tab w:leader="none" w:pos="19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litigation or other court action, arbitration or similar adjudicatory proceeding is sought, taken, instituted or brought by Zephyr or Yield to enforce its rights under this Agreement, all fees, costs and expenses, including, without limitation, reasonable attorney’s fees and court costs, of the prevailing Party in such action, suit or proceeding shall be borne by the Party against whose interest the judgment or decision is rendered.</w:t>
      </w:r>
    </w:p>
    <w:p>
      <w:pPr>
        <w:spacing w:after="0" w:line="146" w:lineRule="exact"/>
        <w:rPr>
          <w:rFonts w:ascii="Arial" w:cs="Arial" w:eastAsia="Arial" w:hAnsi="Arial"/>
          <w:sz w:val="16"/>
          <w:szCs w:val="16"/>
          <w:color w:val="auto"/>
        </w:rPr>
      </w:pPr>
    </w:p>
    <w:p>
      <w:pPr>
        <w:ind w:right="840" w:firstLine="1305"/>
        <w:spacing w:after="0" w:line="342" w:lineRule="auto"/>
        <w:tabs>
          <w:tab w:leader="none" w:pos="19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in the event that any of the provisions of this Agreement and the transactions contemplated hereby were not performed in accordance with their specific terms or were otherwise breached. It is accordingly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agreed that the Parties shall be entitled to an injunction or injunctions to prevent breaches of this Agreement and the transactions contemplated hereby and to enforce specifically the terms and provisions of this Agreement and the transactions contemplated hereby in the courts of Delaware, this being in addition to</w:t>
      </w:r>
    </w:p>
    <w:p>
      <w:pPr>
        <w:sectPr>
          <w:pgSz w:w="11900" w:h="16975" w:orient="portrait"/>
          <w:cols w:equalWidth="0" w:num="1">
            <w:col w:w="11400"/>
          </w:cols>
          <w:pgMar w:left="240" w:top="125" w:right="259" w:bottom="0" w:gutter="0" w:footer="0" w:header="0"/>
        </w:sectPr>
      </w:pPr>
    </w:p>
    <w:bookmarkStart w:id="53" w:name="page54"/>
    <w:bookmarkEnd w:id="53"/>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other remedy to which such Party is entitled at law or in equity.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following rules shall apply to the construction and interpretation of this Agreement:</w:t>
      </w:r>
    </w:p>
    <w:p>
      <w:pPr>
        <w:spacing w:after="0" w:line="225" w:lineRule="exact"/>
        <w:rPr>
          <w:sz w:val="20"/>
          <w:szCs w:val="20"/>
          <w:color w:val="auto"/>
        </w:rPr>
      </w:pPr>
    </w:p>
    <w:p>
      <w:pPr>
        <w:ind w:firstLine="1305"/>
        <w:spacing w:after="0" w:line="277" w:lineRule="auto"/>
        <w:tabs>
          <w:tab w:leader="none" w:pos="19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Singular words shall connote the plural as well as the singular, and plural words shall connote the singular as well as the plural, and the masculine shall include the feminine and the neuter.</w:t>
      </w:r>
    </w:p>
    <w:p>
      <w:pPr>
        <w:spacing w:after="0" w:line="170" w:lineRule="exact"/>
        <w:rPr>
          <w:rFonts w:ascii="Arial" w:cs="Arial" w:eastAsia="Arial" w:hAnsi="Arial"/>
          <w:sz w:val="18"/>
          <w:szCs w:val="18"/>
          <w:color w:val="auto"/>
        </w:rPr>
      </w:pPr>
    </w:p>
    <w:p>
      <w:pPr>
        <w:ind w:right="260" w:firstLine="1305"/>
        <w:spacing w:after="0" w:line="259"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references in this Agreement to particular articles, sections, subsections or clauses (whether in upper or lower case) are references to articles, sections, subsections or clauses of this Agreement. All references in this Agreement to particular exhibits or schedules (whether in upper or lower case) are references to the exhibits and schedules attached to this Agreement, unless otherwise expressly stated or clearly apparent from the context of such reference.</w:t>
      </w:r>
    </w:p>
    <w:p>
      <w:pPr>
        <w:spacing w:after="0" w:line="186" w:lineRule="exact"/>
        <w:rPr>
          <w:rFonts w:ascii="Arial" w:cs="Arial" w:eastAsia="Arial" w:hAnsi="Arial"/>
          <w:sz w:val="18"/>
          <w:szCs w:val="18"/>
          <w:color w:val="auto"/>
        </w:rPr>
      </w:pPr>
    </w:p>
    <w:p>
      <w:pPr>
        <w:ind w:right="240" w:firstLine="1305"/>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headings contained herein are solely for convenience of reference and shall not constitute a part of this Agreement nor shall they affect its meaning, construction or effect.</w:t>
      </w:r>
    </w:p>
    <w:p>
      <w:pPr>
        <w:spacing w:after="0" w:line="170" w:lineRule="exact"/>
        <w:rPr>
          <w:rFonts w:ascii="Arial" w:cs="Arial" w:eastAsia="Arial" w:hAnsi="Arial"/>
          <w:sz w:val="18"/>
          <w:szCs w:val="18"/>
          <w:color w:val="auto"/>
        </w:rPr>
      </w:pPr>
    </w:p>
    <w:p>
      <w:pPr>
        <w:ind w:right="480" w:firstLine="1305"/>
        <w:spacing w:after="0" w:line="264"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Party and its counsel have reviewed and revised (or requested revisions of) this Agreement and have participated in the preparation of this Agreement, and therefore any usual rules of construction requiring that ambiguities are to be resolved against any Party shall not be applicable in the construction and interpretation of this Agreement or any exhibits hereto.</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“hereby,” “hereof,” “hereto,” “herein,” “hereunder” and any similar terms shall refer to this Agreement, and not solely to the provision in which such term is used.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“include,” “including” and similar terms shall be construed as if followed by the phrase “without limitation.”</w:t>
      </w:r>
    </w:p>
    <w:p>
      <w:pPr>
        <w:spacing w:after="0" w:line="225" w:lineRule="exact"/>
        <w:rPr>
          <w:rFonts w:ascii="Arial" w:cs="Arial" w:eastAsia="Arial" w:hAnsi="Arial"/>
          <w:sz w:val="18"/>
          <w:szCs w:val="18"/>
          <w:color w:val="auto"/>
        </w:rPr>
      </w:pPr>
    </w:p>
    <w:p>
      <w:pPr>
        <w:ind w:right="140" w:firstLine="1305"/>
        <w:spacing w:after="0" w:line="264" w:lineRule="auto"/>
        <w:tabs>
          <w:tab w:leader="none" w:pos="19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 “sole discretion” with respect to any determination to be made by a Party under this Agreement shall mean the sole and absolute discretion of such Party, without regard to any standard of reasonableness or other standard by which the determination of such Party might be challenged.</w:t>
      </w:r>
    </w:p>
    <w:p>
      <w:pPr>
        <w:spacing w:after="0" w:line="181"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held to be or rendered invalid or unenforceable at any time in any jurisdiction, such term or provision shall not affect the validity or enforceability of any other terms or provisions of this Agreement, or the validity or enforceability of such affected terms or provisions at any other time or in any other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Recitals, Exhibits and Schedules</w:t>
      </w:r>
      <w:r>
        <w:rPr>
          <w:rFonts w:ascii="Arial" w:cs="Arial" w:eastAsia="Arial" w:hAnsi="Arial"/>
          <w:sz w:val="18"/>
          <w:szCs w:val="18"/>
          <w:color w:val="auto"/>
        </w:rPr>
        <w:t>. The recitals to this Agreement, and all exhibits and schedules referred to in this Agreement are incorporated herein by such reference and made a part of this Agreement. Any matter disclosed in any schedule to this Agreement shall be deemed to be incorporated in all other schedules to this Agreement.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and agreement of the Parties hereto, and shall supersede any other agreements and understandings (written or oral) between Zephyr and Yield on or prior to the date of this Agreement with respect to the matters contemplated in this Agreement.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No amendment, supplement or other modification to any terms of this Agreement shall be valid unless in writing and executed and delivered by Zephyr and Yield.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Facsimile; Counterparts</w:t>
      </w:r>
      <w:r>
        <w:rPr>
          <w:rFonts w:ascii="Arial" w:cs="Arial" w:eastAsia="Arial" w:hAnsi="Arial"/>
          <w:sz w:val="18"/>
          <w:szCs w:val="18"/>
          <w:color w:val="auto"/>
        </w:rPr>
        <w:t>. Zephyr and Yield may deliver executed signature pages to this Agreement by facsimile or electronic transmission to the other Party, which facsimile or electronic copy shall be deemed to be an original executed signature page. This Agreement may be executed in any number of counterparts, each of which shall be deemed an original and all of which counterparts together shall constitute one agreement with the same effect as if the Parties had signed the same signature page.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Zephyr and Yield each have caused this Agreement to be executed and delivered in their names by their respective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or representatives as of the date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Zephyr</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ZEPHYR RENEWABLES LLC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Cornelius</w:t>
            </w:r>
          </w:p>
        </w:tc>
      </w:tr>
      <w:tr>
        <w:trPr>
          <w:trHeight w:val="195"/>
        </w:trPr>
        <w:tc>
          <w:tcPr>
            <w:tcW w:w="5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200"/>
              <w:spacing w:after="0" w:line="195" w:lineRule="exact"/>
              <w:rPr>
                <w:sz w:val="20"/>
                <w:szCs w:val="20"/>
                <w:color w:val="auto"/>
              </w:rPr>
            </w:pPr>
            <w:r>
              <w:rPr>
                <w:rFonts w:ascii="Arial" w:cs="Arial" w:eastAsia="Arial" w:hAnsi="Arial"/>
                <w:sz w:val="18"/>
                <w:szCs w:val="18"/>
                <w:color w:val="auto"/>
              </w:rPr>
              <w:t>Craig Cornelius</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Yield</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ectPr>
          <w:pgSz w:w="11900" w:h="16902" w:orient="portrait"/>
          <w:cols w:equalWidth="0" w:num="1">
            <w:col w:w="11420"/>
          </w:cols>
          <w:pgMar w:left="240" w:top="125" w:right="239" w:bottom="0" w:gutter="0" w:footer="0" w:header="0"/>
        </w:sectPr>
      </w:pPr>
    </w:p>
    <w:bookmarkStart w:id="54" w:name="page55"/>
    <w:bookmarkEnd w:id="54"/>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20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0"/>
              <w:spacing w:after="0"/>
              <w:rPr>
                <w:sz w:val="20"/>
                <w:szCs w:val="20"/>
                <w:color w:val="auto"/>
              </w:rPr>
            </w:pPr>
            <w:r>
              <w:rPr>
                <w:rFonts w:ascii="Arial" w:cs="Arial" w:eastAsia="Arial" w:hAnsi="Arial"/>
                <w:sz w:val="18"/>
                <w:szCs w:val="18"/>
                <w:color w:val="auto"/>
              </w:rPr>
              <w:t>Senior Vice President &amp; CFO</w:t>
            </w:r>
          </w:p>
        </w:tc>
      </w:tr>
    </w:tbl>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ROFO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Zephyr Parent</w:t>
      </w:r>
      <w:r>
        <w:rPr>
          <w:rFonts w:ascii="Arial" w:cs="Arial" w:eastAsia="Arial" w:hAnsi="Arial"/>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GIP III ZEPHYR ACQUISITION PARTNERS, L.P.</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Global Infrastructure GP III, L.P., its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Global Infrastructure Investors III, LLC, 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ROFO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55" w:name="page56"/>
    <w:bookmarkEnd w:id="55"/>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ZEPHYR VOTING AND GOVERNANCE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ZEPHYR RENEWABLES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367030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60" w:type="dxa"/>
            <w:vAlign w:val="bottom"/>
            <w:gridSpan w:val="2"/>
          </w:tcPr>
          <w:p>
            <w:pPr>
              <w:jc w:val="right"/>
              <w:ind w:right="4668"/>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r>
      <w:tr>
        <w:trPr>
          <w:trHeight w:val="411"/>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w w:val="99"/>
              </w:rPr>
              <w:t>ARTICLE I</w:t>
            </w:r>
          </w:p>
        </w:tc>
      </w:tr>
      <w:tr>
        <w:trPr>
          <w:trHeight w:val="230"/>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60" w:type="dxa"/>
            <w:vAlign w:val="bottom"/>
            <w:gridSpan w:val="2"/>
          </w:tcPr>
          <w:p>
            <w:pPr>
              <w:jc w:val="center"/>
              <w:ind w:right="3848"/>
              <w:spacing w:after="0"/>
              <w:rPr>
                <w:sz w:val="20"/>
                <w:szCs w:val="20"/>
                <w:color w:val="auto"/>
              </w:rPr>
            </w:pPr>
            <w:r>
              <w:rPr>
                <w:rFonts w:ascii="Arial" w:cs="Arial" w:eastAsia="Arial" w:hAnsi="Arial"/>
                <w:sz w:val="18"/>
                <w:szCs w:val="18"/>
                <w:color w:val="auto"/>
                <w:w w:val="98"/>
              </w:rPr>
              <w:t>DEFINITIONS</w:t>
            </w:r>
          </w:p>
        </w:tc>
      </w:tr>
      <w:tr>
        <w:trPr>
          <w:trHeight w:val="41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w:t>
            </w:r>
          </w:p>
        </w:tc>
        <w:tc>
          <w:tcPr>
            <w:tcW w:w="2940" w:type="dxa"/>
            <w:vAlign w:val="bottom"/>
          </w:tcPr>
          <w:p>
            <w:pPr>
              <w:ind w:left="140"/>
              <w:spacing w:after="0"/>
              <w:rPr>
                <w:sz w:val="20"/>
                <w:szCs w:val="20"/>
                <w:color w:val="auto"/>
              </w:rPr>
            </w:pPr>
            <w:r>
              <w:rPr>
                <w:rFonts w:ascii="Arial" w:cs="Arial" w:eastAsia="Arial" w:hAnsi="Arial"/>
                <w:sz w:val="18"/>
                <w:szCs w:val="18"/>
                <w:color w:val="auto"/>
              </w:rPr>
              <w:t>Certain Defined Terms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w:t>
            </w:r>
          </w:p>
        </w:tc>
        <w:tc>
          <w:tcPr>
            <w:tcW w:w="294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360" w:type="dxa"/>
            <w:vAlign w:val="bottom"/>
            <w:gridSpan w:val="2"/>
          </w:tcPr>
          <w:p>
            <w:pPr>
              <w:jc w:val="center"/>
              <w:ind w:right="3848"/>
              <w:spacing w:after="0"/>
              <w:rPr>
                <w:sz w:val="20"/>
                <w:szCs w:val="20"/>
                <w:color w:val="auto"/>
              </w:rPr>
            </w:pPr>
            <w:r>
              <w:rPr>
                <w:rFonts w:ascii="Arial" w:cs="Arial" w:eastAsia="Arial" w:hAnsi="Arial"/>
                <w:sz w:val="18"/>
                <w:szCs w:val="18"/>
                <w:color w:val="auto"/>
              </w:rPr>
              <w:t>ARTICLE II</w:t>
            </w:r>
          </w:p>
        </w:tc>
      </w:tr>
      <w:tr>
        <w:trPr>
          <w:trHeight w:val="230"/>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CORPORATE GOVERNANCE</w:t>
            </w:r>
          </w:p>
        </w:tc>
      </w:tr>
      <w:tr>
        <w:trPr>
          <w:trHeight w:val="41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2.1.</w:t>
            </w:r>
          </w:p>
        </w:tc>
        <w:tc>
          <w:tcPr>
            <w:tcW w:w="2940" w:type="dxa"/>
            <w:vAlign w:val="bottom"/>
          </w:tcPr>
          <w:p>
            <w:pPr>
              <w:ind w:left="140"/>
              <w:spacing w:after="0"/>
              <w:rPr>
                <w:sz w:val="20"/>
                <w:szCs w:val="20"/>
                <w:color w:val="auto"/>
              </w:rPr>
            </w:pPr>
            <w:r>
              <w:rPr>
                <w:rFonts w:ascii="Arial" w:cs="Arial" w:eastAsia="Arial" w:hAnsi="Arial"/>
                <w:sz w:val="18"/>
                <w:szCs w:val="18"/>
                <w:color w:val="auto"/>
              </w:rPr>
              <w:t>Board Size and Composition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2.2.</w:t>
            </w:r>
          </w:p>
        </w:tc>
        <w:tc>
          <w:tcPr>
            <w:tcW w:w="2940" w:type="dxa"/>
            <w:vAlign w:val="bottom"/>
          </w:tcPr>
          <w:p>
            <w:pPr>
              <w:ind w:left="140"/>
              <w:spacing w:after="0"/>
              <w:rPr>
                <w:sz w:val="20"/>
                <w:szCs w:val="20"/>
                <w:color w:val="auto"/>
              </w:rPr>
            </w:pPr>
            <w:r>
              <w:rPr>
                <w:rFonts w:ascii="Arial" w:cs="Arial" w:eastAsia="Arial" w:hAnsi="Arial"/>
                <w:sz w:val="18"/>
                <w:szCs w:val="18"/>
                <w:color w:val="auto"/>
                <w:w w:val="97"/>
              </w:rPr>
              <w:t>Implementation of Staggered Board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2.3.</w:t>
            </w:r>
          </w:p>
        </w:tc>
        <w:tc>
          <w:tcPr>
            <w:tcW w:w="2940" w:type="dxa"/>
            <w:vAlign w:val="bottom"/>
          </w:tcPr>
          <w:p>
            <w:pPr>
              <w:ind w:left="140"/>
              <w:spacing w:after="0"/>
              <w:rPr>
                <w:sz w:val="20"/>
                <w:szCs w:val="20"/>
                <w:color w:val="auto"/>
              </w:rPr>
            </w:pPr>
            <w:r>
              <w:rPr>
                <w:rFonts w:ascii="Arial" w:cs="Arial" w:eastAsia="Arial" w:hAnsi="Arial"/>
                <w:sz w:val="18"/>
                <w:szCs w:val="18"/>
                <w:color w:val="auto"/>
              </w:rPr>
              <w:t>CEO</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2.4.</w:t>
            </w:r>
          </w:p>
        </w:tc>
        <w:tc>
          <w:tcPr>
            <w:tcW w:w="2940" w:type="dxa"/>
            <w:vAlign w:val="bottom"/>
          </w:tcPr>
          <w:p>
            <w:pPr>
              <w:ind w:left="140"/>
              <w:spacing w:after="0"/>
              <w:rPr>
                <w:sz w:val="20"/>
                <w:szCs w:val="20"/>
                <w:color w:val="auto"/>
              </w:rPr>
            </w:pPr>
            <w:r>
              <w:rPr>
                <w:rFonts w:ascii="Arial" w:cs="Arial" w:eastAsia="Arial" w:hAnsi="Arial"/>
                <w:sz w:val="18"/>
                <w:szCs w:val="18"/>
                <w:color w:val="auto"/>
              </w:rPr>
              <w:t>Future Dispositions by Sponsor</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rPr>
              <w:t>ARTICLE III</w:t>
            </w:r>
          </w:p>
        </w:tc>
      </w:tr>
      <w:tr>
        <w:trPr>
          <w:trHeight w:val="230"/>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w w:val="96"/>
              </w:rPr>
              <w:t>EFFECTIVENESS AND TERMINATION</w:t>
            </w:r>
          </w:p>
        </w:tc>
      </w:tr>
      <w:tr>
        <w:trPr>
          <w:trHeight w:val="41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3.1.</w:t>
            </w:r>
          </w:p>
        </w:tc>
        <w:tc>
          <w:tcPr>
            <w:tcW w:w="2940" w:type="dxa"/>
            <w:vAlign w:val="bottom"/>
          </w:tcPr>
          <w:p>
            <w:pPr>
              <w:ind w:left="140"/>
              <w:spacing w:after="0"/>
              <w:rPr>
                <w:sz w:val="20"/>
                <w:szCs w:val="20"/>
                <w:color w:val="auto"/>
              </w:rPr>
            </w:pPr>
            <w:r>
              <w:rPr>
                <w:rFonts w:ascii="Arial" w:cs="Arial" w:eastAsia="Arial" w:hAnsi="Arial"/>
                <w:sz w:val="18"/>
                <w:szCs w:val="18"/>
                <w:color w:val="auto"/>
              </w:rPr>
              <w:t>Term</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3.2.</w:t>
            </w:r>
          </w:p>
        </w:tc>
        <w:tc>
          <w:tcPr>
            <w:tcW w:w="2940" w:type="dxa"/>
            <w:vAlign w:val="bottom"/>
          </w:tcPr>
          <w:p>
            <w:pPr>
              <w:ind w:left="140"/>
              <w:spacing w:after="0"/>
              <w:rPr>
                <w:sz w:val="20"/>
                <w:szCs w:val="20"/>
                <w:color w:val="auto"/>
              </w:rPr>
            </w:pPr>
            <w:r>
              <w:rPr>
                <w:rFonts w:ascii="Arial" w:cs="Arial" w:eastAsia="Arial" w:hAnsi="Arial"/>
                <w:sz w:val="18"/>
                <w:szCs w:val="18"/>
                <w:color w:val="auto"/>
              </w:rPr>
              <w:t>Effect of Termination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w w:val="99"/>
              </w:rPr>
              <w:t>ARTICLE IV</w:t>
            </w:r>
          </w:p>
        </w:tc>
      </w:tr>
      <w:tr>
        <w:trPr>
          <w:trHeight w:val="230"/>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60" w:type="dxa"/>
            <w:vAlign w:val="bottom"/>
            <w:gridSpan w:val="2"/>
          </w:tcPr>
          <w:p>
            <w:pPr>
              <w:jc w:val="center"/>
              <w:ind w:right="3868"/>
              <w:spacing w:after="0"/>
              <w:rPr>
                <w:sz w:val="20"/>
                <w:szCs w:val="20"/>
                <w:color w:val="auto"/>
              </w:rPr>
            </w:pPr>
            <w:r>
              <w:rPr>
                <w:rFonts w:ascii="Arial" w:cs="Arial" w:eastAsia="Arial" w:hAnsi="Arial"/>
                <w:sz w:val="18"/>
                <w:szCs w:val="18"/>
                <w:color w:val="auto"/>
                <w:w w:val="97"/>
              </w:rPr>
              <w:t>MISCELLANEOUS</w:t>
            </w:r>
          </w:p>
        </w:tc>
      </w:tr>
      <w:tr>
        <w:trPr>
          <w:trHeight w:val="41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4.1.</w:t>
            </w:r>
          </w:p>
        </w:tc>
        <w:tc>
          <w:tcPr>
            <w:tcW w:w="2940" w:type="dxa"/>
            <w:vAlign w:val="bottom"/>
          </w:tcPr>
          <w:p>
            <w:pPr>
              <w:ind w:left="140"/>
              <w:spacing w:after="0"/>
              <w:rPr>
                <w:sz w:val="20"/>
                <w:szCs w:val="20"/>
                <w:color w:val="auto"/>
              </w:rPr>
            </w:pPr>
            <w:r>
              <w:rPr>
                <w:rFonts w:ascii="Arial" w:cs="Arial" w:eastAsia="Arial" w:hAnsi="Arial"/>
                <w:sz w:val="18"/>
                <w:szCs w:val="18"/>
                <w:color w:val="auto"/>
              </w:rPr>
              <w:t>Amendments and Modifications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4.2.</w:t>
            </w:r>
          </w:p>
        </w:tc>
        <w:tc>
          <w:tcPr>
            <w:tcW w:w="2940" w:type="dxa"/>
            <w:vAlign w:val="bottom"/>
          </w:tcPr>
          <w:p>
            <w:pPr>
              <w:ind w:left="140"/>
              <w:spacing w:after="0"/>
              <w:rPr>
                <w:sz w:val="20"/>
                <w:szCs w:val="20"/>
                <w:color w:val="auto"/>
              </w:rPr>
            </w:pPr>
            <w:r>
              <w:rPr>
                <w:rFonts w:ascii="Arial" w:cs="Arial" w:eastAsia="Arial" w:hAnsi="Arial"/>
                <w:sz w:val="18"/>
                <w:szCs w:val="18"/>
                <w:color w:val="auto"/>
              </w:rPr>
              <w:t>Waivers, Delays or Omissions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4.3.</w:t>
            </w:r>
          </w:p>
        </w:tc>
        <w:tc>
          <w:tcPr>
            <w:tcW w:w="2940" w:type="dxa"/>
            <w:vAlign w:val="bottom"/>
          </w:tcPr>
          <w:p>
            <w:pPr>
              <w:ind w:left="140"/>
              <w:spacing w:after="0"/>
              <w:rPr>
                <w:sz w:val="20"/>
                <w:szCs w:val="20"/>
                <w:color w:val="auto"/>
              </w:rPr>
            </w:pPr>
            <w:r>
              <w:rPr>
                <w:rFonts w:ascii="Arial" w:cs="Arial" w:eastAsia="Arial" w:hAnsi="Arial"/>
                <w:sz w:val="18"/>
                <w:szCs w:val="18"/>
                <w:color w:val="auto"/>
                <w:w w:val="92"/>
              </w:rPr>
              <w:t>Successors, Assigns and Transferees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4.4.</w:t>
            </w:r>
          </w:p>
        </w:tc>
        <w:tc>
          <w:tcPr>
            <w:tcW w:w="2940" w:type="dxa"/>
            <w:vAlign w:val="bottom"/>
          </w:tcPr>
          <w:p>
            <w:pPr>
              <w:ind w:left="140"/>
              <w:spacing w:after="0"/>
              <w:rPr>
                <w:sz w:val="20"/>
                <w:szCs w:val="20"/>
                <w:color w:val="auto"/>
              </w:rPr>
            </w:pPr>
            <w:r>
              <w:rPr>
                <w:rFonts w:ascii="Arial" w:cs="Arial" w:eastAsia="Arial" w:hAnsi="Arial"/>
                <w:sz w:val="18"/>
                <w:szCs w:val="18"/>
                <w:color w:val="auto"/>
              </w:rPr>
              <w:t>Notices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4.5.</w:t>
            </w:r>
          </w:p>
        </w:tc>
        <w:tc>
          <w:tcPr>
            <w:tcW w:w="294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4.6.</w:t>
            </w:r>
          </w:p>
        </w:tc>
        <w:tc>
          <w:tcPr>
            <w:tcW w:w="29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4.7.</w:t>
            </w:r>
          </w:p>
        </w:tc>
        <w:tc>
          <w:tcPr>
            <w:tcW w:w="2940" w:type="dxa"/>
            <w:vAlign w:val="bottom"/>
          </w:tcPr>
          <w:p>
            <w:pPr>
              <w:ind w:left="140"/>
              <w:spacing w:after="0"/>
              <w:rPr>
                <w:sz w:val="20"/>
                <w:szCs w:val="20"/>
                <w:color w:val="auto"/>
              </w:rPr>
            </w:pPr>
            <w:r>
              <w:rPr>
                <w:rFonts w:ascii="Arial" w:cs="Arial" w:eastAsia="Arial" w:hAnsi="Arial"/>
                <w:sz w:val="18"/>
                <w:szCs w:val="18"/>
                <w:color w:val="auto"/>
              </w:rPr>
              <w:t>Submission to Jurisdiction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4.8.</w:t>
            </w:r>
          </w:p>
        </w:tc>
        <w:tc>
          <w:tcPr>
            <w:tcW w:w="294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4.9.</w:t>
            </w:r>
          </w:p>
        </w:tc>
        <w:tc>
          <w:tcPr>
            <w:tcW w:w="29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Section 4.10.</w:t>
            </w:r>
          </w:p>
        </w:tc>
        <w:tc>
          <w:tcPr>
            <w:tcW w:w="2940" w:type="dxa"/>
            <w:vAlign w:val="bottom"/>
          </w:tcPr>
          <w:p>
            <w:pPr>
              <w:ind w:left="140"/>
              <w:spacing w:after="0"/>
              <w:rPr>
                <w:sz w:val="20"/>
                <w:szCs w:val="20"/>
                <w:color w:val="auto"/>
              </w:rPr>
            </w:pPr>
            <w:r>
              <w:rPr>
                <w:rFonts w:ascii="Arial" w:cs="Arial" w:eastAsia="Arial" w:hAnsi="Arial"/>
                <w:sz w:val="18"/>
                <w:szCs w:val="18"/>
                <w:color w:val="auto"/>
              </w:rPr>
              <w:t>Third-Party Beneficiaries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Section 4.11.</w:t>
            </w:r>
          </w:p>
        </w:tc>
        <w:tc>
          <w:tcPr>
            <w:tcW w:w="294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Section 4.12.</w:t>
            </w:r>
          </w:p>
        </w:tc>
        <w:tc>
          <w:tcPr>
            <w:tcW w:w="2940" w:type="dxa"/>
            <w:vAlign w:val="bottom"/>
          </w:tcPr>
          <w:p>
            <w:pPr>
              <w:ind w:left="140"/>
              <w:spacing w:after="0"/>
              <w:rPr>
                <w:sz w:val="20"/>
                <w:szCs w:val="20"/>
                <w:color w:val="auto"/>
              </w:rPr>
            </w:pPr>
            <w:r>
              <w:rPr>
                <w:rFonts w:ascii="Arial" w:cs="Arial" w:eastAsia="Arial" w:hAnsi="Arial"/>
                <w:sz w:val="18"/>
                <w:szCs w:val="18"/>
                <w:color w:val="auto"/>
              </w:rPr>
              <w:t>Titles and Subtitles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Section 4.13.</w:t>
            </w:r>
          </w:p>
        </w:tc>
        <w:tc>
          <w:tcPr>
            <w:tcW w:w="294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GOVERNANCE AGREEMENT</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This VOTING AND GOVERNANCE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August 31,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entered into by and between NRG Yield, Inc., a Delaware corporation (“</w:t>
      </w:r>
      <w:r>
        <w:rPr>
          <w:rFonts w:ascii="Arial" w:cs="Arial" w:eastAsia="Arial" w:hAnsi="Arial"/>
          <w:sz w:val="17"/>
          <w:szCs w:val="17"/>
          <w:u w:val="single" w:color="auto"/>
          <w:color w:val="auto"/>
        </w:rPr>
        <w:t>NYLD</w:t>
      </w:r>
      <w:r>
        <w:rPr>
          <w:rFonts w:ascii="Arial" w:cs="Arial" w:eastAsia="Arial" w:hAnsi="Arial"/>
          <w:sz w:val="17"/>
          <w:szCs w:val="17"/>
          <w:color w:val="auto"/>
        </w:rPr>
        <w:t>”), Zephyr Renewables LLC, a Delaware limited liability company (“</w:t>
      </w:r>
      <w:r>
        <w:rPr>
          <w:rFonts w:ascii="Arial" w:cs="Arial" w:eastAsia="Arial" w:hAnsi="Arial"/>
          <w:sz w:val="17"/>
          <w:szCs w:val="17"/>
          <w:u w:val="single" w:color="auto"/>
          <w:color w:val="auto"/>
        </w:rPr>
        <w:t>Sponsor</w:t>
      </w:r>
      <w:r>
        <w:rPr>
          <w:rFonts w:ascii="Arial" w:cs="Arial" w:eastAsia="Arial" w:hAnsi="Arial"/>
          <w:sz w:val="17"/>
          <w:szCs w:val="17"/>
          <w:color w:val="auto"/>
        </w:rPr>
        <w:t>”), and each other member of the Sponsor Group that becomes party to this Agreement from time to time pursuant to Section 4.3 (collectively with Sponsor, the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Each of NYLD and the Sponsor Parties is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WHEREAS, NRG Energy, Inc., a Delaware corporation, NRG Repowering Holdings LLC, a Delaware limited liability company, and GIP III Zephyr Acquisition Partners, L.P. (“</w:t>
      </w:r>
      <w:r>
        <w:rPr>
          <w:rFonts w:ascii="Arial" w:cs="Arial" w:eastAsia="Arial" w:hAnsi="Arial"/>
          <w:sz w:val="16"/>
          <w:szCs w:val="16"/>
          <w:u w:val="single" w:color="auto"/>
          <w:color w:val="auto"/>
        </w:rPr>
        <w:t>Purchaser</w:t>
      </w:r>
      <w:r>
        <w:rPr>
          <w:rFonts w:ascii="Arial" w:cs="Arial" w:eastAsia="Arial" w:hAnsi="Arial"/>
          <w:sz w:val="16"/>
          <w:szCs w:val="16"/>
          <w:color w:val="auto"/>
        </w:rPr>
        <w:t>”), a Delaware limited partnership, have entered into that certain Purchase and Sale Agreement, dated as of February 6, 2018 (the “</w:t>
      </w:r>
      <w:r>
        <w:rPr>
          <w:rFonts w:ascii="Arial" w:cs="Arial" w:eastAsia="Arial" w:hAnsi="Arial"/>
          <w:sz w:val="16"/>
          <w:szCs w:val="16"/>
          <w:u w:val="single" w:color="auto"/>
          <w:color w:val="auto"/>
        </w:rPr>
        <w:t>PSA</w:t>
      </w:r>
      <w:r>
        <w:rPr>
          <w:rFonts w:ascii="Arial" w:cs="Arial" w:eastAsia="Arial" w:hAnsi="Arial"/>
          <w:sz w:val="16"/>
          <w:szCs w:val="16"/>
          <w:color w:val="auto"/>
        </w:rPr>
        <w:t>”), pursuant to which, among other things, Purchaser purchased, as of the Effective Date, one hundred percent (100%) of the outstanding</w:t>
      </w:r>
    </w:p>
    <w:p>
      <w:pPr>
        <w:sectPr>
          <w:pgSz w:w="11900" w:h="16925" w:orient="portrait"/>
          <w:cols w:equalWidth="0" w:num="1">
            <w:col w:w="11420"/>
          </w:cols>
          <w:pgMar w:left="240" w:top="121" w:right="239" w:bottom="0" w:gutter="0" w:footer="0" w:header="0"/>
        </w:sectPr>
      </w:pPr>
    </w:p>
    <w:bookmarkStart w:id="56" w:name="page57"/>
    <w:bookmarkEnd w:id="56"/>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membership interests of Sponsor, which owns, among other assets, (a) one hundred percent (100%) of the Class B shares and one hundred percent (100%) of the Class D shares of NYLD, and (b) one hundred percent (100%) of the Class B membership units and one hundred percent (100%) of the Class D membership units of NRG Yield LLC, a Delaware limited liability company (“</w:t>
      </w:r>
      <w:r>
        <w:rPr>
          <w:rFonts w:ascii="Arial" w:cs="Arial" w:eastAsia="Arial" w:hAnsi="Arial"/>
          <w:sz w:val="18"/>
          <w:szCs w:val="18"/>
          <w:u w:val="single" w:color="auto"/>
          <w:color w:val="auto"/>
        </w:rPr>
        <w:t>NYLD LLC</w:t>
      </w:r>
      <w:r>
        <w:rPr>
          <w:rFonts w:ascii="Arial" w:cs="Arial" w:eastAsia="Arial" w:hAnsi="Arial"/>
          <w:sz w:val="18"/>
          <w:szCs w:val="18"/>
          <w:color w:val="auto"/>
        </w:rPr>
        <w:t>”); and</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WHEREAS, the Parties desire to establish herein certain rights and obligations with respect to the governance of NYLD and the relationship between the Sponsor Parties (as defined below) and NYLD at and following the Effective Date.</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in common control with,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u w:val="single" w:color="auto"/>
          <w:color w:val="auto"/>
        </w:rPr>
        <w:t>beneficially own</w:t>
      </w:r>
      <w:r>
        <w:rPr>
          <w:rFonts w:ascii="Arial" w:cs="Arial" w:eastAsia="Arial" w:hAnsi="Arial"/>
          <w:sz w:val="18"/>
          <w:szCs w:val="18"/>
          <w:color w:val="auto"/>
        </w:rPr>
        <w:t xml:space="preserve">” has the meaning given such term in Rules 13d-3 and 13d-5 under the Securities Exchange Act of 1934, as amended, and a Person’s beneficial ownership of Voting Securities shall be calculated in accordance with the provisions of such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beneficial ownership, (a)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Person shall be deemed to be the beneficial owner of any security which may be acquired by such Person, whether within sixty (60) days or thereafter, upon the conversion, exchange or exercise of any warrants, options, rights or other securities and (b) no Person shall be deemed beneficially to own any security solely as a result of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NYLD.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a day which is a statutory or civic holiday in the State of New York.</w:t>
      </w:r>
    </w:p>
    <w:p>
      <w:pPr>
        <w:spacing w:after="0" w:line="225"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third amended and restated bylaws of NYLD, as amended and restated as of February 23, 2016, and as the same may be amended, supplemented or otherwise modified from time to time in accordance with the terms thereof and the terms of the Charter or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NYLD.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restated certificate of incorporation of NYLD, as restated as of May 2, 2016, and as the same may be amended, supplemented or otherwise modified from time to time in accordance with the terms thereof or this Agreement.</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collectively (a) the Class A common stock, par value $0.01 per share, (b) the Class B common stock, par value $0.01 per share, (c) the Class C common stock, par value $0.01 per share, and (d) the Class D common stock, par value $0.01 per share, in each case, of NYLD.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Conflicts Committee</w:t>
      </w:r>
      <w:r>
        <w:rPr>
          <w:rFonts w:ascii="Arial" w:cs="Arial" w:eastAsia="Arial" w:hAnsi="Arial"/>
          <w:sz w:val="17"/>
          <w:szCs w:val="17"/>
          <w:color w:val="auto"/>
        </w:rPr>
        <w:t>” means the committee of the Board designated as the “Corporate Governance, Conflicts and Nominating Committee”.</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Conflicts Committee Charter</w:t>
      </w:r>
      <w:r>
        <w:rPr>
          <w:rFonts w:ascii="Arial" w:cs="Arial" w:eastAsia="Arial" w:hAnsi="Arial"/>
          <w:sz w:val="18"/>
          <w:szCs w:val="18"/>
          <w:color w:val="auto"/>
        </w:rPr>
        <w:t>” means the charter of the Conflicts Committee, adopted on July 16, 2013, as amended on September 28, 2017, and as the same may be amended, supplemented or otherwise modified from time to time in accordance with the terms thereof.</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means, with respect to any Person, any other Person controlled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director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(a) international, national, multinational, federal, provincial, state, regional, municipal, local or other government, governmental or public department, central bank, court, tribunal, arbitral body, commission, board, bureau, agency or instrumentality, domestic or foreign, including any independent electricity system operator, a regional transmission organization, national system operator or any other similar organization overseeing the transmission of electricity, (b) self-regulatory organization or stock exchange, (c) subdivision, agent, commission, board or</w:t>
      </w:r>
    </w:p>
    <w:p>
      <w:pPr>
        <w:sectPr>
          <w:pgSz w:w="11900" w:h="16945" w:orient="portrait"/>
          <w:cols w:equalWidth="0" w:num="1">
            <w:col w:w="11420"/>
          </w:cols>
          <w:pgMar w:left="240" w:top="125" w:right="239" w:bottom="0" w:gutter="0" w:footer="0" w:header="0"/>
        </w:sectPr>
      </w:pPr>
    </w:p>
    <w:bookmarkStart w:id="57" w:name="page58"/>
    <w:bookmarkEnd w:id="57"/>
    <w:p>
      <w:pPr>
        <w:ind w:right="460"/>
        <w:spacing w:after="0" w:line="277" w:lineRule="auto"/>
        <w:rPr>
          <w:sz w:val="20"/>
          <w:szCs w:val="20"/>
          <w:color w:val="auto"/>
        </w:rPr>
      </w:pPr>
      <w:r>
        <w:rPr>
          <w:rFonts w:ascii="Arial" w:cs="Arial" w:eastAsia="Arial" w:hAnsi="Arial"/>
          <w:sz w:val="18"/>
          <w:szCs w:val="18"/>
          <w:color w:val="auto"/>
        </w:rPr>
        <w:t>authority of any of the foregoing, or (d) quasi-governmental or private body exercising any regulatory, expropriation or taxing authority under or for the account of any of the foregoing.</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means, with respect to any person that serves as a Director or is nominated or designated to serve as a Director at any time, the satisfaction by such person of the requirements to be “independent” under the Stock Exchange Rules and any applicable rules and regulations of the Securities and Exchange Commission (or any successor agency).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Sponsor Directors</w:t>
      </w:r>
      <w:r>
        <w:rPr>
          <w:rFonts w:ascii="Arial" w:cs="Arial" w:eastAsia="Arial" w:hAnsi="Arial"/>
          <w:sz w:val="18"/>
          <w:szCs w:val="18"/>
          <w:color w:val="auto"/>
        </w:rPr>
        <w:t>” means Nathaniel Anschuetz, Jonathan Bram, Bruce MacLennan, E. Stanley O’Neal and Scott Stanley.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Directors who are Independent.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 law, constitution, treaty, statute, code, ordinance, principle of common and civil law and equity, rule, regulation and municipal bylaw, whether domestic, foreign or international, (b) judicial, arbitral, administrative, ministerial, departmental and regulatory judgment, order, writ, injunction, decision and award of any Governmental Authority, and (c) policy, practice and guideline of any Governmental Authority which, although not actually having the force of law, is considered by such Governmental Authority as requiring compliance as if having the force of law, and the term “applicable”, with respect to such Law and in the context that refers to one or more Persons, means such Law that applies to such Person or Persons or its or their business, undertaking, property or securities at the relevant time and that emanates from a Governmental Authority having jurisdiction over the Person or Persons or its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their business, undertaking, property 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has the meaning assigned to such term in Section 4.4(a).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NYLD</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NYLD LLC</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joint venture, trust, association or other unincorporated organization or other entity, including any government or any agency or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PSA</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Directors</w:t>
      </w:r>
      <w:r>
        <w:rPr>
          <w:rFonts w:ascii="Arial" w:cs="Arial" w:eastAsia="Arial" w:hAnsi="Arial"/>
          <w:sz w:val="16"/>
          <w:szCs w:val="16"/>
          <w:color w:val="auto"/>
        </w:rPr>
        <w:t>” means (a) as of the Effective Date, the Initial Sponsor Directors, (b) following the Effective Date (as the case may be), the Initial Sponsor Directors or the Directors designated by the Sponsor and either elected or appointed to the Board pursuant to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Group</w:t>
      </w:r>
      <w:r>
        <w:rPr>
          <w:rFonts w:ascii="Arial" w:cs="Arial" w:eastAsia="Arial" w:hAnsi="Arial"/>
          <w:sz w:val="18"/>
          <w:szCs w:val="18"/>
          <w:color w:val="auto"/>
        </w:rPr>
        <w:t>” means Sponsor and its Affiliates (other than NYLD and its Controlled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Party</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Rules</w:t>
      </w:r>
      <w:r>
        <w:rPr>
          <w:rFonts w:ascii="Arial" w:cs="Arial" w:eastAsia="Arial" w:hAnsi="Arial"/>
          <w:sz w:val="18"/>
          <w:szCs w:val="18"/>
          <w:color w:val="auto"/>
        </w:rPr>
        <w:t>” means the rules and regulations of the New York Stock Exchange or, if the shares of Common Stock are listed on another primary securities exchange, of the securities exchange on which the shares of Common Stock are listed at such time.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(a) the Common Stock and (b) shares of any other class of capital stock of NYLD then entitled to vote generally in the election of Directors.</w:t>
      </w:r>
    </w:p>
    <w:p>
      <w:pPr>
        <w:spacing w:after="0" w:line="16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9" w:lineRule="exact"/>
        <w:rPr>
          <w:sz w:val="20"/>
          <w:szCs w:val="20"/>
          <w:color w:val="auto"/>
        </w:rPr>
      </w:pPr>
    </w:p>
    <w:p>
      <w:pPr>
        <w:ind w:right="60" w:firstLine="1305"/>
        <w:spacing w:after="0" w:line="312" w:lineRule="auto"/>
        <w:tabs>
          <w:tab w:leader="none" w:pos="19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Article and Section references are to this Agreement unless otherwise specified. The words “include”, “includes” and “including” are not words of limitation and shall be deemed to be followed by the words “without limitation”.</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References to a party to this Agreement include its successors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permitted assigns.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u w:val="single" w:color="auto"/>
          <w:color w:val="auto"/>
        </w:rPr>
        <w:t>Board Size and Composition</w:t>
      </w:r>
      <w:r>
        <w:rPr>
          <w:rFonts w:ascii="Arial" w:cs="Arial" w:eastAsia="Arial" w:hAnsi="Arial"/>
          <w:sz w:val="16"/>
          <w:szCs w:val="16"/>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Effective Date, the Board shall be comprised of nine (9) Directors, which shall include:</w:t>
      </w:r>
    </w:p>
    <w:p>
      <w:pPr>
        <w:sectPr>
          <w:pgSz w:w="11900" w:h="16838" w:orient="portrait"/>
          <w:cols w:equalWidth="0" w:num="1">
            <w:col w:w="11420"/>
          </w:cols>
          <w:pgMar w:left="240" w:top="125" w:right="239" w:bottom="0" w:gutter="0" w:footer="0" w:header="0"/>
        </w:sectPr>
      </w:pPr>
    </w:p>
    <w:bookmarkStart w:id="58" w:name="page59"/>
    <w:bookmarkEnd w:id="58"/>
    <w:p>
      <w:pPr>
        <w:ind w:left="1940" w:hanging="635"/>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three (3) Independent Directors;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five (5) Sponsor Directors;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CEO.</w:t>
      </w:r>
    </w:p>
    <w:p>
      <w:pPr>
        <w:spacing w:after="0" w:line="22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u w:val="single" w:color="auto"/>
          <w:color w:val="auto"/>
        </w:rPr>
        <w:t>Implementation of Staggered Board</w:t>
      </w:r>
      <w:r>
        <w:rPr>
          <w:rFonts w:ascii="Arial" w:cs="Arial" w:eastAsia="Arial" w:hAnsi="Arial"/>
          <w:sz w:val="16"/>
          <w:szCs w:val="16"/>
          <w:color w:val="auto"/>
        </w:rPr>
        <w:t>.</w:t>
      </w:r>
    </w:p>
    <w:p>
      <w:pPr>
        <w:spacing w:after="0" w:line="229" w:lineRule="exact"/>
        <w:rPr>
          <w:sz w:val="20"/>
          <w:szCs w:val="20"/>
          <w:color w:val="auto"/>
        </w:rPr>
      </w:pPr>
    </w:p>
    <w:p>
      <w:pPr>
        <w:ind w:right="20" w:firstLine="1305"/>
        <w:spacing w:after="0" w:line="285" w:lineRule="auto"/>
        <w:tabs>
          <w:tab w:leader="none" w:pos="1942"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Following the Effective Date, the Parties shall use their respective commercially reasonable efforts to cause to be considered at the first annual meeting of NYLD stockholders following the Effective Date a proposal for an amendment to the Charter to provide for a classified Board consisting of two (2) classes, each with a two (2)-year term (other than the initial term of the Class I Directors) and which shall be designated as Class I and Class II. Class I shall include two (2) Sponsor Directors, two (2) Independent Directors and the CEO, and Class II shall include three (3) Sponsor Directors and one (1) Independent Director. The initial term of the Class I Directors shall be one (1) year, and the initial term of the Class II Directors shall be two</w:t>
      </w:r>
    </w:p>
    <w:p>
      <w:pPr>
        <w:spacing w:after="0" w:line="2" w:lineRule="exact"/>
        <w:rPr>
          <w:rFonts w:ascii="Arial" w:cs="Arial" w:eastAsia="Arial" w:hAnsi="Arial"/>
          <w:sz w:val="16"/>
          <w:szCs w:val="16"/>
          <w:color w:val="auto"/>
        </w:rPr>
      </w:pPr>
    </w:p>
    <w:p>
      <w:pPr>
        <w:ind w:right="600" w:firstLine="8"/>
        <w:spacing w:after="0" w:line="323"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years. Thereafter, each class of Directors shall serve for a two (2)-year term. The Charter amendment proposal shall also provide that Article Ten, Section 1 of the Charter is revised to provide that NYLD stockholders may remove Directors before the end of their respective terms only for cause.</w:t>
      </w:r>
    </w:p>
    <w:p>
      <w:pPr>
        <w:spacing w:after="0" w:line="138" w:lineRule="exact"/>
        <w:rPr>
          <w:rFonts w:ascii="Arial" w:cs="Arial" w:eastAsia="Arial" w:hAnsi="Arial"/>
          <w:sz w:val="16"/>
          <w:szCs w:val="16"/>
          <w:color w:val="auto"/>
        </w:rPr>
      </w:pPr>
    </w:p>
    <w:p>
      <w:pPr>
        <w:ind w:firstLine="1305"/>
        <w:spacing w:after="0" w:line="277" w:lineRule="auto"/>
        <w:tabs>
          <w:tab w:leader="none" w:pos="19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Sponsor Party shall vote all Voting Securities owned by it in favor of the proposal to approve an amendment to the Charter to create a classified Board as described in Section 2.2(a)</w:t>
      </w:r>
    </w:p>
    <w:p>
      <w:pPr>
        <w:spacing w:after="0" w:line="170" w:lineRule="exact"/>
        <w:rPr>
          <w:rFonts w:ascii="Arial" w:cs="Arial" w:eastAsia="Arial" w:hAnsi="Arial"/>
          <w:sz w:val="18"/>
          <w:szCs w:val="18"/>
          <w:color w:val="auto"/>
        </w:rPr>
      </w:pPr>
    </w:p>
    <w:p>
      <w:pPr>
        <w:ind w:right="560" w:firstLine="1305"/>
        <w:spacing w:after="0" w:line="277" w:lineRule="auto"/>
        <w:tabs>
          <w:tab w:leader="none" w:pos="19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Sponsor Party agrees that it will not seek to remove any Independent Director from the Board prior to the first annual meeting of NYLD stockholders following the Effective Date (other than for cause).</w:t>
      </w:r>
    </w:p>
    <w:p>
      <w:pPr>
        <w:spacing w:after="0" w:line="166" w:lineRule="exact"/>
        <w:rPr>
          <w:sz w:val="20"/>
          <w:szCs w:val="20"/>
          <w:color w:val="auto"/>
        </w:rPr>
      </w:pPr>
    </w:p>
    <w:p>
      <w:pPr>
        <w:ind w:right="220" w:firstLine="1297"/>
        <w:spacing w:after="0" w:line="313"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u w:val="single" w:color="auto"/>
          <w:color w:val="auto"/>
        </w:rPr>
        <w:t>CEO</w:t>
      </w:r>
      <w:r>
        <w:rPr>
          <w:rFonts w:ascii="Arial" w:cs="Arial" w:eastAsia="Arial" w:hAnsi="Arial"/>
          <w:sz w:val="17"/>
          <w:szCs w:val="17"/>
          <w:color w:val="auto"/>
        </w:rPr>
        <w:t>. Following the Effective Date, the CEO shall be employed by NYLD and shall devote his or her full professional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energy to NYLD. The CEO shall not be required to provide services to any Person other than NYLD and its Controlled Affiliates.</w:t>
      </w:r>
    </w:p>
    <w:p>
      <w:pPr>
        <w:spacing w:after="0" w:line="138"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u w:val="single" w:color="auto"/>
          <w:color w:val="auto"/>
        </w:rPr>
        <w:t>Future Dispositions by Sponsor</w:t>
      </w:r>
      <w:r>
        <w:rPr>
          <w:rFonts w:ascii="Arial" w:cs="Arial" w:eastAsia="Arial" w:hAnsi="Arial"/>
          <w:sz w:val="18"/>
          <w:szCs w:val="18"/>
          <w:color w:val="auto"/>
        </w:rPr>
        <w:t>. In connection with any proposed sale, assignment or other transfer (in each case,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indirectly, by operation of law or otherwise) by a member of the Sponsor Group of record or beneficial ownership of any Voting Securities or of any membership interests of NYLD LLC (any such transaction, a “</w:t>
      </w:r>
      <w:r>
        <w:rPr>
          <w:rFonts w:ascii="Arial" w:cs="Arial" w:eastAsia="Arial" w:hAnsi="Arial"/>
          <w:sz w:val="18"/>
          <w:szCs w:val="18"/>
          <w:u w:val="single" w:color="auto"/>
          <w:color w:val="auto"/>
        </w:rPr>
        <w:t>Disposition</w:t>
      </w:r>
      <w:r>
        <w:rPr>
          <w:rFonts w:ascii="Arial" w:cs="Arial" w:eastAsia="Arial" w:hAnsi="Arial"/>
          <w:sz w:val="18"/>
          <w:szCs w:val="18"/>
          <w:color w:val="auto"/>
        </w:rPr>
        <w:t>”), NYLD shall provide all cooperation and assistance and take such customary actions as may be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reasonably requested by Sponsor to effectuate the Disposition, including, without limitation, making available to a potential transferee of Sponsor or such member of the Sponsor Group information concerning NYLD and its subsidiaries that may be reasonably requested by Sponsor (subject to customary confidentiality arrangements). If NYLD consent to such Disposition is required or is requested by the Sponsor, NYLD will not unreasonably withhold, condition or delay such consent.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EFFECTIVENESS AND TERMINATION</w:t>
      </w:r>
    </w:p>
    <w:p>
      <w:pPr>
        <w:spacing w:after="0" w:line="207" w:lineRule="exact"/>
        <w:rPr>
          <w:sz w:val="20"/>
          <w:szCs w:val="20"/>
          <w:color w:val="auto"/>
        </w:rPr>
      </w:pPr>
    </w:p>
    <w:p>
      <w:pPr>
        <w:ind w:right="680" w:firstLine="1297"/>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take effect immediately upon the Effective Date and, subject to Section 4.3(d),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upon the Sponsor Parties collectively owning less than 50% of the voting interest of NYLD.</w:t>
      </w:r>
    </w:p>
    <w:p>
      <w:pPr>
        <w:spacing w:after="0" w:line="162" w:lineRule="exact"/>
        <w:rPr>
          <w:sz w:val="20"/>
          <w:szCs w:val="20"/>
          <w:color w:val="auto"/>
        </w:rPr>
      </w:pPr>
    </w:p>
    <w:p>
      <w:pPr>
        <w:ind w:right="720" w:firstLine="1297"/>
        <w:spacing w:after="0" w:line="266"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the termination of this Agreement, all provisions of this Agreement, other than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III and Section 1.2, Section 2.4, Section 4.4, Section 4.5, Section 4.6, Section 4.7, Section 4.8, Section 4.9, Section 4.10, Section 4.11 and Section 4.12, shall terminate and be of no further force and effect.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This Agreement may not be amended, modified or supplemented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by course of conduct or otherwise, except by an instrument in writing specifically designated as an amendment hereto, signed on behalf of each Party. The approval by NYLD of any such amendment, modification or supplement shall be subject to approval by a majority of the Board and a majority of the Conflicts Committee.</w:t>
      </w:r>
    </w:p>
    <w:p>
      <w:pPr>
        <w:spacing w:after="0" w:line="180"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u w:val="single" w:color="auto"/>
          <w:color w:val="auto"/>
        </w:rPr>
        <w:t>Waivers, Delays or Omissions</w:t>
      </w:r>
      <w:r>
        <w:rPr>
          <w:rFonts w:ascii="Arial" w:cs="Arial" w:eastAsia="Arial" w:hAnsi="Arial"/>
          <w:sz w:val="17"/>
          <w:szCs w:val="17"/>
          <w:color w:val="auto"/>
        </w:rPr>
        <w:t>. It is agreed that no delay or omission to exercise any right, power or remedy accruing to</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of any breach, default or noncompliance under this Agreement or any waiver on such Party’s part of any provisions or conditions of this Agreement, must be in writing and executed and delivered by a duly authorized officer on behalf of such Party and shall be effective only to the extent specifically set forth in such writing. All remedies, either under this Agreement, by law or otherwise afforded to any party, will be deemed cumulative with and not exclusive of any other remedy, and the exercise by a Party of any one remedy will not preclude the exercise of any other remedy.</w:t>
      </w:r>
    </w:p>
    <w:p>
      <w:pPr>
        <w:spacing w:after="0" w:line="17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5"/>
          <w:szCs w:val="15"/>
          <w:u w:val="single" w:color="auto"/>
          <w:color w:val="auto"/>
        </w:rPr>
        <w:t>Successors, Assigns and Transferees</w:t>
      </w:r>
      <w:r>
        <w:rPr>
          <w:rFonts w:ascii="Arial" w:cs="Arial" w:eastAsia="Arial" w:hAnsi="Arial"/>
          <w:sz w:val="15"/>
          <w:szCs w:val="15"/>
          <w:color w:val="auto"/>
        </w:rPr>
        <w:t>.</w:t>
      </w:r>
    </w:p>
    <w:p>
      <w:pPr>
        <w:spacing w:after="0" w:line="229" w:lineRule="exact"/>
        <w:rPr>
          <w:sz w:val="20"/>
          <w:szCs w:val="20"/>
          <w:color w:val="auto"/>
        </w:rPr>
      </w:pPr>
    </w:p>
    <w:p>
      <w:pPr>
        <w:ind w:left="5660" w:right="4200" w:hanging="4355"/>
        <w:spacing w:after="0" w:line="528" w:lineRule="auto"/>
        <w:tabs>
          <w:tab w:leader="none" w:pos="19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 the Parties and their respective successors and permitted assigns.</w:t>
      </w:r>
    </w:p>
    <w:p>
      <w:pPr>
        <w:sectPr>
          <w:pgSz w:w="11900" w:h="16838" w:orient="portrait"/>
          <w:cols w:equalWidth="0" w:num="1">
            <w:col w:w="11380"/>
          </w:cols>
          <w:pgMar w:left="240" w:top="125" w:right="279" w:bottom="0" w:gutter="0" w:footer="0" w:header="0"/>
        </w:sectPr>
      </w:pPr>
    </w:p>
    <w:bookmarkStart w:id="59" w:name="page60"/>
    <w:bookmarkEnd w:id="59"/>
    <w:p>
      <w:pPr>
        <w:ind w:firstLine="1305"/>
        <w:spacing w:after="0" w:line="271" w:lineRule="auto"/>
        <w:tabs>
          <w:tab w:leader="none" w:pos="19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Upon any sale, assignment or other transfer by a Sponsor Party of record and beneficial ownership of any Voting Securities held by it to a member of the Sponsor Group that is not then a Sponsor Party, the transferor Sponsor Party shall cause the transferee member of the Sponsor Group to become a party to this Agreement by executing and delivering to NYLD a joinder to this Agreement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execution and delivery shall be a condition to the effectiveness of the transfer of such Voting Securities to the transferee member of the Sponsor Group. Any sale, assignment or other transfer of record and beneficial ownership of Voting Securities by a Sponsor Party to a member of the Sponsor Group that is not then a Sponsor Party that does not include the execution and delivery to NYLD of such joinder prior to or concurrently with such sale, assignment or transfer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the Voting Securities that otherwise would have been transferred to such Person shall be deemed to be held or returned to the Sponsor Party that last held such Voting Securities.</w:t>
      </w:r>
    </w:p>
    <w:p>
      <w:pPr>
        <w:spacing w:after="0" w:line="178" w:lineRule="exact"/>
        <w:rPr>
          <w:rFonts w:ascii="Arial" w:cs="Arial" w:eastAsia="Arial" w:hAnsi="Arial"/>
          <w:sz w:val="17"/>
          <w:szCs w:val="17"/>
          <w:color w:val="auto"/>
        </w:rPr>
      </w:pPr>
    </w:p>
    <w:p>
      <w:pPr>
        <w:ind w:right="40" w:firstLine="1305"/>
        <w:spacing w:after="0" w:line="259" w:lineRule="auto"/>
        <w:tabs>
          <w:tab w:leader="none" w:pos="1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Upon the acquisition by any member of the Sponsor Group that is not then a Sponsor Party of record and beneficial ownership of Voting Securities from a Person that is not a Sponsor Party, each Sponsor Party shall cause such acquiring member of the Sponsor Group to become a party to this Agreement by executing and delivering to NYLD a joinder to this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promptly as practicable following such acquisition (but in no event later than ten (10) Business Days thereafter).</w:t>
      </w:r>
    </w:p>
    <w:p>
      <w:pPr>
        <w:spacing w:after="0" w:line="186" w:lineRule="exact"/>
        <w:rPr>
          <w:rFonts w:ascii="Arial" w:cs="Arial" w:eastAsia="Arial" w:hAnsi="Arial"/>
          <w:sz w:val="18"/>
          <w:szCs w:val="18"/>
          <w:color w:val="auto"/>
        </w:rPr>
      </w:pPr>
    </w:p>
    <w:p>
      <w:pPr>
        <w:ind w:right="260" w:firstLine="1305"/>
        <w:spacing w:after="0" w:line="257" w:lineRule="auto"/>
        <w:tabs>
          <w:tab w:leader="none" w:pos="19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Notwithstanding Section 3.1 and subject to the acquiror or acquirors executing and delivering to NYLD a joinder to this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the Sponsor Parties shall have the right to assign this Agreement to and for the benefit of any Person or group (as such term is used in Sections 13(d) and 14(d) of the Exchange Act) that acquires more than 50% of the voting interest of NYLD. Following such assignment, the definitions of “Sponsor”, “Sponsor Group” and “Sponsor Party” shall be deemed to have been amended as appropriate to refer to such acquiror or acquirors.</w:t>
      </w:r>
    </w:p>
    <w:p>
      <w:pPr>
        <w:spacing w:after="0" w:line="188" w:lineRule="exact"/>
        <w:rPr>
          <w:rFonts w:ascii="Arial" w:cs="Arial" w:eastAsia="Arial" w:hAnsi="Arial"/>
          <w:sz w:val="18"/>
          <w:szCs w:val="18"/>
          <w:color w:val="auto"/>
        </w:rPr>
      </w:pPr>
    </w:p>
    <w:p>
      <w:pPr>
        <w:ind w:right="160" w:firstLine="1305"/>
        <w:spacing w:after="0" w:line="308" w:lineRule="auto"/>
        <w:tabs>
          <w:tab w:leader="none" w:pos="19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Subject to Section 4.3(b), a Sponsor Party shall cease to be a party to this Agreement and shall automatically be released from all obligations hereunder in the event that such Sponsor Party is no longer a record or beneficial owner of any Voting Securities.</w:t>
      </w:r>
    </w:p>
    <w:p>
      <w:pPr>
        <w:spacing w:after="0" w:line="146" w:lineRule="exact"/>
        <w:rPr>
          <w:rFonts w:ascii="Arial" w:cs="Arial" w:eastAsia="Arial" w:hAnsi="Arial"/>
          <w:sz w:val="17"/>
          <w:szCs w:val="17"/>
          <w:color w:val="auto"/>
        </w:rPr>
      </w:pPr>
    </w:p>
    <w:p>
      <w:pPr>
        <w:ind w:right="20" w:firstLine="1305"/>
        <w:spacing w:after="0" w:line="342" w:lineRule="auto"/>
        <w:tabs>
          <w:tab w:leader="none" w:pos="19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as set forth in Section 4.3(b), Section 4.3(c) and Section 4.3(d) above, this Agreement shall not be assigned, by operation of law or otherwise, without the prior written consent of the Parties and any such assignment or attempted assignment without such consent shall be void.</w:t>
      </w:r>
    </w:p>
    <w:p>
      <w:pPr>
        <w:spacing w:after="0" w:line="123" w:lineRule="exact"/>
        <w:rPr>
          <w:rFonts w:ascii="Arial" w:cs="Arial" w:eastAsia="Arial" w:hAnsi="Arial"/>
          <w:sz w:val="16"/>
          <w:szCs w:val="16"/>
          <w:color w:val="auto"/>
        </w:rPr>
      </w:pPr>
    </w:p>
    <w:p>
      <w:pPr>
        <w:ind w:right="20" w:firstLine="1305"/>
        <w:spacing w:after="0" w:line="264" w:lineRule="auto"/>
        <w:tabs>
          <w:tab w:leader="none" w:pos="19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Sponsor Parties at any time may, by written notice to NYLD, designate any individual Sponsor Party among them as their representative for purposes of this Agreement and such representative shall be referred to as the “Sponsor.” The Sponsor designated as of the Effective Date is Zephyr Renewables LLC.</w:t>
      </w:r>
    </w:p>
    <w:p>
      <w:pPr>
        <w:spacing w:after="0" w:line="17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9" w:lineRule="exact"/>
        <w:rPr>
          <w:sz w:val="20"/>
          <w:szCs w:val="20"/>
          <w:color w:val="auto"/>
        </w:rPr>
      </w:pPr>
    </w:p>
    <w:p>
      <w:pPr>
        <w:ind w:right="280" w:firstLine="1305"/>
        <w:spacing w:after="0" w:line="277" w:lineRule="auto"/>
        <w:tabs>
          <w:tab w:leader="none" w:pos="194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Method of Delivery</w:t>
      </w:r>
      <w:r>
        <w:rPr>
          <w:rFonts w:ascii="Arial" w:cs="Arial" w:eastAsia="Arial" w:hAnsi="Arial"/>
          <w:sz w:val="18"/>
          <w:szCs w:val="18"/>
          <w:color w:val="auto"/>
        </w:rPr>
        <w:t>. All notices, requests, demands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required to be provided to the other Party pursuant to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Agreement shall be in writing and shall be delivered (i) in person, (ii) by certified U.S. mail, with postage prepaid and return receipt requested, (iii) by overnight courier service, (iv) by facsimile transmittal or (v) by email (which requires an acknowledgement by the recipient, it being understood that the recipient shall be obligated to confirm receipt if requested); provided, that in the case of clauses (iv) and (v), a verification copy is sent on the same day by any of the methods set forth in clauses (i), (ii) and (iii), to the other Party to this Agreement at the following address, facsimile number or email address (or to such other address, facsimile number or email address as Zephyr or Yield may designate from time to time pursuant to this Section 4.4):</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Sponsor Parties: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Global Infrastructure Management,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1345 Avenue of the Americas,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Jonathan Bram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+1 646 282 1500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jonathan.bram@global-infra.com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Global Infrastructure Management,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Peak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Wilton Road, 6th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SW1V 1AN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Joseph Blum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+44 207 798 0530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joe.blum@global-infra.com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Lieberman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+1 212 455 2502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dlieberman@stblaw.com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NYLD:</w:t>
      </w:r>
    </w:p>
    <w:p>
      <w:pPr>
        <w:sectPr>
          <w:pgSz w:w="11900" w:h="16838" w:orient="portrait"/>
          <w:cols w:equalWidth="0" w:num="1">
            <w:col w:w="11420"/>
          </w:cols>
          <w:pgMar w:left="240" w:top="125" w:right="239" w:bottom="0" w:gutter="0" w:footer="0" w:header="0"/>
        </w:sectPr>
      </w:pPr>
    </w:p>
    <w:bookmarkStart w:id="60" w:name="page61"/>
    <w:bookmarkEnd w:id="60"/>
    <w:p>
      <w:pPr>
        <w:spacing w:after="0" w:line="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Christopher Sotos</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Chad Plotkin</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christopher.sotos@nrgyield.com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chad.plotkin@nrg.com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20004-2595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plynch@crowell.com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(202) 628-5116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Conflicts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Christopher Sotos</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Chad Plotkin</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christopher.sotos@nrgyield.com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chad.plotkin@nrg.com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Sullivan &amp; Cromwell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Broad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Joseph B. Frumkin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Brian E. Hamilton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558-3588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frumkinj@sullcrom.com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hamiltonb@sullcrom.com</w:t>
      </w:r>
    </w:p>
    <w:p>
      <w:pPr>
        <w:spacing w:after="0" w:line="211" w:lineRule="exact"/>
        <w:rPr>
          <w:sz w:val="20"/>
          <w:szCs w:val="20"/>
          <w:color w:val="auto"/>
        </w:rPr>
      </w:pPr>
    </w:p>
    <w:p>
      <w:pPr>
        <w:jc w:val="both"/>
        <w:ind w:right="260" w:firstLine="1305"/>
        <w:spacing w:after="0" w:line="291" w:lineRule="auto"/>
        <w:tabs>
          <w:tab w:leader="none" w:pos="1952"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Receipt of Notices</w:t>
      </w:r>
      <w:r>
        <w:rPr>
          <w:rFonts w:ascii="Arial" w:cs="Arial" w:eastAsia="Arial" w:hAnsi="Arial"/>
          <w:sz w:val="16"/>
          <w:szCs w:val="16"/>
          <w:color w:val="auto"/>
        </w:rPr>
        <w:t>. All Notices sent by the Parties under this Agreement shall be deemed to have been received by the Party to whom such Notice is sent (i) in the case of delivery by hand, when delivered; (ii) in the case of delivery by first class certified mail, receipt requested, five</w:t>
      </w:r>
    </w:p>
    <w:p>
      <w:pPr>
        <w:ind w:firstLine="8"/>
        <w:spacing w:after="0" w:line="287"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Business Days after being deposited in the mail, (iii) in the case of overnight courier service guaranteeing next day delivery, on the next Business Day after timely delivery to the courier (iv) in the case of facsimile, on acknowledgement of the addressee’s facsimile receiving equipment if received prior to 5 p.m., recipient’s time, on the Business Day of such transmittal, or on the next Business Day if received later than 5 p.m., recipient’s time or (v) in the case of an email, which requires an acknowledgement of receipt to be sent to the sender, at the time such acknowledgement is received by the sender if received prior to 5 p.m., recipient’s time, on the Business Day of such transmittal, or on the next Business Day if received later than 5 p.m., recipient’s time. If any Party attempts to deliver Notice and such recipient Party refuses delivery of such Notice or such recipient Party is no longer at such address, facsimile number or email address, and such recipient Party failed to provide the sending Party with its current address, facsimile number or email address pursuant to this Section 4.4, then such Notice shall be deemed to have been received by the recipient Party upon the sending Party’s attempted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delivery.</w:t>
      </w:r>
    </w:p>
    <w:p>
      <w:pPr>
        <w:spacing w:after="0" w:line="225" w:lineRule="exact"/>
        <w:rPr>
          <w:sz w:val="20"/>
          <w:szCs w:val="20"/>
          <w:color w:val="auto"/>
        </w:rPr>
      </w:pPr>
    </w:p>
    <w:p>
      <w:pPr>
        <w:ind w:firstLine="1305"/>
        <w:spacing w:after="0" w:line="264"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 of Address</w:t>
      </w:r>
      <w:r>
        <w:rPr>
          <w:rFonts w:ascii="Arial" w:cs="Arial" w:eastAsia="Arial" w:hAnsi="Arial"/>
          <w:sz w:val="18"/>
          <w:szCs w:val="18"/>
          <w:color w:val="auto"/>
        </w:rPr>
        <w:t>. Zephyr and Yield and their respective counsel shall have the right to change their respective address, facsimile number and/or email address for the purposes of this Section 4.4 by providing a Notice of such change in address, facsimile number and/or email address as required under this Section 4.4.</w:t>
      </w:r>
    </w:p>
    <w:p>
      <w:pPr>
        <w:spacing w:after="0" w:line="177"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Charter, the Bylaws and the Conflicts Committee Charter constitute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supersede all prior written agreements, arrangements, communications, understandings, representations and warranties, both written and oral, among the Parties with respect to the subject matter hereof and thereof.</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or controversies arising out of or relating to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shall be deemed to be made in and in all respects shall be interpreted, governed by and construed in accordance with, the internal laws of the State of Delaware, without giving effect to applicable principles of conflicts of law to the extent that the application of the laws of another jurisdiction would be required thereby.</w:t>
      </w:r>
    </w:p>
    <w:p>
      <w:pPr>
        <w:spacing w:after="0" w:line="180" w:lineRule="exact"/>
        <w:rPr>
          <w:sz w:val="20"/>
          <w:szCs w:val="20"/>
          <w:color w:val="auto"/>
        </w:rPr>
      </w:pPr>
    </w:p>
    <w:p>
      <w:pPr>
        <w:ind w:right="60" w:firstLine="1297"/>
        <w:spacing w:after="0" w:line="281"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EXPRESSLY, IRREVOCABLY AND UNCONDITIONALLY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SUBMITS TO THE EXCLUSIVE PERSONAL JURISDICTION OF THE DELAWARE COURT OF CHANCERY OR, TO THE EXTENT SUCH COURT DECLINES TO ACCEPT JURISDICTION OVER A PARTICULAR MATTER, ANY FEDERAL COURT OF THE UNITED STATES OF AMERICA LOCATED IN THE STATE OF DELAWARE SOLELY IN RESPECT OF THE INTERPRETATION AND ENFORCEMENT OF THE PROVISIONS OF</w:t>
      </w:r>
    </w:p>
    <w:p>
      <w:pPr>
        <w:sectPr>
          <w:pgSz w:w="11900" w:h="16930" w:orient="portrait"/>
          <w:cols w:equalWidth="0" w:num="1">
            <w:col w:w="11380"/>
          </w:cols>
          <w:pgMar w:left="240" w:top="125" w:right="279" w:bottom="0" w:gutter="0" w:footer="0" w:header="0"/>
        </w:sectPr>
      </w:pPr>
    </w:p>
    <w:bookmarkStart w:id="61" w:name="page62"/>
    <w:bookmarkEnd w:id="61"/>
    <w:p>
      <w:pPr>
        <w:ind w:right="40"/>
        <w:spacing w:after="0" w:line="270" w:lineRule="auto"/>
        <w:rPr>
          <w:sz w:val="20"/>
          <w:szCs w:val="20"/>
          <w:color w:val="auto"/>
        </w:rPr>
      </w:pPr>
      <w:r>
        <w:rPr>
          <w:rFonts w:ascii="Arial" w:cs="Arial" w:eastAsia="Arial" w:hAnsi="Arial"/>
          <w:sz w:val="17"/>
          <w:szCs w:val="17"/>
          <w:color w:val="auto"/>
        </w:rPr>
        <w:t>THIS AGREEMENT AND IN RESPECT OF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SUCH COURTS ARE AN INCONVENIENT FORUM, OR THAT THE VENUE OF SUCH COURTS MAY NOT BE APPROPRIATE OR THAT THIS AGREEMENT OR ANY SUCH DOCUMENT MAY NOT BE ENFORCED IN OR BY SUCH COURTS, AND THE PARTIES IRREVOCABLY AGREE THAT ALL CLAIMS WITH RESPECT TO SUCH ACTION, SUIT OR PROCEEDING SHALL BE HEARD AND DETERMINED IN SUCH A DELAWARE COURT OF CHANCERY OR FEDERAL COURT. EACH OF THE PARTIES FURTHER AGREES THAT SERVICE OF ANY PROCESS, SUMMONS, NOTICE OR DOCUMENT BY U.S. REGISTERED MAIL TO SUCH PARTY’S RESPECTIVE ADDRESS SET FORTH IN SECTION 4.4 SHALL BE EFFECTIVE SERVICE OF PROCESS FOR ANY ACTION, SUIT OR PROCEEDING WITH RESPECT TO ANY MATTERS TO WHICH IT HAS SUBMITTED TO JURISDICTION IN THIS SECTION.</w:t>
      </w:r>
    </w:p>
    <w:p>
      <w:pPr>
        <w:spacing w:after="0" w:line="174"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BARGAINED-FOR INDUCEMENT FOR EACH OF THE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THIS AGREEMENT (AFTER HAVING THE OPPORTUNITY TO CONSULT WITH COUNSEL), EACH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EXPRESSLY, IRREVOCABLY AND UNCONDITIONALLY WAIVES THE RIGHT TO TRIAL BY JURY IN ANY ACTION, SUIT OR PROCEEDING DIRECTLY OR INDIRECTLY ARISING OUT OF OR RELATING TO THIS AGREEMENT OR THE MATTERS CONTEMPLATED HEREBY. EACH PARTY CERTIFIES AND ACKNOWLEDGES THAT (a) NO REPRESENTATIVE, AGENT OR ATTORNEY OF ANY OTHER PARTY HAS REPRESENTED, EXPRESSLY OR OTHERWISE, THAT SUCH OTHER PARTY WOULD NOT, IN THE EVENT OF ANY ACTION, SUIT OR PROCEEDING,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4.8.</w:t>
      </w:r>
    </w:p>
    <w:p>
      <w:pPr>
        <w:spacing w:after="0" w:line="174" w:lineRule="exact"/>
        <w:rPr>
          <w:sz w:val="20"/>
          <w:szCs w:val="20"/>
          <w:color w:val="auto"/>
        </w:rPr>
      </w:pPr>
    </w:p>
    <w:p>
      <w:pPr>
        <w:ind w:right="100" w:firstLine="1297"/>
        <w:spacing w:after="0" w:line="295"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56" w:lineRule="exact"/>
        <w:rPr>
          <w:sz w:val="20"/>
          <w:szCs w:val="20"/>
          <w:color w:val="auto"/>
        </w:rPr>
      </w:pPr>
    </w:p>
    <w:p>
      <w:pPr>
        <w:jc w:val="both"/>
        <w:ind w:right="360" w:firstLine="1297"/>
        <w:spacing w:after="0" w:line="26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This Agreement is for the sole benefit of the parties hereto and their permitted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herein expressed or implied shall give or be construed to give to any person, other than the parties hereto and such assigns, any legal or equitable rights hereunder.</w:t>
      </w:r>
    </w:p>
    <w:p>
      <w:pPr>
        <w:spacing w:after="0" w:line="176"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u w:val="single" w:color="auto"/>
          <w:color w:val="auto"/>
        </w:rPr>
        <w:t>Enforcement</w:t>
      </w:r>
      <w:r>
        <w:rPr>
          <w:rFonts w:ascii="Arial" w:cs="Arial" w:eastAsia="Arial" w:hAnsi="Arial"/>
          <w:sz w:val="18"/>
          <w:szCs w:val="18"/>
          <w:color w:val="auto"/>
        </w:rPr>
        <w:t>. THE PARTIES ACKNOWLEDGE AND AGREE THAT IRREPARABLE DAMAGE WOULD OCCUR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OF THE PROVISIONS OF THIS AGREEMENT WERE NOT PERFORMED IN ACCORDANCE WITH THEIR SPECIFIC TERMS OR WERE OTHERWISE BREACHED AND THAT MONETARY DAMAGES WOULD NOT BE AN ADEQUATE REMEDY THEREFOR. IT IS ACCORDINGLY AGREED THAT THE PARTIES SHALL BE ENTITLED TO AN INJUNCTION OR INJUNCTIONS TO PREVENT BREACHES OR THREATENED BREACHES OF THIS AGREEMENT AND TO ENFORCE SPECIFICALLY THE TERMS AND PROVISIONS OF THIS AGREEMENT IN ANY COURT OF COMPETENT JURISDICTION, IN EACH CASE WITHOUT PROOF OF DAMAGES OR OTHERWISE (AND EACH PARTY HEREBY WAIVES ANY REQUIREMENT FOR THE SECURING OR POSTING OF ANY BOND IN CONNECTION WITH SUCH REMEDY), THIS BEING IN ADDITION TO ANY OTHER REMEDY TO WHICH THEY ARE ENTITLED AT LAW OR IN EQUITY. THE PARTIES AGREE NOT TO ASSERT THAT A REMEDY OF SPECIFIC ENFORCEMENT IS UNENFORCEABLE, INVALID, CONTRARY TO LAW OR INEQUITABLE FOR ANY REASON, NOR TO ASSERT THAT A REMEDY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MONETARY DAMAGES WOULD PROVIDE AN ADEQUATE REMEDY.</w:t>
      </w:r>
    </w:p>
    <w:p>
      <w:pPr>
        <w:spacing w:after="0" w:line="22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to be considered in construing this Agreement.</w:t>
      </w:r>
    </w:p>
    <w:p>
      <w:pPr>
        <w:spacing w:after="0" w:line="162"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shall be deemed an original, but all the counterparts shall together constitute one and the same instrument. This Agreement and any signed agreement or instrument entered into in connection with this Agreement, and any amendments or waivers hereto and thereto, to the extent signed and delivered by facsimile or in electronic format (</w:t>
      </w:r>
      <w:r>
        <w:rPr>
          <w:rFonts w:ascii="Arial" w:cs="Arial" w:eastAsia="Arial" w:hAnsi="Arial"/>
          <w:sz w:val="16"/>
          <w:szCs w:val="16"/>
          <w:i w:val="1"/>
          <w:iCs w:val="1"/>
          <w:color w:val="auto"/>
        </w:rPr>
        <w:t>e.g.</w:t>
      </w:r>
      <w:r>
        <w:rPr>
          <w:rFonts w:ascii="Arial" w:cs="Arial" w:eastAsia="Arial" w:hAnsi="Arial"/>
          <w:sz w:val="16"/>
          <w:szCs w:val="16"/>
          <w:color w:val="auto"/>
        </w:rPr>
        <w:t>, “pdf” or “tif”) shall be treated in all manner and respects as an original agreement or instrument and shall be considered to have the same binding legal effect as if it were the original signed version thereof delivered in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Voting and Governance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3" w:lineRule="exact"/>
        <w:rPr>
          <w:sz w:val="20"/>
          <w:szCs w:val="20"/>
          <w:color w:val="auto"/>
        </w:rPr>
      </w:pPr>
    </w:p>
    <w:p>
      <w:pPr>
        <w:ind w:left="6160"/>
        <w:spacing w:after="0"/>
        <w:tabs>
          <w:tab w:leader="none" w:pos="6860" w:val="left"/>
        </w:tabs>
        <w:rPr>
          <w:sz w:val="20"/>
          <w:szCs w:val="20"/>
          <w:color w:val="auto"/>
        </w:rPr>
      </w:pPr>
      <w:r>
        <w:rPr>
          <w:rFonts w:ascii="Arial" w:cs="Arial" w:eastAsia="Arial" w:hAnsi="Arial"/>
          <w:sz w:val="18"/>
          <w:szCs w:val="18"/>
          <w:color w:val="auto"/>
        </w:rPr>
        <w:t>Name:</w:t>
        <w:tab/>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62" w:name="page63"/>
    <w:bookmarkEnd w:id="62"/>
    <w:tbl>
      <w:tblPr>
        <w:tblLayout w:type="fixed"/>
        <w:tblInd w:w="57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20"/>
              <w:spacing w:after="0"/>
              <w:rPr>
                <w:sz w:val="20"/>
                <w:szCs w:val="20"/>
                <w:color w:val="auto"/>
              </w:rPr>
            </w:pPr>
            <w:r>
              <w:rPr>
                <w:rFonts w:ascii="Arial" w:cs="Arial" w:eastAsia="Arial" w:hAnsi="Arial"/>
                <w:sz w:val="18"/>
                <w:szCs w:val="18"/>
                <w:color w:val="auto"/>
              </w:rPr>
              <w:t>Senior Vice President &amp; CFO</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ZEPHYR RENEWABLES LLC</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By:  /s/ Craig Cornelius</w:t>
            </w:r>
          </w:p>
        </w:tc>
      </w:tr>
      <w:tr>
        <w:trPr>
          <w:trHeight w:val="195"/>
        </w:trPr>
        <w:tc>
          <w:tcPr>
            <w:tcW w:w="4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Craig Cornelius</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2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and Governance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Joinder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AGREEMENT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This Joinder Agreement, dated as of [·] (this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a joinder to the Voting and Governance Agreement, dated as of August 31, 2018, by and among NRG Yield, Inc. (the “</w:t>
      </w:r>
      <w:r>
        <w:rPr>
          <w:rFonts w:ascii="Arial" w:cs="Arial" w:eastAsia="Arial" w:hAnsi="Arial"/>
          <w:sz w:val="18"/>
          <w:szCs w:val="18"/>
          <w:u w:val="single" w:color="auto"/>
          <w:color w:val="auto"/>
        </w:rPr>
        <w:t>Company</w:t>
      </w:r>
      <w:r>
        <w:rPr>
          <w:rFonts w:ascii="Arial" w:cs="Arial" w:eastAsia="Arial" w:hAnsi="Arial"/>
          <w:sz w:val="18"/>
          <w:szCs w:val="18"/>
          <w:color w:val="auto"/>
        </w:rPr>
        <w:t>”), Zephyr Renewables LLC (the “</w:t>
      </w:r>
      <w:r>
        <w:rPr>
          <w:rFonts w:ascii="Arial" w:cs="Arial" w:eastAsia="Arial" w:hAnsi="Arial"/>
          <w:sz w:val="18"/>
          <w:szCs w:val="18"/>
          <w:u w:val="single" w:color="auto"/>
          <w:color w:val="auto"/>
        </w:rPr>
        <w:t>Sponsor</w:t>
      </w:r>
      <w:r>
        <w:rPr>
          <w:rFonts w:ascii="Arial" w:cs="Arial" w:eastAsia="Arial" w:hAnsi="Arial"/>
          <w:sz w:val="18"/>
          <w:szCs w:val="18"/>
          <w:color w:val="auto"/>
        </w:rPr>
        <w:t>”) and the other parties party thereto from time to time (the “</w:t>
      </w:r>
      <w:r>
        <w:rPr>
          <w:rFonts w:ascii="Arial" w:cs="Arial" w:eastAsia="Arial" w:hAnsi="Arial"/>
          <w:sz w:val="18"/>
          <w:szCs w:val="18"/>
          <w:u w:val="single" w:color="auto"/>
          <w:color w:val="auto"/>
        </w:rPr>
        <w:t>Voting and Governance Agreement</w:t>
      </w:r>
      <w:r>
        <w:rPr>
          <w:rFonts w:ascii="Arial" w:cs="Arial" w:eastAsia="Arial" w:hAnsi="Arial"/>
          <w:sz w:val="18"/>
          <w:szCs w:val="18"/>
          <w:color w:val="auto"/>
        </w:rPr>
        <w:t>”). Capitalized terms used but not defined herein shall have the meaning given to such terms in the Voting and Governance Agreement.</w:t>
      </w:r>
    </w:p>
    <w:p>
      <w:pPr>
        <w:spacing w:after="0" w:line="187" w:lineRule="exact"/>
        <w:rPr>
          <w:sz w:val="20"/>
          <w:szCs w:val="20"/>
          <w:color w:val="auto"/>
        </w:rPr>
      </w:pPr>
    </w:p>
    <w:p>
      <w:pPr>
        <w:ind w:right="120" w:firstLine="656"/>
        <w:spacing w:after="0" w:line="279" w:lineRule="auto"/>
        <w:tabs>
          <w:tab w:leader="none" w:pos="1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of] [t]he undersigned, having received and reviewed a copy of the Voting and Governance Agreement, hereby agrees to be bound by the terms, conditions and other provisions of the Voting and Governance Agreement as though it is a “Sponsor Party” under the Voting and Governance Agreement, with all attendant rights, duties and obligations stated therein applicable to the “Sponsor Parties” in the same manner as if the undersigned were party to the Voting and Governance Agreement as of the date on which it was originally executed.</w:t>
      </w:r>
    </w:p>
    <w:p>
      <w:pPr>
        <w:spacing w:after="0" w:line="171" w:lineRule="exact"/>
        <w:rPr>
          <w:rFonts w:ascii="Arial" w:cs="Arial" w:eastAsia="Arial" w:hAnsi="Arial"/>
          <w:sz w:val="17"/>
          <w:szCs w:val="17"/>
          <w:color w:val="auto"/>
        </w:rPr>
      </w:pPr>
    </w:p>
    <w:p>
      <w:pPr>
        <w:ind w:right="140" w:firstLine="656"/>
        <w:spacing w:after="0" w:line="264"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Joinder Agreement shall be deemed to be made in and in all respects shall be interpreted, governed by and construed in accordance with, the internal laws of the State of Delaware,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80" w:firstLine="656"/>
        <w:spacing w:after="0" w:line="276" w:lineRule="auto"/>
        <w:tabs>
          <w:tab w:leader="none" w:pos="1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Joinder Agreement may be executed in any number of counterparts and by the parties hereto on separate counterparts, each of which shall be deemed an original, but all the counterparts shall together constitute one and the same instrument. This Joinder Agreement and any signed agreement or instrument entered into in connection with this Joinder Agreement, and any amendments or waivers hereto and thereto, to the extent signed and delivered by facsimile or in electronic format (</w:t>
      </w:r>
      <w:r>
        <w:rPr>
          <w:rFonts w:ascii="Arial" w:cs="Arial" w:eastAsia="Arial" w:hAnsi="Arial"/>
          <w:sz w:val="17"/>
          <w:szCs w:val="17"/>
          <w:i w:val="1"/>
          <w:iCs w:val="1"/>
          <w:color w:val="auto"/>
        </w:rPr>
        <w:t>e.g.</w:t>
      </w:r>
      <w:r>
        <w:rPr>
          <w:rFonts w:ascii="Arial" w:cs="Arial" w:eastAsia="Arial" w:hAnsi="Arial"/>
          <w:sz w:val="17"/>
          <w:szCs w:val="17"/>
          <w:color w:val="auto"/>
        </w:rPr>
        <w:t>, “pdf” or “tif”) shall be treated in all manner and respects as an original agreement or instrument and shall be considered to have the same binding legal effect as if it were the original signed version thereof delivered in person.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of the undersigned has executed and delivered this Joinder Agreement as of the date first written above.</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[NEW PARTY]</w:t>
      </w:r>
    </w:p>
    <w:p>
      <w:pPr>
        <w:spacing w:after="0" w:line="22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[NEW PARTY]</w:t>
      </w:r>
    </w:p>
    <w:p>
      <w:pPr>
        <w:spacing w:after="0" w:line="22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2670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AGREEMENT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THIS THIRD AMENDED AND RESTATED RIGHT OF FIRST OFFER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31st day of August,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NRG ENERGY,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NRG</w:t>
      </w:r>
      <w:r>
        <w:rPr>
          <w:rFonts w:ascii="Arial" w:cs="Arial" w:eastAsia="Arial" w:hAnsi="Arial"/>
          <w:sz w:val="17"/>
          <w:szCs w:val="17"/>
          <w:color w:val="auto"/>
        </w:rPr>
        <w:t xml:space="preserve">”), and </w:t>
      </w:r>
      <w:r>
        <w:rPr>
          <w:rFonts w:ascii="Arial" w:cs="Arial" w:eastAsia="Arial" w:hAnsi="Arial"/>
          <w:sz w:val="17"/>
          <w:szCs w:val="17"/>
          <w:b w:val="1"/>
          <w:bCs w:val="1"/>
          <w:color w:val="auto"/>
        </w:rPr>
        <w:t>NRG YIELD,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Yield</w:t>
      </w:r>
      <w:r>
        <w:rPr>
          <w:rFonts w:ascii="Arial" w:cs="Arial" w:eastAsia="Arial" w:hAnsi="Arial"/>
          <w:sz w:val="17"/>
          <w:szCs w:val="17"/>
          <w:color w:val="auto"/>
        </w:rPr>
        <w:t>”). NRG and Yield are sometimes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Yield expects to increase its cash available for distribution and dividend per share by acquiring additional assets, including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from NRG;</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formation of Yield, NRG granted Yield an exclusive right of first offer to acquire certain assets owned by NRG</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of its Affiliates (as hereinafter defined) pursuant to that certain Right of First Offer Agreement, dated July 22, 2013, by and between NRG and Yield (“</w:t>
      </w:r>
      <w:r>
        <w:rPr>
          <w:rFonts w:ascii="Arial" w:cs="Arial" w:eastAsia="Arial" w:hAnsi="Arial"/>
          <w:sz w:val="18"/>
          <w:szCs w:val="18"/>
          <w:u w:val="single" w:color="auto"/>
          <w:color w:val="auto"/>
        </w:rPr>
        <w:t>2013 ROFO Agreement</w:t>
      </w:r>
      <w:r>
        <w:rPr>
          <w:rFonts w:ascii="Arial" w:cs="Arial" w:eastAsia="Arial" w:hAnsi="Arial"/>
          <w:sz w:val="18"/>
          <w:szCs w:val="18"/>
          <w:color w:val="auto"/>
        </w:rPr>
        <w:t>”);</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2013 ROFO Agreement was subsequently amended and restated by that certain Amended and Restated Right of First Offer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March 12, 2015, by and between NRG and Yield (“</w:t>
      </w:r>
      <w:r>
        <w:rPr>
          <w:rFonts w:ascii="Arial" w:cs="Arial" w:eastAsia="Arial" w:hAnsi="Arial"/>
          <w:sz w:val="18"/>
          <w:szCs w:val="18"/>
          <w:u w:val="single" w:color="auto"/>
          <w:color w:val="auto"/>
        </w:rPr>
        <w:t>2015 ROFO Agreement</w:t>
      </w:r>
      <w:r>
        <w:rPr>
          <w:rFonts w:ascii="Arial" w:cs="Arial" w:eastAsia="Arial" w:hAnsi="Arial"/>
          <w:sz w:val="18"/>
          <w:szCs w:val="18"/>
          <w:color w:val="auto"/>
        </w:rPr>
        <w:t>”) and that certain Second Amended and Restated Right of First Offer Agreement, dated February 24, 2017, by and between NRG and Yield (“</w:t>
      </w:r>
      <w:r>
        <w:rPr>
          <w:rFonts w:ascii="Arial" w:cs="Arial" w:eastAsia="Arial" w:hAnsi="Arial"/>
          <w:sz w:val="18"/>
          <w:szCs w:val="18"/>
          <w:u w:val="single" w:color="auto"/>
          <w:color w:val="auto"/>
        </w:rPr>
        <w:t>2017 ROFO Agreement</w:t>
      </w:r>
      <w:r>
        <w:rPr>
          <w:rFonts w:ascii="Arial" w:cs="Arial" w:eastAsia="Arial" w:hAnsi="Arial"/>
          <w:sz w:val="18"/>
          <w:szCs w:val="18"/>
          <w:color w:val="auto"/>
        </w:rPr>
        <w:t>”); and</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and restate the 2017 ROFO Agreement to address changes to the assets owned by NRG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NRG’s sale of substantially all of its renewables platform.</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in this Agreement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NRG and Yield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above in the introduction and Recitals to this Agreement, the following terms when used in this Agreement shall have the 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the Person in question, any other Person that, directly or indirectly, Controls, is Controlled by or is under common Control with, such Person.</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Agua Caliente</w:t>
      </w:r>
      <w:r>
        <w:rPr>
          <w:rFonts w:ascii="Arial" w:cs="Arial" w:eastAsia="Arial" w:hAnsi="Arial"/>
          <w:sz w:val="18"/>
          <w:szCs w:val="18"/>
          <w:color w:val="auto"/>
        </w:rPr>
        <w:t>” consists of (i) 100% of the membership interests in Agua Caliente Borrower 1 LLC, which in turn owns; (ii) 35% of the membership interests in Solar Holdings,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which in turn owns; (iii) 100% of the membership interests in Agua Caliente Solar Holdings LLC, which in turn owns; (iv) 100% of the membership interests in Agua Caliente Solar LLC.</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statutes, laws, common law, rules, regulations, ordinances, codes or other legal requirements of any Governmental Authority or quasi-governmental agencies or entities, and any judgment, injunction, order, directive, decree or other judicial or regulatory requirement of any court or Governmental Authority of competent jurisdiction affecting or relating to the Person or property in question.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any federal legal holiday.</w:t>
      </w:r>
    </w:p>
    <w:p>
      <w:pPr>
        <w:spacing w:after="0" w:line="225"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CAFD</w:t>
      </w:r>
      <w:r>
        <w:rPr>
          <w:rFonts w:ascii="Arial" w:cs="Arial" w:eastAsia="Arial" w:hAnsi="Arial"/>
          <w:sz w:val="16"/>
          <w:szCs w:val="16"/>
          <w:color w:val="auto"/>
        </w:rPr>
        <w:t>” means Yield’s cash available for distribution as calculated in accordance with the accounting policies and procedures used for the calculation of cash available for distribution in Yield’s most recent quarterly financial filings with the U.S. Securities and Exchange Commission.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Class C common stock of Yield.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and policies of the Person in question, whether by the ownership of voting securities, contract or otherwise.</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or local government or political subdivision thereof, including any agency or entity exercising executive, legislative, judicial, regulatory or administrative governmental powers or functions, in each case to the extent the same has jurisdiction over the Person or property in question.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with respect to the Person in question, any actual liabilities, damages (but expressly excluding consequential damages and punitive damages), losses, costs or expenses, including reasonable attorneys’ fees and expenses and court costs, incurred by such Person, as a result of the act, omission or occurrence in question.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 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64" w:name="page65"/>
    <w:bookmarkEnd w:id="64"/>
    <w:p>
      <w:pPr>
        <w:spacing w:after="0" w:line="36"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 Indemnitees</w:t>
      </w:r>
      <w:r>
        <w:rPr>
          <w:rFonts w:ascii="Arial" w:cs="Arial" w:eastAsia="Arial" w:hAnsi="Arial"/>
          <w:sz w:val="18"/>
          <w:szCs w:val="18"/>
          <w:color w:val="auto"/>
        </w:rPr>
        <w:t>” means NRG and its Affiliates, and each of their respective shareholders, members, partners, trustees, beneficiaries, directors, officers, employees, attorneys, accountants, consultants and agents, and the successors, assigns, legal representatives, heirs, devisees and donees of each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 ROFO Asset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58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7"/>
          <w:szCs w:val="17"/>
          <w:color w:val="auto"/>
        </w:rPr>
        <w:t>” means any natural person, corporation, general or limited partnership, limited liability company, association, joint venture, trust, estate,</w:t>
      </w:r>
      <w:r>
        <w:rPr>
          <w:rFonts w:ascii="Arial" w:cs="Arial" w:eastAsia="Arial" w:hAnsi="Arial"/>
          <w:sz w:val="18"/>
          <w:szCs w:val="18"/>
          <w:color w:val="auto"/>
        </w:rPr>
        <w:t xml:space="preserve"> </w:t>
      </w:r>
      <w:r>
        <w:rPr>
          <w:rFonts w:ascii="Arial" w:cs="Arial" w:eastAsia="Arial" w:hAnsi="Arial"/>
          <w:sz w:val="17"/>
          <w:szCs w:val="17"/>
          <w:color w:val="auto"/>
        </w:rPr>
        <w:t>Governmental Authority or other legal entity, in each case whether in its own or a representative capacity.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 CAFD Yield</w:t>
      </w:r>
      <w:r>
        <w:rPr>
          <w:rFonts w:ascii="Arial" w:cs="Arial" w:eastAsia="Arial" w:hAnsi="Arial"/>
          <w:sz w:val="16"/>
          <w:szCs w:val="16"/>
          <w:color w:val="auto"/>
        </w:rPr>
        <w:t>” means the average projected annual CAFD for the NRG ROFO Asset for the 5 year period commencing after the acquisition date of such asset divided by the proposed purchase price (excluding the assumption of any project level debt or other financings) for the NRG ROFO Asset.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Securities Disclosure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Solar Holdings</w:t>
      </w:r>
      <w:r>
        <w:rPr>
          <w:rFonts w:ascii="Arial" w:cs="Arial" w:eastAsia="Arial" w:hAnsi="Arial"/>
          <w:sz w:val="18"/>
          <w:szCs w:val="18"/>
          <w:color w:val="auto"/>
        </w:rPr>
        <w:t>” means AC Solar Holdings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limited liability company, general partnership or limited partnership Controlled by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Party or an Affiliate of a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New York Stock Exchange, the Nasdaq Capital Market, the Nasdaq Global Market or the Nasdaq Global Select Market (or any successors to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other than in connection with any granting of liens permitted under any indebtedness of the NRG ROFO Asset or any disposition of assets resulting from the enforcement of such liens, any assignment, sale, offer to sell, pledge, mortgage, hypothecation, encumbrance, disposition of or any other like transfer or encumbering (whether with or without consideration, directly or indirectly, voluntarily or involuntarily or by operation of law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that this definition shall not include any (i) merger with or into, or sale of all or substantially all of NRG’s assets to, an unaffiliated third-party, so long as following the consummation of such merger or sale, NRG maintains Control over the NRG ROFO Asset and the terms of any such merger or sale will not limit, delay or hinder the ability of Yield or any of its Subsidiaries to acquire the NRG ROFO Asset from NRG in accordance with the terms of this Agreement when NRG elects to sell, transfer or otherwise dispose of the NRG ROFO Asset, or (ii) internal restructuring involving the NRG ROFO Asset, so long as the terms of any such restructuring will not limit, delay or hinder the ability of Yield or any of its Subsidiaries to acquire the NRG ROFO Asset from NRG in accordance with the terms of this Agreement when NRG elects to sell, transfer or otherwise dispose of the NRG ROFO Asset.</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York City time)), (b) if the Common Stock is not then listed or quoted for trading on any Trading Market and if prices for the Common Stock are then reported on the OTC Bulletin Board or in the “Pink Sheets” published by OTC Markets Group, Inc. (or a similar organization or agency succeeding to its functions of reporting prices), the most recent bid price per share of the Common Stock so reported, or (c) in all other cases, the fair market value of a share of Common Stock as determined by an independent appraiser mutually selected in good faith by NRG and Yield.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Yield’s CAFD Yield</w:t>
      </w:r>
      <w:r>
        <w:rPr>
          <w:rFonts w:ascii="Arial" w:cs="Arial" w:eastAsia="Arial" w:hAnsi="Arial"/>
          <w:sz w:val="17"/>
          <w:szCs w:val="17"/>
          <w:color w:val="auto"/>
        </w:rPr>
        <w:t>” means Yield’s CAFD guidance as provided to the financial community divided by Yield’s Equity Market Capitalization.</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Yield’s Equity Market Capitalization</w:t>
      </w:r>
      <w:r>
        <w:rPr>
          <w:rFonts w:ascii="Arial" w:cs="Arial" w:eastAsia="Arial" w:hAnsi="Arial"/>
          <w:sz w:val="18"/>
          <w:szCs w:val="18"/>
          <w:color w:val="auto"/>
        </w:rPr>
        <w:t>” means the product of the number of shares of Yield outstanding as of the Transaction Notice date multiplied by the VWAP for the 60 Trading Days prior to the Transaction Notice.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ON THE NRG ROFO ASSET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NRG ROFO Asset</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Term, NRG hereby grants to Yield and its Subsidiaries a right of first offer on any proposed Transfer of Agua Caliente (or any portion thereof) (an “</w:t>
      </w:r>
      <w:r>
        <w:rPr>
          <w:rFonts w:ascii="Arial" w:cs="Arial" w:eastAsia="Arial" w:hAnsi="Arial"/>
          <w:sz w:val="18"/>
          <w:szCs w:val="18"/>
          <w:u w:val="single" w:color="auto"/>
          <w:color w:val="auto"/>
        </w:rPr>
        <w:t>NRG ROFO Asset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NRG shall offer the NRG ROFO Asset to Yield and its Subsidiaries no later than June 30, 2019.</w:t>
      </w:r>
    </w:p>
    <w:p>
      <w:pPr>
        <w:sectPr>
          <w:pgSz w:w="11900" w:h="16874" w:orient="portrait"/>
          <w:cols w:equalWidth="0" w:num="1">
            <w:col w:w="11420"/>
          </w:cols>
          <w:pgMar w:left="240" w:top="341" w:right="239" w:bottom="0" w:gutter="0" w:footer="0" w:header="0"/>
        </w:sectPr>
      </w:pPr>
    </w:p>
    <w:bookmarkStart w:id="65" w:name="page66"/>
    <w:bookmarkEnd w:id="65"/>
    <w:p>
      <w:pPr>
        <w:spacing w:after="0" w:line="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Notice of Transaction Related to the NRG ROFO Asset and Negotiation of Definitive Terms for Transaction</w:t>
      </w:r>
      <w:r>
        <w:rPr>
          <w:rFonts w:ascii="Arial" w:cs="Arial" w:eastAsia="Arial" w:hAnsi="Arial"/>
          <w:sz w:val="16"/>
          <w:szCs w:val="16"/>
          <w:color w:val="auto"/>
        </w:rPr>
        <w:t>. NRG must deliver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to Yield no later than forty-five (45) days prior to engaging in any negotiation regarding any proposed Transfer of the NRG ROFO Asset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portion thereof), setting forth in reasonable detail the material terms and conditions of its offer of the NRG ROFO Asset to Yield (such offer notice,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Notice</w:t>
      </w:r>
      <w:r>
        <w:rPr>
          <w:rFonts w:ascii="Arial" w:cs="Arial" w:eastAsia="Arial" w:hAnsi="Arial"/>
          <w:sz w:val="16"/>
          <w:szCs w:val="16"/>
          <w:color w:val="auto"/>
        </w:rPr>
        <w:t>”). The Transaction Notice must include a price for the NRG ROFO Asset that results in a Project CAFD Yield for such asset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two hundred and seventy-five (275) basis points over Yield’s CAFD Yield (the “</w:t>
      </w:r>
      <w:r>
        <w:rPr>
          <w:rFonts w:ascii="Arial" w:cs="Arial" w:eastAsia="Arial" w:hAnsi="Arial"/>
          <w:sz w:val="16"/>
          <w:szCs w:val="16"/>
          <w:u w:val="single" w:color="auto"/>
          <w:color w:val="auto"/>
        </w:rPr>
        <w:t>Minimum Spread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 if the Minimum Spread results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Project CAFD Yield exceeding eleven percent (11%), the price for the NRG ROFO Asset in the Transaction Notice shall equate to a Project CAFD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of eleven percent (11%), and (b) if the Minimum Spread results in such asset’s Project CAFD Yield to be less than nine and one-half percent (9.5%),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for the NRG ROFO Asset in the Transaction Notice shall equate to a Project CAFD Yield of nine and one-half percent (9.5%) (the “</w:t>
      </w:r>
      <w:r>
        <w:rPr>
          <w:rFonts w:ascii="Arial" w:cs="Arial" w:eastAsia="Arial" w:hAnsi="Arial"/>
          <w:sz w:val="16"/>
          <w:szCs w:val="16"/>
          <w:u w:val="single" w:color="auto"/>
          <w:color w:val="auto"/>
        </w:rPr>
        <w:t>Prescribed Price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NRG shall promptly provide Yield all materials and information in connection therewith that are reasonably necessary for Yield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confirm the validity of the terms, including price and spread to CAFD yield, in such Transaction Notice. If NRG delivers a Transaction Notice to Yield,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offers to purchase the NRG ROFO Asset at the Prescribed Price, then NRG and Yield shall enter into a definitive agreement for the Transfer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NRG ROFO Asset to Yield or any of its Subsidiaries at the Prescribed Price and such other customary and reasonable terms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to be agreed by NRG and Yield. If, within sixty (60) calendar days after the delivery of such Transaction Notice (the “</w:t>
      </w:r>
      <w:r>
        <w:rPr>
          <w:rFonts w:ascii="Arial" w:cs="Arial" w:eastAsia="Arial" w:hAnsi="Arial"/>
          <w:sz w:val="17"/>
          <w:szCs w:val="17"/>
          <w:u w:val="single" w:color="auto"/>
          <w:color w:val="auto"/>
        </w:rPr>
        <w:t>Negotiation Period</w:t>
      </w:r>
      <w:r>
        <w:rPr>
          <w:rFonts w:ascii="Arial" w:cs="Arial" w:eastAsia="Arial" w:hAnsi="Arial"/>
          <w:sz w:val="17"/>
          <w:szCs w:val="17"/>
          <w:color w:val="auto"/>
        </w:rPr>
        <w:t xml:space="preserve">”), Yield has not offered to purchase the NRG ROFO Asset at the Prescribed Price, NRG will be able to Transfer the NRG ROFO Asset to a Third Party (or enter into a definitive agreement to undertake such transaction with a Third Party) in accordance with the terms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Negotiations with Third Parties</w:t>
      </w:r>
      <w:r>
        <w:rPr>
          <w:rFonts w:ascii="Arial" w:cs="Arial" w:eastAsia="Arial" w:hAnsi="Arial"/>
          <w:sz w:val="17"/>
          <w:szCs w:val="17"/>
          <w:color w:val="auto"/>
        </w:rPr>
        <w:t>. Neither NRG nor any of its representatives, agents or Affiliates shall solicit offers from, or negotiate or enter into any agreement with, any Third Party for the Transfer of the NRG ROFO Asset (or any portion thereof) until the expiration of the Negotiation Period related to the NRG ROFO Asset and the proposed Transfer (the “</w:t>
      </w:r>
      <w:r>
        <w:rPr>
          <w:rFonts w:ascii="Arial" w:cs="Arial" w:eastAsia="Arial" w:hAnsi="Arial"/>
          <w:sz w:val="17"/>
          <w:szCs w:val="17"/>
          <w:u w:val="single" w:color="auto"/>
          <w:color w:val="auto"/>
        </w:rPr>
        <w:t>ROFO Termination Date</w:t>
      </w:r>
      <w:r>
        <w:rPr>
          <w:rFonts w:ascii="Arial" w:cs="Arial" w:eastAsia="Arial" w:hAnsi="Arial"/>
          <w:sz w:val="17"/>
          <w:szCs w:val="17"/>
          <w:color w:val="auto"/>
        </w:rPr>
        <w:t>”). If Yield does not agree to purchase the NRG ROFO Asset from NRG at the Prescribed Price during the Negotiation Period, then (a) NRG shall have the absolute right to solicit offers from, negotiate with, and enter into agreements with, any Third Party to Transfer the NRG ROFO Asset on any terms agreed to by NRG and such Third Party, and (b) NRG shall have no further obligation to negotiate with Yield regarding, or offer Yield the opportunity to acquire any interest in, the NRG ROFO Asset and this Agreement shall expire and be of no further force and effect with respect to the NRG ROFO Asset.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TERMINATION RIGHTS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earlier terminated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commence on the Effective Date and shall continue in effect until the earlier of (a) the fifth (5th) anniversary of the Effective Date, (b) the consummation of NRG’s sale of Agua Caliente and (c) the ROFO Termination Date, at which time this Agreement shall terminate and the Parties shall have no further rights or obligations under this Agreement, except those that expressly survive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the Term ends during any Negotiation Period, then the Term shall extend, and this Agreement shall remain in full force and effect, until the expiration of such Negotiation Period.</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Termination Rights</w:t>
      </w:r>
      <w:r>
        <w:rPr>
          <w:rFonts w:ascii="Arial" w:cs="Arial" w:eastAsia="Arial" w:hAnsi="Arial"/>
          <w:sz w:val="18"/>
          <w:szCs w:val="18"/>
          <w:color w:val="auto"/>
        </w:rPr>
        <w:t>. NRG or Yield, as the case may be, shall have the right to terminate this Agreement, with written notice to the other Party, if the other Party materially breaches or defaults in the performance of its obligations under this Agreement or under any transaction agreement entered into by the Parties in connection with the NRG ROFO Asset, and such breach or default is continuing for thirty (30) days after such breaching Party has been given a written notice specifying such default or breach and requiring it to be remedied and stating that such notice is a “Notice of Default” hereunder. Upon any such termination the Parties shall have no further rights or obligations under this Agreement, except those that expressly survive the termination of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NRG Confidential Information</w:t>
      </w:r>
      <w:r>
        <w:rPr>
          <w:rFonts w:ascii="Arial" w:cs="Arial" w:eastAsia="Arial" w:hAnsi="Arial"/>
          <w:sz w:val="18"/>
          <w:szCs w:val="18"/>
          <w:color w:val="auto"/>
        </w:rPr>
        <w:t>. Yield shall keep confidential and not make any public announcement or disclose to any Person any terms of any other documents, materials,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data or other information with respect to the NRG ROFO Asset which is not generally known to the public (the “</w:t>
      </w:r>
      <w:r>
        <w:rPr>
          <w:rFonts w:ascii="Arial" w:cs="Arial" w:eastAsia="Arial" w:hAnsi="Arial"/>
          <w:sz w:val="16"/>
          <w:szCs w:val="16"/>
          <w:u w:val="single" w:color="auto"/>
          <w:color w:val="auto"/>
        </w:rPr>
        <w:t>NRG Confidential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NRG Confidential Information shall not include (a) the terms and conditions of this Agreement or (b) information that becomes available to Yield on a non-confidential basis from a source other than the NRG, its Affiliates or their directors, officers or employees, </w:t>
      </w:r>
      <w:r>
        <w:rPr>
          <w:rFonts w:ascii="Arial" w:cs="Arial" w:eastAsia="Arial" w:hAnsi="Arial"/>
          <w:sz w:val="16"/>
          <w:szCs w:val="16"/>
          <w:u w:val="single" w:color="auto"/>
          <w:color w:val="auto"/>
        </w:rPr>
        <w:t>provided</w:t>
      </w:r>
      <w:r>
        <w:rPr>
          <w:rFonts w:ascii="Arial" w:cs="Arial" w:eastAsia="Arial" w:hAnsi="Arial"/>
          <w:sz w:val="16"/>
          <w:szCs w:val="16"/>
          <w:color w:val="auto"/>
        </w:rPr>
        <w:t>, that, to Yield’s knowledge, such source was not prohibited from disclosing such information to Yield by any legal, contractual or fiduciary duty. Notwithstanding the foregoing, Yield shall be permitted to (A) disclose any NRG Confidential Information to the extent required by court order or under Applicable Law,</w:t>
      </w:r>
    </w:p>
    <w:p>
      <w:pPr>
        <w:spacing w:after="0" w:line="2" w:lineRule="exact"/>
        <w:rPr>
          <w:sz w:val="20"/>
          <w:szCs w:val="20"/>
          <w:color w:val="auto"/>
        </w:rPr>
      </w:pPr>
    </w:p>
    <w:p>
      <w:pPr>
        <w:ind w:right="120" w:firstLine="8"/>
        <w:spacing w:after="0" w:line="281" w:lineRule="auto"/>
        <w:tabs>
          <w:tab w:leader="none" w:pos="2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a public announcement regarding such matters (1) as agreed to in writing by NRG or (2) as required by the provisions of any securities laws or the requirements of any exchange on which Yield securities may be listed (a “</w:t>
      </w:r>
      <w:r>
        <w:rPr>
          <w:rFonts w:ascii="Arial" w:cs="Arial" w:eastAsia="Arial" w:hAnsi="Arial"/>
          <w:sz w:val="16"/>
          <w:szCs w:val="16"/>
          <w:u w:val="single" w:color="auto"/>
          <w:color w:val="auto"/>
        </w:rPr>
        <w:t>Required Securities Disclosure</w:t>
      </w:r>
      <w:r>
        <w:rPr>
          <w:rFonts w:ascii="Arial" w:cs="Arial" w:eastAsia="Arial" w:hAnsi="Arial"/>
          <w:sz w:val="16"/>
          <w:szCs w:val="16"/>
          <w:color w:val="auto"/>
        </w:rPr>
        <w:t xml:space="preserve">”), or (C) disclose any NRG Confidential Information to any Person on a “need-to-know” basis, such as its shareholders, partners, members, trustees, beneficiaries, directors, officers, employees, attorneys, consultants, lenders or other advisors;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other than in connection with a Required Securities Disclosure, Yield shall</w:t>
      </w:r>
    </w:p>
    <w:p>
      <w:pPr>
        <w:spacing w:after="0" w:line="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(x) advise such Person of the confidential nature of such NRG Confidential Information, and (y) instruct such Person to keep the NRG Confidential Information confidential pursuant to the terms hereof. Yield shall indemnify and hold harmless the NRG Indemnitees for any Losses incurred by any of the NRG Indemnitees for a breach or default of Yield’s obligations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survive the termination of this Agreement. If Yield purchases the NRG ROFO Asset pursuant to the terms of this Agreement, the confidentiality obligations of Yield with respect to the NRG ROFO Asset shall terminate upon the consummation of such purchase except as otherwise provided in the applicable transaction documentation.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ectPr>
          <w:pgSz w:w="11900" w:h="16870" w:orient="portrait"/>
          <w:cols w:equalWidth="0" w:num="1">
            <w:col w:w="11400"/>
          </w:cols>
          <w:pgMar w:left="240" w:top="341" w:right="259" w:bottom="0" w:gutter="0" w:footer="0" w:header="0"/>
        </w:sectPr>
      </w:pPr>
    </w:p>
    <w:bookmarkStart w:id="66" w:name="page67"/>
    <w:bookmarkEnd w:id="66"/>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160" w:firstLine="1305"/>
        <w:spacing w:after="0" w:line="255" w:lineRule="auto"/>
        <w:tabs>
          <w:tab w:leader="none" w:pos="194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Method of Delivery</w:t>
      </w:r>
      <w:r>
        <w:rPr>
          <w:rFonts w:ascii="Arial" w:cs="Arial" w:eastAsia="Arial" w:hAnsi="Arial"/>
          <w:sz w:val="18"/>
          <w:szCs w:val="18"/>
          <w:color w:val="auto"/>
        </w:rPr>
        <w:t>. All notices, requests, demands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required to be provided to the other Party pursuant to this Agreement shall be in writing and shall be delivered (i) in person, (ii) by certified U.S. mail, with postage prepaid and return receipt requested, (iii) by overnight courier service, (iv) by facsimile transmittal or (v) by email (which requires an acknowledgement by the recipient),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(iv) and (v), a verification copy is sent on the same day by any of the methods set forth in clauses (i), (ii) and (iii), to the other Party to this Agreement at the following address, facsimile number or email address (or to such other address, facsimile number or email address as NRG or Yield may designate from time to time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NRG</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Energy,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(609) 524-4501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Louisiana Avenue,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Gerald P. Farano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(202) 626-1700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Yield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20004-2595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(202) 628-5116</w:t>
      </w:r>
    </w:p>
    <w:p>
      <w:pPr>
        <w:spacing w:after="0" w:line="211" w:lineRule="exact"/>
        <w:rPr>
          <w:sz w:val="20"/>
          <w:szCs w:val="20"/>
          <w:color w:val="auto"/>
        </w:rPr>
      </w:pPr>
    </w:p>
    <w:p>
      <w:pPr>
        <w:jc w:val="both"/>
        <w:ind w:right="280" w:firstLine="1305"/>
        <w:spacing w:after="0" w:line="291" w:lineRule="auto"/>
        <w:tabs>
          <w:tab w:leader="none" w:pos="195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Receipt of Notices</w:t>
      </w:r>
      <w:r>
        <w:rPr>
          <w:rFonts w:ascii="Arial" w:cs="Arial" w:eastAsia="Arial" w:hAnsi="Arial"/>
          <w:sz w:val="16"/>
          <w:szCs w:val="16"/>
          <w:color w:val="auto"/>
        </w:rPr>
        <w:t>. All Notices sent by the Parties under this Agreement shall be deemed to have been received by the Party to whom such Notice is sent (i) in the case of delivery by hand, when delivered; (ii) in the case of delivery by first class certified mail, receipt requested, five</w:t>
      </w:r>
    </w:p>
    <w:p>
      <w:pPr>
        <w:ind w:right="40" w:firstLine="8"/>
        <w:spacing w:after="0" w:line="287"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Business Days after being deposited in the mail, (iii) in the case of overnight courier service guaranteeing next day delivery, on the next Business Day after timely delivery to the courier (iv) in the case of facsimile, on acknowledgement of the addressee’s facsimile receiving equipment if received prior to 5 p.m., recipient’s time, on the Business Day of such transmittal, or on the next Business Day if received later than 5 p.m., recipient’s time or (v) in the case of an email, which requires an acknowledgement of receipt to be sent to the sender, at the time such acknowledgement is received by the sender if received prior to 5 p.m., recipient’s time, on the Business Day of such transmittal, or on the next Business Day if received later than 5 p.m., recipient’s time. If any Party attempts to deliver Notice and such recipient Party refuses delivery of such Notice or such recipient Party is no longer at such address, facsimile number or email address, and such recipient Party failed to provide the sending Party with its current address, facsimile number or email address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then such Notice shall be deemed to have been received by the recipient Party upon the sending Party’s attempted delivery.</w:t>
      </w:r>
    </w:p>
    <w:p>
      <w:pPr>
        <w:spacing w:after="0" w:line="170" w:lineRule="exact"/>
        <w:rPr>
          <w:rFonts w:ascii="Arial" w:cs="Arial" w:eastAsia="Arial" w:hAnsi="Arial"/>
          <w:sz w:val="16"/>
          <w:szCs w:val="16"/>
          <w:color w:val="auto"/>
        </w:rPr>
      </w:pPr>
    </w:p>
    <w:p>
      <w:pPr>
        <w:jc w:val="both"/>
        <w:ind w:right="120" w:firstLine="1305"/>
        <w:spacing w:after="0" w:line="264" w:lineRule="auto"/>
        <w:tabs>
          <w:tab w:leader="none" w:pos="195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Change of Address</w:t>
      </w:r>
      <w:r>
        <w:rPr>
          <w:rFonts w:ascii="Arial" w:cs="Arial" w:eastAsia="Arial" w:hAnsi="Arial"/>
          <w:sz w:val="18"/>
          <w:szCs w:val="18"/>
          <w:color w:val="auto"/>
        </w:rPr>
        <w:t xml:space="preserve">. NRG and Yield and their respective counsel shall have the right to change their respective address, facsimile number and/or email address for the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by providing a Notice of such change in address, facsimile number and/or email address as required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of this Agreement; provided, however, that notwithstanding anything to the contrary in this Agreement, if the time period for the performance of any covenant or obligation, satisfaction of any condition or delivery of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notice or item required under this Agreement shall expire on a day other than a Business Day, such time period shall be extended automatically to the next Business Day.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this Agreement or any interest therein to any Person, without the prior written consent of the other Party, which consent may be withheld in such Party’s sole discretion.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NRG and Yield and their respective successors and permitted assigns.</w:t>
      </w:r>
    </w:p>
    <w:p>
      <w:pPr>
        <w:sectPr>
          <w:pgSz w:w="11900" w:h="16838" w:orient="portrait"/>
          <w:cols w:equalWidth="0" w:num="1">
            <w:col w:w="11420"/>
          </w:cols>
          <w:pgMar w:left="240" w:top="341" w:right="239" w:bottom="0" w:gutter="0" w:footer="0" w:header="0"/>
        </w:sectPr>
      </w:pPr>
    </w:p>
    <w:bookmarkStart w:id="67" w:name="page68"/>
    <w:bookmarkEnd w:id="67"/>
    <w:p>
      <w:pPr>
        <w:ind w:firstLine="648"/>
        <w:spacing w:after="0" w:line="2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not confer any rights or remedies on any Person other than (i) the Parties and their respective successors and permitted assigns, and (ii) the NRG Indemnitees to the extent such NRG Indemnitees are expressly granted certain rights of indemnification in this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Other Activities</w:t>
      </w:r>
      <w:r>
        <w:rPr>
          <w:rFonts w:ascii="Arial" w:cs="Arial" w:eastAsia="Arial" w:hAnsi="Arial"/>
          <w:sz w:val="18"/>
          <w:szCs w:val="18"/>
          <w:color w:val="auto"/>
        </w:rPr>
        <w:t>. No Party shall be prohibited from engaging in or holding an interest in any other business ventures of any kind or description, or any responsibility to account to the other for the income or profits of any such enterprises or have this Agreement be deemed to constitute any agreement not to compete. This Agreement shall not be deemed to create a partnership, joint venture, association or any other similar relationship between the Parties.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305"/>
        <w:spacing w:after="0" w:line="259" w:lineRule="auto"/>
        <w:tabs>
          <w:tab w:leader="none" w:pos="19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and the transactions contemplated hereby shall be governed by the laws of the State of Delaware, without giving effect to any principles regarding conflict of laws. Any litigation or other court proceeding with respect to any matter arising from or in connection with this Agreement shall be conducted in the courts of record in the State of Delaware of the United States District Court for the District of Delaware, and NRG and Yield hereby submit to jurisdiction and consent to venue in such courts.</w:t>
      </w:r>
    </w:p>
    <w:p>
      <w:pPr>
        <w:spacing w:after="0" w:line="186" w:lineRule="exact"/>
        <w:rPr>
          <w:rFonts w:ascii="Arial" w:cs="Arial" w:eastAsia="Arial" w:hAnsi="Arial"/>
          <w:sz w:val="18"/>
          <w:szCs w:val="18"/>
          <w:color w:val="auto"/>
        </w:rPr>
      </w:pPr>
    </w:p>
    <w:p>
      <w:pPr>
        <w:ind w:right="380" w:firstLine="1305"/>
        <w:spacing w:after="0" w:line="308" w:lineRule="auto"/>
        <w:tabs>
          <w:tab w:leader="none" w:pos="19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NRG and Yield hereby waive their right to a trial by jury in any litigation or other court proceeding by either Party against the other Party with respect to any matter arising from or in connection with this Agreement or the transactions contemplated hereby.</w:t>
      </w:r>
    </w:p>
    <w:p>
      <w:pPr>
        <w:spacing w:after="0" w:line="146" w:lineRule="exact"/>
        <w:rPr>
          <w:rFonts w:ascii="Arial" w:cs="Arial" w:eastAsia="Arial" w:hAnsi="Arial"/>
          <w:sz w:val="17"/>
          <w:szCs w:val="17"/>
          <w:color w:val="auto"/>
        </w:rPr>
      </w:pPr>
    </w:p>
    <w:p>
      <w:pPr>
        <w:jc w:val="both"/>
        <w:ind w:right="40" w:firstLine="1305"/>
        <w:spacing w:after="0" w:line="286" w:lineRule="auto"/>
        <w:tabs>
          <w:tab w:leader="none" w:pos="19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any litigation or other court action, arbitration or similar adjudicatory proceeding is sought, taken, instituted or brought by NRG or Yield to enforce its rights under this Agreement, all fees, costs and expenses, including, without limitation, reasonable attorneys fees and court costs, of the prevailing Party in such action, suit or proceeding shall be borne by the Party against whose interest the judgment or decision is rendered.</w:t>
      </w:r>
    </w:p>
    <w:p>
      <w:pPr>
        <w:spacing w:after="0" w:line="165" w:lineRule="exact"/>
        <w:rPr>
          <w:rFonts w:ascii="Arial" w:cs="Arial" w:eastAsia="Arial" w:hAnsi="Arial"/>
          <w:sz w:val="17"/>
          <w:szCs w:val="17"/>
          <w:color w:val="auto"/>
        </w:rPr>
      </w:pPr>
    </w:p>
    <w:p>
      <w:pPr>
        <w:ind w:right="20" w:firstLine="1305"/>
        <w:spacing w:after="0" w:line="25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Parties agree that irreparable damage would occur in the event that any of the provisions of this Agreement and the transactions contemplated hereby were not performed in accordance with their specific terms or were otherwise breached. It is accordingly agreed that the Parties shall be entitled to an injunction or injunctions to prevent breaches of this Agreement and the transactions contemplated hereby and to enforce specifically the terms and provisions of this Agreement and the transactions contemplated hereby in the courts of Delaware, this being in addition to any other remedy to which such Party is entitled at law or in equity.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following rules shall apply to the construction and interpretation of this Agreement:</w:t>
      </w:r>
    </w:p>
    <w:p>
      <w:pPr>
        <w:spacing w:after="0" w:line="225" w:lineRule="exact"/>
        <w:rPr>
          <w:sz w:val="20"/>
          <w:szCs w:val="20"/>
          <w:color w:val="auto"/>
        </w:rPr>
      </w:pPr>
    </w:p>
    <w:p>
      <w:pPr>
        <w:ind w:firstLine="1305"/>
        <w:spacing w:after="0" w:line="277" w:lineRule="auto"/>
        <w:tabs>
          <w:tab w:leader="none" w:pos="19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Singular words shall connote the plural as well as the singular, and plural words shall connote the singular as well as the plural, and the masculine shall include the feminine and the neuter.</w:t>
      </w:r>
    </w:p>
    <w:p>
      <w:pPr>
        <w:spacing w:after="0" w:line="170" w:lineRule="exact"/>
        <w:rPr>
          <w:rFonts w:ascii="Arial" w:cs="Arial" w:eastAsia="Arial" w:hAnsi="Arial"/>
          <w:sz w:val="18"/>
          <w:szCs w:val="18"/>
          <w:color w:val="auto"/>
        </w:rPr>
      </w:pPr>
    </w:p>
    <w:p>
      <w:pPr>
        <w:ind w:right="260" w:firstLine="1305"/>
        <w:spacing w:after="0" w:line="259"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references in this Agreement to particular articles, sections, subsections or clauses (whether in upper or lower case) are references to articles, sections, subsections or clauses of this Agreement. All references in this Agreement to particular exhibits or schedules (whether in upper or lower case) are references to the exhibits and schedules attached to this Agreement, unless otherwise expressly stated or clearly apparent from the context of such reference.</w:t>
      </w:r>
    </w:p>
    <w:p>
      <w:pPr>
        <w:spacing w:after="0" w:line="186" w:lineRule="exact"/>
        <w:rPr>
          <w:rFonts w:ascii="Arial" w:cs="Arial" w:eastAsia="Arial" w:hAnsi="Arial"/>
          <w:sz w:val="18"/>
          <w:szCs w:val="18"/>
          <w:color w:val="auto"/>
        </w:rPr>
      </w:pPr>
    </w:p>
    <w:p>
      <w:pPr>
        <w:ind w:right="240" w:firstLine="1305"/>
        <w:spacing w:after="0" w:line="27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headings contained herein are solely for convenience of reference and shall not constitute a part of this Agreement nor shall they affect its meaning, construction or effect.</w:t>
      </w:r>
    </w:p>
    <w:p>
      <w:pPr>
        <w:spacing w:after="0" w:line="170" w:lineRule="exact"/>
        <w:rPr>
          <w:rFonts w:ascii="Arial" w:cs="Arial" w:eastAsia="Arial" w:hAnsi="Arial"/>
          <w:sz w:val="18"/>
          <w:szCs w:val="18"/>
          <w:color w:val="auto"/>
        </w:rPr>
      </w:pPr>
    </w:p>
    <w:p>
      <w:pPr>
        <w:ind w:right="480" w:firstLine="1305"/>
        <w:spacing w:after="0" w:line="264"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Party and its counsel have reviewed and revised (or requested revisions of) this Agreement and have participated in the preparation of this Agreement, and therefore any usual rules of construction requiring that ambiguities are to be resolved against any Party shall not be applicable in the construction and interpretation of this Agreement or any exhibits hereto.</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“hereby,” “hereof,” “hereto,” “herein,” “hereunder” and any similar terms shall refer to this Agreement, and not solely to the provision in which such term is used.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“include,” “including” and similar terms shall be construed as if followed by the phrase “without limitation.”</w:t>
      </w:r>
    </w:p>
    <w:p>
      <w:pPr>
        <w:spacing w:after="0" w:line="225" w:lineRule="exact"/>
        <w:rPr>
          <w:rFonts w:ascii="Arial" w:cs="Arial" w:eastAsia="Arial" w:hAnsi="Arial"/>
          <w:sz w:val="18"/>
          <w:szCs w:val="18"/>
          <w:color w:val="auto"/>
        </w:rPr>
      </w:pPr>
    </w:p>
    <w:p>
      <w:pPr>
        <w:ind w:right="140" w:firstLine="1305"/>
        <w:spacing w:after="0" w:line="264" w:lineRule="auto"/>
        <w:tabs>
          <w:tab w:leader="none" w:pos="19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 “sole discretion” with respect to any determination to be made by a Party under this Agreement shall mean the sole and absolute discretion of such Party, without regard to any standard of reasonableness or other standard by which the determination of such Party might be challenged.</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held to be or rendered invalid or unenforceable at any time in any jurisdiction, such term or provision shall not affect the validity or enforceability of any other terms or provisions of this Agreement, or the validity or enforceability of such affected terms or provisions at any other time or in any other jurisdiction.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Recitals, Exhibits and Schedules</w:t>
      </w:r>
      <w:r>
        <w:rPr>
          <w:rFonts w:ascii="Arial" w:cs="Arial" w:eastAsia="Arial" w:hAnsi="Arial"/>
          <w:sz w:val="18"/>
          <w:szCs w:val="18"/>
          <w:color w:val="auto"/>
        </w:rPr>
        <w:t>. The recitals to this Agreement, and all exhibits and schedules referred to in this Agreement are incorporated herein by such reference and made a part of this Agreement. Any matter disclosed in any schedule to this Agreement shall be deemed to be incorporated in all other schedules to this Agreement.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and agreement of the Parties hereto, and shall supersede any other agreements and understandings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(written or oral) between NRG and Yield on or prior to the date of this Agreement with respect to the matters contemplated in this Agreement.</w:t>
      </w:r>
    </w:p>
    <w:p>
      <w:pPr>
        <w:sectPr>
          <w:pgSz w:w="11900" w:h="16838" w:orient="portrait"/>
          <w:cols w:equalWidth="0" w:num="1">
            <w:col w:w="11420"/>
          </w:cols>
          <w:pgMar w:left="240" w:top="125" w:right="239" w:bottom="0" w:gutter="0" w:footer="0" w:header="0"/>
        </w:sectPr>
      </w:pPr>
    </w:p>
    <w:bookmarkStart w:id="68" w:name="page69"/>
    <w:bookmarkEnd w:id="68"/>
    <w:p>
      <w:pPr>
        <w:ind w:right="460" w:firstLine="648"/>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No amendment, supplement or other modification to any terms of this Agreement shall be valid unless in writing and executed and delivered by NRG and Yield.</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Facsimile; Counterparts</w:t>
      </w:r>
      <w:r>
        <w:rPr>
          <w:rFonts w:ascii="Arial" w:cs="Arial" w:eastAsia="Arial" w:hAnsi="Arial"/>
          <w:sz w:val="18"/>
          <w:szCs w:val="18"/>
          <w:color w:val="auto"/>
        </w:rPr>
        <w:t xml:space="preserve">. NRG and Yield may deliver executed signature pages to this Agreement by facsimile or electronic transmission to the other Party, which facsimile or electronic copy shall be deemed to be an original executed signature page;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Party shall deliver an original signature page to the other Party promptly thereafter. This Agreement may be executed in any number of counterparts, each of which shall be deemed an original and all of which counterparts together shall constitute one agreement with the same effect as if the Parties had signed the same signature page.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NRG and Yield each have caused this Agreement to be executed and delivered in their names by their respective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or representatives as of the date first above written.</w:t>
      </w:r>
    </w:p>
    <w:p>
      <w:pPr>
        <w:spacing w:after="0" w:line="162" w:lineRule="exact"/>
        <w:rPr>
          <w:sz w:val="20"/>
          <w:szCs w:val="20"/>
          <w:color w:val="auto"/>
        </w:rPr>
      </w:pPr>
    </w:p>
    <w:p>
      <w:pPr>
        <w:ind w:left="5780"/>
        <w:spacing w:after="0"/>
        <w:rPr>
          <w:sz w:val="20"/>
          <w:szCs w:val="20"/>
          <w:color w:val="auto"/>
        </w:rPr>
      </w:pPr>
      <w:r>
        <w:rPr>
          <w:rFonts w:ascii="Arial" w:cs="Arial" w:eastAsia="Arial" w:hAnsi="Arial"/>
          <w:sz w:val="18"/>
          <w:szCs w:val="18"/>
          <w:b w:val="1"/>
          <w:bCs w:val="1"/>
          <w:u w:val="single" w:color="auto"/>
          <w:color w:val="auto"/>
        </w:rPr>
        <w:t>NRG</w:t>
      </w:r>
      <w:r>
        <w:rPr>
          <w:rFonts w:ascii="Arial" w:cs="Arial" w:eastAsia="Arial" w:hAnsi="Arial"/>
          <w:sz w:val="18"/>
          <w:szCs w:val="18"/>
          <w:b w:val="1"/>
          <w:bCs w:val="1"/>
          <w:color w:val="auto"/>
        </w:rPr>
        <w:t>:</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NRG ENERGY, INC.</w:t>
      </w:r>
      <w:r>
        <w:rPr>
          <w:rFonts w:ascii="Arial" w:cs="Arial" w:eastAsia="Arial" w:hAnsi="Arial"/>
          <w:sz w:val="18"/>
          <w:szCs w:val="18"/>
          <w:color w:val="auto"/>
        </w:rPr>
        <w:t>,</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Gaetan Frotte</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Gaetan Frotte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Senior Vice President &amp; Treasurer</w:t>
            </w:r>
          </w:p>
        </w:tc>
      </w:tr>
    </w:tbl>
    <w:p>
      <w:pPr>
        <w:spacing w:after="0" w:line="200" w:lineRule="exact"/>
        <w:rPr>
          <w:sz w:val="20"/>
          <w:szCs w:val="20"/>
          <w:color w:val="auto"/>
        </w:rPr>
      </w:pPr>
    </w:p>
    <w:p>
      <w:pPr>
        <w:spacing w:after="0" w:line="214" w:lineRule="exact"/>
        <w:rPr>
          <w:sz w:val="20"/>
          <w:szCs w:val="20"/>
          <w:color w:val="auto"/>
        </w:rPr>
      </w:pPr>
    </w:p>
    <w:p>
      <w:pPr>
        <w:ind w:left="5780"/>
        <w:spacing w:after="0"/>
        <w:rPr>
          <w:sz w:val="20"/>
          <w:szCs w:val="20"/>
          <w:color w:val="auto"/>
        </w:rPr>
      </w:pPr>
      <w:r>
        <w:rPr>
          <w:rFonts w:ascii="Arial" w:cs="Arial" w:eastAsia="Arial" w:hAnsi="Arial"/>
          <w:sz w:val="18"/>
          <w:szCs w:val="18"/>
          <w:b w:val="1"/>
          <w:bCs w:val="1"/>
          <w:u w:val="single" w:color="auto"/>
          <w:color w:val="auto"/>
        </w:rPr>
        <w:t>YIELD</w:t>
      </w:r>
      <w:r>
        <w:rPr>
          <w:rFonts w:ascii="Arial" w:cs="Arial" w:eastAsia="Arial" w:hAnsi="Arial"/>
          <w:sz w:val="18"/>
          <w:szCs w:val="18"/>
          <w:b w:val="1"/>
          <w:bCs w:val="1"/>
          <w:color w:val="auto"/>
        </w:rPr>
        <w:t>:</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NRG YIELD, INC.</w:t>
      </w:r>
      <w:r>
        <w:rPr>
          <w:rFonts w:ascii="Arial" w:cs="Arial" w:eastAsia="Arial" w:hAnsi="Arial"/>
          <w:sz w:val="18"/>
          <w:szCs w:val="18"/>
          <w:color w:val="auto"/>
        </w:rPr>
        <w:t>,</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Senior Vice President and CFO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Amended and Restated ROFO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and effective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LIMITED LIABILITY COMPANY INTERESTS IN NRG YIELD LLC HAVE NOT BEEN REGISTERED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SECURITIES LAWS OF ANY STATE OR ANY OTHER APPLICABLE SECURITIES LAWS AND ARE BEING SOLD IN RELIANCE UPON EXEMPTIONS FROM THE REGISTRATION REQUIREMENTS OF THE SECURITIES ACT AND SUCH LAWS. SUCH INTERESTS MAY NOT BE OFFERED FOR SALE, PLEDGED, HYPOTHECATED, SOLD, ASSIGNED OR TRANSFERRED AT ANY TIME EXCEPT IN COMPLIANCE WITH (I) THE SECURITIES ACT, ANY APPLICABLE SECURITIES LAWS OF ANY STATE AND ANY OTHER APPLICABLE SECURITIES LAWS; (II) THE TERMS AND CONDITIONS OF THIS FOURTH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FOURTH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5"/>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5"/>
              </w:rPr>
              <w:t>Definitions</w:t>
            </w:r>
          </w:p>
        </w:tc>
        <w:tc>
          <w:tcPr>
            <w:tcW w:w="7540" w:type="dxa"/>
            <w:vAlign w:val="bottom"/>
            <w:gridSpan w:val="1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1.2.</w:t>
            </w:r>
          </w:p>
        </w:tc>
        <w:tc>
          <w:tcPr>
            <w:tcW w:w="1280" w:type="dxa"/>
            <w:vAlign w:val="bottom"/>
            <w:tcBorders>
              <w:bottom w:val="single" w:sz="8" w:color="auto"/>
            </w:tcBorders>
            <w:gridSpan w:val="12"/>
          </w:tcPr>
          <w:p>
            <w:pPr>
              <w:spacing w:after="0" w:line="182" w:lineRule="exact"/>
              <w:rPr>
                <w:sz w:val="20"/>
                <w:szCs w:val="20"/>
                <w:color w:val="auto"/>
              </w:rPr>
            </w:pPr>
            <w:r>
              <w:rPr>
                <w:rFonts w:ascii="Arial" w:cs="Arial" w:eastAsia="Arial" w:hAnsi="Arial"/>
                <w:sz w:val="18"/>
                <w:szCs w:val="18"/>
                <w:color w:val="auto"/>
                <w:w w:val="93"/>
              </w:rPr>
              <w:t>Other Definitions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23"/>
        </w:trPr>
        <w:tc>
          <w:tcPr>
            <w:tcW w:w="192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9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Construction</w:t>
            </w:r>
          </w:p>
        </w:tc>
        <w:tc>
          <w:tcPr>
            <w:tcW w:w="7420" w:type="dxa"/>
            <w:vAlign w:val="bottom"/>
            <w:gridSpan w:val="16"/>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53"/>
        </w:trPr>
        <w:tc>
          <w:tcPr>
            <w:tcW w:w="10280" w:type="dxa"/>
            <w:vAlign w:val="bottom"/>
            <w:gridSpan w:val="25"/>
          </w:tcPr>
          <w:p>
            <w:pPr>
              <w:spacing w:after="0"/>
              <w:rPr>
                <w:sz w:val="20"/>
                <w:szCs w:val="20"/>
                <w:color w:val="auto"/>
              </w:rPr>
            </w:pPr>
            <w:r>
              <w:rPr>
                <w:rFonts w:ascii="Arial" w:cs="Arial" w:eastAsia="Arial" w:hAnsi="Arial"/>
                <w:sz w:val="18"/>
                <w:szCs w:val="18"/>
                <w:color w:val="auto"/>
              </w:rPr>
              <w:t>ARTICLE II ORGANIZATIONAL AND OTHER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Formation</w:t>
            </w:r>
          </w:p>
        </w:tc>
        <w:tc>
          <w:tcPr>
            <w:tcW w:w="7600" w:type="dxa"/>
            <w:vAlign w:val="bottom"/>
            <w:gridSpan w:val="2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2.2.</w:t>
            </w:r>
          </w:p>
        </w:tc>
        <w:tc>
          <w:tcPr>
            <w:tcW w:w="4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Name</w:t>
            </w:r>
          </w:p>
        </w:tc>
        <w:tc>
          <w:tcPr>
            <w:tcW w:w="7920" w:type="dxa"/>
            <w:vAlign w:val="bottom"/>
            <w:gridSpan w:val="2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2.3.</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Limited Liability</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2.4.</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Registered Office; Registered Agent; Principal Office in the United States; Other Offices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2.5.</w:t>
            </w:r>
          </w:p>
        </w:tc>
        <w:tc>
          <w:tcPr>
            <w:tcW w:w="124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7"/>
              </w:rPr>
              <w:t>Purpose; Powers</w:t>
            </w:r>
          </w:p>
        </w:tc>
        <w:tc>
          <w:tcPr>
            <w:tcW w:w="5160" w:type="dxa"/>
            <w:vAlign w:val="bottom"/>
            <w:tcBorders>
              <w:top w:val="single" w:sz="8" w:color="auto"/>
            </w:tcBorders>
            <w:gridSpan w:val="11"/>
          </w:tcPr>
          <w:p>
            <w:pPr>
              <w:spacing w:after="0"/>
              <w:rPr>
                <w:sz w:val="17"/>
                <w:szCs w:val="17"/>
                <w:color w:val="auto"/>
              </w:rPr>
            </w:pPr>
          </w:p>
        </w:tc>
        <w:tc>
          <w:tcPr>
            <w:tcW w:w="196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2.6.</w:t>
            </w:r>
          </w:p>
        </w:tc>
        <w:tc>
          <w:tcPr>
            <w:tcW w:w="370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2"/>
              </w:rPr>
              <w:t>Existing and Good Standing; Foreign Qualification</w:t>
            </w:r>
          </w:p>
        </w:tc>
        <w:tc>
          <w:tcPr>
            <w:tcW w:w="466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2.7.</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Term</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2.8.</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No State Law Partnership</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9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5"/>
          </w:tcPr>
          <w:p>
            <w:pPr>
              <w:spacing w:after="0"/>
              <w:rPr>
                <w:sz w:val="20"/>
                <w:szCs w:val="20"/>
                <w:color w:val="auto"/>
              </w:rPr>
            </w:pPr>
            <w:r>
              <w:rPr>
                <w:rFonts w:ascii="Arial" w:cs="Arial" w:eastAsia="Arial" w:hAnsi="Arial"/>
                <w:sz w:val="18"/>
                <w:szCs w:val="18"/>
                <w:color w:val="auto"/>
              </w:rPr>
              <w:t>ARTICLE III MEMBERS; CAPITALIZATION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11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2"/>
              </w:rPr>
              <w:t>Members; Units</w:t>
            </w:r>
          </w:p>
        </w:tc>
        <w:tc>
          <w:tcPr>
            <w:tcW w:w="7180" w:type="dxa"/>
            <w:vAlign w:val="bottom"/>
            <w:gridSpan w:val="1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3.2.</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w w:val="93"/>
              </w:rPr>
              <w:t>Class A Common Stock and Class C Common Stock Sale; Exchanges; Authorization and Issuance of Additional</w:t>
            </w:r>
          </w:p>
        </w:tc>
        <w:tc>
          <w:tcPr>
            <w:tcW w:w="114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4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2"/>
              </w:rPr>
              <w:t>Units</w:t>
            </w:r>
          </w:p>
        </w:tc>
        <w:tc>
          <w:tcPr>
            <w:tcW w:w="7700" w:type="dxa"/>
            <w:vAlign w:val="bottom"/>
            <w:tcBorders>
              <w:top w:val="single" w:sz="8" w:color="auto"/>
            </w:tcBorders>
            <w:gridSpan w:val="21"/>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3.3.</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Capital Account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3.4.</w:t>
            </w:r>
          </w:p>
        </w:tc>
        <w:tc>
          <w:tcPr>
            <w:tcW w:w="112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3"/>
              </w:rPr>
              <w:t>No Withdrawal</w:t>
            </w:r>
          </w:p>
        </w:tc>
        <w:tc>
          <w:tcPr>
            <w:tcW w:w="60" w:type="dxa"/>
            <w:vAlign w:val="bottom"/>
            <w:tcBorders>
              <w:top w:val="single" w:sz="8" w:color="auto"/>
            </w:tcBorders>
          </w:tcPr>
          <w:p>
            <w:pPr>
              <w:spacing w:after="0"/>
              <w:rPr>
                <w:sz w:val="17"/>
                <w:szCs w:val="17"/>
                <w:color w:val="auto"/>
              </w:rPr>
            </w:pPr>
          </w:p>
        </w:tc>
        <w:tc>
          <w:tcPr>
            <w:tcW w:w="718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3.5.</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Loans From Members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3.6.</w:t>
            </w:r>
          </w:p>
        </w:tc>
        <w:tc>
          <w:tcPr>
            <w:tcW w:w="154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4"/>
              </w:rPr>
              <w:t>No Right of Partition</w:t>
            </w:r>
          </w:p>
        </w:tc>
        <w:tc>
          <w:tcPr>
            <w:tcW w:w="60" w:type="dxa"/>
            <w:vAlign w:val="bottom"/>
            <w:tcBorders>
              <w:top w:val="single" w:sz="8" w:color="auto"/>
            </w:tcBorders>
          </w:tcPr>
          <w:p>
            <w:pPr>
              <w:spacing w:after="0"/>
              <w:rPr>
                <w:sz w:val="17"/>
                <w:szCs w:val="17"/>
                <w:color w:val="auto"/>
              </w:rPr>
            </w:pPr>
          </w:p>
        </w:tc>
        <w:tc>
          <w:tcPr>
            <w:tcW w:w="676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3.7.</w:t>
            </w:r>
          </w:p>
        </w:tc>
        <w:tc>
          <w:tcPr>
            <w:tcW w:w="40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2"/>
              </w:rPr>
              <w:t>Non-Certification of Units; Legend; Units are Securities</w:t>
            </w:r>
          </w:p>
        </w:tc>
        <w:tc>
          <w:tcPr>
            <w:tcW w:w="430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3.8.</w:t>
            </w:r>
          </w:p>
        </w:tc>
        <w:tc>
          <w:tcPr>
            <w:tcW w:w="25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Outside Activities of the Members</w:t>
            </w:r>
          </w:p>
        </w:tc>
        <w:tc>
          <w:tcPr>
            <w:tcW w:w="586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10280" w:type="dxa"/>
            <w:vAlign w:val="bottom"/>
            <w:gridSpan w:val="25"/>
          </w:tcPr>
          <w:p>
            <w:pPr>
              <w:spacing w:after="0"/>
              <w:rPr>
                <w:sz w:val="20"/>
                <w:szCs w:val="20"/>
                <w:color w:val="auto"/>
              </w:rPr>
            </w:pPr>
            <w:r>
              <w:rPr>
                <w:rFonts w:ascii="Arial" w:cs="Arial" w:eastAsia="Arial" w:hAnsi="Arial"/>
                <w:sz w:val="18"/>
                <w:szCs w:val="18"/>
                <w:color w:val="auto"/>
              </w:rPr>
              <w:t>ARTICLE IV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360" w:type="dxa"/>
            <w:vAlign w:val="bottom"/>
            <w:gridSpan w:val="24"/>
          </w:tcPr>
          <w:p>
            <w:pPr>
              <w:spacing w:after="0"/>
              <w:rPr>
                <w:sz w:val="20"/>
                <w:szCs w:val="20"/>
                <w:color w:val="auto"/>
              </w:rPr>
            </w:pPr>
            <w:r>
              <w:rPr>
                <w:rFonts w:ascii="Arial" w:cs="Arial" w:eastAsia="Arial" w:hAnsi="Arial"/>
                <w:sz w:val="18"/>
                <w:szCs w:val="18"/>
                <w:color w:val="auto"/>
              </w:rPr>
              <w:t>Determination of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4.2.</w:t>
            </w:r>
          </w:p>
        </w:tc>
        <w:tc>
          <w:tcPr>
            <w:tcW w:w="8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3"/>
              </w:rPr>
              <w:t>Successors</w:t>
            </w:r>
          </w:p>
        </w:tc>
        <w:tc>
          <w:tcPr>
            <w:tcW w:w="1420" w:type="dxa"/>
            <w:vAlign w:val="bottom"/>
            <w:tcBorders>
              <w:top w:val="single" w:sz="8" w:color="auto"/>
            </w:tcBorders>
            <w:gridSpan w:val="12"/>
          </w:tcPr>
          <w:p>
            <w:pPr>
              <w:spacing w:after="0"/>
              <w:rPr>
                <w:sz w:val="17"/>
                <w:szCs w:val="17"/>
                <w:color w:val="auto"/>
              </w:rPr>
            </w:pPr>
          </w:p>
        </w:tc>
        <w:tc>
          <w:tcPr>
            <w:tcW w:w="614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4.3.</w:t>
            </w:r>
          </w:p>
        </w:tc>
        <w:tc>
          <w:tcPr>
            <w:tcW w:w="8360" w:type="dxa"/>
            <w:vAlign w:val="bottom"/>
            <w:gridSpan w:val="24"/>
          </w:tcPr>
          <w:p>
            <w:pPr>
              <w:spacing w:after="0" w:line="196" w:lineRule="exact"/>
              <w:rPr>
                <w:sz w:val="20"/>
                <w:szCs w:val="20"/>
                <w:color w:val="auto"/>
              </w:rPr>
            </w:pPr>
            <w:r>
              <w:rPr>
                <w:rFonts w:ascii="Arial" w:cs="Arial" w:eastAsia="Arial" w:hAnsi="Arial"/>
                <w:sz w:val="18"/>
                <w:szCs w:val="18"/>
                <w:color w:val="auto"/>
              </w:rPr>
              <w:t>Withholding</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4.4.</w:t>
            </w:r>
          </w:p>
        </w:tc>
        <w:tc>
          <w:tcPr>
            <w:tcW w:w="90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Limitation</w:t>
            </w:r>
          </w:p>
        </w:tc>
        <w:tc>
          <w:tcPr>
            <w:tcW w:w="746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92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5"/>
          </w:tcPr>
          <w:p>
            <w:pPr>
              <w:spacing w:after="0"/>
              <w:rPr>
                <w:sz w:val="20"/>
                <w:szCs w:val="20"/>
                <w:color w:val="auto"/>
              </w:rPr>
            </w:pPr>
            <w:r>
              <w:rPr>
                <w:rFonts w:ascii="Arial" w:cs="Arial" w:eastAsia="Arial" w:hAnsi="Arial"/>
                <w:sz w:val="18"/>
                <w:szCs w:val="18"/>
                <w:color w:val="auto"/>
              </w:rPr>
              <w:t>ARTICLE V ALLOCATIONS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360" w:type="dxa"/>
            <w:vAlign w:val="bottom"/>
            <w:gridSpan w:val="24"/>
          </w:tcPr>
          <w:p>
            <w:pPr>
              <w:spacing w:after="0"/>
              <w:rPr>
                <w:sz w:val="20"/>
                <w:szCs w:val="20"/>
                <w:color w:val="auto"/>
              </w:rPr>
            </w:pPr>
            <w:r>
              <w:rPr>
                <w:rFonts w:ascii="Arial" w:cs="Arial" w:eastAsia="Arial" w:hAnsi="Arial"/>
                <w:sz w:val="18"/>
                <w:szCs w:val="18"/>
                <w:color w:val="auto"/>
              </w:rPr>
              <w:t>Allocations for Capital Account Purposes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5.2.</w:t>
            </w:r>
          </w:p>
        </w:tc>
        <w:tc>
          <w:tcPr>
            <w:tcW w:w="210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Allocations for Tax Purposes</w:t>
            </w:r>
          </w:p>
        </w:tc>
        <w:tc>
          <w:tcPr>
            <w:tcW w:w="900" w:type="dxa"/>
            <w:vAlign w:val="bottom"/>
            <w:tcBorders>
              <w:top w:val="single" w:sz="8" w:color="auto"/>
            </w:tcBorders>
            <w:gridSpan w:val="3"/>
          </w:tcPr>
          <w:p>
            <w:pPr>
              <w:spacing w:after="0"/>
              <w:rPr>
                <w:sz w:val="17"/>
                <w:szCs w:val="17"/>
                <w:color w:val="auto"/>
              </w:rPr>
            </w:pPr>
          </w:p>
        </w:tc>
        <w:tc>
          <w:tcPr>
            <w:tcW w:w="536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121"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8360" w:type="dxa"/>
            <w:vAlign w:val="bottom"/>
            <w:gridSpan w:val="31"/>
          </w:tcPr>
          <w:p>
            <w:pPr>
              <w:spacing w:after="0"/>
              <w:rPr>
                <w:sz w:val="20"/>
                <w:szCs w:val="20"/>
                <w:color w:val="auto"/>
              </w:rPr>
            </w:pPr>
            <w:r>
              <w:rPr>
                <w:rFonts w:ascii="Arial" w:cs="Arial" w:eastAsia="Arial" w:hAnsi="Arial"/>
                <w:sz w:val="18"/>
                <w:szCs w:val="18"/>
                <w:color w:val="auto"/>
              </w:rPr>
              <w:t>Members’ Tax Reporting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53"/>
        </w:trPr>
        <w:tc>
          <w:tcPr>
            <w:tcW w:w="19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2"/>
          </w:tcPr>
          <w:p>
            <w:pPr>
              <w:jc w:val="center"/>
              <w:ind w:right="398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60" w:type="dxa"/>
            <w:vAlign w:val="bottom"/>
            <w:gridSpan w:val="2"/>
          </w:tcPr>
          <w:p>
            <w:pPr>
              <w:jc w:val="center"/>
              <w:ind w:right="39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continued</w:t>
            </w:r>
            <w:r>
              <w:rPr>
                <w:rFonts w:ascii="Arial" w:cs="Arial" w:eastAsia="Arial" w:hAnsi="Arial"/>
                <w:sz w:val="18"/>
                <w:szCs w:val="18"/>
                <w:color w:val="auto"/>
                <w:w w:val="91"/>
              </w:rPr>
              <w: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92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202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87"/>
              </w:rPr>
              <w:t>Certain Costs and Expenses</w:t>
            </w:r>
          </w:p>
        </w:tc>
        <w:tc>
          <w:tcPr>
            <w:tcW w:w="6340" w:type="dxa"/>
            <w:vAlign w:val="bottom"/>
            <w:gridSpan w:val="7"/>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53"/>
        </w:trPr>
        <w:tc>
          <w:tcPr>
            <w:tcW w:w="10280" w:type="dxa"/>
            <w:vAlign w:val="bottom"/>
            <w:gridSpan w:val="32"/>
          </w:tcPr>
          <w:p>
            <w:pPr>
              <w:spacing w:after="0"/>
              <w:rPr>
                <w:sz w:val="20"/>
                <w:szCs w:val="20"/>
                <w:color w:val="auto"/>
              </w:rPr>
            </w:pPr>
            <w:r>
              <w:rPr>
                <w:rFonts w:ascii="Arial" w:cs="Arial" w:eastAsia="Arial" w:hAnsi="Arial"/>
                <w:sz w:val="18"/>
                <w:szCs w:val="18"/>
                <w:color w:val="auto"/>
              </w:rPr>
              <w:t>ARTICLE VI MANAGEMENT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404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2"/>
              </w:rPr>
              <w:t>Managing Member; Delegation of Authority and Duties</w:t>
            </w:r>
          </w:p>
        </w:tc>
        <w:tc>
          <w:tcPr>
            <w:tcW w:w="43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6.2.</w:t>
            </w:r>
          </w:p>
        </w:tc>
        <w:tc>
          <w:tcPr>
            <w:tcW w:w="6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3"/>
              </w:rPr>
              <w:t>Officers</w:t>
            </w:r>
          </w:p>
        </w:tc>
        <w:tc>
          <w:tcPr>
            <w:tcW w:w="7760" w:type="dxa"/>
            <w:vAlign w:val="bottom"/>
            <w:gridSpan w:val="28"/>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6.3.</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Liability of Members</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6.4.</w:t>
            </w:r>
          </w:p>
        </w:tc>
        <w:tc>
          <w:tcPr>
            <w:tcW w:w="240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2"/>
              </w:rPr>
              <w:t>Indemnification by the Company</w:t>
            </w:r>
          </w:p>
        </w:tc>
        <w:tc>
          <w:tcPr>
            <w:tcW w:w="5960" w:type="dxa"/>
            <w:vAlign w:val="bottom"/>
            <w:gridSpan w:val="4"/>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6.5.</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Liability of Indemnitees</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6.6.</w:t>
            </w:r>
          </w:p>
        </w:tc>
        <w:tc>
          <w:tcPr>
            <w:tcW w:w="292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89"/>
              </w:rPr>
              <w:t>Investment Representations of Members</w:t>
            </w:r>
          </w:p>
        </w:tc>
        <w:tc>
          <w:tcPr>
            <w:tcW w:w="5440" w:type="dxa"/>
            <w:vAlign w:val="bottom"/>
            <w:gridSpan w:val="3"/>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453"/>
        </w:trPr>
        <w:tc>
          <w:tcPr>
            <w:tcW w:w="10280" w:type="dxa"/>
            <w:vAlign w:val="bottom"/>
            <w:gridSpan w:val="32"/>
          </w:tcPr>
          <w:p>
            <w:pPr>
              <w:spacing w:after="0"/>
              <w:rPr>
                <w:sz w:val="20"/>
                <w:szCs w:val="20"/>
                <w:color w:val="auto"/>
              </w:rPr>
            </w:pPr>
            <w:r>
              <w:rPr>
                <w:rFonts w:ascii="Arial" w:cs="Arial" w:eastAsia="Arial" w:hAnsi="Arial"/>
                <w:sz w:val="18"/>
                <w:szCs w:val="18"/>
                <w:color w:val="auto"/>
              </w:rPr>
              <w:t>ARTICLE VII WITHDRAWAL; DISSOLUTION; TRANSFER OF MEMBERSHIP INTERESTS; ADMISSION OF NEW MEMBERS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8360" w:type="dxa"/>
            <w:vAlign w:val="bottom"/>
            <w:gridSpan w:val="31"/>
          </w:tcPr>
          <w:p>
            <w:pPr>
              <w:spacing w:after="0"/>
              <w:rPr>
                <w:sz w:val="20"/>
                <w:szCs w:val="20"/>
                <w:color w:val="auto"/>
              </w:rPr>
            </w:pPr>
            <w:r>
              <w:rPr>
                <w:rFonts w:ascii="Arial" w:cs="Arial" w:eastAsia="Arial" w:hAnsi="Arial"/>
                <w:sz w:val="18"/>
                <w:szCs w:val="18"/>
                <w:color w:val="auto"/>
              </w:rPr>
              <w:t>Member Withdrawal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7.2.</w:t>
            </w:r>
          </w:p>
        </w:tc>
        <w:tc>
          <w:tcPr>
            <w:tcW w:w="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Dissolution</w:t>
            </w:r>
          </w:p>
        </w:tc>
        <w:tc>
          <w:tcPr>
            <w:tcW w:w="700" w:type="dxa"/>
            <w:vAlign w:val="bottom"/>
            <w:tcBorders>
              <w:top w:val="single" w:sz="8" w:color="auto"/>
            </w:tcBorders>
            <w:gridSpan w:val="10"/>
          </w:tcPr>
          <w:p>
            <w:pPr>
              <w:spacing w:after="0"/>
              <w:rPr>
                <w:sz w:val="17"/>
                <w:szCs w:val="17"/>
                <w:color w:val="auto"/>
              </w:rPr>
            </w:pPr>
          </w:p>
        </w:tc>
        <w:tc>
          <w:tcPr>
            <w:tcW w:w="6820" w:type="dxa"/>
            <w:vAlign w:val="bottom"/>
            <w:gridSpan w:val="15"/>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7.3.</w:t>
            </w:r>
          </w:p>
        </w:tc>
        <w:tc>
          <w:tcPr>
            <w:tcW w:w="15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Transfer by Members</w:t>
            </w:r>
          </w:p>
        </w:tc>
        <w:tc>
          <w:tcPr>
            <w:tcW w:w="6780" w:type="dxa"/>
            <w:vAlign w:val="bottom"/>
            <w:gridSpan w:val="13"/>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7.4.</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Admission or Substitution of New Members</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7.5.</w:t>
            </w:r>
          </w:p>
        </w:tc>
        <w:tc>
          <w:tcPr>
            <w:tcW w:w="320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Additional Requirements</w:t>
            </w:r>
          </w:p>
        </w:tc>
        <w:tc>
          <w:tcPr>
            <w:tcW w:w="5160" w:type="dxa"/>
            <w:vAlign w:val="bottom"/>
            <w:gridSpan w:val="2"/>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7.6.</w:t>
            </w:r>
          </w:p>
        </w:tc>
        <w:tc>
          <w:tcPr>
            <w:tcW w:w="18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Bankruptcy</w:t>
            </w:r>
          </w:p>
        </w:tc>
        <w:tc>
          <w:tcPr>
            <w:tcW w:w="6540" w:type="dxa"/>
            <w:vAlign w:val="bottom"/>
            <w:gridSpan w:val="11"/>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7.7.</w:t>
            </w:r>
          </w:p>
        </w:tc>
        <w:tc>
          <w:tcPr>
            <w:tcW w:w="15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0"/>
              </w:rPr>
              <w:t>Mandatory Exchange</w:t>
            </w:r>
          </w:p>
        </w:tc>
        <w:tc>
          <w:tcPr>
            <w:tcW w:w="6800" w:type="dxa"/>
            <w:vAlign w:val="bottom"/>
            <w:gridSpan w:val="14"/>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280" w:type="dxa"/>
            <w:vAlign w:val="bottom"/>
            <w:gridSpan w:val="32"/>
          </w:tcPr>
          <w:p>
            <w:pPr>
              <w:spacing w:after="0"/>
              <w:rPr>
                <w:sz w:val="20"/>
                <w:szCs w:val="20"/>
                <w:color w:val="auto"/>
              </w:rPr>
            </w:pPr>
            <w:r>
              <w:rPr>
                <w:rFonts w:ascii="Arial" w:cs="Arial" w:eastAsia="Arial" w:hAnsi="Arial"/>
                <w:sz w:val="18"/>
                <w:szCs w:val="18"/>
                <w:color w:val="auto"/>
              </w:rPr>
              <w:t>ARTICLE VIII BOOKS AND RECORDS; FINANCIAL STATEMENTS AND OTHER INFORMATION; TAX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8360" w:type="dxa"/>
            <w:vAlign w:val="bottom"/>
            <w:gridSpan w:val="31"/>
          </w:tcPr>
          <w:p>
            <w:pPr>
              <w:spacing w:after="0"/>
              <w:rPr>
                <w:sz w:val="20"/>
                <w:szCs w:val="20"/>
                <w:color w:val="auto"/>
              </w:rPr>
            </w:pPr>
            <w:r>
              <w:rPr>
                <w:rFonts w:ascii="Arial" w:cs="Arial" w:eastAsia="Arial" w:hAnsi="Arial"/>
                <w:sz w:val="18"/>
                <w:szCs w:val="18"/>
                <w:color w:val="auto"/>
              </w:rPr>
              <w:t>Books and Records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8.2.</w:t>
            </w:r>
          </w:p>
        </w:tc>
        <w:tc>
          <w:tcPr>
            <w:tcW w:w="14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Information</w:t>
            </w:r>
          </w:p>
        </w:tc>
        <w:tc>
          <w:tcPr>
            <w:tcW w:w="6960" w:type="dxa"/>
            <w:vAlign w:val="bottom"/>
            <w:gridSpan w:val="17"/>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8.3.</w:t>
            </w:r>
          </w:p>
        </w:tc>
        <w:tc>
          <w:tcPr>
            <w:tcW w:w="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Fiscal Year</w:t>
            </w:r>
          </w:p>
        </w:tc>
        <w:tc>
          <w:tcPr>
            <w:tcW w:w="20" w:type="dxa"/>
            <w:vAlign w:val="bottom"/>
            <w:tcBorders>
              <w:top w:val="single" w:sz="8" w:color="auto"/>
            </w:tcBorders>
          </w:tcPr>
          <w:p>
            <w:pPr>
              <w:spacing w:after="0"/>
              <w:rPr>
                <w:sz w:val="17"/>
                <w:szCs w:val="17"/>
                <w:color w:val="auto"/>
              </w:rPr>
            </w:pPr>
          </w:p>
        </w:tc>
        <w:tc>
          <w:tcPr>
            <w:tcW w:w="7500" w:type="dxa"/>
            <w:vAlign w:val="bottom"/>
            <w:gridSpan w:val="24"/>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8.4.</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Certain Tax Matters</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53"/>
        </w:trPr>
        <w:tc>
          <w:tcPr>
            <w:tcW w:w="10280" w:type="dxa"/>
            <w:vAlign w:val="bottom"/>
            <w:gridSpan w:val="32"/>
          </w:tcPr>
          <w:p>
            <w:pPr>
              <w:spacing w:after="0"/>
              <w:rPr>
                <w:sz w:val="20"/>
                <w:szCs w:val="20"/>
                <w:color w:val="auto"/>
              </w:rPr>
            </w:pPr>
            <w:r>
              <w:rPr>
                <w:rFonts w:ascii="Arial" w:cs="Arial" w:eastAsia="Arial" w:hAnsi="Arial"/>
                <w:sz w:val="18"/>
                <w:szCs w:val="18"/>
                <w:color w:val="auto"/>
              </w:rPr>
              <w:t>ARTICLE IX MISCELLANEOUS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392"/>
        </w:trPr>
        <w:tc>
          <w:tcPr>
            <w:tcW w:w="192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8360" w:type="dxa"/>
            <w:vAlign w:val="bottom"/>
            <w:gridSpan w:val="31"/>
          </w:tcPr>
          <w:p>
            <w:pPr>
              <w:spacing w:after="0"/>
              <w:rPr>
                <w:sz w:val="20"/>
                <w:szCs w:val="20"/>
                <w:color w:val="auto"/>
              </w:rPr>
            </w:pPr>
            <w:r>
              <w:rPr>
                <w:rFonts w:ascii="Arial" w:cs="Arial" w:eastAsia="Arial" w:hAnsi="Arial"/>
                <w:sz w:val="18"/>
                <w:szCs w:val="18"/>
                <w:color w:val="auto"/>
              </w:rPr>
              <w:t>Separate Agreements; Schedules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9.2.</w:t>
            </w:r>
          </w:p>
        </w:tc>
        <w:tc>
          <w:tcPr>
            <w:tcW w:w="236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Governing Law; Disputes</w:t>
            </w:r>
          </w:p>
        </w:tc>
        <w:tc>
          <w:tcPr>
            <w:tcW w:w="6000" w:type="dxa"/>
            <w:vAlign w:val="bottom"/>
            <w:gridSpan w:val="5"/>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9.3.</w:t>
            </w:r>
          </w:p>
        </w:tc>
        <w:tc>
          <w:tcPr>
            <w:tcW w:w="186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Parties in Interest</w:t>
            </w:r>
          </w:p>
        </w:tc>
        <w:tc>
          <w:tcPr>
            <w:tcW w:w="6500" w:type="dxa"/>
            <w:vAlign w:val="bottom"/>
            <w:gridSpan w:val="9"/>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9.4.</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Amendments and Waivers</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9.5.</w:t>
            </w:r>
          </w:p>
        </w:tc>
        <w:tc>
          <w:tcPr>
            <w:tcW w:w="5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Notices</w:t>
            </w:r>
          </w:p>
        </w:tc>
        <w:tc>
          <w:tcPr>
            <w:tcW w:w="1340" w:type="dxa"/>
            <w:vAlign w:val="bottom"/>
            <w:tcBorders>
              <w:top w:val="single" w:sz="8" w:color="auto"/>
            </w:tcBorders>
            <w:gridSpan w:val="21"/>
          </w:tcPr>
          <w:p>
            <w:pPr>
              <w:spacing w:after="0"/>
              <w:rPr>
                <w:sz w:val="17"/>
                <w:szCs w:val="17"/>
                <w:color w:val="auto"/>
              </w:rPr>
            </w:pPr>
          </w:p>
        </w:tc>
        <w:tc>
          <w:tcPr>
            <w:tcW w:w="6460" w:type="dxa"/>
            <w:vAlign w:val="bottom"/>
            <w:gridSpan w:val="8"/>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9.6.</w:t>
            </w:r>
          </w:p>
        </w:tc>
        <w:tc>
          <w:tcPr>
            <w:tcW w:w="9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Counterparts</w:t>
            </w:r>
          </w:p>
        </w:tc>
        <w:tc>
          <w:tcPr>
            <w:tcW w:w="7420" w:type="dxa"/>
            <w:vAlign w:val="bottom"/>
            <w:gridSpan w:val="22"/>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9.7.</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Power of Attorney</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9.8.</w:t>
            </w:r>
          </w:p>
        </w:tc>
        <w:tc>
          <w:tcPr>
            <w:tcW w:w="130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1"/>
              </w:rPr>
              <w:t>Entire Agreement</w:t>
            </w:r>
          </w:p>
        </w:tc>
        <w:tc>
          <w:tcPr>
            <w:tcW w:w="40" w:type="dxa"/>
            <w:vAlign w:val="bottom"/>
            <w:tcBorders>
              <w:top w:val="single" w:sz="8" w:color="auto"/>
            </w:tcBorders>
          </w:tcPr>
          <w:p>
            <w:pPr>
              <w:spacing w:after="0"/>
              <w:rPr>
                <w:sz w:val="17"/>
                <w:szCs w:val="17"/>
                <w:color w:val="auto"/>
              </w:rPr>
            </w:pPr>
          </w:p>
        </w:tc>
        <w:tc>
          <w:tcPr>
            <w:tcW w:w="7020" w:type="dxa"/>
            <w:vAlign w:val="bottom"/>
            <w:gridSpan w:val="18"/>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9.9.</w:t>
            </w:r>
          </w:p>
        </w:tc>
        <w:tc>
          <w:tcPr>
            <w:tcW w:w="7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6"/>
              </w:rPr>
              <w:t>Remedies</w:t>
            </w:r>
          </w:p>
        </w:tc>
        <w:tc>
          <w:tcPr>
            <w:tcW w:w="7640" w:type="dxa"/>
            <w:vAlign w:val="bottom"/>
            <w:gridSpan w:val="26"/>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9.10.</w:t>
            </w:r>
          </w:p>
        </w:tc>
        <w:tc>
          <w:tcPr>
            <w:tcW w:w="8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Severability</w:t>
            </w:r>
          </w:p>
        </w:tc>
        <w:tc>
          <w:tcPr>
            <w:tcW w:w="7480" w:type="dxa"/>
            <w:vAlign w:val="bottom"/>
            <w:gridSpan w:val="23"/>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9.11.</w:t>
            </w:r>
          </w:p>
        </w:tc>
        <w:tc>
          <w:tcPr>
            <w:tcW w:w="6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Creditors</w:t>
            </w:r>
          </w:p>
        </w:tc>
        <w:tc>
          <w:tcPr>
            <w:tcW w:w="7680" w:type="dxa"/>
            <w:vAlign w:val="bottom"/>
            <w:gridSpan w:val="27"/>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9.12.</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Waiver</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200" w:type="dxa"/>
            <w:vAlign w:val="bottom"/>
            <w:gridSpan w:val="15"/>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920" w:type="dxa"/>
            <w:vAlign w:val="bottom"/>
          </w:tcPr>
          <w:p>
            <w:pPr>
              <w:ind w:left="660"/>
              <w:spacing w:after="0" w:line="196" w:lineRule="exact"/>
              <w:rPr>
                <w:sz w:val="20"/>
                <w:szCs w:val="20"/>
                <w:color w:val="auto"/>
              </w:rPr>
            </w:pPr>
            <w:r>
              <w:rPr>
                <w:rFonts w:ascii="Arial" w:cs="Arial" w:eastAsia="Arial" w:hAnsi="Arial"/>
                <w:sz w:val="18"/>
                <w:szCs w:val="18"/>
                <w:color w:val="auto"/>
              </w:rPr>
              <w:t>Section 9.13.</w:t>
            </w:r>
          </w:p>
        </w:tc>
        <w:tc>
          <w:tcPr>
            <w:tcW w:w="8360" w:type="dxa"/>
            <w:vAlign w:val="bottom"/>
            <w:gridSpan w:val="31"/>
          </w:tcPr>
          <w:p>
            <w:pPr>
              <w:spacing w:after="0" w:line="196" w:lineRule="exact"/>
              <w:rPr>
                <w:sz w:val="20"/>
                <w:szCs w:val="20"/>
                <w:color w:val="auto"/>
              </w:rPr>
            </w:pPr>
            <w:r>
              <w:rPr>
                <w:rFonts w:ascii="Arial" w:cs="Arial" w:eastAsia="Arial" w:hAnsi="Arial"/>
                <w:sz w:val="18"/>
                <w:szCs w:val="18"/>
                <w:color w:val="auto"/>
              </w:rPr>
              <w:t>Further Action</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453"/>
        </w:trPr>
        <w:tc>
          <w:tcPr>
            <w:tcW w:w="19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2"/>
          </w:tcPr>
          <w:p>
            <w:pPr>
              <w:jc w:val="center"/>
              <w:ind w:right="398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60" w:type="dxa"/>
            <w:vAlign w:val="bottom"/>
            <w:gridSpan w:val="2"/>
          </w:tcPr>
          <w:p>
            <w:pPr>
              <w:jc w:val="center"/>
              <w:ind w:right="39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continued</w:t>
            </w:r>
            <w:r>
              <w:rPr>
                <w:rFonts w:ascii="Arial" w:cs="Arial" w:eastAsia="Arial" w:hAnsi="Arial"/>
                <w:sz w:val="18"/>
                <w:szCs w:val="18"/>
                <w:color w:val="auto"/>
                <w:w w:val="91"/>
              </w:rPr>
              <w: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920" w:type="dxa"/>
            <w:vAlign w:val="bottom"/>
          </w:tcPr>
          <w:p>
            <w:pPr>
              <w:ind w:left="660"/>
              <w:spacing w:after="0"/>
              <w:rPr>
                <w:sz w:val="20"/>
                <w:szCs w:val="20"/>
                <w:color w:val="auto"/>
              </w:rPr>
            </w:pPr>
            <w:r>
              <w:rPr>
                <w:rFonts w:ascii="Arial" w:cs="Arial" w:eastAsia="Arial" w:hAnsi="Arial"/>
                <w:sz w:val="18"/>
                <w:szCs w:val="18"/>
                <w:color w:val="auto"/>
              </w:rPr>
              <w:t>Section 9.14.</w:t>
            </w:r>
          </w:p>
        </w:tc>
        <w:tc>
          <w:tcPr>
            <w:tcW w:w="8360" w:type="dxa"/>
            <w:vAlign w:val="bottom"/>
            <w:gridSpan w:val="31"/>
          </w:tcPr>
          <w:p>
            <w:pPr>
              <w:spacing w:after="0"/>
              <w:rPr>
                <w:sz w:val="20"/>
                <w:szCs w:val="20"/>
                <w:color w:val="auto"/>
              </w:rPr>
            </w:pPr>
            <w:r>
              <w:rPr>
                <w:rFonts w:ascii="Arial" w:cs="Arial" w:eastAsia="Arial" w:hAnsi="Arial"/>
                <w:sz w:val="18"/>
                <w:szCs w:val="18"/>
                <w:color w:val="auto"/>
              </w:rPr>
              <w:t>Delivery by Facsimile or Email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53"/>
        </w:trPr>
        <w:tc>
          <w:tcPr>
            <w:tcW w:w="19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2"/>
          </w:tcPr>
          <w:p>
            <w:pPr>
              <w:jc w:val="center"/>
              <w:ind w:right="3980"/>
              <w:spacing w:after="0"/>
              <w:rPr>
                <w:sz w:val="20"/>
                <w:szCs w:val="20"/>
                <w:color w:val="auto"/>
              </w:rPr>
            </w:pPr>
            <w:r>
              <w:rPr>
                <w:rFonts w:ascii="Arial" w:cs="Arial" w:eastAsia="Arial" w:hAnsi="Arial"/>
                <w:sz w:val="18"/>
                <w:szCs w:val="18"/>
                <w:color w:val="auto"/>
              </w:rPr>
              <w:t>iii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-8827770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-8827770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NRG YIELD LLC</w:t>
      </w:r>
    </w:p>
    <w:p>
      <w:pPr>
        <w:sectPr>
          <w:pgSz w:w="11900" w:h="16838" w:orient="portrait"/>
          <w:cols w:equalWidth="0" w:num="1">
            <w:col w:w="11460"/>
          </w:cols>
          <w:pgMar w:left="240" w:top="108" w:right="199" w:bottom="60" w:gutter="0" w:footer="0" w:header="0"/>
        </w:sectPr>
      </w:pPr>
    </w:p>
    <w:bookmarkStart w:id="71" w:name="page72"/>
    <w:bookmarkEnd w:id="71"/>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FOURTH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NRG Yield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dated and effective as of August 31,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among the Members (as defined below).</w:t>
      </w:r>
    </w:p>
    <w:p>
      <w:pPr>
        <w:spacing w:after="0" w:line="181" w:lineRule="exact"/>
        <w:rPr>
          <w:sz w:val="20"/>
          <w:szCs w:val="20"/>
          <w:color w:val="auto"/>
        </w:rPr>
      </w:pPr>
    </w:p>
    <w:p>
      <w:pPr>
        <w:jc w:val="both"/>
        <w:ind w:right="540" w:firstLine="648"/>
        <w:spacing w:after="0" w:line="312" w:lineRule="auto"/>
        <w:rPr>
          <w:sz w:val="20"/>
          <w:szCs w:val="20"/>
          <w:color w:val="auto"/>
        </w:rPr>
      </w:pPr>
      <w:r>
        <w:rPr>
          <w:rFonts w:ascii="Arial" w:cs="Arial" w:eastAsia="Arial" w:hAnsi="Arial"/>
          <w:sz w:val="16"/>
          <w:szCs w:val="16"/>
          <w:color w:val="auto"/>
        </w:rPr>
        <w:t>WHEREAS, as of March 5, 2013, NRG Energy Inc., a Delaware corporation (“</w:t>
      </w:r>
      <w:r>
        <w:rPr>
          <w:rFonts w:ascii="Arial" w:cs="Arial" w:eastAsia="Arial" w:hAnsi="Arial"/>
          <w:sz w:val="16"/>
          <w:szCs w:val="16"/>
          <w:u w:val="single" w:color="auto"/>
          <w:color w:val="auto"/>
        </w:rPr>
        <w:t>NRG</w:t>
      </w:r>
      <w:r>
        <w:rPr>
          <w:rFonts w:ascii="Arial" w:cs="Arial" w:eastAsia="Arial" w:hAnsi="Arial"/>
          <w:sz w:val="16"/>
          <w:szCs w:val="16"/>
          <w:color w:val="auto"/>
        </w:rPr>
        <w:t>”) and the sole stockholder of NRG Yield, Inc. (“</w:t>
      </w:r>
      <w:r>
        <w:rPr>
          <w:rFonts w:ascii="Arial" w:cs="Arial" w:eastAsia="Arial" w:hAnsi="Arial"/>
          <w:sz w:val="16"/>
          <w:szCs w:val="16"/>
          <w:u w:val="single" w:color="auto"/>
          <w:color w:val="auto"/>
        </w:rPr>
        <w:t>Yield</w:t>
      </w:r>
      <w:r>
        <w:rPr>
          <w:rFonts w:ascii="Arial" w:cs="Arial" w:eastAsia="Arial" w:hAnsi="Arial"/>
          <w:sz w:val="16"/>
          <w:szCs w:val="16"/>
          <w:color w:val="auto"/>
        </w:rPr>
        <w:t>”), formed NRG Yieldco LLC under the Act by executing the Limited Liability Agreement of NRG Yieldco LLC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and filing a Certificate of Formation with the Office of the Secretary of State of the State of Delaware, at which time NRG was issued 1,000 Units;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as of May 17, 2013, NRG filed with the Secretary of State of the State of Delaware a Certificate of Amendment to the Certificate of Formation of NRG Yieldco LLC, which changed NRG Yieldco LLC’s name to “NRG Yield LLC” under the Act (as defined below), and NRG amended and restated the Original Agreement in its entirety (the “</w:t>
      </w:r>
      <w:r>
        <w:rPr>
          <w:rFonts w:ascii="Arial" w:cs="Arial" w:eastAsia="Arial" w:hAnsi="Arial"/>
          <w:sz w:val="18"/>
          <w:szCs w:val="18"/>
          <w:u w:val="single" w:color="auto"/>
          <w:color w:val="auto"/>
        </w:rPr>
        <w:t>First Amended Agreement</w:t>
      </w:r>
      <w:r>
        <w:rPr>
          <w:rFonts w:ascii="Arial" w:cs="Arial" w:eastAsia="Arial" w:hAnsi="Arial"/>
          <w:sz w:val="18"/>
          <w:szCs w:val="18"/>
          <w:color w:val="auto"/>
        </w:rPr>
        <w:t>”);</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as of July 16, 2013, NRG amended and restated the First Amended Agreement in its entirety in connection with Yield’s initial public offering to provide, for among other things, the designation of Yield as the Managing Member of the Company and to create another class of limited liability interests of the Company (the “</w:t>
      </w:r>
      <w:r>
        <w:rPr>
          <w:rFonts w:ascii="Arial" w:cs="Arial" w:eastAsia="Arial" w:hAnsi="Arial"/>
          <w:sz w:val="18"/>
          <w:szCs w:val="18"/>
          <w:u w:val="single" w:color="auto"/>
          <w:color w:val="auto"/>
        </w:rPr>
        <w:t>Second Amended Agreement</w:t>
      </w:r>
      <w:r>
        <w:rPr>
          <w:rFonts w:ascii="Arial" w:cs="Arial" w:eastAsia="Arial" w:hAnsi="Arial"/>
          <w:sz w:val="18"/>
          <w:szCs w:val="18"/>
          <w:color w:val="auto"/>
        </w:rPr>
        <w:t>”);</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WHEREAS, as of May 14, 2015, NRG and Yield amended and restated the Second Amended Agreement in its entirety in connection with a recapitalization of the Company (the “</w:t>
      </w:r>
      <w:r>
        <w:rPr>
          <w:rFonts w:ascii="Arial" w:cs="Arial" w:eastAsia="Arial" w:hAnsi="Arial"/>
          <w:sz w:val="18"/>
          <w:szCs w:val="18"/>
          <w:u w:val="single" w:color="auto"/>
          <w:color w:val="auto"/>
        </w:rPr>
        <w:t>Third Amended Agreement</w:t>
      </w:r>
      <w:r>
        <w:rPr>
          <w:rFonts w:ascii="Arial" w:cs="Arial" w:eastAsia="Arial" w:hAnsi="Arial"/>
          <w:sz w:val="18"/>
          <w:szCs w:val="18"/>
          <w:color w:val="auto"/>
        </w:rPr>
        <w:t>”); and</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WHEREAS, the parties hereto desire to amend and restate the Third Amended Agreement in its entirety in connection with that certain Purchase and Sale Agreement, pursuant to which NRG has agreed to sell to GIP III Zephyr Acquisition Partners, L.P. one hundred percent (100%) of the outstanding membership interests of Zephyr Renewables LLC, a Delaware limited liability company, which shall include ownership by Zephyr Renewables LLC of</w:t>
      </w: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one hundred percent (100%) of the shares of Class B Common Stock and one hundred percent (100%) of the shares of Class D Common Stock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 hundred percent (100%) of the Class B Units and one hundred percent (100%) of the Class D Units.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and provisions hereinafter contained, the Members hereby adopt the following: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as amended.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Member</w:t>
      </w:r>
      <w:r>
        <w:rPr>
          <w:rFonts w:ascii="Arial" w:cs="Arial" w:eastAsia="Arial" w:hAnsi="Arial"/>
          <w:sz w:val="18"/>
          <w:szCs w:val="18"/>
          <w:color w:val="auto"/>
        </w:rPr>
        <w:t xml:space="preserve">” means any Person that has been admitted to the Company as a Member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by virtue of having received its Membership Interest from the Company and not from any other Member or Assignee.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w:t>
      </w:r>
      <w:r>
        <w:rPr>
          <w:rFonts w:ascii="Arial" w:cs="Arial" w:eastAsia="Arial" w:hAnsi="Arial"/>
          <w:sz w:val="16"/>
          <w:szCs w:val="16"/>
          <w:color w:val="auto"/>
        </w:rPr>
        <w:t xml:space="preserve">” means the Capital Account maintained for each Member as of the end of each Fiscal Year of the Company, (a) increased by any amounts that such Member is obligated to restore under the standards set by Treasury Regulations Section 1.704-1(b)(2)(ii)(c) (or is deemed obligated to restore under Treasury Regulations Sections 1.704-2(g) and 1.704-2(i)(5)) and (b) decreased by (i) the amount of all losses and deductions that, as of the end of such Fiscal Year, are reasonably expected to be allocated to such Member in subsequent years under Section 706(d) of the Code and Treasury Regulations Section 1.751-1(b)(2)(ii), and (ii) the amount of all distributions that, as of the end of such Fiscal Year, are reasonably expected to be made to such Member in subsequent years in accordance with the terms of this Agreement or otherwise to the extent they exceed offsetting increases to such Member’s Capital Account that are reasonably expected to occur during (or prior to) the year in which such distributions are reasonably expected to be made (other than increases as a result of a minimum gain chargeback pursuant to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5.1(b)(ii)</w:t>
      </w:r>
      <w:r>
        <w:rPr>
          <w:rFonts w:ascii="Arial" w:cs="Arial" w:eastAsia="Arial" w:hAnsi="Arial"/>
          <w:sz w:val="16"/>
          <w:szCs w:val="16"/>
          <w:color w:val="auto"/>
        </w:rPr>
        <w:t>). The foregoing definition of Adjusted Capital Account is intended to comply with the provisions of Treasury Regulations Section 1.704-1(b) (2)(ii)(d) and shall be interpreted consistently therewith. The “Adjusted Capital Account” of a Member in respect of a Unit shall be the amount that such Adjusted Capital Account would be if such Unit were the only interest in the Company held by such Member from and after the date on which such Unit was first issued.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Property</w:t>
      </w:r>
      <w:r>
        <w:rPr>
          <w:rFonts w:ascii="Arial" w:cs="Arial" w:eastAsia="Arial" w:hAnsi="Arial"/>
          <w:sz w:val="17"/>
          <w:szCs w:val="17"/>
          <w:color w:val="auto"/>
        </w:rPr>
        <w:t xml:space="preserve">” means any property the Carrying Value of which has been adjusted pursuant to </w:t>
      </w:r>
      <w:r>
        <w:rPr>
          <w:rFonts w:ascii="Arial" w:cs="Arial" w:eastAsia="Arial" w:hAnsi="Arial"/>
          <w:sz w:val="17"/>
          <w:szCs w:val="17"/>
          <w:u w:val="single" w:color="auto"/>
          <w:color w:val="auto"/>
        </w:rPr>
        <w:t>Section 3.3(c)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3.3(c)(ii)</w:t>
      </w:r>
      <w:r>
        <w:rPr>
          <w:rFonts w:ascii="Arial" w:cs="Arial" w:eastAsia="Arial" w:hAnsi="Arial"/>
          <w:sz w:val="17"/>
          <w:szCs w:val="17"/>
          <w:color w:val="auto"/>
        </w:rPr>
        <w:t>.</w:t>
      </w:r>
    </w:p>
    <w:p>
      <w:pPr>
        <w:spacing w:after="0" w:line="2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directly or indirectly through one or more intermediaries, Controlling, Controlled by or under common Control with such Person.</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Agreed Value</w:t>
      </w:r>
      <w:r>
        <w:rPr>
          <w:rFonts w:ascii="Arial" w:cs="Arial" w:eastAsia="Arial" w:hAnsi="Arial"/>
          <w:sz w:val="16"/>
          <w:szCs w:val="16"/>
          <w:color w:val="auto"/>
        </w:rPr>
        <w:t>” of any Contributed Property means the Fair Market Value of such property or other consideration at the time of contribution as determined by the Managing Member, without taking into account any liabilities to which such Contributed Property was subject at such time. The Managing Member shall use such method as it determines to be appropriate to allocate the aggregate Agreed Value of Contributed Properties contributed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Company in a single transaction or series of related transactions among each separate property on a basis proportional to the Fair Market Value of each Contributed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means any Transferee to which a Member or another Assignee has Transferred all or a portion of its interest in the Company in accordance with the terms of this Agreement, but that is not admitted to the Company as a Member.</w:t>
      </w:r>
    </w:p>
    <w:p>
      <w:pPr>
        <w:sectPr>
          <w:pgSz w:w="11900" w:h="16929" w:orient="portrait"/>
          <w:cols w:equalWidth="0" w:num="1">
            <w:col w:w="11400"/>
          </w:cols>
          <w:pgMar w:left="240" w:top="125" w:right="259" w:bottom="0" w:gutter="0" w:footer="0" w:header="0"/>
        </w:sectPr>
      </w:pPr>
    </w:p>
    <w:bookmarkStart w:id="72" w:name="page73"/>
    <w:bookmarkEnd w:id="72"/>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w:t>
      </w:r>
      <w:r>
        <w:rPr>
          <w:rFonts w:ascii="Arial" w:cs="Arial" w:eastAsia="Arial" w:hAnsi="Arial"/>
          <w:sz w:val="16"/>
          <w:szCs w:val="16"/>
          <w:color w:val="auto"/>
        </w:rPr>
        <w:t>” means, with respect to any Person, (a) if such Person (i) makes an assignment for the benefit of creditors, (ii) files a voluntary petition in bankruptcy, (iii) is adjudged a bankrupt or insolvent, or has entered against it an order for relief, in any bankruptcy or insolvency proceedings, (iv) 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(vi) seeks, consents to or acquiesces in the appointment of a trustee, receiver or liquidator of the Person or of all or any substantial part of its properties, or (b) if 120 days after the commencement of any proceeding against the Person seeking reorganization, arrangement, composition, readjustment, liquidation or similar relief under any statute, law or regulation, if the proceeding has not been dismissed, or if within 90 days after the appointment without such Person’s consent or acquiescence of a trustee, receiver or liquidator of such Person or of all or any substantial part of its properties, the appointment is not vacated or stayed, or within 90 days after the expiration of any such stay, the appointment is not vacated. The foregoing definition of “Bankruptcy” is intended to replace and shall supersede and replace the definition of “Bankruptcy” set forth in Sections 18-101(1) and 18-304 of the Act.</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Book-Tax Disparity</w:t>
      </w:r>
      <w:r>
        <w:rPr>
          <w:rFonts w:ascii="Arial" w:cs="Arial" w:eastAsia="Arial" w:hAnsi="Arial"/>
          <w:sz w:val="18"/>
          <w:szCs w:val="18"/>
          <w:color w:val="auto"/>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the capital account maintained for a Member pursuant to Section 3.3 of this Agreement.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with respect to any Member, the amount of any cash or cash equivalents or the Fair Market Value of other property contributed or deemed to be contributed to the Company by such Member with respect to any Unit or other Equity Securities issued by the Company (net of liabilities assumed by the Company or to which such property is subject).</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Carrying Value</w:t>
      </w:r>
      <w:r>
        <w:rPr>
          <w:rFonts w:ascii="Arial" w:cs="Arial" w:eastAsia="Arial" w:hAnsi="Arial"/>
          <w:sz w:val="18"/>
          <w:szCs w:val="18"/>
          <w:color w:val="auto"/>
        </w:rPr>
        <w:t>” means (a) with respect to a Contributed Property, subject to the following sentence, the Agreed Value of such property reduced (but not below zero) by all depreciation, amortization and cost recovery deductions charged to the Members’ Capital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Accounts in respect of such Contributed Property, and (b) with respect to any other Company property, subject to the following sentence and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the adjusted basis of such property for federal income tax purposes, all as of the time of determination. The Carrying Value of any property shall be adjusted from time to time in accordance with </w:t>
      </w:r>
      <w:r>
        <w:rPr>
          <w:rFonts w:ascii="Arial" w:cs="Arial" w:eastAsia="Arial" w:hAnsi="Arial"/>
          <w:sz w:val="17"/>
          <w:szCs w:val="17"/>
          <w:u w:val="single" w:color="auto"/>
          <w:color w:val="auto"/>
        </w:rPr>
        <w:t>Section 3.3(c)(i)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3.3(c)(ii)</w:t>
      </w:r>
      <w:r>
        <w:rPr>
          <w:rFonts w:ascii="Arial" w:cs="Arial" w:eastAsia="Arial" w:hAnsi="Arial"/>
          <w:sz w:val="17"/>
          <w:szCs w:val="17"/>
          <w:color w:val="auto"/>
        </w:rPr>
        <w:t xml:space="preserve"> and to reflect changes, additions or other adjustments to the Carrying Value for dispositions and acquisitions of Company properties, as deemed appropriate by the Managing Member.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the Certificate of Formation of the Company, as filed with the Secretary of State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 Sale</w:t>
      </w:r>
      <w:r>
        <w:rPr>
          <w:rFonts w:ascii="Arial" w:cs="Arial" w:eastAsia="Arial" w:hAnsi="Arial"/>
          <w:sz w:val="18"/>
          <w:szCs w:val="18"/>
          <w:color w:val="auto"/>
        </w:rPr>
        <w:t>” means the sale or issuance by Yield of one or more shares of Class A Common Stock for cash.</w:t>
      </w:r>
    </w:p>
    <w:p>
      <w:pPr>
        <w:spacing w:after="0" w:line="225"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Member</w:t>
      </w:r>
      <w:r>
        <w:rPr>
          <w:rFonts w:ascii="Arial" w:cs="Arial" w:eastAsia="Arial" w:hAnsi="Arial"/>
          <w:sz w:val="16"/>
          <w:szCs w:val="16"/>
          <w:color w:val="auto"/>
        </w:rPr>
        <w:t>” means a holder of Class A Units as relates to the ownership of such Units, executing this Agreement as a Class A Member or hereafter admitted to the Company as a Class A Member as provided in this Agreement, but does not include any Person who has ceased to be a Member.</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w:t>
      </w:r>
      <w:r>
        <w:rPr>
          <w:rFonts w:ascii="Arial" w:cs="Arial" w:eastAsia="Arial" w:hAnsi="Arial"/>
          <w:sz w:val="18"/>
          <w:szCs w:val="18"/>
          <w:color w:val="auto"/>
        </w:rPr>
        <w:t>” means a Unit representing a fractional part of the equity interest in the Company having the rights and obligations specified with respect to the Class A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Yield.</w:t>
      </w:r>
    </w:p>
    <w:p>
      <w:pPr>
        <w:spacing w:after="0" w:line="225"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Member</w:t>
      </w:r>
      <w:r>
        <w:rPr>
          <w:rFonts w:ascii="Arial" w:cs="Arial" w:eastAsia="Arial" w:hAnsi="Arial"/>
          <w:sz w:val="16"/>
          <w:szCs w:val="16"/>
          <w:color w:val="auto"/>
        </w:rPr>
        <w:t>” means a holder of Class B Units as relates to the ownership of such Units, executing this Agreement as a Class B Member or hereafter admitted to the Company as a Class B Member as provided in this Agreement, but does not include any Person who has ceased to be a Member.</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w:t>
      </w:r>
      <w:r>
        <w:rPr>
          <w:rFonts w:ascii="Arial" w:cs="Arial" w:eastAsia="Arial" w:hAnsi="Arial"/>
          <w:sz w:val="18"/>
          <w:szCs w:val="18"/>
          <w:color w:val="auto"/>
        </w:rPr>
        <w:t>” means a Unit representing a fractional part of the equity interest in the Company having the rights and obligations specified with respect to the Class B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$0.01 per share, of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 Sale</w:t>
      </w:r>
      <w:r>
        <w:rPr>
          <w:rFonts w:ascii="Arial" w:cs="Arial" w:eastAsia="Arial" w:hAnsi="Arial"/>
          <w:sz w:val="18"/>
          <w:szCs w:val="18"/>
          <w:color w:val="auto"/>
        </w:rPr>
        <w:t>” means the sale or issuance by Yield of one or more shares of Class C Common Stock for cash.</w:t>
      </w:r>
    </w:p>
    <w:p>
      <w:pPr>
        <w:spacing w:after="0" w:line="225"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Member</w:t>
      </w:r>
      <w:r>
        <w:rPr>
          <w:rFonts w:ascii="Arial" w:cs="Arial" w:eastAsia="Arial" w:hAnsi="Arial"/>
          <w:sz w:val="16"/>
          <w:szCs w:val="16"/>
          <w:color w:val="auto"/>
        </w:rPr>
        <w:t>” means a holder of Class C Units as relates to the ownership of such Units, executing this Agreement as a Class C Member or hereafter admitted to the Company as a Class C Member as provided in this Agreement, but does not include any Person who has ceased to be a Member.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Unit</w:t>
      </w:r>
      <w:r>
        <w:rPr>
          <w:rFonts w:ascii="Arial" w:cs="Arial" w:eastAsia="Arial" w:hAnsi="Arial"/>
          <w:sz w:val="18"/>
          <w:szCs w:val="18"/>
          <w:color w:val="auto"/>
        </w:rPr>
        <w:t>” means a Unit representing a fractional part of the equity interest in the Company having the rights and obligations specified with respect to the Class C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$0.01 per share, of Yield.</w:t>
      </w:r>
    </w:p>
    <w:p>
      <w:pPr>
        <w:spacing w:after="0" w:line="225"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Member</w:t>
      </w:r>
      <w:r>
        <w:rPr>
          <w:rFonts w:ascii="Arial" w:cs="Arial" w:eastAsia="Arial" w:hAnsi="Arial"/>
          <w:sz w:val="16"/>
          <w:szCs w:val="16"/>
          <w:color w:val="auto"/>
        </w:rPr>
        <w:t>” means a holder of Class D Units as relates to the ownership of such Units, executing this Agreement as a Class D Member or hereafter admitted to the Company as a Class C Member as provided in this Agreement, but does not include any Person who has ceased to be a Member.</w:t>
      </w:r>
    </w:p>
    <w:p>
      <w:pPr>
        <w:sectPr>
          <w:pgSz w:w="11900" w:h="16838" w:orient="portrait"/>
          <w:cols w:equalWidth="0" w:num="1">
            <w:col w:w="11360"/>
          </w:cols>
          <w:pgMar w:left="240" w:top="341" w:right="299" w:bottom="0" w:gutter="0" w:footer="0" w:header="0"/>
        </w:sectPr>
      </w:pPr>
    </w:p>
    <w:bookmarkStart w:id="73" w:name="page74"/>
    <w:bookmarkEnd w:id="73"/>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Unit</w:t>
      </w:r>
      <w:r>
        <w:rPr>
          <w:rFonts w:ascii="Arial" w:cs="Arial" w:eastAsia="Arial" w:hAnsi="Arial"/>
          <w:sz w:val="18"/>
          <w:szCs w:val="18"/>
          <w:color w:val="auto"/>
        </w:rPr>
        <w:t>” means a Unit representing a fractional part of the equity interest in the Company having the rights and obligations specified with respect to the Class D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Minimum Gain</w:t>
      </w:r>
      <w:r>
        <w:rPr>
          <w:rFonts w:ascii="Arial" w:cs="Arial" w:eastAsia="Arial" w:hAnsi="Arial"/>
          <w:sz w:val="17"/>
          <w:szCs w:val="17"/>
          <w:color w:val="auto"/>
        </w:rPr>
        <w:t>” has the meaning set forth for the term “partnership minimum gain” in Treasury Regulations Section 1.704-2(d).</w:t>
      </w:r>
    </w:p>
    <w:p>
      <w:pPr>
        <w:spacing w:after="0" w:line="23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correlative terms “Controlled by” and “Controlling”) means, when used with reference to any Person, the possession, directly or indirectly, of the power to direct, or to cause the direction of, the management and policies of such Person, whether through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Contributed Property</w:t>
      </w:r>
      <w:r>
        <w:rPr>
          <w:rFonts w:ascii="Arial" w:cs="Arial" w:eastAsia="Arial" w:hAnsi="Arial"/>
          <w:sz w:val="18"/>
          <w:szCs w:val="18"/>
          <w:color w:val="auto"/>
        </w:rPr>
        <w:t>” means any property contributed to the Company by a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Risk of Loss</w:t>
      </w:r>
      <w:r>
        <w:rPr>
          <w:rFonts w:ascii="Arial" w:cs="Arial" w:eastAsia="Arial" w:hAnsi="Arial"/>
          <w:sz w:val="18"/>
          <w:szCs w:val="18"/>
          <w:color w:val="auto"/>
        </w:rPr>
        <w:t>” has the meaning set forth in Section 5.1(b)(vi).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means, as applicable, (i) any capital stock, limited liability company or membership interests, partnership interests, or other equity interest, (ii) any securities directly or indirectly convertible into or exchangeable for any capital stock, limited liability company or membership interests, partnership interests, or other equity interest or containing any profit participation features, (iii) any rights or options directly or indirectly to subscribe for or to purchase any capital stock, limited liability company or membership interests, partnership interest, other equity interest or securities containing any profit participation features or to subscribe for or to purchase any securities directly or indirectly convertible into or exchangeable for any capital stock, limited liability company or membership interests, partnership interest, other equity interests or securities containing any profit participation features, (iv) any equity appreciation rights, phantom equity rights or other similar rights, or (v) any Equity Securities issued or issuable with respect to the securities referred to in clauses (i) through (iv) above in connection with a combination, recapitalization, merger, consolidation or other reorganization.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means the exchange of Class B Units for Class A Common Stock and the exchange of Class D Units for Class C Common Stock pursuant to this Agreement and the Exchange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thereunder as in effect from time to time.</w:t>
      </w:r>
    </w:p>
    <w:p>
      <w:pPr>
        <w:spacing w:after="0" w:line="248"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Agreement</w:t>
      </w:r>
      <w:r>
        <w:rPr>
          <w:rFonts w:ascii="Arial" w:cs="Arial" w:eastAsia="Arial" w:hAnsi="Arial"/>
          <w:sz w:val="17"/>
          <w:szCs w:val="17"/>
          <w:color w:val="auto"/>
        </w:rPr>
        <w:t>” means the Amended and Restated Exchange Agreement, dated as May 14, 2015, among the Managing Member, the Company and the Persons from time to time party thereto, as it may be amended or supplemented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Exchanging Class B Member</w:t>
      </w:r>
      <w:r>
        <w:rPr>
          <w:rFonts w:ascii="Arial" w:cs="Arial" w:eastAsia="Arial" w:hAnsi="Arial"/>
          <w:sz w:val="18"/>
          <w:szCs w:val="18"/>
          <w:color w:val="auto"/>
        </w:rPr>
        <w:t xml:space="preserve">” means a Class B Member Transferring Class B Units as contemplated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Exchanging Class D Member</w:t>
      </w:r>
      <w:r>
        <w:rPr>
          <w:rFonts w:ascii="Arial" w:cs="Arial" w:eastAsia="Arial" w:hAnsi="Arial"/>
          <w:sz w:val="18"/>
          <w:szCs w:val="18"/>
          <w:color w:val="auto"/>
        </w:rPr>
        <w:t xml:space="preserve">” means a Class D Member Transferring Class D Units as contemplated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assets or securities, the fair market value for such assets or securities as determined in good faith by the Managing Member in its sole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 which shall end on December 31 of each calendar year unless, for United States federal income tax purposes, another fiscal year is required. The Company shall have the same fiscal year for United States federal income tax purposes and for accounting purposes.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 of America, consistently applied and maintained throughout the applicable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GIP Member</w:t>
      </w:r>
      <w:r>
        <w:rPr>
          <w:rFonts w:ascii="Arial" w:cs="Arial" w:eastAsia="Arial" w:hAnsi="Arial"/>
          <w:sz w:val="18"/>
          <w:szCs w:val="18"/>
          <w:color w:val="auto"/>
        </w:rPr>
        <w:t>” means Zephyr Renewables LLC and its Permitted Transferees.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w:t>
      </w:r>
      <w:r>
        <w:rPr>
          <w:rFonts w:ascii="Arial" w:cs="Arial" w:eastAsia="Arial" w:hAnsi="Arial"/>
          <w:sz w:val="17"/>
          <w:szCs w:val="17"/>
          <w:color w:val="auto"/>
        </w:rPr>
        <w:t>” means individual items of Company income and gain determined in accordance with the definitions of Net Income and Net Loss.</w:t>
      </w:r>
    </w:p>
    <w:p>
      <w:pPr>
        <w:spacing w:after="0" w:line="23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Indemnitees</w:t>
      </w:r>
      <w:r>
        <w:rPr>
          <w:rFonts w:ascii="Arial" w:cs="Arial" w:eastAsia="Arial" w:hAnsi="Arial"/>
          <w:sz w:val="16"/>
          <w:szCs w:val="16"/>
          <w:color w:val="auto"/>
        </w:rPr>
        <w:t>” means (a) any Person who is or was a member, partner, shareholder, director, officer, fiduciary or trustee of the Company or any Affiliate of the Company, (b) any Person who is or was serving at the request of the Managing Member as an officer, director, member, partner, fiduciary or trustee of another Person, in each case, acting in such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Person shall not be an Indemnitee by reason of providing, on a fee-for-services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basis, trustee, fiduciary or custodial services) and (c) any Person the Managing Member designates as an “Indemnitee” for purposes of this Agreement.</w:t>
      </w:r>
    </w:p>
    <w:p>
      <w:pPr>
        <w:sectPr>
          <w:pgSz w:w="11900" w:h="16838" w:orient="portrait"/>
          <w:cols w:equalWidth="0" w:num="1">
            <w:col w:w="11400"/>
          </w:cols>
          <w:pgMar w:left="240" w:top="125" w:right="259" w:bottom="0" w:gutter="0" w:footer="0" w:header="0"/>
        </w:sectPr>
      </w:pPr>
    </w:p>
    <w:bookmarkStart w:id="74" w:name="page75"/>
    <w:bookmarkEnd w:id="74"/>
    <w:p>
      <w:pPr>
        <w:spacing w:after="0" w:line="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w:t>
      </w:r>
      <w:r>
        <w:rPr>
          <w:rFonts w:ascii="Arial" w:cs="Arial" w:eastAsia="Arial" w:hAnsi="Arial"/>
          <w:sz w:val="17"/>
          <w:szCs w:val="17"/>
          <w:color w:val="auto"/>
        </w:rPr>
        <w:t>” means individual items of Company loss and deduction determined in accordance with the definitions of Net Income and Net Loss.</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Member</w:t>
      </w:r>
      <w:r>
        <w:rPr>
          <w:rFonts w:ascii="Arial" w:cs="Arial" w:eastAsia="Arial" w:hAnsi="Arial"/>
          <w:sz w:val="18"/>
          <w:szCs w:val="18"/>
          <w:color w:val="auto"/>
        </w:rPr>
        <w:t>” means, initially, Yield and any assignee to which the managing member of the Company Transfers all Units held by such managing member of the Company that is admitted to the Company as the managing member of the Company, in its capacity as the managing member of the Company.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each Person listed on the Schedule of Members on the date hereof (including the Managing Member) and each other Person who is hereafter admitted as a Member in accordance with the terms of this Agreement and the Act. Any reference in this Agreement to any Member shall include such Member’s Successors in Interest to the extent such Successors in Interest have become Substituted Members in accordance with the provisions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 Nonrecourse Debt</w:t>
      </w:r>
      <w:r>
        <w:rPr>
          <w:rFonts w:ascii="Arial" w:cs="Arial" w:eastAsia="Arial" w:hAnsi="Arial"/>
          <w:sz w:val="17"/>
          <w:szCs w:val="17"/>
          <w:color w:val="auto"/>
        </w:rPr>
        <w:t>” has the meaning set forth for the term “partner nonrecourse debt” in Treasury Regulations Section 1.704-2(b)(4).</w:t>
      </w:r>
    </w:p>
    <w:p>
      <w:pPr>
        <w:spacing w:after="0" w:line="23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has the meaning set forth for the term “partner nonrecourse debt minimum gain” in Treasury Regulations Section 1.704-2(i)(2).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Nonrecourse Deduction</w:t>
      </w:r>
      <w:r>
        <w:rPr>
          <w:rFonts w:ascii="Arial" w:cs="Arial" w:eastAsia="Arial" w:hAnsi="Arial"/>
          <w:sz w:val="16"/>
          <w:szCs w:val="16"/>
          <w:color w:val="auto"/>
        </w:rPr>
        <w:t>” has the meaning set forth for the term “partner nonrecourse deduction” in Treasury Regulation Section 1.704-2(i)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Membership Interests</w:t>
      </w:r>
      <w:r>
        <w:rPr>
          <w:rFonts w:ascii="Arial" w:cs="Arial" w:eastAsia="Arial" w:hAnsi="Arial"/>
          <w:sz w:val="17"/>
          <w:szCs w:val="17"/>
          <w:color w:val="auto"/>
        </w:rPr>
        <w:t>” means, collectively, the limited liability company interests of the Members in the Company as represented by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Membership Interest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means, for any taxable year, the excess, if any, of the Company’s items of income and gain for such taxable year over the Company’s items of loss and deduction for such taxable year. The items included in the calculation of Net Income shall be determined in accordance with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and shall not include any items specially allocated under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Loss</w:t>
      </w:r>
      <w:r>
        <w:rPr>
          <w:rFonts w:ascii="Arial" w:cs="Arial" w:eastAsia="Arial" w:hAnsi="Arial"/>
          <w:sz w:val="18"/>
          <w:szCs w:val="18"/>
          <w:color w:val="auto"/>
        </w:rPr>
        <w:t xml:space="preserve">” means, for any taxable year, the excess, if any, of the Company’s items of loss and deduction for such taxable year over the Company’s items of income and gain for such taxable year. The items included in the calculation of Net Loss shall be determined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shall not include any items specially allocated under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means any and all items of loss, deduction, or expenditure (including, without limitation, any expenditure described in Section 705(a)(2)(B) of the Code) that, in accordance with the principles of Treasury Regulations Section 1.704-2(b), are attributable to a Nonrecourse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Liability</w:t>
      </w:r>
      <w:r>
        <w:rPr>
          <w:rFonts w:ascii="Arial" w:cs="Arial" w:eastAsia="Arial" w:hAnsi="Arial"/>
          <w:sz w:val="18"/>
          <w:szCs w:val="18"/>
          <w:color w:val="auto"/>
        </w:rPr>
        <w:t>” has the meaning set forth in Treasury Regulations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each Person designated as an officer of the Company pursuant to and in accordance with the provisions of Section 6.2, subject to any resolution of the Managing Member appointing such Person as an officer of the Company or relating to such appointment.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8.4(d)</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means, with respect to any Member as of any date of determination, the product obtained by multiplying 100% by the quotient obtained by dividing the number of Units held by such Member by the total number of all outstanding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with respect to any Person, any Affiliate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corporation, limited liability company, trust or other entity, including any governmental entity.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Reclassified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5.1(b)(ix)(A)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Amended 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thereunder as in effect from time to time.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that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control the management of any such limited liability company, partnership, association or other business entity. For</w:t>
      </w:r>
    </w:p>
    <w:p>
      <w:pPr>
        <w:sectPr>
          <w:pgSz w:w="11900" w:h="16850" w:orient="portrait"/>
          <w:cols w:equalWidth="0" w:num="1">
            <w:col w:w="11420"/>
          </w:cols>
          <w:pgMar w:left="240" w:top="125" w:right="239" w:bottom="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purposes hereof, references to a “</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be given effect only at such times that such Person has one or more Subsidiaries and, unless otherwise indicated,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refers to a Subsidiary of the Company.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Substituted Member</w:t>
      </w:r>
      <w:r>
        <w:rPr>
          <w:rFonts w:ascii="Arial" w:cs="Arial" w:eastAsia="Arial" w:hAnsi="Arial"/>
          <w:sz w:val="18"/>
          <w:szCs w:val="18"/>
          <w:color w:val="auto"/>
        </w:rPr>
        <w:t xml:space="preserve">” means a Person who is admitted as a Member to the Company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with all the rights of a Member and who is shown as a Member on the Schedule of Members.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in Interest</w:t>
      </w:r>
      <w:r>
        <w:rPr>
          <w:rFonts w:ascii="Arial" w:cs="Arial" w:eastAsia="Arial" w:hAnsi="Arial"/>
          <w:sz w:val="18"/>
          <w:szCs w:val="18"/>
          <w:color w:val="auto"/>
        </w:rPr>
        <w:t>” means any (i) trustee, custodian, receiver or other Person acting in any Bankruptcy or reorganization proceeding with respect to, (ii) assignee for the benefit of the creditors of, or (iii) trustee or receiver, or current or former officer, director or partner, or other fiduciary acting for or with respect to the dissolution, liquidation or termination 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Amended 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sell, assign, convey, contribute, distribute, give, or otherwise transfer, whether directly or indirectly, voluntarily or involuntarily, by operation of law or otherwise, or any act of the foregoing, including any Transfer upon foreclosure of any pledge, encumbrance, hypothecation or mortgage; </w:t>
      </w:r>
      <w:r>
        <w:rPr>
          <w:rFonts w:ascii="Arial" w:cs="Arial" w:eastAsia="Arial" w:hAnsi="Arial"/>
          <w:sz w:val="17"/>
          <w:szCs w:val="17"/>
          <w:u w:val="single" w:color="auto"/>
          <w:color w:val="auto"/>
        </w:rPr>
        <w:t>provided</w:t>
      </w:r>
      <w:r>
        <w:rPr>
          <w:rFonts w:ascii="Arial" w:cs="Arial" w:eastAsia="Arial" w:hAnsi="Arial"/>
          <w:sz w:val="17"/>
          <w:szCs w:val="17"/>
          <w:color w:val="auto"/>
        </w:rPr>
        <w:t>, that any Transfer of Equity Securities in a private equity or infrastructure fund or its affiliated funds or Transfers of such Equity Securities to direct or indirect limited partners or other equityholders thereof (including in connection with Transfers of such Equity Securities at or in connection with the end of such fund’s term) shall not be deemed to be a Transfer.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w:t>
      </w:r>
      <w:r>
        <w:rPr>
          <w:rFonts w:ascii="Arial" w:cs="Arial" w:eastAsia="Arial" w:hAnsi="Arial"/>
          <w:sz w:val="17"/>
          <w:szCs w:val="17"/>
          <w:u w:val="single" w:color="auto"/>
          <w:color w:val="auto"/>
        </w:rPr>
        <w:t>Transferring Member</w:t>
      </w:r>
      <w:r>
        <w:rPr>
          <w:rFonts w:ascii="Arial" w:cs="Arial" w:eastAsia="Arial" w:hAnsi="Arial"/>
          <w:sz w:val="17"/>
          <w:szCs w:val="17"/>
          <w:color w:val="auto"/>
        </w:rPr>
        <w:t>,” “</w:t>
      </w:r>
      <w:r>
        <w:rPr>
          <w:rFonts w:ascii="Arial" w:cs="Arial" w:eastAsia="Arial" w:hAnsi="Arial"/>
          <w:sz w:val="17"/>
          <w:szCs w:val="17"/>
          <w:u w:val="single" w:color="auto"/>
          <w:color w:val="auto"/>
        </w:rPr>
        <w:t>Transferor Member</w:t>
      </w:r>
      <w:r>
        <w:rPr>
          <w:rFonts w:ascii="Arial" w:cs="Arial" w:eastAsia="Arial" w:hAnsi="Arial"/>
          <w:sz w:val="17"/>
          <w:szCs w:val="17"/>
          <w:color w:val="auto"/>
        </w:rPr>
        <w:t>” and other forms of the word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the correlative meanings.</w:t>
      </w:r>
    </w:p>
    <w:p>
      <w:pPr>
        <w:spacing w:after="0" w:line="17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regulations, including temporary regulations, promulgated by the United States Treasury Department under the Code, as such regulations may be amended from time to time (including corresponding provisions of succeeding regulations).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means the Class A Units, the Class B Units, the Class C Units, the Class D Units and any other series of limited liability company interests in the Company denominated as “Units” that are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5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Unrealized Gain</w:t>
      </w:r>
      <w:r>
        <w:rPr>
          <w:rFonts w:ascii="Arial" w:cs="Arial" w:eastAsia="Arial" w:hAnsi="Arial"/>
          <w:sz w:val="18"/>
          <w:szCs w:val="18"/>
          <w:color w:val="auto"/>
        </w:rPr>
        <w:t xml:space="preserve">” attributable to any item of Company property means, as of any date of determination, the excess, if any, of (a) the Fair Market Value of such property as of such date (as determined under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over (b) the Carrying Value of such property as of such date (prior to any adjustment to be made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as of such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Unrealized Loss</w:t>
      </w:r>
      <w:r>
        <w:rPr>
          <w:rFonts w:ascii="Arial" w:cs="Arial" w:eastAsia="Arial" w:hAnsi="Arial"/>
          <w:sz w:val="18"/>
          <w:szCs w:val="18"/>
          <w:color w:val="auto"/>
        </w:rPr>
        <w:t xml:space="preserve">” attributable to any item of Company property means, as of any date of determination, the excess, if any, of (a) the Carrying Value of such property as of such date (prior to any adjustment to be made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as of such date) over (b) the Fair Market Value of such property as of such date (as determined under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Charter</w:t>
      </w:r>
      <w:r>
        <w:rPr>
          <w:rFonts w:ascii="Arial" w:cs="Arial" w:eastAsia="Arial" w:hAnsi="Arial"/>
          <w:sz w:val="18"/>
          <w:szCs w:val="18"/>
          <w:color w:val="auto"/>
        </w:rPr>
        <w:t>” means the Restated Certificate of Incorporation of Yield, as restated as of May 2, 2016, and as the same may be amended, supplemented or otherwise modified from time to time in accordance with its terms.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Definitions</w:t>
      </w:r>
      <w:r>
        <w:rPr>
          <w:rFonts w:ascii="Arial" w:cs="Arial" w:eastAsia="Arial" w:hAnsi="Arial"/>
          <w:sz w:val="16"/>
          <w:szCs w:val="16"/>
          <w:color w:val="auto"/>
        </w:rPr>
        <w:t>. Other terms defined herein have the meanings so given them.</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Construction</w:t>
      </w:r>
      <w:r>
        <w:rPr>
          <w:rFonts w:ascii="Arial" w:cs="Arial" w:eastAsia="Arial" w:hAnsi="Arial"/>
          <w:sz w:val="16"/>
          <w:szCs w:val="16"/>
          <w:color w:val="auto"/>
        </w:rPr>
        <w:t>. Whenever the context requires, the gender of all words used in this Agreement includes the masculine, feminine, and neuter. All references to Articles and Sections refer to articles and sections of this Agreement, all references to “including” shall be construed as meaning “including without limitation” and all references to Exhibits are to Exhibits attached to this Agreement, each of which is made a part for all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AND OTHER MATTERS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Formation</w:t>
      </w:r>
      <w:r>
        <w:rPr>
          <w:rFonts w:ascii="Arial" w:cs="Arial" w:eastAsia="Arial" w:hAnsi="Arial"/>
          <w:sz w:val="17"/>
          <w:szCs w:val="17"/>
          <w:color w:val="auto"/>
        </w:rPr>
        <w:t>. The Company was formed as a Delaware limited liability company on March 5, 2013 by the execution and filing of a Certificate of Formation of the Company (the “</w:t>
      </w:r>
      <w:r>
        <w:rPr>
          <w:rFonts w:ascii="Arial" w:cs="Arial" w:eastAsia="Arial" w:hAnsi="Arial"/>
          <w:sz w:val="17"/>
          <w:szCs w:val="17"/>
          <w:u w:val="single" w:color="auto"/>
          <w:color w:val="auto"/>
        </w:rPr>
        <w:t>Certificate</w:t>
      </w:r>
      <w:r>
        <w:rPr>
          <w:rFonts w:ascii="Arial" w:cs="Arial" w:eastAsia="Arial" w:hAnsi="Arial"/>
          <w:sz w:val="17"/>
          <w:szCs w:val="17"/>
          <w:color w:val="auto"/>
        </w:rPr>
        <w:t>”) by an authorized person under and pursuant to the Act and the execution of the Original Agreement. The Members agree to continue the Company as a limited liability company under the Act, upon the terms and subject to the conditions set forth in this Agreement. The rights, powers, duties, obligations and liabilities of the Members shall be determined pursuant to the Act and this Agreement. This Agreement is the “limited liability company agreement” of the Company within the meaning of Section 18-101(7) of the Act. To the extent that this Agreement is inconsistent in any respect with the Act, this Agreement shall, to the extent permitted by the Act, control.</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“NRG Yield LLC”, provided, however, that the name of the Company shall be changed to “Clearway Energy LLC” effective upon the filing on or about August 31, 2018 with the Secretary of State of the State of Delaware a Certificate of Amendment to the Certificate of Formation of the Company reflecting such change. The business of the Company has been and shall be conducted under that name, or under any other name adopted by the Managing Member in accordance with the Act. Subject to the Act, the Managing Member may change the name of the Company (and amend this Agreement to reflect such change) at any time and from time to time without the consent of any other Person. Prompt notification of any such change shall be given to all Members.</w:t>
      </w:r>
    </w:p>
    <w:p>
      <w:pPr>
        <w:sectPr>
          <w:pgSz w:w="11900" w:h="16838" w:orient="portrait"/>
          <w:cols w:equalWidth="0" w:num="1">
            <w:col w:w="11420"/>
          </w:cols>
          <w:pgMar w:left="240" w:top="341" w:right="239" w:bottom="0" w:gutter="0" w:footer="0" w:header="0"/>
        </w:sectPr>
      </w:pPr>
    </w:p>
    <w:bookmarkStart w:id="76" w:name="page77"/>
    <w:bookmarkEnd w:id="76"/>
    <w:p>
      <w:pPr>
        <w:jc w:val="both"/>
        <w:ind w:firstLine="648"/>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Limited Liability</w:t>
      </w:r>
      <w:r>
        <w:rPr>
          <w:rFonts w:ascii="Arial" w:cs="Arial" w:eastAsia="Arial" w:hAnsi="Arial"/>
          <w:sz w:val="18"/>
          <w:szCs w:val="18"/>
          <w:color w:val="auto"/>
        </w:rPr>
        <w:t>. The debts, obligations and liabilities of the Company, whether arising in contract, tort or otherwise, are and shall be the debts, obligations and liabilities solely of the Company, and a Member shall not be obligated personally for any of such debts, obligations or liabilities solely by reason of being a Member.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Registered Office; Registered Agent; Principal Office in the United States; Other Offices</w:t>
      </w:r>
      <w:r>
        <w:rPr>
          <w:rFonts w:ascii="Arial" w:cs="Arial" w:eastAsia="Arial" w:hAnsi="Arial"/>
          <w:sz w:val="18"/>
          <w:szCs w:val="18"/>
          <w:color w:val="auto"/>
        </w:rPr>
        <w:t>. The registered office of the Company in the State of Delaware shall be the initial registered office designated in the Certificate or such other office (which need not be a place of business of the Company) as the Managing Member may designate from time to time in the manner provided by law. The registered agent of the Company in the State of Delaware shall be the initial registered agent designated in the Certificate or such other Person or Persons as the Managing Member may designate from time to time in the manner provided by law. The registered office of the Company in the United States shall be at the place specified in the Certificate, or such other place(s) as the Managing Member may designate from time to time. The Company may have such other offices as the Managing Member may determine appropriate.</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Purpose; Powers</w:t>
      </w:r>
      <w:r>
        <w:rPr>
          <w:rFonts w:ascii="Arial" w:cs="Arial" w:eastAsia="Arial" w:hAnsi="Arial"/>
          <w:sz w:val="17"/>
          <w:szCs w:val="17"/>
          <w:color w:val="auto"/>
        </w:rPr>
        <w:t>. The Company may carry on any lawful business, purpose or activity permitted by the Act. The Company may engage in any and all activities necessary, desirable or incidental to the accomplishment of the foregoing. Subject to the provisions of this Agreement and except as prohibited by the Act, (i) the Company may, with the approval of the Managing Member, enter into and perform any and all documents, agreements and instruments, all without any further act, vote or approval of any Member and (ii) the Managing Member may authorize any Person (including any Member or Officer) to enter into and perform any document on behalf of the Company.</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Existing and Good Standing; Foreign Qualification</w:t>
      </w:r>
      <w:r>
        <w:rPr>
          <w:rFonts w:ascii="Arial" w:cs="Arial" w:eastAsia="Arial" w:hAnsi="Arial"/>
          <w:sz w:val="16"/>
          <w:szCs w:val="16"/>
          <w:color w:val="auto"/>
        </w:rPr>
        <w:t>. The Managing Member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may file or cause to be filed for recordation in the office of the appropriate authorities of the State of Delaware, and in the proper office or offices in each other jurisdiction in which the Company is formed or qualified, such certificates (including certificates of limited liability companies and fictitious name certificates) and other documents as are required by the applicable statutes, rules or regulations of any such jurisdiction or as are required to reflect the identity of the Members and the amounts of their respective capital contributions. Each Member shall execute, acknowledge, swear to and deliver all certificates and other instruments conforming to this Agreement that are necessary or appropriate to qualify, or, as appropriate, to continue or terminate such qualification of, the Company as a foreign limited liability company in all such jurisdictions in which the Company may conduct business.</w:t>
      </w:r>
    </w:p>
    <w:p>
      <w:pPr>
        <w:spacing w:after="0" w:line="16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Term</w:t>
      </w:r>
      <w:r>
        <w:rPr>
          <w:rFonts w:ascii="Arial" w:cs="Arial" w:eastAsia="Arial" w:hAnsi="Arial"/>
          <w:sz w:val="18"/>
          <w:szCs w:val="18"/>
          <w:color w:val="auto"/>
        </w:rPr>
        <w:t>. The Company commenced on the date the Certificate was filed with the Secretary of State of the State of Delaware, and shall continue in existence until it is liquidated or dissolved in accordance with this Agreement and the Act.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No State Law Partnership</w:t>
      </w:r>
      <w:r>
        <w:rPr>
          <w:rFonts w:ascii="Arial" w:cs="Arial" w:eastAsia="Arial" w:hAnsi="Arial"/>
          <w:sz w:val="16"/>
          <w:szCs w:val="16"/>
          <w:color w:val="auto"/>
        </w:rPr>
        <w:t>.</w:t>
      </w:r>
    </w:p>
    <w:p>
      <w:pPr>
        <w:spacing w:after="0" w:line="225" w:lineRule="exact"/>
        <w:rPr>
          <w:sz w:val="20"/>
          <w:szCs w:val="20"/>
          <w:color w:val="auto"/>
        </w:rPr>
      </w:pPr>
    </w:p>
    <w:p>
      <w:pPr>
        <w:ind w:right="320" w:firstLine="1305"/>
        <w:spacing w:after="0" w:line="277" w:lineRule="auto"/>
        <w:tabs>
          <w:tab w:leader="none" w:pos="19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Members intend that the Company shall not be a partnership (including a limited partnership) or joint venture, and that no Member or Officer shall be a partner or joint venturer of any other Member or Officer by virtue of this Agreement, for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purposes other than as is set forth in the last sentence of this </w:t>
      </w:r>
      <w:r>
        <w:rPr>
          <w:rFonts w:ascii="Arial" w:cs="Arial" w:eastAsia="Arial" w:hAnsi="Arial"/>
          <w:sz w:val="17"/>
          <w:szCs w:val="17"/>
          <w:u w:val="single" w:color="auto"/>
          <w:color w:val="auto"/>
        </w:rPr>
        <w:t>Section 2.8(a)</w:t>
      </w:r>
      <w:r>
        <w:rPr>
          <w:rFonts w:ascii="Arial" w:cs="Arial" w:eastAsia="Arial" w:hAnsi="Arial"/>
          <w:sz w:val="17"/>
          <w:szCs w:val="17"/>
          <w:color w:val="auto"/>
        </w:rPr>
        <w:t>, and this Agreement shall not be construed to the contrary. The Members intend that the Company shall be treated as a partnership for federal and, if applicable, state or local income tax purposes, as of the date Yield first becomes a Member, and each Member, Assignee and the Company shall file all tax returns and shall otherwise take all tax and financial reporting positions in a manner consistent with such treatment. Neither the Company nor any Member shall take any action inconsistent with such treatment.</w:t>
      </w:r>
    </w:p>
    <w:p>
      <w:pPr>
        <w:spacing w:after="0" w:line="171" w:lineRule="exact"/>
        <w:rPr>
          <w:sz w:val="20"/>
          <w:szCs w:val="20"/>
          <w:color w:val="auto"/>
        </w:rPr>
      </w:pPr>
    </w:p>
    <w:p>
      <w:pPr>
        <w:ind w:right="40" w:firstLine="1305"/>
        <w:spacing w:after="0" w:line="255"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 long as the Company is treated as a partnership for federal income tax purposes, to ensure that Units are not traded on an established securities market within the meaning of Treasury Regulations Section 1.7704-1(b) or readily tradable on a secondary market or the substantial equivalent thereof within the meaning of Regulations Section 1.7704-1(c), notwithstanding anything to the contrary contained herein, (i) the Company shall not participate in the establishment of any such market or the inclusion of its Units thereon, and (ii) the Company shall not recognize any Transfer made on any such market by: (A) redeeming the Transferor Member (in the case of a redemption or repurchase by the Company); or (B) admitting the Transferee as a Member or otherwise recognizing any rights of the Transferee, such as a right of the Transferee to receive Company distributions (directly or indirectly) or to acquire an interest in the capital or profits of the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CAPITALIZATION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Members; Units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6" w:lineRule="auto"/>
        <w:tabs>
          <w:tab w:leader="none" w:pos="194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Limited Liability Company Interests</w:t>
      </w:r>
      <w:r>
        <w:rPr>
          <w:rFonts w:ascii="Arial" w:cs="Arial" w:eastAsia="Arial" w:hAnsi="Arial"/>
          <w:sz w:val="17"/>
          <w:szCs w:val="17"/>
          <w:color w:val="auto"/>
        </w:rPr>
        <w:t>. Interests in the Company shall be represented by Units, or such other Equity Securities in the Company, or such other Company securities, in each case as the Managing Member may establish in its sole discretion in accordance with the terms hereof. As of the Effective Date, the Units are comprised of four Classes: “Class A Units,” “Class B Units,” “Class C Units,” and “Class D Units.”</w:t>
      </w:r>
    </w:p>
    <w:p>
      <w:pPr>
        <w:spacing w:after="0" w:line="165" w:lineRule="exact"/>
        <w:rPr>
          <w:rFonts w:ascii="Arial" w:cs="Arial" w:eastAsia="Arial" w:hAnsi="Arial"/>
          <w:sz w:val="17"/>
          <w:szCs w:val="17"/>
          <w:color w:val="auto"/>
        </w:rPr>
      </w:pPr>
    </w:p>
    <w:p>
      <w:pPr>
        <w:ind w:right="20" w:firstLine="1305"/>
        <w:spacing w:after="0" w:line="290" w:lineRule="auto"/>
        <w:tabs>
          <w:tab w:leader="none" w:pos="195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Schedule of Units; Schedule of Members</w:t>
      </w:r>
      <w:r>
        <w:rPr>
          <w:rFonts w:ascii="Arial" w:cs="Arial" w:eastAsia="Arial" w:hAnsi="Arial"/>
          <w:sz w:val="16"/>
          <w:szCs w:val="16"/>
          <w:color w:val="auto"/>
        </w:rPr>
        <w:t>. The Company shall maintain a schedule setting forth (i) the name and address of each Member, (ii) the number of Units (by Class) owned by such Member, (iii) the aggregate number of outstanding Units by Class (including rights, options or warrants convertible into or exchangeable or exercisable for Units), and (iv) the aggregate amount of cash Capital Contributions that have been made by each of the Members and the Fair Market Value of any property other than cash contributed by each of the Members with respect to such Units (including, if applicable, a description and the amount of any liability assumed by the Company or to which contributed property is subject) (such schedule, the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Members</w:t>
      </w:r>
      <w:r>
        <w:rPr>
          <w:rFonts w:ascii="Arial" w:cs="Arial" w:eastAsia="Arial" w:hAnsi="Arial"/>
          <w:sz w:val="16"/>
          <w:szCs w:val="16"/>
          <w:color w:val="auto"/>
        </w:rPr>
        <w:t>”). The Schedule of Members shall be the definitive record of ownership of each Unit or other Equity Security in the Company and all relevant information with respect to each Member. The Company shall be entitled to recognize the exclusive right of a Person registered on its records as the owner of Units or other Equity Securities in the Company for all purposes and shall not be bound to recognize any equitable or other claim to or interest in Units or</w:t>
      </w:r>
    </w:p>
    <w:p>
      <w:pPr>
        <w:sectPr>
          <w:pgSz w:w="11900" w:h="16838" w:orient="portrait"/>
          <w:cols w:equalWidth="0" w:num="1">
            <w:col w:w="11380"/>
          </w:cols>
          <w:pgMar w:left="240" w:top="125" w:right="279" w:bottom="0" w:gutter="0" w:footer="0" w:header="0"/>
        </w:sectPr>
      </w:pPr>
    </w:p>
    <w:bookmarkStart w:id="77" w:name="page78"/>
    <w:bookmarkEnd w:id="77"/>
    <w:p>
      <w:pPr>
        <w:spacing w:after="0" w:line="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Equity Securities in the Company on the part of any other Person, whether or not it shall have express or other notice thereof, except as otherwise provided by the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9"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Class A Units</w:t>
      </w:r>
      <w:r>
        <w:rPr>
          <w:rFonts w:ascii="Arial" w:cs="Arial" w:eastAsia="Arial" w:hAnsi="Arial"/>
          <w:sz w:val="18"/>
          <w:szCs w:val="18"/>
          <w:color w:val="auto"/>
        </w:rPr>
        <w:t xml:space="preserve">. The Schedule of Members sets forth the identity of all Class A Members and the number of Class A Units held by each Class A Member. The Class A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B Units, Class C Units, and Class D Units.</w:t>
      </w:r>
    </w:p>
    <w:p>
      <w:pPr>
        <w:spacing w:after="0" w:line="186" w:lineRule="exact"/>
        <w:rPr>
          <w:rFonts w:ascii="Arial" w:cs="Arial" w:eastAsia="Arial" w:hAnsi="Arial"/>
          <w:sz w:val="18"/>
          <w:szCs w:val="18"/>
          <w:color w:val="auto"/>
        </w:rPr>
      </w:pPr>
    </w:p>
    <w:p>
      <w:pPr>
        <w:ind w:firstLine="1305"/>
        <w:spacing w:after="0" w:line="255"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The Schedule of Members sets forth the identity of all Class B Members and the number of Class B Units held by each Class B Member. Class B Units are issuable to the GIP Member. Upon the Exchange contemplated in any Exchange Election, the Class B Units covered by such Exchange Election shall be exchanged for Exchange Shares pursuant to the Exchange Agreement and, in connection with such Exchange, reclassified as Class A Units. The Class B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Units, the Class C Units and the Class D Units.</w:t>
      </w:r>
    </w:p>
    <w:p>
      <w:pPr>
        <w:spacing w:after="0" w:line="193"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Class C Units</w:t>
      </w:r>
      <w:r>
        <w:rPr>
          <w:rFonts w:ascii="Arial" w:cs="Arial" w:eastAsia="Arial" w:hAnsi="Arial"/>
          <w:sz w:val="18"/>
          <w:szCs w:val="18"/>
          <w:color w:val="auto"/>
        </w:rPr>
        <w:t xml:space="preserve">. The Schedule of Members sets forth the identity of all Class C Members and the number of Class C Units held by each Class C Member. The Class C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Class B and Class D Units.</w:t>
      </w:r>
    </w:p>
    <w:p>
      <w:pPr>
        <w:spacing w:after="0" w:line="186" w:lineRule="exact"/>
        <w:rPr>
          <w:rFonts w:ascii="Arial" w:cs="Arial" w:eastAsia="Arial" w:hAnsi="Arial"/>
          <w:sz w:val="18"/>
          <w:szCs w:val="18"/>
          <w:color w:val="auto"/>
        </w:rPr>
      </w:pPr>
    </w:p>
    <w:p>
      <w:pPr>
        <w:ind w:firstLine="1305"/>
        <w:spacing w:after="0" w:line="255" w:lineRule="auto"/>
        <w:tabs>
          <w:tab w:leader="none" w:pos="194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Class D Units</w:t>
      </w:r>
      <w:r>
        <w:rPr>
          <w:rFonts w:ascii="Arial" w:cs="Arial" w:eastAsia="Arial" w:hAnsi="Arial"/>
          <w:sz w:val="18"/>
          <w:szCs w:val="18"/>
          <w:color w:val="auto"/>
        </w:rPr>
        <w:t xml:space="preserve">. The Schedule of Members sets forth the identity of all Class D Members and the number of Class D Units held by each Class D Member. Class D Units are issuable to the GIP Member. Upon the Exchange contemplated in any Exchange Election, the Class D Units covered by such Exchange Election shall be exchanged for Exchange Shares pursuant to the Exchange Agreement and, in connection with such Exchange, reclassified as Class C Units. The Class D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Units, the Class B Units and the Class C Units.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Class A Common Stock and Class C Common Stock Sale; Exchanges; Authorization and Issuance of Additional Units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2" w:lineRule="auto"/>
        <w:tabs>
          <w:tab w:leader="none" w:pos="194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Notwithstanding anything expressed or implied to the contrary in this Agreement (including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 neither a Class B Member nor a Class D Member may Transfer, directly or indirectly, all or any portion of its respective Class B Units or Class D Units, except in connection with (i) a Class A Common Stock Sale or a Class C Common Stock Sale, respectively, (ii) a Transfer of such Units in accordance with the procedures set forth in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or (iii) a Transfer of Class B Units or the Class D Units held by such Class B Member or Class D Member, as applicable (as an “</w:t>
      </w:r>
      <w:r>
        <w:rPr>
          <w:rFonts w:ascii="Arial" w:cs="Arial" w:eastAsia="Arial" w:hAnsi="Arial"/>
          <w:sz w:val="17"/>
          <w:szCs w:val="17"/>
          <w:u w:val="single" w:color="auto"/>
          <w:color w:val="auto"/>
        </w:rPr>
        <w:t>Exchanging Class B Member</w:t>
      </w:r>
      <w:r>
        <w:rPr>
          <w:rFonts w:ascii="Arial" w:cs="Arial" w:eastAsia="Arial" w:hAnsi="Arial"/>
          <w:sz w:val="17"/>
          <w:szCs w:val="17"/>
          <w:color w:val="auto"/>
        </w:rPr>
        <w:t>” or “</w:t>
      </w:r>
      <w:r>
        <w:rPr>
          <w:rFonts w:ascii="Arial" w:cs="Arial" w:eastAsia="Arial" w:hAnsi="Arial"/>
          <w:sz w:val="17"/>
          <w:szCs w:val="17"/>
          <w:u w:val="single" w:color="auto"/>
          <w:color w:val="auto"/>
        </w:rPr>
        <w:t>Exchanging Class D Member</w:t>
      </w:r>
      <w:r>
        <w:rPr>
          <w:rFonts w:ascii="Arial" w:cs="Arial" w:eastAsia="Arial" w:hAnsi="Arial"/>
          <w:sz w:val="17"/>
          <w:szCs w:val="17"/>
          <w:color w:val="auto"/>
        </w:rPr>
        <w:t xml:space="preserve">,” as applicable) to one or more Permitted Transferees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No Transfer of any Class B Units by a Class B Member or of any Class D Units by a Class D Member to a Permitted Transferee shall effect a release of the transferring Class B Member’s or Class D Member’s obligations under this Agreement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Class A Members or the Class C Members, as applicable, and as a condition to such Transfer, each such Permitted Transferee shall expressly assume in writing all of the obligations of the transferring Class B Member or Class D Member, as applicable, whether arising prior to, on or after the date of Transfer, to the Class A Members or the Class C Members, as applicable.</w:t>
      </w:r>
    </w:p>
    <w:p>
      <w:pPr>
        <w:spacing w:after="0" w:line="181" w:lineRule="exact"/>
        <w:rPr>
          <w:sz w:val="20"/>
          <w:szCs w:val="20"/>
          <w:color w:val="auto"/>
        </w:rPr>
      </w:pPr>
    </w:p>
    <w:p>
      <w:pPr>
        <w:jc w:val="both"/>
        <w:ind w:right="20" w:firstLine="1305"/>
        <w:spacing w:after="0" w:line="291" w:lineRule="auto"/>
        <w:tabs>
          <w:tab w:leader="none" w:pos="1952"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Class A Common Stock or Class C Common Stock Sale</w:t>
      </w:r>
      <w:r>
        <w:rPr>
          <w:rFonts w:ascii="Arial" w:cs="Arial" w:eastAsia="Arial" w:hAnsi="Arial"/>
          <w:sz w:val="16"/>
          <w:szCs w:val="16"/>
          <w:color w:val="auto"/>
        </w:rPr>
        <w:t>. In connection with any Class A Common Stock Sale or Class C Common Stock Sale, the Managing Member shall cause the Company to use the related net cash proceeds from such sale (upon the receipt thereof from Yield) to either</w:t>
      </w:r>
    </w:p>
    <w:p>
      <w:pPr>
        <w:ind w:firstLine="8"/>
        <w:spacing w:after="0" w:line="268" w:lineRule="auto"/>
        <w:tabs>
          <w:tab w:leader="none" w:pos="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issue Class A Units in the case of any Class A Common Stock Sale or issue Class C Units in the case of a Class C Common Stock Sale, in an amount equal to the number of shares of Class A Common Stock related to such Class A Common Stock Sale, to the Class A Member, or the number of shares of Class C Common Stock related to such Class C Common Stock Sale, to the Class C Member or (ii) as contemplated in the Exchange Agreement, purchase Class B Units or Class D Units from one or more “Yield LLC Unitholders” under the Exchange Agreement, which Class B Units or Class D Units, as applicable, shall automatically be reclassified into Class A Units or Class C Units, as applicable, upon the consummation of the purchase set forth in this clause (ii). Alternatively, the Managing Member shall cause Yield to use a portion of the net cash proceeds to purchase Class B Units in the case of the sale of Class A Common Stock, or to purchase Class D Units in the case of sale of Class C Common Stock from the GIP Member, which Class B Units then will convert to Class A Units, or the Class D Units then will convert into the Class C Units immediately upon such purchase. The determination of whether to apply the net cash proceeds received by the Company from any Class A Common Stock Sale or any Class C Common Stock Sale in accordance with (i) or (ii) set forth in this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shall be made in the Managing Member’s sole discretion.</w:t>
      </w:r>
    </w:p>
    <w:p>
      <w:pPr>
        <w:spacing w:after="0" w:line="179" w:lineRule="exact"/>
        <w:rPr>
          <w:rFonts w:ascii="Arial" w:cs="Arial" w:eastAsia="Arial" w:hAnsi="Arial"/>
          <w:sz w:val="17"/>
          <w:szCs w:val="17"/>
          <w:color w:val="auto"/>
        </w:rPr>
      </w:pPr>
    </w:p>
    <w:p>
      <w:pPr>
        <w:ind w:left="1960" w:hanging="655"/>
        <w:spacing w:after="0"/>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53"/>
        <w:spacing w:after="0" w:line="273" w:lineRule="auto"/>
        <w:tabs>
          <w:tab w:leader="none" w:pos="2618" w:val="left"/>
        </w:tabs>
        <w:numPr>
          <w:ilvl w:val="2"/>
          <w:numId w:val="55"/>
        </w:numPr>
        <w:rPr>
          <w:rFonts w:ascii="Arial" w:cs="Arial" w:eastAsia="Arial" w:hAnsi="Arial"/>
          <w:sz w:val="17"/>
          <w:szCs w:val="17"/>
          <w:color w:val="auto"/>
        </w:rPr>
      </w:pPr>
      <w:r>
        <w:rPr>
          <w:rFonts w:ascii="Arial" w:cs="Arial" w:eastAsia="Arial" w:hAnsi="Arial"/>
          <w:sz w:val="17"/>
          <w:szCs w:val="17"/>
          <w:u w:val="single" w:color="auto"/>
          <w:color w:val="auto"/>
        </w:rPr>
        <w:t>Step 1</w:t>
      </w:r>
      <w:r>
        <w:rPr>
          <w:rFonts w:ascii="Arial" w:cs="Arial" w:eastAsia="Arial" w:hAnsi="Arial"/>
          <w:sz w:val="17"/>
          <w:szCs w:val="17"/>
          <w:color w:val="auto"/>
        </w:rPr>
        <w:t>. An Exchanging Class B Member or an Exchanging Class D Member shall deliver to the Managing Member the written election of exchange (an “</w:t>
      </w:r>
      <w:r>
        <w:rPr>
          <w:rFonts w:ascii="Arial" w:cs="Arial" w:eastAsia="Arial" w:hAnsi="Arial"/>
          <w:sz w:val="17"/>
          <w:szCs w:val="17"/>
          <w:u w:val="single" w:color="auto"/>
          <w:color w:val="auto"/>
        </w:rPr>
        <w:t>Exchange Election</w:t>
      </w:r>
      <w:r>
        <w:rPr>
          <w:rFonts w:ascii="Arial" w:cs="Arial" w:eastAsia="Arial" w:hAnsi="Arial"/>
          <w:sz w:val="17"/>
          <w:szCs w:val="17"/>
          <w:color w:val="auto"/>
        </w:rPr>
        <w:t xml:space="preserve">”) as contemplated by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the Exchange Agreement. Upon the Exchange contemplated by an Exchange Election, the number of Class B Units or Class D Units designated in the Exchange Election shall be reclassified into an equal number of Class A Units, in the case of the Exchange of Class B Units, or Class C Units in the case of the Exchange of Class D Units (such Class A Units or Class C Units, the “</w:t>
      </w:r>
      <w:r>
        <w:rPr>
          <w:rFonts w:ascii="Arial" w:cs="Arial" w:eastAsia="Arial" w:hAnsi="Arial"/>
          <w:sz w:val="17"/>
          <w:szCs w:val="17"/>
          <w:u w:val="single" w:color="auto"/>
          <w:color w:val="auto"/>
        </w:rPr>
        <w:t>Reclassified Units</w:t>
      </w:r>
      <w:r>
        <w:rPr>
          <w:rFonts w:ascii="Arial" w:cs="Arial" w:eastAsia="Arial" w:hAnsi="Arial"/>
          <w:sz w:val="17"/>
          <w:szCs w:val="17"/>
          <w:color w:val="auto"/>
        </w:rPr>
        <w:t xml:space="preserve">”) and such Reclassified Units shall be exchanged as contemplated by </w:t>
      </w:r>
      <w:r>
        <w:rPr>
          <w:rFonts w:ascii="Arial" w:cs="Arial" w:eastAsia="Arial" w:hAnsi="Arial"/>
          <w:sz w:val="17"/>
          <w:szCs w:val="17"/>
          <w:u w:val="single" w:color="auto"/>
          <w:color w:val="auto"/>
        </w:rPr>
        <w:t>Step 2</w:t>
      </w:r>
      <w:r>
        <w:rPr>
          <w:rFonts w:ascii="Arial" w:cs="Arial" w:eastAsia="Arial" w:hAnsi="Arial"/>
          <w:sz w:val="17"/>
          <w:szCs w:val="17"/>
          <w:color w:val="auto"/>
        </w:rPr>
        <w:t xml:space="preserve"> below and the Exchange Agreement.</w:t>
      </w:r>
    </w:p>
    <w:p>
      <w:pPr>
        <w:spacing w:after="0" w:line="178" w:lineRule="exact"/>
        <w:rPr>
          <w:rFonts w:ascii="Arial" w:cs="Arial" w:eastAsia="Arial" w:hAnsi="Arial"/>
          <w:sz w:val="17"/>
          <w:szCs w:val="17"/>
          <w:color w:val="auto"/>
        </w:rPr>
      </w:pPr>
    </w:p>
    <w:p>
      <w:pPr>
        <w:ind w:left="2640" w:hanging="687"/>
        <w:spacing w:after="0"/>
        <w:tabs>
          <w:tab w:leader="none" w:pos="2640" w:val="left"/>
        </w:tabs>
        <w:numPr>
          <w:ilvl w:val="2"/>
          <w:numId w:val="55"/>
        </w:numPr>
        <w:rPr>
          <w:rFonts w:ascii="Arial" w:cs="Arial" w:eastAsia="Arial" w:hAnsi="Arial"/>
          <w:sz w:val="17"/>
          <w:szCs w:val="17"/>
          <w:color w:val="auto"/>
        </w:rPr>
      </w:pPr>
      <w:r>
        <w:rPr>
          <w:rFonts w:ascii="Arial" w:cs="Arial" w:eastAsia="Arial" w:hAnsi="Arial"/>
          <w:sz w:val="17"/>
          <w:szCs w:val="17"/>
          <w:u w:val="single" w:color="auto"/>
          <w:color w:val="auto"/>
        </w:rPr>
        <w:t>Step 2</w:t>
      </w:r>
      <w:r>
        <w:rPr>
          <w:rFonts w:ascii="Arial" w:cs="Arial" w:eastAsia="Arial" w:hAnsi="Arial"/>
          <w:sz w:val="17"/>
          <w:szCs w:val="17"/>
          <w:color w:val="auto"/>
        </w:rPr>
        <w:t>. The Reclassified Units shall be delivered to Yield in exchange for shares of Class A Common Stock or the</w:t>
      </w:r>
    </w:p>
    <w:p>
      <w:pPr>
        <w:spacing w:after="0" w:line="35" w:lineRule="exact"/>
        <w:rPr>
          <w:sz w:val="20"/>
          <w:szCs w:val="20"/>
          <w:color w:val="auto"/>
        </w:rPr>
      </w:pPr>
    </w:p>
    <w:p>
      <w:pPr>
        <w:ind w:left="1300" w:right="140"/>
        <w:spacing w:after="0" w:line="273" w:lineRule="auto"/>
        <w:rPr>
          <w:sz w:val="20"/>
          <w:szCs w:val="20"/>
          <w:color w:val="auto"/>
        </w:rPr>
      </w:pPr>
      <w:r>
        <w:rPr>
          <w:rFonts w:ascii="Arial" w:cs="Arial" w:eastAsia="Arial" w:hAnsi="Arial"/>
          <w:sz w:val="17"/>
          <w:szCs w:val="17"/>
          <w:color w:val="auto"/>
        </w:rPr>
        <w:t>Class C Common Stock (“</w:t>
      </w:r>
      <w:r>
        <w:rPr>
          <w:rFonts w:ascii="Arial" w:cs="Arial" w:eastAsia="Arial" w:hAnsi="Arial"/>
          <w:sz w:val="17"/>
          <w:szCs w:val="17"/>
          <w:u w:val="single" w:color="auto"/>
          <w:color w:val="auto"/>
        </w:rPr>
        <w:t>Exchange Shares</w:t>
      </w:r>
      <w:r>
        <w:rPr>
          <w:rFonts w:ascii="Arial" w:cs="Arial" w:eastAsia="Arial" w:hAnsi="Arial"/>
          <w:sz w:val="17"/>
          <w:szCs w:val="17"/>
          <w:color w:val="auto"/>
        </w:rPr>
        <w:t>”) as contemplated by the Exchange Agreement, which Class A Common Stock or Class C Common Stock, as applicable, shall be delivered by or on behalf of the Company to the Exchanging Class B Member or Class D Member, as applicable (as set forth in the Exchange Election). The Reclassified Units shall be deemed automatically issued to Yield upon the issuance of the Exchange Shares to the Exchanging Class B Member or the Class D Member.</w:t>
      </w:r>
    </w:p>
    <w:p>
      <w:pPr>
        <w:sectPr>
          <w:pgSz w:w="11900" w:h="16922" w:orient="portrait"/>
          <w:cols w:equalWidth="0" w:num="1">
            <w:col w:w="11400"/>
          </w:cols>
          <w:pgMar w:left="240" w:top="125" w:right="259" w:bottom="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4" w:lineRule="auto"/>
        <w:tabs>
          <w:tab w:leader="none" w:pos="1952"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Authorization and Issuance of Additional Units</w:t>
      </w:r>
      <w:r>
        <w:rPr>
          <w:rFonts w:ascii="Arial" w:cs="Arial" w:eastAsia="Arial" w:hAnsi="Arial"/>
          <w:sz w:val="16"/>
          <w:szCs w:val="16"/>
          <w:color w:val="auto"/>
        </w:rPr>
        <w:t xml:space="preserve">. Subject to the limitations on issuing additional Units set forth in this Agreement (including </w:t>
      </w:r>
      <w:r>
        <w:rPr>
          <w:rFonts w:ascii="Arial" w:cs="Arial" w:eastAsia="Arial" w:hAnsi="Arial"/>
          <w:sz w:val="16"/>
          <w:szCs w:val="16"/>
          <w:u w:val="single" w:color="auto"/>
          <w:color w:val="auto"/>
        </w:rPr>
        <w:t>Section 7.4</w:t>
      </w:r>
      <w:r>
        <w:rPr>
          <w:rFonts w:ascii="Arial" w:cs="Arial" w:eastAsia="Arial" w:hAnsi="Arial"/>
          <w:sz w:val="16"/>
          <w:szCs w:val="16"/>
          <w:color w:val="auto"/>
        </w:rPr>
        <w:t>), the requirements set forth in the Exchange Agreement and any applicable listing exchange requirements, the Managing Member may issue additional Classes of Units, other Equity Securities in the Company or other Company securities from time to time with such rights, obligations, powers, designations, preferences and other terms, which may be different from, including senior to, any then existing or future Classes of Units, other Equity Securities in the Company or other Company securities, as the Managing Member shall determine from time to time, in its sole discretion, without the vote or consent of any other Member or any other Person, including (i) the right of such Units, other Equity Securities in the Company or other Company securities to share in Net Income and Net Loss or items thereof, (ii) the right of such Units, other Equity Securities in the Company or other Company securities to share in Company distributions, (iii) the rights of such Units, other Equity Securities or other Company securities upon dissolution and liquidation of the Company,</w:t>
      </w:r>
    </w:p>
    <w:p>
      <w:pPr>
        <w:spacing w:after="0" w:line="1" w:lineRule="exact"/>
        <w:rPr>
          <w:rFonts w:ascii="Arial" w:cs="Arial" w:eastAsia="Arial" w:hAnsi="Arial"/>
          <w:sz w:val="16"/>
          <w:szCs w:val="16"/>
          <w:color w:val="auto"/>
        </w:rPr>
      </w:pPr>
    </w:p>
    <w:p>
      <w:pPr>
        <w:ind w:right="40" w:firstLine="8"/>
        <w:spacing w:after="0" w:line="266" w:lineRule="auto"/>
        <w:tabs>
          <w:tab w:leader="none" w:pos="30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whether, and the terms and conditions upon which, the Company may or shall be required to redeem such Units, other Equity Securities in the Company or other Company securities (including sinking fund provisions), (v) whether such Units, other Equity Securities in the Company or other Company securities are issued with the privilege of conversion or exchange and, if so, the terms and conditions of such conversion or exchange, (vi) the terms and conditions upon which such Units, other Equity Securities in the Company or other Company securities will be issued, evidenced by certificates or assigned or transferred, (vii) the terms and conditions of the issuance of such Units, other Equity Securities in the Company or other Company securities (including, without limitation, the amount and form of consideration, if any, to be received by the Company in respect thereof, the Managing Member being expressly authorized, in its sole discretion, to cause the Company to issue Units, other Equity Securities in the Company or other Company securities for less than Fair Market Value), and (viii) the right, if any, of the holder of such Units, other Equity Securities in the Company or other Company securities to vote on Company matters, including matters relating to the relative designations, preferences, rights, powers and duties of such Units, other Equity Securities in the Company or other Company securities. The Managing Member, without the vote or consent of any other Member or any other Person but subject to </w:t>
      </w:r>
      <w:r>
        <w:rPr>
          <w:rFonts w:ascii="Arial" w:cs="Arial" w:eastAsia="Arial" w:hAnsi="Arial"/>
          <w:sz w:val="17"/>
          <w:szCs w:val="17"/>
          <w:u w:val="single" w:color="auto"/>
          <w:color w:val="auto"/>
        </w:rPr>
        <w:t>Sections 3.1(d)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3.1(e)</w:t>
      </w:r>
      <w:r>
        <w:rPr>
          <w:rFonts w:ascii="Arial" w:cs="Arial" w:eastAsia="Arial" w:hAnsi="Arial"/>
          <w:sz w:val="17"/>
          <w:szCs w:val="17"/>
          <w:color w:val="auto"/>
        </w:rPr>
        <w:t xml:space="preserve"> and any applicable listing exchange requirements, is authorized (i) to issue any Units, other Equity Securities in the Company or other Company securities of any such newly established Class, and (ii) to amend this Agreement to reflect the creation of any such new series, the issuance of Units, other Equity Securities in the Company or other Company securities of such series, and the admission of any Person as a Member which has received Units or other Equity Securities of any such Class,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w:t>
      </w:r>
      <w:r>
        <w:rPr>
          <w:rFonts w:ascii="Arial" w:cs="Arial" w:eastAsia="Arial" w:hAnsi="Arial"/>
          <w:sz w:val="17"/>
          <w:szCs w:val="17"/>
          <w:color w:val="auto"/>
        </w:rPr>
        <w:t>. Except as expressly provided in this Agreement to the contrary, any reference to “Units” shall include the Class A Units, the Class B Units, the Class C Units, the Class D Units and any other series of Units that may be established in accordance with this Agreement.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Capital Account</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Managing Member shall maintain for each Member owning Units a separate Capital Account with respect to such Units in accordance with the rules of Treasury Regulations Section 1.704-1(b)(2)(iv). Such Capital Account shall be increased by (i) the amount of all Capital Contributions made to the Company with respect to such Units pursuant to this Agreement and (ii) all items of Company income and gain (including, without limitation,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gain exempt from tax) computed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and allocated with respect to such Units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and decreased by</w:t>
      </w:r>
    </w:p>
    <w:p>
      <w:pPr>
        <w:spacing w:after="0" w:line="46" w:lineRule="exact"/>
        <w:rPr>
          <w:sz w:val="20"/>
          <w:szCs w:val="20"/>
          <w:color w:val="auto"/>
        </w:rPr>
      </w:pPr>
    </w:p>
    <w:p>
      <w:pPr>
        <w:ind w:right="20" w:firstLine="8"/>
        <w:spacing w:after="0" w:line="285" w:lineRule="auto"/>
        <w:tabs>
          <w:tab w:leader="none" w:pos="2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amount of cash or Fair Market Value of all actual and deemed distributions of cash or property made with respect to such Units pursuant to this Agreement and (y) all items of Company deduction and loss computed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and allocated with respect to such Units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Managing Member shall determine that it is prudent to modify the manner in which the Capital Accounts or any adjustments thereto (including, without limitation, adjustments relating to liabilities which are secured by contributed or distributed property or which are assumed by the Company or any Members) are computed in order to comply with such Treasury Regulations, the Managing Member, without the consent of any other Person, may make such modification, notwithstanding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not likely to have a material effect on the amounts distributed or distributable to any Person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hereof upon the dissolution of the Company. The Managing Member, without the consent of any other Person, also shall (i) make any adjustments, notwithstanding the terms of this Agreement, that are necessary or appropriate to maintain equality among the Capital Accounts of the Members and the amount of capital reflected on the Company’s balance sheet, as computed for book purposes, in accordance with Treasury Regulations Section 1.704-1(b)(2)(iv)(q), and (ii) make any appropriate modifications, notwithstanding the terms of this Agreement, in the event unanticipated events might otherwise cause this Agreement not to comply with Treasury Regulations Section 1.704-1(b).</w:t>
      </w:r>
    </w:p>
    <w:p>
      <w:pPr>
        <w:spacing w:after="0" w:line="170" w:lineRule="exact"/>
        <w:rPr>
          <w:rFonts w:ascii="Arial" w:cs="Arial" w:eastAsia="Arial" w:hAnsi="Arial"/>
          <w:sz w:val="16"/>
          <w:szCs w:val="16"/>
          <w:color w:val="auto"/>
        </w:rPr>
      </w:pPr>
    </w:p>
    <w:p>
      <w:pPr>
        <w:ind w:right="140" w:firstLine="1305"/>
        <w:spacing w:after="0" w:line="259" w:lineRule="auto"/>
        <w:tabs>
          <w:tab w:leader="none" w:pos="19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any item of income, gain, loss or deduction, which is to be allocated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86" w:lineRule="exact"/>
        <w:rPr>
          <w:rFonts w:ascii="Arial" w:cs="Arial" w:eastAsia="Arial" w:hAnsi="Arial"/>
          <w:sz w:val="18"/>
          <w:szCs w:val="18"/>
          <w:color w:val="auto"/>
        </w:rPr>
      </w:pPr>
    </w:p>
    <w:p>
      <w:pPr>
        <w:ind w:left="1300" w:firstLine="653"/>
        <w:spacing w:after="0" w:line="279" w:lineRule="auto"/>
        <w:tabs>
          <w:tab w:leader="none" w:pos="2618"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Solely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the Company shall be treated as owning directly its proportionate share (as determined by the Managing Member) of all property owned by any partnership, limited liability company, unincorporated business or other entity or arrangement that is classified as a partnership or disregarded entity for federal income tax purposes, of which the Company is, directly or indirectly, a partner (in the case of a partnership) or owner (in the case of a disregarded entity).</w:t>
      </w:r>
    </w:p>
    <w:p>
      <w:pPr>
        <w:spacing w:after="0" w:line="171" w:lineRule="exact"/>
        <w:rPr>
          <w:rFonts w:ascii="Arial" w:cs="Arial" w:eastAsia="Arial" w:hAnsi="Arial"/>
          <w:sz w:val="17"/>
          <w:szCs w:val="17"/>
          <w:color w:val="auto"/>
        </w:rPr>
      </w:pPr>
    </w:p>
    <w:p>
      <w:pPr>
        <w:ind w:left="1300" w:right="240" w:firstLine="653"/>
        <w:spacing w:after="0" w:line="276" w:lineRule="auto"/>
        <w:tabs>
          <w:tab w:leader="none" w:pos="2627" w:val="left"/>
        </w:tabs>
        <w:numPr>
          <w:ilvl w:val="2"/>
          <w:numId w:val="59"/>
        </w:numPr>
        <w:rPr>
          <w:rFonts w:ascii="Arial" w:cs="Arial" w:eastAsia="Arial" w:hAnsi="Arial"/>
          <w:sz w:val="17"/>
          <w:szCs w:val="17"/>
          <w:color w:val="auto"/>
        </w:rPr>
      </w:pPr>
      <w:r>
        <w:rPr>
          <w:rFonts w:ascii="Arial" w:cs="Arial" w:eastAsia="Arial" w:hAnsi="Arial"/>
          <w:sz w:val="17"/>
          <w:szCs w:val="17"/>
          <w:color w:val="auto"/>
        </w:rPr>
        <w:t>Except as otherwise provided in Treasury Regulations Section 1.704-1(b)(2)(iv)(m), the computation of all items of income, gain, loss and deduction shall be made without regard to any election under Section 754 of the Code which may be made by the Company and, as to those items described in Section 705(a)(1) (B) or 705(a)(2)(B) of the Code, without regard to the fact that such items are not includable in gross income or are neither currently deductible nor capitalized for federal income tax purposes. To the extent an adjustment to the adjusted tax basis of any Company asset pursuant to Section 734(b) or 743(b)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79" w:name="page80"/>
    <w:bookmarkEnd w:id="79"/>
    <w:p>
      <w:pPr>
        <w:ind w:left="1300" w:right="560"/>
        <w:spacing w:after="0" w:line="308" w:lineRule="auto"/>
        <w:rPr>
          <w:sz w:val="20"/>
          <w:szCs w:val="20"/>
          <w:color w:val="auto"/>
        </w:rPr>
      </w:pPr>
      <w:r>
        <w:rPr>
          <w:rFonts w:ascii="Arial" w:cs="Arial" w:eastAsia="Arial" w:hAnsi="Arial"/>
          <w:sz w:val="17"/>
          <w:szCs w:val="17"/>
          <w:color w:val="auto"/>
        </w:rPr>
        <w:t>the Code is required, pursuant to Treasury Regulations Section 1.704-1(b)(2)(iv)(m), to be taken into account in determining Capital Accounts, the amount of such adjustment in the Capital Accounts shall be treated as an item of gain or loss.</w:t>
      </w:r>
    </w:p>
    <w:p>
      <w:pPr>
        <w:spacing w:after="0" w:line="147" w:lineRule="exact"/>
        <w:rPr>
          <w:sz w:val="20"/>
          <w:szCs w:val="20"/>
          <w:color w:val="auto"/>
        </w:rPr>
      </w:pPr>
    </w:p>
    <w:p>
      <w:pPr>
        <w:ind w:left="1300" w:right="200" w:firstLine="653"/>
        <w:spacing w:after="0" w:line="264" w:lineRule="auto"/>
        <w:tabs>
          <w:tab w:leader="none" w:pos="26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income, gain or loss attributable to the taxable disposition of any Company property shall be determined as if the adjusted basis of such property as of such date of disposition were equal in amount to the Company’s Carrying Value with respect to such property as of such date.</w:t>
      </w:r>
    </w:p>
    <w:p>
      <w:pPr>
        <w:spacing w:after="0" w:line="181" w:lineRule="exact"/>
        <w:rPr>
          <w:rFonts w:ascii="Arial" w:cs="Arial" w:eastAsia="Arial" w:hAnsi="Arial"/>
          <w:sz w:val="18"/>
          <w:szCs w:val="18"/>
          <w:color w:val="auto"/>
        </w:rPr>
      </w:pPr>
    </w:p>
    <w:p>
      <w:pPr>
        <w:ind w:left="1300" w:right="20" w:firstLine="653"/>
        <w:spacing w:after="0" w:line="270" w:lineRule="auto"/>
        <w:tabs>
          <w:tab w:leader="none" w:pos="2613"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In accordance with the requirements of Section 704(b) of the Code, any deductions for depreciation, cost recovery or amortization attributable to any Contributed Property shall be determined in the manner described in Treasury Regulations Section 1.704-1(b)(2)(iv)(g)(3) as if the adjusted basis of such property on the date it was acquired by the Company were equal to the Agreed Value of such property. Upon an adjustment pursuant to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to the Carrying Value of any Adjusted Property that is subject to depreciation, cost recovery or amortization, any further deductions for such depreciation, cost recovery or amortization attributable to such property shall be determined in the manner described in Treasury Regulations Sections 1.704-1(b)(2)(iv)(g)(3) and 1.704-3(a)(6)(i) as if the adjusted basis of such property were equal to the Carrying Value of such property immediately following such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asset has a zero adjusted basis for federal income tax purposes, depreciation, cost recovery or amortization deductions shall be determined using any method that the Managing Member may adopt.</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19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Member transfers an interest in the Company to a new or existing Member, the transferee Member shall succeed to that portion of the transferor’s Capital Account that is attributable to the transferred interest. Any reference in this Agreement to a Capital Contribution of, or Distribution to, a Member that has succeeded any other Member shall include any Capital Contributions or Distributions previously made by or to the former Member on account of the interest of such former Member transferred to such successor Member. In addition, the following shall apply:</w:t>
      </w:r>
    </w:p>
    <w:p>
      <w:pPr>
        <w:spacing w:after="0" w:line="171" w:lineRule="exact"/>
        <w:rPr>
          <w:rFonts w:ascii="Arial" w:cs="Arial" w:eastAsia="Arial" w:hAnsi="Arial"/>
          <w:sz w:val="17"/>
          <w:szCs w:val="17"/>
          <w:color w:val="auto"/>
        </w:rPr>
      </w:pPr>
    </w:p>
    <w:p>
      <w:pPr>
        <w:ind w:left="1300" w:right="40" w:firstLine="653"/>
        <w:spacing w:after="0" w:line="271" w:lineRule="auto"/>
        <w:tabs>
          <w:tab w:leader="none" w:pos="2618"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In accordance with Treasury Regulations Section 1.704-1(b)(2)(iv)(f), on an issuance of additional Units for cash or Contributed Property, the Capital Account of all Members and the Carrying Value of each Company property immediately prior to such issuance shall be adjusted upward or downward to reflect any Unrealized Gain or Unrealized Loss attributable to such Company property, as if such Unrealized Gain or Unrealized Loss had been recognized on an actual sale of each such property immediately prior to such issuance and had been allocated to the Members at such time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the issuance of additional Units shall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59" w:lineRule="auto"/>
        <w:rPr>
          <w:sz w:val="20"/>
          <w:szCs w:val="20"/>
          <w:color w:val="auto"/>
        </w:rPr>
      </w:pPr>
      <w:r>
        <w:rPr>
          <w:rFonts w:ascii="Arial" w:cs="Arial" w:eastAsia="Arial" w:hAnsi="Arial"/>
          <w:sz w:val="18"/>
          <w:szCs w:val="18"/>
          <w:color w:val="auto"/>
        </w:rPr>
        <w:t xml:space="preserve">determined by the Managing Member using such method of valuation as it may adopt;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Managing Member, in arriving at such valuation, must take fully into account the Fair Market Value of the Units of all Members at such time. The Managing Member shall allocate such aggregate value among the assets of the Company (in such manner as it determines) to arrive at a Fair Market Value for individual properties.</w:t>
      </w:r>
    </w:p>
    <w:p>
      <w:pPr>
        <w:spacing w:after="0" w:line="187" w:lineRule="exact"/>
        <w:rPr>
          <w:sz w:val="20"/>
          <w:szCs w:val="20"/>
          <w:color w:val="auto"/>
        </w:rPr>
      </w:pPr>
    </w:p>
    <w:p>
      <w:pPr>
        <w:ind w:left="1300" w:right="40" w:firstLine="653"/>
        <w:spacing w:after="0" w:line="269" w:lineRule="auto"/>
        <w:tabs>
          <w:tab w:leader="none" w:pos="2627"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In accordance with Treasury Regulations Section 1.704-1(b)(2)(iv)(f), immediately prior to any actual or deemed distribution to a Member of any Company property (other than a distribution of cash that is not in redemption or retirement of a Unit), the Capital Accounts of all Members and the Carrying Value of all Company property shall be adjusted upward or downward to reflect any Unrealized Gain or Unrealized Loss attributable to such Company property, as if such Unrealized Gain or Unrealized Loss had been recognized in a sale of such property immediately prior to such distribution for an amount equal to its Fair Market Value, and had been allocated to the Members, at such time,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a distribution shall (A) in the case of an actual distribution that is not made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in the case of a deemed distribution, be determined and allocated in the same manner as that provided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or (B) in the case of a liquidating distribution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be determined and allocated by the Person winding up the Company pursuant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using such method of valuation as it may adopt.</w:t>
      </w:r>
    </w:p>
    <w:p>
      <w:pPr>
        <w:spacing w:after="0" w:line="179" w:lineRule="exact"/>
        <w:rPr>
          <w:rFonts w:ascii="Arial" w:cs="Arial" w:eastAsia="Arial" w:hAnsi="Arial"/>
          <w:sz w:val="17"/>
          <w:szCs w:val="17"/>
          <w:color w:val="auto"/>
        </w:rPr>
      </w:pPr>
    </w:p>
    <w:p>
      <w:pPr>
        <w:jc w:val="both"/>
        <w:ind w:left="1300" w:right="220" w:firstLine="653"/>
        <w:spacing w:after="0" w:line="312" w:lineRule="auto"/>
        <w:tabs>
          <w:tab w:leader="none" w:pos="26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Managing Member may make the adjustments described in this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in the manner set forth herein if the Managing Member determines that such adjustments are necessary or useful to effectuate the intended economic arrangement among the Members, including Members who received Units in connection with the performance of services to or for the benefit of the Company.</w:t>
      </w:r>
    </w:p>
    <w:p>
      <w:pPr>
        <w:spacing w:after="0" w:line="147" w:lineRule="exact"/>
        <w:rPr>
          <w:sz w:val="20"/>
          <w:szCs w:val="20"/>
          <w:color w:val="auto"/>
        </w:rPr>
      </w:pPr>
    </w:p>
    <w:p>
      <w:pPr>
        <w:ind w:right="500" w:firstLine="1305"/>
        <w:spacing w:after="0" w:line="259" w:lineRule="auto"/>
        <w:tabs>
          <w:tab w:leader="none" w:pos="19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expressed or implied to the contrary in this Agreement, in the event the Managing Member shall determine, in its sole and absolute discretion, that it is prudent to modify the manner in which the Capital Accounts, or any debits or credits thereto, are computed in order to effectuate the intended economic sharing arrangement of the Members, the Managing Member may make such modification, notwithstanding any other provision hereof, without the consent of any other Person.</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 Withdrawal</w:t>
      </w:r>
      <w:r>
        <w:rPr>
          <w:rFonts w:ascii="Arial" w:cs="Arial" w:eastAsia="Arial" w:hAnsi="Arial"/>
          <w:sz w:val="18"/>
          <w:szCs w:val="18"/>
          <w:color w:val="auto"/>
        </w:rPr>
        <w:t>. No Person shall be entitled to withdraw any part of such Person’s Capital Contributions or Capital Account or to receive any distribution from the Company, except as expressly provided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Loans From Members</w:t>
      </w:r>
      <w:r>
        <w:rPr>
          <w:rFonts w:ascii="Arial" w:cs="Arial" w:eastAsia="Arial" w:hAnsi="Arial"/>
          <w:sz w:val="18"/>
          <w:szCs w:val="18"/>
          <w:color w:val="auto"/>
        </w:rPr>
        <w:t>. Loans by Members to the Company shall not be considered Capital Contributions. If any Member shall loan funds to the Company, then the making of such loans shall not result in any increase in the Capital Account balance of such Member. The amount of any such loans shall be a debt of the Company to such Member and shall be payable or collectible in accordance with the terms and conditions upon which such loans are made.</w:t>
      </w:r>
    </w:p>
    <w:p>
      <w:pPr>
        <w:sectPr>
          <w:pgSz w:w="11900" w:h="16838" w:orient="portrait"/>
          <w:cols w:equalWidth="0" w:num="1">
            <w:col w:w="11400"/>
          </w:cols>
          <w:pgMar w:left="240" w:top="341" w:right="259" w:bottom="0" w:gutter="0" w:footer="0" w:header="0"/>
        </w:sectPr>
      </w:pPr>
    </w:p>
    <w:bookmarkStart w:id="80" w:name="page81"/>
    <w:bookmarkEnd w:id="80"/>
    <w:p>
      <w:pPr>
        <w:spacing w:after="0" w:line="1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Right of Partition</w:t>
      </w:r>
      <w:r>
        <w:rPr>
          <w:rFonts w:ascii="Arial" w:cs="Arial" w:eastAsia="Arial" w:hAnsi="Arial"/>
          <w:sz w:val="18"/>
          <w:szCs w:val="18"/>
          <w:color w:val="auto"/>
        </w:rPr>
        <w:t>. To the fullest extent permitted by law, no Member shall have the right to seek or obtain partition by court decree or operation of law of any property of the Company or any of its Subsidiaries or the right to own or use particular or individual assets of the Company or any of its Subsidiaries, or, except as expressly contemplated by this Agreement, be entitled to distributions of specific assets of the Company or any of its Subsidiaries.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Non-Certification of Units; Legend; Units are Securities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Units shall be issued in non-certificated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Managing Member may cause the Company to issue certificates to a Member representing the Units held by such Member.</w:t>
      </w:r>
    </w:p>
    <w:p>
      <w:pPr>
        <w:spacing w:after="0" w:line="170"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the Managing Member determines that the Company shall issue certificates representing Units to any Member, the following provisions of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shall apply:</w:t>
      </w:r>
    </w:p>
    <w:p>
      <w:pPr>
        <w:spacing w:after="0" w:line="170" w:lineRule="exact"/>
        <w:rPr>
          <w:rFonts w:ascii="Arial" w:cs="Arial" w:eastAsia="Arial" w:hAnsi="Arial"/>
          <w:sz w:val="18"/>
          <w:szCs w:val="18"/>
          <w:color w:val="auto"/>
        </w:rPr>
      </w:pPr>
    </w:p>
    <w:p>
      <w:pPr>
        <w:ind w:left="1300" w:right="180" w:firstLine="653"/>
        <w:spacing w:after="0" w:line="279" w:lineRule="auto"/>
        <w:tabs>
          <w:tab w:leader="none" w:pos="2618"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The Company shall issue one or more certificates in the name of such Person in such form as it may approve, subject to </w:t>
      </w:r>
      <w:r>
        <w:rPr>
          <w:rFonts w:ascii="Arial" w:cs="Arial" w:eastAsia="Arial" w:hAnsi="Arial"/>
          <w:sz w:val="17"/>
          <w:szCs w:val="17"/>
          <w:u w:val="single" w:color="auto"/>
          <w:color w:val="auto"/>
        </w:rPr>
        <w:t>Section 3.7(b)(ii)</w:t>
      </w:r>
      <w:r>
        <w:rPr>
          <w:rFonts w:ascii="Arial" w:cs="Arial" w:eastAsia="Arial" w:hAnsi="Arial"/>
          <w:sz w:val="17"/>
          <w:szCs w:val="17"/>
          <w:color w:val="auto"/>
        </w:rPr>
        <w:t xml:space="preserve"> (a “</w:t>
      </w:r>
      <w:r>
        <w:rPr>
          <w:rFonts w:ascii="Arial" w:cs="Arial" w:eastAsia="Arial" w:hAnsi="Arial"/>
          <w:sz w:val="17"/>
          <w:szCs w:val="17"/>
          <w:u w:val="single" w:color="auto"/>
          <w:color w:val="auto"/>
        </w:rPr>
        <w:t>Membership Interest Certificate</w:t>
      </w:r>
      <w:r>
        <w:rPr>
          <w:rFonts w:ascii="Arial" w:cs="Arial" w:eastAsia="Arial" w:hAnsi="Arial"/>
          <w:sz w:val="17"/>
          <w:szCs w:val="17"/>
          <w:color w:val="auto"/>
        </w:rPr>
        <w:t>”), which shall evidence the ownership of the Units represented thereby. Each such Membership Interest Certificate shall be denominated in terms of the number of Units evidenced by such Membership Interest Certificate and shall be signed by the Managing Member or an Officer on behalf of the Company.</w:t>
      </w:r>
    </w:p>
    <w:p>
      <w:pPr>
        <w:spacing w:after="0" w:line="171" w:lineRule="exact"/>
        <w:rPr>
          <w:rFonts w:ascii="Arial" w:cs="Arial" w:eastAsia="Arial" w:hAnsi="Arial"/>
          <w:sz w:val="17"/>
          <w:szCs w:val="17"/>
          <w:color w:val="auto"/>
        </w:rPr>
      </w:pPr>
    </w:p>
    <w:p>
      <w:pPr>
        <w:ind w:left="2640" w:hanging="687"/>
        <w:spacing w:after="0"/>
        <w:tabs>
          <w:tab w:leader="none" w:pos="2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Membership Interest Certificate shall bear a legend substantially in the following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CERTIFICATE EVIDENCES A CLASS UNIT REPRESENTING AN INTEREST IN NRG YIELD LLC AND SHALL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CONSTITUTE A “SECURITY” WITHIN THE MEANING OF, AND SHALL BE GOVERNED BY, (I) ARTICLE 8 OF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UNIFORM COMMERCIAL CODE (INCLUDING SECTION 8-102(A)(15) THEREOF) AS IN EFFECT FROM TIME TO TIME IN THE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 OF DELAWARE, AND (II) THE CORRESPONDING PROVISIONS OF THE UNIFORM COMMERCIAL CODE OF 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OTHER APPLICABLE JURISDICTION THAT NOW OR HEREAFTER SUBSTANTIALLY INCLUDES THE 1994 REVISIONS TO</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8 THEREOF AS ADOPTED BY THE AMERICAN LAW INSTITUTE AND THE NATIONAL CONFERENCE OF</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COMMISSIONERS ON UNIFORM STATE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LAWS AND APPROVED BY THE AMERICAN BAR ASSOCIATION ON FEBRUARY 14, 1995.</w:t>
      </w:r>
    </w:p>
    <w:p>
      <w:pPr>
        <w:spacing w:after="0" w:line="225"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THE INTERESTS IN NRG YIELD LLC REPRESENTED BY THIS CERTIFICATE ARE SUBJECT TO RESTRICTIONS ON TRANSFER SET FORTH IN THE FOURTH AMENDED AND RESTATED LIMITED LIABILITY COMPANY AGREEMENT OF NRG YIELD LLC, DATED AS OF AUGUST 31, 2018 BY AND AMONG EACH OF THE MEMBERS FROM TIME TO TIME PARTY THERETO, AS THE SAME MAY BE AMENDED FROM TIME TO TIME.</w:t>
      </w:r>
    </w:p>
    <w:p>
      <w:pPr>
        <w:spacing w:after="0" w:line="187" w:lineRule="exact"/>
        <w:rPr>
          <w:sz w:val="20"/>
          <w:szCs w:val="20"/>
          <w:color w:val="auto"/>
        </w:rPr>
      </w:pPr>
    </w:p>
    <w:p>
      <w:pPr>
        <w:ind w:left="1300" w:right="100" w:firstLine="653"/>
        <w:spacing w:after="0" w:line="257" w:lineRule="auto"/>
        <w:tabs>
          <w:tab w:leader="none" w:pos="26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Unit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88" w:lineRule="exact"/>
        <w:rPr>
          <w:rFonts w:ascii="Arial" w:cs="Arial" w:eastAsia="Arial" w:hAnsi="Arial"/>
          <w:sz w:val="18"/>
          <w:szCs w:val="18"/>
          <w:color w:val="auto"/>
        </w:rPr>
      </w:pPr>
    </w:p>
    <w:p>
      <w:pPr>
        <w:ind w:left="1300" w:firstLine="653"/>
        <w:spacing w:after="0" w:line="264" w:lineRule="auto"/>
        <w:tabs>
          <w:tab w:leader="none" w:pos="26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issue a new Membership Interest Certificate in place of any Membership Interest Certificate previously issued if the holder of the Units represented by such Membership Interest Certificate, as reflected on the books and records of the Company:</w:t>
      </w:r>
    </w:p>
    <w:p>
      <w:pPr>
        <w:spacing w:after="0" w:line="181" w:lineRule="exact"/>
        <w:rPr>
          <w:rFonts w:ascii="Arial" w:cs="Arial" w:eastAsia="Arial" w:hAnsi="Arial"/>
          <w:sz w:val="18"/>
          <w:szCs w:val="18"/>
          <w:color w:val="auto"/>
        </w:rPr>
      </w:pPr>
    </w:p>
    <w:p>
      <w:pPr>
        <w:ind w:left="1960" w:right="620" w:firstLine="641"/>
        <w:spacing w:after="0" w:line="277" w:lineRule="auto"/>
        <w:tabs>
          <w:tab w:leader="none" w:pos="32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Company, that such previously issued Membership Interest Certificate has been lost, stolen or destroyed;</w:t>
      </w:r>
    </w:p>
    <w:p>
      <w:pPr>
        <w:spacing w:after="0" w:line="170" w:lineRule="exact"/>
        <w:rPr>
          <w:rFonts w:ascii="Arial" w:cs="Arial" w:eastAsia="Arial" w:hAnsi="Arial"/>
          <w:sz w:val="18"/>
          <w:szCs w:val="18"/>
          <w:color w:val="auto"/>
        </w:rPr>
      </w:pPr>
    </w:p>
    <w:p>
      <w:pPr>
        <w:ind w:left="1960" w:right="200" w:firstLine="641"/>
        <w:spacing w:after="0" w:line="264" w:lineRule="auto"/>
        <w:tabs>
          <w:tab w:leader="none" w:pos="3267"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requests the issuance of a new Membership Interest Certificate before the Company has notice that such previously issued Membership Interest Certificate has been acquired by a purchaser for value in good faith and without notice of an adverse claim;</w:t>
      </w:r>
    </w:p>
    <w:p>
      <w:pPr>
        <w:spacing w:after="0" w:line="181" w:lineRule="exact"/>
        <w:rPr>
          <w:rFonts w:ascii="Arial" w:cs="Arial" w:eastAsia="Arial" w:hAnsi="Arial"/>
          <w:sz w:val="18"/>
          <w:szCs w:val="18"/>
          <w:color w:val="auto"/>
        </w:rPr>
      </w:pPr>
    </w:p>
    <w:p>
      <w:pPr>
        <w:ind w:left="1960" w:right="100" w:firstLine="641"/>
        <w:spacing w:after="0" w:line="286" w:lineRule="auto"/>
        <w:tabs>
          <w:tab w:leader="none" w:pos="3267"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requested by the Company, delivers to the Company such security, in form and substance satisfactory to the Company, as the Managing Member may direct, to indemnify the Company against any claim that may be made on account of the alleged loss, destruction or theft of the previously issued Membership Interest Certificate; and</w:t>
      </w:r>
    </w:p>
    <w:p>
      <w:pPr>
        <w:spacing w:after="0" w:line="165" w:lineRule="exact"/>
        <w:rPr>
          <w:rFonts w:ascii="Arial" w:cs="Arial" w:eastAsia="Arial" w:hAnsi="Arial"/>
          <w:sz w:val="17"/>
          <w:szCs w:val="17"/>
          <w:color w:val="auto"/>
        </w:rPr>
      </w:pPr>
    </w:p>
    <w:p>
      <w:pPr>
        <w:ind w:left="3260" w:hanging="659"/>
        <w:spacing w:after="0"/>
        <w:tabs>
          <w:tab w:leader="none" w:pos="3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Company.</w:t>
      </w:r>
    </w:p>
    <w:p>
      <w:pPr>
        <w:spacing w:after="0" w:line="225" w:lineRule="exact"/>
        <w:rPr>
          <w:rFonts w:ascii="Arial" w:cs="Arial" w:eastAsia="Arial" w:hAnsi="Arial"/>
          <w:sz w:val="18"/>
          <w:szCs w:val="18"/>
          <w:color w:val="auto"/>
        </w:rPr>
      </w:pPr>
    </w:p>
    <w:p>
      <w:pPr>
        <w:ind w:left="1300" w:right="40" w:firstLine="653"/>
        <w:spacing w:after="0" w:line="286" w:lineRule="auto"/>
        <w:tabs>
          <w:tab w:leader="none" w:pos="2604"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a Member’s Transfer in accordance with the provisions of this Agreement of any or all Units represented by a Membership Interest Certificate, the Transferee of such Units shall deliver such Membership Interest Certificate, duly endorsed for Transfer by the Transferee, to the Company for cancellation, and the Company shall thereupon issue a new Membership Interest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Certificate to such Transferee for the number of Units being Transferred and, if applicable, cause to be issued to such Transferring Member a new Membership Interest Certificate for the number of Units that were represented by the canceled Membership Interest Certificate and that are not being Transferred.</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Outside Activities of the Members</w:t>
      </w:r>
      <w:r>
        <w:rPr>
          <w:rFonts w:ascii="Arial" w:cs="Arial" w:eastAsia="Arial" w:hAnsi="Arial"/>
          <w:sz w:val="16"/>
          <w:szCs w:val="16"/>
          <w:color w:val="auto"/>
        </w:rPr>
        <w:t>. Any Member or any of their respective Affiliates shall be entitled to have business interests and engage in business activities in addition to those relating to the Company, including business interests and activities in direct competition with the</w:t>
      </w:r>
    </w:p>
    <w:p>
      <w:pPr>
        <w:sectPr>
          <w:pgSz w:w="11900" w:h="16975" w:orient="portrait"/>
          <w:cols w:equalWidth="0" w:num="1">
            <w:col w:w="11420"/>
          </w:cols>
          <w:pgMar w:left="240" w:top="125" w:right="239" w:bottom="0" w:gutter="0" w:footer="0" w:header="0"/>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t>Company or any of its Subsidiaries or any Person in which the Company or any of its Subsidiaries has an ownership interest. Neither the Company nor any of the other Members shall have any rights by virtue of this Agreement in any business ventures of any other Member.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Determination of Distributions</w:t>
      </w:r>
      <w:r>
        <w:rPr>
          <w:rFonts w:ascii="Arial" w:cs="Arial" w:eastAsia="Arial" w:hAnsi="Arial"/>
          <w:sz w:val="16"/>
          <w:szCs w:val="16"/>
          <w:color w:val="auto"/>
        </w:rPr>
        <w:t>. Distributions shall be made to the Members pro rata in accordance with their Percentage Interests when and in such amounts as determined by the Managing Member, in accordance with the terms of this Agreement; provided, however that in the event the Company issues Class A Units or securities convertible or exchangeable for Class A Units for less than Fair Market Value, or the Company issues Class C Units or securities convertible or exchangeable for Class C Units for less than Fair Market Value, the amount distributed on account of Class B Units relative to Class A Units, and the amount distributed on account of Class C Units relative to Class D Units shall be equitably adjusted by the Managing Member.</w:t>
      </w:r>
    </w:p>
    <w:p>
      <w:pPr>
        <w:spacing w:after="0" w:line="158"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For purposes of determining the amount of distributions under </w:t>
      </w:r>
      <w:r>
        <w:rPr>
          <w:rFonts w:ascii="Arial" w:cs="Arial" w:eastAsia="Arial" w:hAnsi="Arial"/>
          <w:sz w:val="16"/>
          <w:szCs w:val="16"/>
          <w:u w:val="single" w:color="auto"/>
          <w:color w:val="auto"/>
        </w:rPr>
        <w:t>Section 4.1</w:t>
      </w:r>
      <w:r>
        <w:rPr>
          <w:rFonts w:ascii="Arial" w:cs="Arial" w:eastAsia="Arial" w:hAnsi="Arial"/>
          <w:sz w:val="16"/>
          <w:szCs w:val="16"/>
          <w:color w:val="auto"/>
        </w:rPr>
        <w:t>, each Member shall be treated as having made the Capital Contributions and as having received the distributions made to or received by its predecessors in respect of any of such Member’s Units.</w:t>
      </w:r>
    </w:p>
    <w:p>
      <w:pPr>
        <w:spacing w:after="0" w:line="12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Withholding</w:t>
      </w:r>
      <w:r>
        <w:rPr>
          <w:rFonts w:ascii="Arial" w:cs="Arial" w:eastAsia="Arial" w:hAnsi="Arial"/>
          <w:sz w:val="17"/>
          <w:szCs w:val="17"/>
          <w:color w:val="auto"/>
        </w:rPr>
        <w:t>. Notwithstanding any other provision of this Agreement, the Managing Member is authorized to take any action that may be required to cause the Company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or distribution of income to any Member (including by reason of Section 1446 of the Code), the Managing Member may treat the amount withheld as a distribution of cash pursuant to this ARTICLE IV in the amount of such withholding from such Member. Each Member hereby agrees, to the maximum extent permitted by law, to indemnify and hold harmless the Company and the other Members from and against any liability, claim or expense (including, without limitation, any liability for taxes, penalties, additions to tax or interest) with respect to any tax withholdings made or required to be made on behalf of or with respect to such Member. In the event the Company is liquidated and a liability or claim is asserted against, or expense borne by, the Company or any Member for tax withholdings made or required to be made, such person shall have the right to be reimbursed from the Member on whose behalf such tax withholding was made or required to be made.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other provision of this Agreement, the Company, and the Managing Member on behalf of the Company, shall not be required to make a distribution (a) if such distribution to any Member or Assignee would violate the Act or other applicable law, or (b) in any form other than cash.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Allocations for Capital Account Purposes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Net Income and Net Losses (and, to the extent necessary, individual items of income, gain or loss or deduction of the Company) shall be allocated in a manner such that the Capital Account of each Member after giving effect to the special allocations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is, as nearly as possible, equal (proportionately) to (i) the distributions that would be made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to the Members pursuant to this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such Member’s share of Company Minimum Gain and Member Nonrecourse Debt Minimum Gain, computed immediately prior to the hypothetical sale of assets.</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Special Allocations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Section 5.1</w:t>
      </w:r>
      <w:r>
        <w:rPr>
          <w:rFonts w:ascii="Arial" w:cs="Arial" w:eastAsia="Arial" w:hAnsi="Arial"/>
          <w:sz w:val="17"/>
          <w:szCs w:val="17"/>
          <w:color w:val="auto"/>
        </w:rPr>
        <w:t>, the following special allocations shall be made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taxable period:</w:t>
      </w:r>
    </w:p>
    <w:p>
      <w:pPr>
        <w:spacing w:after="0" w:line="210" w:lineRule="exact"/>
        <w:rPr>
          <w:rFonts w:ascii="Arial" w:cs="Arial" w:eastAsia="Arial" w:hAnsi="Arial"/>
          <w:sz w:val="17"/>
          <w:szCs w:val="17"/>
          <w:color w:val="auto"/>
        </w:rPr>
      </w:pPr>
    </w:p>
    <w:p>
      <w:pPr>
        <w:ind w:left="1300" w:right="100" w:firstLine="653"/>
        <w:spacing w:after="0" w:line="288" w:lineRule="auto"/>
        <w:tabs>
          <w:tab w:leader="none" w:pos="2618"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Company Minimum Gain Chargeback</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 if there is a net decrease in Company Minimum Gain during any Company taxable period, each Member shall be allocated items of Company income and gain for such period (and, if necessary, subsequent periods) in the manner and amounts determined according to Treasury Regulations</w:t>
      </w:r>
    </w:p>
    <w:p>
      <w:pPr>
        <w:ind w:left="1300" w:right="8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Sections 1.704-2(f) and 1.704-2(j)(2)(i), or any successor provision. For purposes of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each Member’s Adjusted Capital Account balance shall be determined, and the allocation of income and gain required hereunder shall be effected, prior to the application of any other allocations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with respect to such taxable period (other than an allocation pursuant to </w:t>
      </w:r>
      <w:r>
        <w:rPr>
          <w:rFonts w:ascii="Arial" w:cs="Arial" w:eastAsia="Arial" w:hAnsi="Arial"/>
          <w:sz w:val="16"/>
          <w:szCs w:val="16"/>
          <w:u w:val="single" w:color="auto"/>
          <w:color w:val="auto"/>
        </w:rPr>
        <w:t>Section 5.1(b)</w:t>
      </w:r>
    </w:p>
    <w:p>
      <w:pPr>
        <w:spacing w:after="0" w:line="2" w:lineRule="exact"/>
        <w:rPr>
          <w:rFonts w:ascii="Arial" w:cs="Arial" w:eastAsia="Arial" w:hAnsi="Arial"/>
          <w:sz w:val="16"/>
          <w:szCs w:val="16"/>
          <w:color w:val="auto"/>
        </w:rPr>
      </w:pPr>
    </w:p>
    <w:p>
      <w:pPr>
        <w:ind w:left="1300" w:right="400" w:firstLine="5"/>
        <w:spacing w:after="0" w:line="261" w:lineRule="auto"/>
        <w:tabs>
          <w:tab w:leader="none" w:pos="1615"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5.1(b)(vi)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is intended to comply with the Company Minimum Gain chargeback requirement in Treasury Regulations Section 1.704-2(f) and shall be interpreted consistently therewith.</w:t>
      </w:r>
    </w:p>
    <w:p>
      <w:pPr>
        <w:spacing w:after="0" w:line="183" w:lineRule="exact"/>
        <w:rPr>
          <w:rFonts w:ascii="Arial" w:cs="Arial" w:eastAsia="Arial" w:hAnsi="Arial"/>
          <w:sz w:val="18"/>
          <w:szCs w:val="18"/>
          <w:u w:val="single" w:color="auto"/>
          <w:color w:val="auto"/>
        </w:rPr>
      </w:pPr>
    </w:p>
    <w:p>
      <w:pPr>
        <w:ind w:left="1300" w:right="100" w:firstLine="653"/>
        <w:spacing w:after="0" w:line="302" w:lineRule="auto"/>
        <w:tabs>
          <w:tab w:leader="none" w:pos="262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Chargeback of Member Nonrecourse Debt Minimum Gain</w:t>
      </w:r>
      <w:r>
        <w:rPr>
          <w:rFonts w:ascii="Arial" w:cs="Arial" w:eastAsia="Arial" w:hAnsi="Arial"/>
          <w:sz w:val="16"/>
          <w:szCs w:val="16"/>
          <w:color w:val="auto"/>
        </w:rPr>
        <w:t xml:space="preserve">. Notwithstanding the other provisions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5.1(b)(i)</w:t>
      </w:r>
      <w:r>
        <w:rPr>
          <w:rFonts w:ascii="Arial" w:cs="Arial" w:eastAsia="Arial" w:hAnsi="Arial"/>
          <w:sz w:val="16"/>
          <w:szCs w:val="16"/>
          <w:color w:val="auto"/>
        </w:rPr>
        <w:t>), except as provided in Treasury Regulations Section 1.704-2(i)(4), if there is a net decrease in Member Nonrecourse Debt Minimum Gain during any Company taxable period, any Member with a share of Member Nonrecourse Debt Minimum Gain at the beginning of such taxable period shall be allocated items of Company income and gain for such period (and, if necessary,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3" w:lineRule="auto"/>
        <w:rPr>
          <w:sz w:val="20"/>
          <w:szCs w:val="20"/>
          <w:color w:val="auto"/>
        </w:rPr>
      </w:pPr>
      <w:r>
        <w:rPr>
          <w:rFonts w:ascii="Arial" w:cs="Arial" w:eastAsia="Arial" w:hAnsi="Arial"/>
          <w:sz w:val="17"/>
          <w:szCs w:val="17"/>
          <w:color w:val="auto"/>
        </w:rPr>
        <w:t xml:space="preserve">subsequent periods) in the manner and amounts determined according to Treasury Regulations Sections 1.704-2(i)(4), or any successor provisions. For purposes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each Member’s Adjusted Capital Account balance shall be determined, and the allocation of income and gain required hereunder shall be effected, prior to the application of any other allocations pursuant to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5.1(b)(i)</w:t>
      </w:r>
      <w:r>
        <w:rPr>
          <w:rFonts w:ascii="Arial" w:cs="Arial" w:eastAsia="Arial" w:hAnsi="Arial"/>
          <w:sz w:val="17"/>
          <w:szCs w:val="17"/>
          <w:color w:val="auto"/>
        </w:rPr>
        <w:t xml:space="preserve"> and other than an allocation pursuant to </w:t>
      </w:r>
      <w:r>
        <w:rPr>
          <w:rFonts w:ascii="Arial" w:cs="Arial" w:eastAsia="Arial" w:hAnsi="Arial"/>
          <w:sz w:val="17"/>
          <w:szCs w:val="17"/>
          <w:u w:val="single" w:color="auto"/>
          <w:color w:val="auto"/>
        </w:rPr>
        <w:t>Section 5.1(b)(i)(v)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(b)(i)(vi)</w:t>
      </w:r>
      <w:r>
        <w:rPr>
          <w:rFonts w:ascii="Arial" w:cs="Arial" w:eastAsia="Arial" w:hAnsi="Arial"/>
          <w:sz w:val="17"/>
          <w:szCs w:val="17"/>
          <w:color w:val="auto"/>
        </w:rPr>
        <w:t xml:space="preserve">, with respect to such taxable period. This </w:t>
      </w:r>
      <w:r>
        <w:rPr>
          <w:rFonts w:ascii="Arial" w:cs="Arial" w:eastAsia="Arial" w:hAnsi="Arial"/>
          <w:sz w:val="17"/>
          <w:szCs w:val="17"/>
          <w:u w:val="single" w:color="auto"/>
          <w:color w:val="auto"/>
        </w:rPr>
        <w:t>Section 5.1(b)(ii)</w:t>
      </w:r>
      <w:r>
        <w:rPr>
          <w:rFonts w:ascii="Arial" w:cs="Arial" w:eastAsia="Arial" w:hAnsi="Arial"/>
          <w:sz w:val="17"/>
          <w:szCs w:val="17"/>
          <w:color w:val="auto"/>
        </w:rPr>
        <w:t xml:space="preserve"> is intended to comply with the chargeback of items of income and gain requirement in Treasury Regulations Section 1.704-2(i)(4) and shall be interpreted consistently therewith.</w:t>
      </w:r>
    </w:p>
    <w:p>
      <w:pPr>
        <w:sectPr>
          <w:pgSz w:w="11900" w:h="16838" w:orient="portrait"/>
          <w:cols w:equalWidth="0" w:num="1">
            <w:col w:w="11400"/>
          </w:cols>
          <w:pgMar w:left="240" w:top="125" w:right="259" w:bottom="0" w:gutter="0" w:footer="0" w:header="0"/>
        </w:sectPr>
      </w:pPr>
    </w:p>
    <w:bookmarkStart w:id="82" w:name="page83"/>
    <w:bookmarkEnd w:id="82"/>
    <w:p>
      <w:pPr>
        <w:spacing w:after="0" w:line="72" w:lineRule="exact"/>
        <w:rPr>
          <w:sz w:val="20"/>
          <w:szCs w:val="20"/>
          <w:color w:val="auto"/>
        </w:rPr>
      </w:pPr>
    </w:p>
    <w:p>
      <w:pPr>
        <w:ind w:left="1280" w:right="100" w:firstLine="653"/>
        <w:spacing w:after="0" w:line="285" w:lineRule="auto"/>
        <w:tabs>
          <w:tab w:leader="none" w:pos="261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xml:space="preser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This</w:t>
      </w:r>
    </w:p>
    <w:p>
      <w:pPr>
        <w:spacing w:after="0" w:line="2" w:lineRule="exact"/>
        <w:rPr>
          <w:rFonts w:ascii="Arial" w:cs="Arial" w:eastAsia="Arial" w:hAnsi="Arial"/>
          <w:sz w:val="16"/>
          <w:szCs w:val="16"/>
          <w:color w:val="auto"/>
        </w:rPr>
      </w:pPr>
    </w:p>
    <w:p>
      <w:pPr>
        <w:ind w:left="1280" w:right="58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5.1(b)(iii)</w:t>
      </w:r>
      <w:r>
        <w:rPr>
          <w:rFonts w:ascii="Arial" w:cs="Arial" w:eastAsia="Arial" w:hAnsi="Arial"/>
          <w:sz w:val="18"/>
          <w:szCs w:val="18"/>
          <w:color w:val="auto"/>
        </w:rPr>
        <w:t xml:space="preserve"> is intended to qualify and be construed as a “qualified income offset” within the meaning of Treasury Regulations Section 1.704-1(b)(2)(ii)(d) and shall be interpreted consistently therewith.</w:t>
      </w:r>
    </w:p>
    <w:p>
      <w:pPr>
        <w:spacing w:after="0" w:line="183" w:lineRule="exact"/>
        <w:rPr>
          <w:rFonts w:ascii="Arial" w:cs="Arial" w:eastAsia="Arial" w:hAnsi="Arial"/>
          <w:sz w:val="16"/>
          <w:szCs w:val="16"/>
          <w:color w:val="auto"/>
        </w:rPr>
      </w:pPr>
    </w:p>
    <w:p>
      <w:pPr>
        <w:ind w:left="1280" w:right="440" w:firstLine="653"/>
        <w:spacing w:after="0" w:line="288" w:lineRule="auto"/>
        <w:tabs>
          <w:tab w:leader="none" w:pos="259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Gross Income Allocations</w:t>
      </w:r>
      <w:r>
        <w:rPr>
          <w:rFonts w:ascii="Arial" w:cs="Arial" w:eastAsia="Arial" w:hAnsi="Arial"/>
          <w:sz w:val="16"/>
          <w:szCs w:val="16"/>
          <w:color w:val="auto"/>
        </w:rPr>
        <w:t>. In the event any Member has a deficit balance in its Capital Account at the end of any Company taxable period in excess of the sum of (A) the amount such Member is required to restore pursuant to the provisions of this Agreement and (B) the amount such Member is deemed obligated to restore pursuant to Treasury Regulations Sections 1.704-2(g) and</w:t>
      </w:r>
    </w:p>
    <w:p>
      <w:pPr>
        <w:ind w:left="1280" w:right="1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1.704-2(i)(5), such Member shall be specially allocated items of Company gross income and gain in the amount of such excess as quickly as possible; provided, that an allocation pursuant to this </w:t>
      </w:r>
      <w:r>
        <w:rPr>
          <w:rFonts w:ascii="Arial" w:cs="Arial" w:eastAsia="Arial" w:hAnsi="Arial"/>
          <w:sz w:val="18"/>
          <w:szCs w:val="18"/>
          <w:u w:val="single" w:color="auto"/>
          <w:color w:val="auto"/>
        </w:rPr>
        <w:t>Section 5.1(b)(iv)</w:t>
      </w:r>
      <w:r>
        <w:rPr>
          <w:rFonts w:ascii="Arial" w:cs="Arial" w:eastAsia="Arial" w:hAnsi="Arial"/>
          <w:sz w:val="18"/>
          <w:szCs w:val="18"/>
          <w:color w:val="auto"/>
        </w:rPr>
        <w:t xml:space="preserve"> shall be made only if and to the extent that such Member would have a deficit balance in its Capital Account as adjusted after all other allocations provided for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5.1(b)(iv)</w:t>
      </w:r>
      <w:r>
        <w:rPr>
          <w:rFonts w:ascii="Arial" w:cs="Arial" w:eastAsia="Arial" w:hAnsi="Arial"/>
          <w:sz w:val="18"/>
          <w:szCs w:val="18"/>
          <w:color w:val="auto"/>
        </w:rPr>
        <w:t xml:space="preserve"> were not in this Agreement.</w:t>
      </w:r>
    </w:p>
    <w:p>
      <w:pPr>
        <w:spacing w:after="0" w:line="189" w:lineRule="exact"/>
        <w:rPr>
          <w:rFonts w:ascii="Arial" w:cs="Arial" w:eastAsia="Arial" w:hAnsi="Arial"/>
          <w:sz w:val="16"/>
          <w:szCs w:val="16"/>
          <w:color w:val="auto"/>
        </w:rPr>
      </w:pPr>
    </w:p>
    <w:p>
      <w:pPr>
        <w:ind w:left="1280" w:right="20" w:firstLine="653"/>
        <w:spacing w:after="0" w:line="257" w:lineRule="auto"/>
        <w:tabs>
          <w:tab w:leader="none" w:pos="25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for any taxable period shall be allocated to the Members in accordance with their respective Percentage Interests.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spacing w:after="0" w:line="188" w:lineRule="exact"/>
        <w:rPr>
          <w:rFonts w:ascii="Arial" w:cs="Arial" w:eastAsia="Arial" w:hAnsi="Arial"/>
          <w:sz w:val="18"/>
          <w:szCs w:val="18"/>
          <w:color w:val="auto"/>
        </w:rPr>
      </w:pPr>
    </w:p>
    <w:p>
      <w:pPr>
        <w:ind w:left="2600" w:hanging="667"/>
        <w:spacing w:after="0"/>
        <w:tabs>
          <w:tab w:leader="none" w:pos="260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Member Nonrecourse Deductions</w:t>
      </w:r>
      <w:r>
        <w:rPr>
          <w:rFonts w:ascii="Arial" w:cs="Arial" w:eastAsia="Arial" w:hAnsi="Arial"/>
          <w:sz w:val="16"/>
          <w:szCs w:val="16"/>
          <w:color w:val="auto"/>
        </w:rPr>
        <w:t>. Member Nonrecourse Deductions for any taxable period shall be allocated 100% to</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the Member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80" w:right="180"/>
        <w:spacing w:after="0" w:line="302" w:lineRule="auto"/>
        <w:rPr>
          <w:sz w:val="20"/>
          <w:szCs w:val="20"/>
          <w:color w:val="auto"/>
        </w:rPr>
      </w:pPr>
      <w:r>
        <w:rPr>
          <w:rFonts w:ascii="Arial" w:cs="Arial" w:eastAsia="Arial" w:hAnsi="Arial"/>
          <w:sz w:val="16"/>
          <w:szCs w:val="16"/>
          <w:color w:val="auto"/>
        </w:rPr>
        <w:t>bears the “Economic Risk of Loss” (as defined in the Treasury Regulations) with respect to the Member Nonrecourse Debt to which such Member Nonrecourse Deductions are attributable in accordance with Treasury Regulations Section 1.704-2(i). If more than one Member bears the Economic Risk of Loss with respect to a Member Nonrecourse Debt, such Member Nonrecourse Deductions attributable thereto shall be allocated between or among such Members in accordance with the ratios in which they share such Economic Risk of Loss.</w:t>
      </w:r>
    </w:p>
    <w:p>
      <w:pPr>
        <w:spacing w:after="0" w:line="154" w:lineRule="exact"/>
        <w:rPr>
          <w:sz w:val="20"/>
          <w:szCs w:val="20"/>
          <w:color w:val="auto"/>
        </w:rPr>
      </w:pPr>
    </w:p>
    <w:p>
      <w:pPr>
        <w:ind w:left="2600" w:hanging="667"/>
        <w:spacing w:after="0"/>
        <w:tabs>
          <w:tab w:leader="none" w:pos="260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Nonrecourse Liabilities</w:t>
      </w:r>
      <w:r>
        <w:rPr>
          <w:rFonts w:ascii="Arial" w:cs="Arial" w:eastAsia="Arial" w:hAnsi="Arial"/>
          <w:sz w:val="16"/>
          <w:szCs w:val="16"/>
          <w:color w:val="auto"/>
        </w:rPr>
        <w:t>. Nonrecourse Liabilities of the Company described in Treasury Regulations Section 1.752-3(a)</w:t>
      </w:r>
    </w:p>
    <w:p>
      <w:pPr>
        <w:spacing w:after="0" w:line="46" w:lineRule="exact"/>
        <w:rPr>
          <w:rFonts w:ascii="Arial" w:cs="Arial" w:eastAsia="Arial" w:hAnsi="Arial"/>
          <w:sz w:val="16"/>
          <w:szCs w:val="16"/>
          <w:color w:val="auto"/>
        </w:rPr>
      </w:pPr>
    </w:p>
    <w:p>
      <w:pPr>
        <w:ind w:left="1540" w:hanging="255"/>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shall be allocated to the Members in accordance with their respective Percentage Interests.</w:t>
      </w:r>
    </w:p>
    <w:p>
      <w:pPr>
        <w:spacing w:after="0" w:line="210" w:lineRule="exact"/>
        <w:rPr>
          <w:rFonts w:ascii="Arial" w:cs="Arial" w:eastAsia="Arial" w:hAnsi="Arial"/>
          <w:sz w:val="18"/>
          <w:szCs w:val="18"/>
          <w:color w:val="auto"/>
        </w:rPr>
      </w:pPr>
    </w:p>
    <w:p>
      <w:pPr>
        <w:ind w:left="1280" w:firstLine="653"/>
        <w:spacing w:after="0" w:line="255" w:lineRule="auto"/>
        <w:tabs>
          <w:tab w:leader="none" w:pos="261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Code Section 754 Adjustments</w:t>
      </w:r>
      <w:r>
        <w:rPr>
          <w:rFonts w:ascii="Arial" w:cs="Arial" w:eastAsia="Arial" w:hAnsi="Arial"/>
          <w:sz w:val="18"/>
          <w:szCs w:val="18"/>
          <w:color w:val="auto"/>
        </w:rPr>
        <w:t>. To the extent an adjustment to the adjusted tax basis of any Company asset pursuant to Section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Members in a manner consistent with the manner in which their Capital Accounts are required to be adjusted pursuant to such Section of the Treasury Regulations.</w:t>
      </w:r>
    </w:p>
    <w:p>
      <w:pPr>
        <w:spacing w:after="0" w:line="193" w:lineRule="exact"/>
        <w:rPr>
          <w:rFonts w:ascii="Arial" w:cs="Arial" w:eastAsia="Arial" w:hAnsi="Arial"/>
          <w:sz w:val="18"/>
          <w:szCs w:val="18"/>
          <w:color w:val="auto"/>
        </w:rPr>
      </w:pPr>
    </w:p>
    <w:p>
      <w:pPr>
        <w:ind w:left="2600" w:hanging="667"/>
        <w:spacing w:after="0"/>
        <w:tabs>
          <w:tab w:leader="none" w:pos="26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Curative Allocation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right="20" w:firstLine="641"/>
        <w:spacing w:after="0" w:line="270" w:lineRule="auto"/>
        <w:tabs>
          <w:tab w:leader="none" w:pos="3257" w:val="left"/>
        </w:tabs>
        <w:numPr>
          <w:ilvl w:val="2"/>
          <w:numId w:val="70"/>
        </w:numPr>
        <w:rPr>
          <w:rFonts w:ascii="Arial" w:cs="Arial" w:eastAsia="Arial" w:hAnsi="Arial"/>
          <w:sz w:val="17"/>
          <w:szCs w:val="17"/>
          <w:color w:val="auto"/>
        </w:rPr>
      </w:pPr>
      <w:r>
        <w:rPr>
          <w:rFonts w:ascii="Arial" w:cs="Arial" w:eastAsia="Arial" w:hAnsi="Arial"/>
          <w:sz w:val="17"/>
          <w:szCs w:val="17"/>
          <w:color w:val="auto"/>
        </w:rPr>
        <w:t>The allocations set forth in Section 5.1(b)(i), (ii), (iii) and (viii) (the “</w:t>
      </w:r>
      <w:r>
        <w:rPr>
          <w:rFonts w:ascii="Arial" w:cs="Arial" w:eastAsia="Arial" w:hAnsi="Arial"/>
          <w:sz w:val="17"/>
          <w:szCs w:val="17"/>
          <w:u w:val="single" w:color="auto"/>
          <w:color w:val="auto"/>
        </w:rPr>
        <w:t>Required Allocations</w:t>
      </w:r>
      <w:r>
        <w:rPr>
          <w:rFonts w:ascii="Arial" w:cs="Arial" w:eastAsia="Arial" w:hAnsi="Arial"/>
          <w:sz w:val="17"/>
          <w:szCs w:val="17"/>
          <w:color w:val="auto"/>
        </w:rPr>
        <w:t xml:space="preserve">”) are intended to comply with certain requirements of the Treasury Regulations. It is the intent of the Members that, to the extent possible, all Required Allocations shall be offset either with other Required Allocations or with special allocations of other items of Company income, gain, loss or deduction pursuant to this </w:t>
      </w:r>
      <w:r>
        <w:rPr>
          <w:rFonts w:ascii="Arial" w:cs="Arial" w:eastAsia="Arial" w:hAnsi="Arial"/>
          <w:sz w:val="17"/>
          <w:szCs w:val="17"/>
          <w:u w:val="single" w:color="auto"/>
          <w:color w:val="auto"/>
        </w:rPr>
        <w:t>Section 5.1(b)(ix)(A)</w:t>
      </w:r>
      <w:r>
        <w:rPr>
          <w:rFonts w:ascii="Arial" w:cs="Arial" w:eastAsia="Arial" w:hAnsi="Arial"/>
          <w:sz w:val="17"/>
          <w:szCs w:val="17"/>
          <w:color w:val="auto"/>
        </w:rPr>
        <w:t xml:space="preserve">. Therefore, notwithstanding any other provision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the Required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Required Allocations were not part of this Agreement and all Company items were allocated pursuant to the economic agreement among the Members.</w:t>
      </w:r>
    </w:p>
    <w:p>
      <w:pPr>
        <w:spacing w:after="0" w:line="181" w:lineRule="exact"/>
        <w:rPr>
          <w:rFonts w:ascii="Arial" w:cs="Arial" w:eastAsia="Arial" w:hAnsi="Arial"/>
          <w:sz w:val="17"/>
          <w:szCs w:val="17"/>
          <w:color w:val="auto"/>
        </w:rPr>
      </w:pPr>
    </w:p>
    <w:p>
      <w:pPr>
        <w:ind w:left="3240" w:hanging="659"/>
        <w:spacing w:after="0"/>
        <w:tabs>
          <w:tab w:leader="none" w:pos="3240" w:val="left"/>
        </w:tabs>
        <w:numPr>
          <w:ilvl w:val="2"/>
          <w:numId w:val="70"/>
        </w:numPr>
        <w:rPr>
          <w:rFonts w:ascii="Arial" w:cs="Arial" w:eastAsia="Arial" w:hAnsi="Arial"/>
          <w:sz w:val="16"/>
          <w:szCs w:val="16"/>
          <w:color w:val="auto"/>
        </w:rPr>
      </w:pPr>
      <w:r>
        <w:rPr>
          <w:rFonts w:ascii="Arial" w:cs="Arial" w:eastAsia="Arial" w:hAnsi="Arial"/>
          <w:sz w:val="16"/>
          <w:szCs w:val="16"/>
          <w:color w:val="auto"/>
        </w:rPr>
        <w:t xml:space="preserve">The Managing Member shall, with respect to each taxable period, (1) apply the provisions of </w:t>
      </w:r>
      <w:r>
        <w:rPr>
          <w:rFonts w:ascii="Arial" w:cs="Arial" w:eastAsia="Arial" w:hAnsi="Arial"/>
          <w:sz w:val="16"/>
          <w:szCs w:val="16"/>
          <w:u w:val="single" w:color="auto"/>
          <w:color w:val="auto"/>
        </w:rPr>
        <w:t>Section 5.1(b)(ix)</w:t>
      </w:r>
    </w:p>
    <w:p>
      <w:pPr>
        <w:spacing w:after="0" w:line="46" w:lineRule="exact"/>
        <w:rPr>
          <w:rFonts w:ascii="Arial" w:cs="Arial" w:eastAsia="Arial" w:hAnsi="Arial"/>
          <w:sz w:val="16"/>
          <w:szCs w:val="16"/>
          <w:color w:val="auto"/>
        </w:rPr>
      </w:pPr>
    </w:p>
    <w:p>
      <w:pPr>
        <w:ind w:left="1940" w:right="8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in whatever order is most likely to minimize the economic distortions that might otherwise result from the Required Allocations, and (2) divide all allocations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5.1(b)(ix)(A)</w:t>
      </w:r>
      <w:r>
        <w:rPr>
          <w:rFonts w:ascii="Arial" w:cs="Arial" w:eastAsia="Arial" w:hAnsi="Arial"/>
          <w:sz w:val="18"/>
          <w:szCs w:val="18"/>
          <w:color w:val="auto"/>
        </w:rPr>
        <w:t xml:space="preserve"> among the Members in a manner that is likely to minimize such economic distortions.</w:t>
      </w:r>
    </w:p>
    <w:p>
      <w:pPr>
        <w:spacing w:after="0" w:line="225" w:lineRule="exact"/>
        <w:rPr>
          <w:sz w:val="20"/>
          <w:szCs w:val="20"/>
          <w:color w:val="auto"/>
        </w:rPr>
      </w:pPr>
    </w:p>
    <w:p>
      <w:pPr>
        <w:ind w:left="1280" w:right="60" w:firstLine="653"/>
        <w:spacing w:after="0" w:line="277" w:lineRule="auto"/>
        <w:tabs>
          <w:tab w:leader="none" w:pos="258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Deficit Capital Accounts</w:t>
      </w:r>
      <w:r>
        <w:rPr>
          <w:rFonts w:ascii="Arial" w:cs="Arial" w:eastAsia="Arial" w:hAnsi="Arial"/>
          <w:sz w:val="18"/>
          <w:szCs w:val="18"/>
          <w:color w:val="auto"/>
        </w:rPr>
        <w:t>. No Member shall be required to pay to the Company, to any other Member or to any third party any deficit balance which may exist from time to time in the Member’s Capital Account.</w:t>
      </w:r>
    </w:p>
    <w:p>
      <w:pPr>
        <w:spacing w:after="0" w:line="17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Allocations for Tax Purposes</w:t>
      </w:r>
      <w:r>
        <w:rPr>
          <w:rFonts w:ascii="Arial" w:cs="Arial" w:eastAsia="Arial" w:hAnsi="Arial"/>
          <w:sz w:val="16"/>
          <w:szCs w:val="16"/>
          <w:color w:val="auto"/>
        </w:rPr>
        <w:t>.</w:t>
      </w:r>
    </w:p>
    <w:p>
      <w:pPr>
        <w:spacing w:after="0" w:line="225" w:lineRule="exact"/>
        <w:rPr>
          <w:sz w:val="20"/>
          <w:szCs w:val="20"/>
          <w:color w:val="auto"/>
        </w:rPr>
      </w:pPr>
    </w:p>
    <w:p>
      <w:pPr>
        <w:ind w:left="-20" w:right="20" w:firstLine="1305"/>
        <w:spacing w:after="0" w:line="257" w:lineRule="auto"/>
        <w:tabs>
          <w:tab w:leader="none" w:pos="192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income, gains, losses and deductions of the Company shall be allocated for federal, state and local income tax purposes among the Members in accordance with the allocation of such income, gains, losses and deductions among the Members for purposes of computing their Capital Accounts; except that if any such allocation is not permitted by the Code or other applicable law, then the Company’s subsequent income, gains, losses and deductions for tax purposes shall be allocated among the Members so as to reflect as nearly as possible the allocation set forth herein in computing their Capital Accounts.</w:t>
      </w:r>
    </w:p>
    <w:p>
      <w:pPr>
        <w:sectPr>
          <w:pgSz w:w="11900" w:h="16911" w:orient="portrait"/>
          <w:cols w:equalWidth="0" w:num="1">
            <w:col w:w="11400"/>
          </w:cols>
          <w:pgMar w:left="260" w:top="125" w:right="239" w:bottom="0" w:gutter="0" w:footer="0" w:header="0"/>
        </w:sectPr>
      </w:pPr>
    </w:p>
    <w:bookmarkStart w:id="83" w:name="page84"/>
    <w:bookmarkEnd w:id="83"/>
    <w:p>
      <w:pPr>
        <w:spacing w:after="0" w:line="114" w:lineRule="exact"/>
        <w:rPr>
          <w:sz w:val="20"/>
          <w:szCs w:val="20"/>
          <w:color w:val="auto"/>
        </w:rPr>
      </w:pPr>
    </w:p>
    <w:p>
      <w:pPr>
        <w:ind w:right="220" w:firstLine="1305"/>
        <w:spacing w:after="0" w:line="342" w:lineRule="auto"/>
        <w:tabs>
          <w:tab w:leader="none" w:pos="19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an attempt to eliminate Book-Tax Disparities attributable to a Contributed Property or an Adjusted Property, items of income, gain, loss, depreciation, amortization and cost recovery deductions shall be allocated for federal income tax purposes among the Members as follows:</w:t>
      </w:r>
    </w:p>
    <w:p>
      <w:pPr>
        <w:spacing w:after="0" w:line="123" w:lineRule="exact"/>
        <w:rPr>
          <w:rFonts w:ascii="Arial" w:cs="Arial" w:eastAsia="Arial" w:hAnsi="Arial"/>
          <w:sz w:val="16"/>
          <w:szCs w:val="16"/>
          <w:color w:val="auto"/>
        </w:rPr>
      </w:pPr>
    </w:p>
    <w:p>
      <w:pPr>
        <w:ind w:left="1300" w:right="40" w:firstLine="653"/>
        <w:spacing w:after="0" w:line="264" w:lineRule="auto"/>
        <w:tabs>
          <w:tab w:leader="none" w:pos="26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case of a Contributed Property, such items attributable thereto shall be allocated among the Members in the manner provided under Section 704(c) of the Code that takes into account the variation between the Agreed Value of such property and its adjusted basis at the time of contribution.</w:t>
      </w:r>
    </w:p>
    <w:p>
      <w:pPr>
        <w:spacing w:after="0" w:line="181" w:lineRule="exact"/>
        <w:rPr>
          <w:rFonts w:ascii="Arial" w:cs="Arial" w:eastAsia="Arial" w:hAnsi="Arial"/>
          <w:sz w:val="18"/>
          <w:szCs w:val="18"/>
          <w:color w:val="auto"/>
        </w:rPr>
      </w:pPr>
    </w:p>
    <w:p>
      <w:pPr>
        <w:ind w:left="1300" w:right="140" w:firstLine="653"/>
        <w:spacing w:after="0" w:line="279" w:lineRule="auto"/>
        <w:tabs>
          <w:tab w:leader="none" w:pos="2627"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In the case of an Adjusted Property, such items shall (A) first, be allocated among the Members in a manner consistent with the principles of Section 704(c) of the Code to take into account the Unrealized Gain or Unrealized Loss attributable to such property and the allocations thereof pursuant to </w:t>
      </w:r>
      <w:r>
        <w:rPr>
          <w:rFonts w:ascii="Arial" w:cs="Arial" w:eastAsia="Arial" w:hAnsi="Arial"/>
          <w:sz w:val="17"/>
          <w:szCs w:val="17"/>
          <w:u w:val="single" w:color="auto"/>
          <w:color w:val="auto"/>
        </w:rPr>
        <w:t>Section 3.3(c)(i)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3.3(c)(ii)</w:t>
      </w:r>
      <w:r>
        <w:rPr>
          <w:rFonts w:ascii="Arial" w:cs="Arial" w:eastAsia="Arial" w:hAnsi="Arial"/>
          <w:sz w:val="17"/>
          <w:szCs w:val="17"/>
          <w:color w:val="auto"/>
        </w:rPr>
        <w:t xml:space="preserve">, and (B) second, in the event such property was originally a Contributed Property, be allocated among the Members in a manner consistent with </w:t>
      </w:r>
      <w:r>
        <w:rPr>
          <w:rFonts w:ascii="Arial" w:cs="Arial" w:eastAsia="Arial" w:hAnsi="Arial"/>
          <w:sz w:val="17"/>
          <w:szCs w:val="17"/>
          <w:u w:val="single" w:color="auto"/>
          <w:color w:val="auto"/>
        </w:rPr>
        <w:t>Section 5.2(b)(i)(A)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00" w:right="80" w:firstLine="653"/>
        <w:spacing w:after="0" w:line="277" w:lineRule="auto"/>
        <w:tabs>
          <w:tab w:leader="none" w:pos="2637"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order to eliminate Book-Tax Disparities, the Managing Member may cause the Company to use any method described in Treasury Regulations Section 1.704-3.</w:t>
      </w:r>
    </w:p>
    <w:p>
      <w:pPr>
        <w:spacing w:after="0" w:line="170" w:lineRule="exact"/>
        <w:rPr>
          <w:rFonts w:ascii="Arial" w:cs="Arial" w:eastAsia="Arial" w:hAnsi="Arial"/>
          <w:sz w:val="18"/>
          <w:szCs w:val="18"/>
          <w:color w:val="auto"/>
        </w:rPr>
      </w:pPr>
    </w:p>
    <w:p>
      <w:pPr>
        <w:ind w:firstLine="1305"/>
        <w:spacing w:after="0" w:line="264"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purposes of determining the items of Company income, gain, loss, deduction, or credit allocable to any Member with respect to any period, such items shall be determined on a daily, monthly, or other basis, as determined by the Managing Member using any permissible method under Code Section 706 and the Treasury Regulations promulgated thereunder.</w:t>
      </w:r>
    </w:p>
    <w:p>
      <w:pPr>
        <w:spacing w:after="0" w:line="181"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 credits, tax credit recapture and any items related thereto shall be allocated to the Members according to their interests in such items as reasonably determined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Managing Member taking into account the principles of Treasury Regulations Sections 1.704-1(b)(4)(ii) and 1.704-1T(b)(4)(xi).</w:t>
      </w:r>
    </w:p>
    <w:p>
      <w:pPr>
        <w:spacing w:after="0" w:line="225" w:lineRule="exact"/>
        <w:rPr>
          <w:sz w:val="20"/>
          <w:szCs w:val="20"/>
          <w:color w:val="auto"/>
        </w:rPr>
      </w:pPr>
    </w:p>
    <w:p>
      <w:pPr>
        <w:ind w:right="260" w:firstLine="1305"/>
        <w:spacing w:after="0" w:line="264" w:lineRule="auto"/>
        <w:tabs>
          <w:tab w:leader="none" w:pos="1955"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solely for the purposes of federal, state and local taxes and shall not affect, or in any way be taken into account in computing, any Member’s Capital Account or share of Income, Loss, distributions or other Company items pursuant to any provision of this Agreement.</w:t>
      </w:r>
    </w:p>
    <w:p>
      <w:pPr>
        <w:spacing w:after="0" w:line="181" w:lineRule="exact"/>
        <w:rPr>
          <w:rFonts w:ascii="Arial" w:cs="Arial" w:eastAsia="Arial" w:hAnsi="Arial"/>
          <w:sz w:val="18"/>
          <w:szCs w:val="18"/>
          <w:color w:val="auto"/>
        </w:rPr>
      </w:pPr>
    </w:p>
    <w:p>
      <w:pPr>
        <w:ind w:right="60" w:firstLine="1305"/>
        <w:spacing w:after="0" w:line="284" w:lineRule="auto"/>
        <w:tabs>
          <w:tab w:leader="none" w:pos="1949"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the proper administration of the Company, the Managing Member shall (i) adopt such conventions as it deems appropriate in determining the amount of depreciation, amortization and cost recovery deductions; (ii) make special allocations for federal income tax purposes of income (including, without limitation, gross income) or deductions; (iii) without the consent of any other Person being required, amend the provisions of this Agreement as appropriate to reflect the proposal or promulgation of Treasury Regulations under Section 704(b) or Section 704(c) of the Code; and (iv) adopt and employ such methods for (A) the maintenance of capital accounts for book and tax purposes, (B) the determination and allocation of adjustments under Sections 734 and 743 of the Code, (C) the determination and allocation of taxable income, tax loss and items thereof under this Agreement and pursuant to the Code, (D) the determination of the identities and tax classification of Members, (E) the provision of tax information and reports to the Members, (F) the adoption of reasonable conventions and methods for the valuation of assets and the determination of tax basis, (G) the allocation of asset values and tax basis,</w:t>
      </w:r>
    </w:p>
    <w:p>
      <w:pPr>
        <w:spacing w:after="0" w:line="1" w:lineRule="exact"/>
        <w:rPr>
          <w:rFonts w:ascii="Arial" w:cs="Arial" w:eastAsia="Arial" w:hAnsi="Arial"/>
          <w:sz w:val="16"/>
          <w:szCs w:val="16"/>
          <w:color w:val="auto"/>
        </w:rPr>
      </w:pPr>
    </w:p>
    <w:p>
      <w:pPr>
        <w:ind w:right="80" w:firstLine="8"/>
        <w:spacing w:after="0" w:line="271" w:lineRule="auto"/>
        <w:tabs>
          <w:tab w:leader="none" w:pos="2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adoption and maintenance of accounting methods, (I) the recognition of the transfer of Units and (J) tax compliance and other tax-related requirements, including without limitation, the use of computer software, in each case, as it determines in its sole discretion are necessary and appropriate to execute the provisions of this Agreement and to comply with federal, state and local tax law. The Managing Member may adopt such conventions and make such allocations as provided in this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without the consent of a Member only if such conventions or allocations would not have a material adverse effect on such affected Member, and if such allocations are consistent with the principles of Section 704 of the Code.</w:t>
      </w:r>
    </w:p>
    <w:p>
      <w:pPr>
        <w:spacing w:after="0" w:line="17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Members’ Tax Reporting</w:t>
      </w:r>
      <w:r>
        <w:rPr>
          <w:rFonts w:ascii="Arial" w:cs="Arial" w:eastAsia="Arial" w:hAnsi="Arial"/>
          <w:sz w:val="16"/>
          <w:szCs w:val="16"/>
          <w:color w:val="auto"/>
        </w:rPr>
        <w:t xml:space="preserve">. The Members acknowledge and are aware of the income tax consequences of the allocations made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except as may otherwise be required by applicable law or regulatory requirements, hereby agree to be bound by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reporting their shares of Company income, gain, loss, deduction and credit for federal, state and local income tax purposes.</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Certain Costs and Expenses</w:t>
      </w:r>
      <w:r>
        <w:rPr>
          <w:rFonts w:ascii="Arial" w:cs="Arial" w:eastAsia="Arial" w:hAnsi="Arial"/>
          <w:sz w:val="18"/>
          <w:szCs w:val="18"/>
          <w:color w:val="auto"/>
        </w:rPr>
        <w:t>. The Company shall (i) pay, or cause to be paid, all costs, fees, operating expenses and other expenses of the Company (including the costs, fees and expenses of attorneys, accountants or other professionals and the compensation of all personnel providing services to the Company) incurred in pursuing and conducting, or otherwise related to, the activities of the Company, and (ii) reimburse the Managing Member for any costs, fees or expenses incurred by it in connection with serving as the Managing Member.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Managing Member may cause the Company to pay or bear all expenses of the Managing Member, including, without suggesting any limitation of any kind, costs of securities offerings not borne directly by Members, board of directors compensation and meeting costs, cost of periodic reports to its stockholders, litigation costs and damages arising from litigation, accounting and legal costs and franchise taxes, provided that the Company shall not pay or bear any income tax obligations of the Managing Member.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Managing Member;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312" w:lineRule="auto"/>
        <w:tabs>
          <w:tab w:leader="none" w:pos="194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Authority of Managing Member</w:t>
      </w:r>
      <w:r>
        <w:rPr>
          <w:rFonts w:ascii="Arial" w:cs="Arial" w:eastAsia="Arial" w:hAnsi="Arial"/>
          <w:sz w:val="16"/>
          <w:szCs w:val="16"/>
          <w:color w:val="auto"/>
        </w:rPr>
        <w:t xml:space="preserve">. The business, property and affairs of the Company shall be managed under the sole, absolute and exclusive direction of the Managing Member, which may from time to time delegate authority to Officers or to others to act on behalf of the Company. Without limiting the foregoing provisions of this </w:t>
      </w:r>
      <w:r>
        <w:rPr>
          <w:rFonts w:ascii="Arial" w:cs="Arial" w:eastAsia="Arial" w:hAnsi="Arial"/>
          <w:sz w:val="16"/>
          <w:szCs w:val="16"/>
          <w:u w:val="single" w:color="auto"/>
          <w:color w:val="auto"/>
        </w:rPr>
        <w:t>Section 6.1(a)</w:t>
      </w:r>
      <w:r>
        <w:rPr>
          <w:rFonts w:ascii="Arial" w:cs="Arial" w:eastAsia="Arial" w:hAnsi="Arial"/>
          <w:sz w:val="16"/>
          <w:szCs w:val="16"/>
          <w:color w:val="auto"/>
        </w:rPr>
        <w:t>, the Managing Member shall have the sole power to manage or cause the management of the</w:t>
      </w:r>
    </w:p>
    <w:p>
      <w:pPr>
        <w:sectPr>
          <w:pgSz w:w="11900" w:h="16952" w:orient="portrait"/>
          <w:cols w:equalWidth="0" w:num="1">
            <w:col w:w="11420"/>
          </w:cols>
          <w:pgMar w:left="240" w:top="341" w:right="239" w:bottom="0" w:gutter="0" w:footer="0" w:header="0"/>
        </w:sectPr>
      </w:pPr>
    </w:p>
    <w:bookmarkStart w:id="84" w:name="page85"/>
    <w:bookmarkEnd w:id="84"/>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Yield is the initial Managing Member of the Company.</w:t>
      </w:r>
    </w:p>
    <w:p>
      <w:pPr>
        <w:spacing w:after="0" w:line="187" w:lineRule="exact"/>
        <w:rPr>
          <w:sz w:val="20"/>
          <w:szCs w:val="20"/>
          <w:color w:val="auto"/>
        </w:rPr>
      </w:pPr>
    </w:p>
    <w:p>
      <w:pPr>
        <w:ind w:right="40" w:firstLine="1305"/>
        <w:spacing w:after="0" w:line="269" w:lineRule="auto"/>
        <w:tabs>
          <w:tab w:leader="none" w:pos="195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Other Members</w:t>
      </w:r>
      <w:r>
        <w:rPr>
          <w:rFonts w:ascii="Arial" w:cs="Arial" w:eastAsia="Arial" w:hAnsi="Arial"/>
          <w:sz w:val="17"/>
          <w:szCs w:val="17"/>
          <w:color w:val="auto"/>
        </w:rPr>
        <w:t xml:space="preserve">. No Member who is not also a Managing Member, in his or her or its capacity as such, shall participate in or have any control over the business of the Company. Except as expressly provided herein, the Units, other Equity Securities in the Company, or the fact of a Member’s admission as a member of the Company do not confer any rights upon the Members to participate in the management of the affairs of the Company. Except as expressly provided herein, no Member who is not also a 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by separate agreement with the Company, no Member who is not also a Managing Member (and acting in such capacity) shall take any part in the management or control of the operation or business of the Company in its capacity as a Member, nor shall any Member who is not also a 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79" w:lineRule="exact"/>
        <w:rPr>
          <w:rFonts w:ascii="Arial" w:cs="Arial" w:eastAsia="Arial" w:hAnsi="Arial"/>
          <w:sz w:val="17"/>
          <w:szCs w:val="17"/>
          <w:color w:val="auto"/>
        </w:rPr>
      </w:pPr>
    </w:p>
    <w:p>
      <w:pPr>
        <w:ind w:right="300" w:firstLine="1305"/>
        <w:spacing w:after="0" w:line="342" w:lineRule="auto"/>
        <w:tabs>
          <w:tab w:leader="none" w:pos="195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Delegation by Managing Member</w:t>
      </w:r>
      <w:r>
        <w:rPr>
          <w:rFonts w:ascii="Arial" w:cs="Arial" w:eastAsia="Arial" w:hAnsi="Arial"/>
          <w:sz w:val="16"/>
          <w:szCs w:val="16"/>
          <w:color w:val="auto"/>
        </w:rPr>
        <w:t>. The Company may employ one or more Members from time to time, and such Members, in their capacity as employees or agents of the Company (and not, for clarity, in their capacity as Members of the Company), may take part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control and management of the business of the Company to the extent such authority and power to act for or on behalf of the Company has been delegated to them by the Managing Member. To the fullest extent permitted by law,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Designation and Appointment</w:t>
      </w:r>
      <w:r>
        <w:rPr>
          <w:rFonts w:ascii="Arial" w:cs="Arial" w:eastAsia="Arial" w:hAnsi="Arial"/>
          <w:sz w:val="17"/>
          <w:szCs w:val="17"/>
          <w:color w:val="auto"/>
        </w:rPr>
        <w:t xml:space="preserve">. The Managing Member may, from time to time, employ and retain Persons as may be necessary or appropriate for the conduct of the Company’s business, including employees, agents and other Persons (any of whom may be a Member) who may be designated as Officers of the Company, with such titles as and to the extent authorized by the Managing Member. Any number of offices may be held by the same Person. In its discretion, the Managing Member may choose not to fill any office for any period as it may deem advisable. Officers need not be residents of the State of Delaware or Members. Any Officers so designated shall have such authority and perform such duties as the Managing Member may from time to time delegate to them. The Managing Member may assign titles to particular Officers. Each Officer shall hold office until his successor shall be duly designated and shall qualify or until his death or until he shall resign or shall have been removed in the manner hereinafter provided. The salaries or other compensation, if any, of the Officers of the Company shall be fixed from time to time by the Managing Member. Designation of an Officer shall not of itself create any employment or, except as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contractual rights.</w:t>
      </w:r>
    </w:p>
    <w:p>
      <w:pPr>
        <w:spacing w:after="0" w:line="181" w:lineRule="exact"/>
        <w:rPr>
          <w:rFonts w:ascii="Arial" w:cs="Arial" w:eastAsia="Arial" w:hAnsi="Arial"/>
          <w:sz w:val="17"/>
          <w:szCs w:val="17"/>
          <w:color w:val="auto"/>
        </w:rPr>
      </w:pPr>
    </w:p>
    <w:p>
      <w:pPr>
        <w:ind w:right="140" w:firstLine="1305"/>
        <w:spacing w:after="0" w:line="255" w:lineRule="auto"/>
        <w:tabs>
          <w:tab w:leader="none" w:pos="19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as such at any time. Such resignation shall be made in writing and shall take effect at the time specified therein, or if no time is specified, at the time of its receipt by the Managing Member. The acceptance of a resignation shall not be necessary to make it effective, unless expressly so provided in the resignation. All employees, agents and Officers shall be subject to the supervision and direction of the Managing Member and may be removed, with or without cause, from such office by the Managing Member and the authority, duties or responsibilities of any employee, agent or Officer of the Company may be suspended by or altered the Managing Member from time to time, in each case in the sole discretion of the Managing Member.</w:t>
      </w:r>
    </w:p>
    <w:p>
      <w:pPr>
        <w:spacing w:after="0" w:line="193" w:lineRule="exact"/>
        <w:rPr>
          <w:rFonts w:ascii="Arial" w:cs="Arial" w:eastAsia="Arial" w:hAnsi="Arial"/>
          <w:sz w:val="18"/>
          <w:szCs w:val="18"/>
          <w:color w:val="auto"/>
        </w:rPr>
      </w:pPr>
    </w:p>
    <w:p>
      <w:pPr>
        <w:jc w:val="both"/>
        <w:ind w:right="140" w:firstLine="1305"/>
        <w:spacing w:after="0" w:line="264" w:lineRule="auto"/>
        <w:tabs>
          <w:tab w:leader="none" w:pos="195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Officers as Agents</w:t>
      </w:r>
      <w:r>
        <w:rPr>
          <w:rFonts w:ascii="Arial" w:cs="Arial" w:eastAsia="Arial" w:hAnsi="Arial"/>
          <w:sz w:val="18"/>
          <w:szCs w:val="18"/>
          <w:color w:val="auto"/>
        </w:rPr>
        <w:t>. The Officers, to the extent of their powers, authority and duties set forth in this Agreement or an employment agreement or otherwise vested in them by the Managing Member, are agents of the Company for the purposes of the Company’s business and the actions of the Officers taken in accordance with such powers shall bind the Company.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u w:val="single" w:color="auto"/>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80" w:firstLine="1305"/>
        <w:spacing w:after="0" w:line="277" w:lineRule="auto"/>
        <w:tabs>
          <w:tab w:leader="none" w:pos="194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Personal Liability</w:t>
      </w:r>
      <w:r>
        <w:rPr>
          <w:rFonts w:ascii="Arial" w:cs="Arial" w:eastAsia="Arial" w:hAnsi="Arial"/>
          <w:sz w:val="18"/>
          <w:szCs w:val="18"/>
          <w:color w:val="auto"/>
        </w:rPr>
        <w:t>. Except as otherwise required by applicable law and as expressly set forth in this Agreement, no Member shall have any personal liability whatsoever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such Person’s capacity as a Member, whether to the Company, to any of the other Members, to the creditors of the Company or to any other third party, for the debts, liabilities, commitments or any other obligations of the Company or for any losses of the Company. Except as otherwise required by the Act, each Member shall be liable only to make such Member’s Capital Contribution to the Company, if applicable, and the other payments provided for expressly herein.</w:t>
      </w:r>
    </w:p>
    <w:p>
      <w:pPr>
        <w:spacing w:after="0" w:line="187" w:lineRule="exact"/>
        <w:rPr>
          <w:sz w:val="20"/>
          <w:szCs w:val="20"/>
          <w:color w:val="auto"/>
        </w:rPr>
      </w:pPr>
    </w:p>
    <w:p>
      <w:pPr>
        <w:ind w:right="120" w:firstLine="1305"/>
        <w:spacing w:after="0" w:line="291" w:lineRule="auto"/>
        <w:tabs>
          <w:tab w:leader="none" w:pos="19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Return of Distributions</w:t>
      </w:r>
      <w:r>
        <w:rPr>
          <w:rFonts w:ascii="Arial" w:cs="Arial" w:eastAsia="Arial" w:hAnsi="Arial"/>
          <w:sz w:val="16"/>
          <w:szCs w:val="16"/>
          <w:color w:val="auto"/>
        </w:rPr>
        <w:t xml:space="preserve">. In accordance with the Act and the laws of the State of Delaware, a Member may, under certain circumstances, be required to return amounts previously distributed to such Member. It is the intent of the Members that no distribution to any Member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deemed a return of money or other property paid or distributed in violation of the Act. The payment of any such money or distribution of any such property to a Member shall be deemed to be a compromise within the meaning of Section 18-502(b) of the Act, and, to the fullest extent permitted by law, any Member receiving any such money or property shall not be required to return any such money or property to the Company or any other Person. However, if any court of competent jurisdiction holds that, notwithstanding the provisions of this Agreement, any Member is obligated to make any such payment, such obligation shall be the obligation of such Member and not of any other Member.</w:t>
      </w:r>
    </w:p>
    <w:p>
      <w:pPr>
        <w:sectPr>
          <w:pgSz w:w="11900" w:h="16932" w:orient="portrait"/>
          <w:cols w:equalWidth="0" w:num="1">
            <w:col w:w="11400"/>
          </w:cols>
          <w:pgMar w:left="240" w:top="125" w:right="259" w:bottom="0" w:gutter="0" w:footer="0" w:header="0"/>
        </w:sectPr>
      </w:pPr>
    </w:p>
    <w:bookmarkStart w:id="85" w:name="page86"/>
    <w:bookmarkEnd w:id="85"/>
    <w:p>
      <w:pPr>
        <w:ind w:firstLine="1305"/>
        <w:spacing w:after="0" w:line="285" w:lineRule="auto"/>
        <w:tabs>
          <w:tab w:leader="none" w:pos="195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 Duties</w:t>
      </w:r>
      <w:r>
        <w:rPr>
          <w:rFonts w:ascii="Arial" w:cs="Arial" w:eastAsia="Arial" w:hAnsi="Arial"/>
          <w:sz w:val="16"/>
          <w:szCs w:val="16"/>
          <w:color w:val="auto"/>
        </w:rPr>
        <w:t xml:space="preserve">. Notwithstanding any other provision of this Agreement or any duty otherwise existing at law, in equity or otherwise, the parties hereby agree that the Members (including without limitation, the Managing Member), shall, to the maximum extent permitted by law, including Section 18-1101(c) of the Act, owe no duties (including fiduciary duties) to the Company, the other Members or any other Person who is a party to or otherwise bound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shall eliminate the implied contractual covenant of good faith and fair dealing. To the extent that, at law or in equity, any Member (including without limitation, the Managing Member) has duties (including fiduciary duties) and liabilities relating thereto to the Company, to another Member or to another Person who is a party to or otherwise bound by this Agreement, the Members (including without limitation, the Managing Member) acting under this Agreement will not be liable to the Company, to any such other Member or to any such other Person who is a party to or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in equity or otherwise, are agreed by the parties hereto to replace to that extent such other duties and liabilities of the Members (including without limitation, the Managing Member) relating thereto.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 Notwithstanding any other provision of this Agreement or otherwise applicable provision of law or equity, whenever in this Agreement the Managing Member is permitted or required to make a decision (i) in its “sole discretion” or “discretion” or under a grant of similar authority or latitude, the Managing Member shall be entitled to consider only such interests and factors as it desires,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including its own interests, and shall, to the fullest extent permitted by applicable law, have no duty or obligation to give any consideration to any interest of or factors affecting the Company or the other Members, or (ii) in its “good faith” or under another expressed standard, the Managing Member shall act under such express standard and shall not be subject to any other or different standards.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(as the same exists or may hereafter be amended (but, in the case of any such amendment, only to the extent that such amendment permits the Company to provide broader indemnification rights than such law permitted the Company to provide prior to such amendment))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Indemnitee acted in bad faith or engaged in fraud, willful misconduct or, in the case of a criminal matter, acted with knowledge that the Indemnitee’s conduct was unlawful. Any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187" w:lineRule="exact"/>
        <w:rPr>
          <w:rFonts w:ascii="Arial" w:cs="Arial" w:eastAsia="Arial" w:hAnsi="Arial"/>
          <w:sz w:val="17"/>
          <w:szCs w:val="17"/>
          <w:color w:val="auto"/>
        </w:rPr>
      </w:pPr>
    </w:p>
    <w:p>
      <w:pPr>
        <w:jc w:val="both"/>
        <w:ind w:right="80" w:firstLine="1305"/>
        <w:spacing w:after="0" w:line="279" w:lineRule="auto"/>
        <w:tabs>
          <w:tab w:leader="none" w:pos="19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expenses (including legal fees and expenses) incurred by an Indemnitee who is indemnified pursuant to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79" w:lineRule="auto"/>
        <w:tabs>
          <w:tab w:leader="none" w:pos="19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rights provided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deemed contract rights and shall be in addition to any other rights to which an Indemnitee may be entitled under any agreement, pursuant to any vote of the holders of the Membership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71" w:lineRule="exact"/>
        <w:rPr>
          <w:rFonts w:ascii="Arial" w:cs="Arial" w:eastAsia="Arial" w:hAnsi="Arial"/>
          <w:sz w:val="17"/>
          <w:szCs w:val="17"/>
          <w:color w:val="auto"/>
        </w:rPr>
      </w:pPr>
    </w:p>
    <w:p>
      <w:pPr>
        <w:ind w:right="160" w:firstLine="1305"/>
        <w:spacing w:after="0" w:line="308" w:lineRule="auto"/>
        <w:tabs>
          <w:tab w:leader="none" w:pos="19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may purchase and maintain insurance on behalf of the Company and its Subsidiaries and such other Persons as the Managing Member shall determine, against any liability that may be asserted against, or expense that may be incurred by,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70" w:lineRule="exact"/>
        <w:rPr>
          <w:sz w:val="20"/>
          <w:szCs w:val="20"/>
          <w:color w:val="auto"/>
        </w:rPr>
      </w:pPr>
    </w:p>
    <w:p>
      <w:pPr>
        <w:ind w:right="40" w:firstLine="1305"/>
        <w:spacing w:after="0" w:line="255"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8"/>
          <w:szCs w:val="18"/>
          <w:u w:val="single" w:color="auto"/>
          <w:color w:val="auto"/>
        </w:rPr>
        <w:t>Section 6.4(a)</w:t>
      </w:r>
      <w:r>
        <w:rPr>
          <w:rFonts w:ascii="Arial" w:cs="Arial" w:eastAsia="Arial" w:hAnsi="Arial"/>
          <w:sz w:val="18"/>
          <w:szCs w:val="18"/>
          <w:color w:val="auto"/>
        </w:rPr>
        <w:t>;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no event may an Indemnitee subject the Members to personal liability by reason of the indemnification provisions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540" w:firstLine="1305"/>
        <w:spacing w:after="0" w:line="342" w:lineRule="auto"/>
        <w:tabs>
          <w:tab w:leader="none" w:pos="19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An Indemnitee shall not be denied indemnification in whole or in part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because the Indemnitee had an interest in the transaction with respect to which the indemnification applies if the transaction was otherwise permitted by the terms of this Agreement.</w:t>
      </w:r>
    </w:p>
    <w:p>
      <w:pPr>
        <w:sectPr>
          <w:pgSz w:w="11900" w:h="16838" w:orient="portrait"/>
          <w:cols w:equalWidth="0" w:num="1">
            <w:col w:w="11420"/>
          </w:cols>
          <w:pgMar w:left="240" w:top="341" w:right="239" w:bottom="0" w:gutter="0" w:footer="0" w:header="0"/>
        </w:sectPr>
      </w:pPr>
    </w:p>
    <w:bookmarkStart w:id="86" w:name="page87"/>
    <w:bookmarkEnd w:id="86"/>
    <w:p>
      <w:pPr>
        <w:spacing w:after="0" w:line="103" w:lineRule="exact"/>
        <w:rPr>
          <w:sz w:val="20"/>
          <w:szCs w:val="20"/>
          <w:color w:val="auto"/>
        </w:rPr>
      </w:pPr>
    </w:p>
    <w:p>
      <w:pPr>
        <w:ind w:right="360" w:firstLine="1305"/>
        <w:spacing w:after="0" w:line="277"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firstLine="1305"/>
        <w:spacing w:after="0" w:line="290" w:lineRule="auto"/>
        <w:tabs>
          <w:tab w:leader="none" w:pos="19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 amendment, modification or repeal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It is expressly acknowledged that the indemnification provided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could involve indemnification for negligence or under theories of strict liability. Notwithstanding the foregoing, no Indemnitee shall be entitled to any indemnity or advancement of expenses in connection with any Proceeding brought (i) by such Indemnified Person against the Company (other than to enforce the rights of such Indemnitee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any Member or any Officer, or (ii) by or in the right of the Company, without the prior written consent of the Managing Member.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u w:val="single" w:color="auto"/>
          <w:color w:val="auto"/>
        </w:rPr>
        <w:t>Liability of Indemnitees</w:t>
      </w:r>
      <w:r>
        <w:rPr>
          <w:rFonts w:ascii="Arial" w:cs="Arial" w:eastAsia="Arial" w:hAnsi="Arial"/>
          <w:sz w:val="17"/>
          <w:szCs w:val="17"/>
          <w:color w:val="auto"/>
        </w:rPr>
        <w:t>.</w:t>
      </w:r>
    </w:p>
    <w:p>
      <w:pPr>
        <w:spacing w:after="0" w:line="225" w:lineRule="exact"/>
        <w:rPr>
          <w:sz w:val="20"/>
          <w:szCs w:val="20"/>
          <w:color w:val="auto"/>
        </w:rPr>
      </w:pPr>
    </w:p>
    <w:p>
      <w:pPr>
        <w:ind w:right="100" w:firstLine="1305"/>
        <w:spacing w:after="0" w:line="312" w:lineRule="auto"/>
        <w:tabs>
          <w:tab w:leader="none" w:pos="1942"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matter in question, the Indemnitee acted in bad faith or engaged in fraud, willful misconduct or, in the case of a criminal matter, acted with knowledge that the Indemnitee’s conduct was criminal.</w:t>
      </w:r>
    </w:p>
    <w:p>
      <w:pPr>
        <w:spacing w:after="0" w:line="170" w:lineRule="exact"/>
        <w:rPr>
          <w:sz w:val="20"/>
          <w:szCs w:val="20"/>
          <w:color w:val="auto"/>
        </w:rPr>
      </w:pPr>
    </w:p>
    <w:p>
      <w:pPr>
        <w:ind w:right="100" w:firstLine="1305"/>
        <w:spacing w:after="0" w:line="264" w:lineRule="auto"/>
        <w:tabs>
          <w:tab w:leader="none" w:pos="1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in good faith.</w:t>
      </w:r>
    </w:p>
    <w:p>
      <w:pPr>
        <w:spacing w:after="0" w:line="181"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this Agreement.</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1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amendment, modification or repeal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provision hereof shall be prospective only and shall not in any way affect the limitations on the liability of the Indemnitees under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Investment Representations of Members</w:t>
      </w:r>
      <w:r>
        <w:rPr>
          <w:rFonts w:ascii="Arial" w:cs="Arial" w:eastAsia="Arial" w:hAnsi="Arial"/>
          <w:sz w:val="16"/>
          <w:szCs w:val="16"/>
          <w:color w:val="auto"/>
        </w:rPr>
        <w:t>. Each Member hereby represents, warrants and acknowledges to the Company that:</w:t>
      </w:r>
    </w:p>
    <w:p>
      <w:pPr>
        <w:spacing w:after="0" w:line="23" w:lineRule="exact"/>
        <w:rPr>
          <w:sz w:val="20"/>
          <w:szCs w:val="20"/>
          <w:color w:val="auto"/>
        </w:rPr>
      </w:pPr>
    </w:p>
    <w:p>
      <w:pPr>
        <w:ind w:firstLine="8"/>
        <w:spacing w:after="0" w:line="254"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WITHDRAWAL; DISSOLUTION; TRANSFER OF MEMBERSHIP INTERESTS; ADMISSION OF NEW MEMBERS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Member Withdrawal</w:t>
      </w:r>
      <w:r>
        <w:rPr>
          <w:rFonts w:ascii="Arial" w:cs="Arial" w:eastAsia="Arial" w:hAnsi="Arial"/>
          <w:sz w:val="18"/>
          <w:szCs w:val="18"/>
          <w:color w:val="auto"/>
        </w:rPr>
        <w:t>. No Member shall have the power or right to withdraw or otherwise resign or be expelled from the Company prior to the dissolution and winding up of the Company except pursuant to a Transfer permitted under this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7" w:lineRule="auto"/>
        <w:tabs>
          <w:tab w:leader="none" w:pos="194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Events</w:t>
      </w:r>
      <w:r>
        <w:rPr>
          <w:rFonts w:ascii="Arial" w:cs="Arial" w:eastAsia="Arial" w:hAnsi="Arial"/>
          <w:sz w:val="18"/>
          <w:szCs w:val="18"/>
          <w:color w:val="auto"/>
        </w:rPr>
        <w:t>. The Company shall be dissolved and its affairs shall be wound up on the first to occur of (i) the determination of the Managing Member, (ii) the entry of a decree of judicial dissolution of the Company under Section 18-802 of the Act or (iii) the termination of the legal existence of the last remaining Member or the occurrence of any other event which terminates the continued membership of the last remaining Member in the Company unless the Company is continued without dissolution in a manner permitted by the Act. In the event of a dissolution pursuant to clause (i) of the immediately preceding sentence, the relative economic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 xml:space="preserve">rights of each Class of Units immediately prior to such dissolution shall be preserved to the greatest extent practicable with respect to distributions made to Members pursuant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below in connection with the winding up of the Company, taking into consideration tax and other legal constraints that may adversely affect one or more parties hereto and subject to compliance with applicable laws and regulations, unless, with respect to any Class of Units, holders of not less than 90% of the Units of such Class consent in writing to a treatment other than as described above.</w:t>
      </w:r>
    </w:p>
    <w:p>
      <w:pPr>
        <w:spacing w:after="0" w:line="171" w:lineRule="exact"/>
        <w:rPr>
          <w:sz w:val="20"/>
          <w:szCs w:val="20"/>
          <w:color w:val="auto"/>
        </w:rPr>
      </w:pPr>
    </w:p>
    <w:p>
      <w:pPr>
        <w:ind w:right="360" w:firstLine="1305"/>
        <w:spacing w:after="0" w:line="264"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Actions Upon Dissolution</w:t>
      </w:r>
      <w:r>
        <w:rPr>
          <w:rFonts w:ascii="Arial" w:cs="Arial" w:eastAsia="Arial" w:hAnsi="Arial"/>
          <w:sz w:val="18"/>
          <w:szCs w:val="18"/>
          <w:color w:val="auto"/>
        </w:rPr>
        <w:t>. When the Company is dissolved, the business and property of the Company shall be wound up and liquidated by the Managing Member or, in the event of the unavailability of the Managing Member or if the Managing Member shall so determine, such Member or other liquidating trustee as shall be named by the Managing Member.</w:t>
      </w:r>
    </w:p>
    <w:p>
      <w:pPr>
        <w:spacing w:after="0" w:line="181" w:lineRule="exact"/>
        <w:rPr>
          <w:rFonts w:ascii="Arial" w:cs="Arial" w:eastAsia="Arial" w:hAnsi="Arial"/>
          <w:sz w:val="18"/>
          <w:szCs w:val="18"/>
          <w:color w:val="auto"/>
        </w:rPr>
      </w:pPr>
    </w:p>
    <w:p>
      <w:pPr>
        <w:ind w:right="200" w:firstLine="1305"/>
        <w:spacing w:after="0" w:line="297" w:lineRule="auto"/>
        <w:tabs>
          <w:tab w:leader="none" w:pos="195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Priority</w:t>
      </w:r>
      <w:r>
        <w:rPr>
          <w:rFonts w:ascii="Arial" w:cs="Arial" w:eastAsia="Arial" w:hAnsi="Arial"/>
          <w:sz w:val="16"/>
          <w:szCs w:val="16"/>
          <w:color w:val="auto"/>
        </w:rPr>
        <w:t xml:space="preserve">. A reasonable time shall be allowed for the orderly winding up of the business and affairs of the Company and the liquidation of its assets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to minimize any losses otherwise attendant upon such winding up. Upon dissolution of the Company, the assets of the Company shall be applied in the following manner and order of priority: (i) to creditors, including Members who are creditors, to the extent otherwise permitted by law, in satisfaction of liabilities of the Company (including all contingent, conditional or unmatured claims), whether by payment or the making of reasonable provision for payment thereof; and (ii) the balance shall be distributed to the Members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ectPr>
          <w:pgSz w:w="11900" w:h="16941" w:orient="portrait"/>
          <w:cols w:equalWidth="0" w:num="1">
            <w:col w:w="11420"/>
          </w:cols>
          <w:pgMar w:left="240" w:top="125" w:right="239" w:bottom="0" w:gutter="0" w:footer="0" w:header="0"/>
        </w:sectPr>
      </w:pPr>
    </w:p>
    <w:bookmarkStart w:id="87" w:name="page88"/>
    <w:bookmarkEnd w:id="87"/>
    <w:p>
      <w:pPr>
        <w:spacing w:after="0" w:line="74" w:lineRule="exact"/>
        <w:rPr>
          <w:sz w:val="20"/>
          <w:szCs w:val="20"/>
          <w:color w:val="auto"/>
        </w:rPr>
      </w:pPr>
    </w:p>
    <w:p>
      <w:pPr>
        <w:ind w:right="260" w:firstLine="1305"/>
        <w:spacing w:after="0" w:line="264"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Cancellation of Certificate</w:t>
      </w:r>
      <w:r>
        <w:rPr>
          <w:rFonts w:ascii="Arial" w:cs="Arial" w:eastAsia="Arial" w:hAnsi="Arial"/>
          <w:sz w:val="18"/>
          <w:szCs w:val="18"/>
          <w:color w:val="auto"/>
        </w:rPr>
        <w:t>. The Company shall terminate when (i) all of the assets of the Company, after payment of or due provision for all debts liabilities and obligations of the Company, shall have been distributed to the Members in the manner provided for in this Agreement and (ii) the Certificate shall have been canceled in the manner required by the Act.</w:t>
      </w:r>
    </w:p>
    <w:p>
      <w:pPr>
        <w:spacing w:after="0" w:line="181" w:lineRule="exact"/>
        <w:rPr>
          <w:rFonts w:ascii="Arial" w:cs="Arial" w:eastAsia="Arial" w:hAnsi="Arial"/>
          <w:sz w:val="18"/>
          <w:szCs w:val="18"/>
          <w:color w:val="auto"/>
        </w:rPr>
      </w:pPr>
    </w:p>
    <w:p>
      <w:pPr>
        <w:ind w:right="400" w:firstLine="1305"/>
        <w:spacing w:after="0" w:line="277" w:lineRule="auto"/>
        <w:tabs>
          <w:tab w:leader="none" w:pos="19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The liquidators of the Company shall not be personally liable for the return of Capital Contributions or any portion thereof to the Members (it being understood that any such return shall be made solely from Company assets).</w:t>
      </w:r>
    </w:p>
    <w:p>
      <w:pPr>
        <w:spacing w:after="0" w:line="170" w:lineRule="exact"/>
        <w:rPr>
          <w:rFonts w:ascii="Arial" w:cs="Arial" w:eastAsia="Arial" w:hAnsi="Arial"/>
          <w:sz w:val="18"/>
          <w:szCs w:val="18"/>
          <w:color w:val="auto"/>
        </w:rPr>
      </w:pPr>
    </w:p>
    <w:p>
      <w:pPr>
        <w:jc w:val="both"/>
        <w:ind w:right="80" w:firstLine="1305"/>
        <w:spacing w:after="0" w:line="257" w:lineRule="auto"/>
        <w:tabs>
          <w:tab w:leader="none" w:pos="1949"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Hart Scott Rodino</w:t>
      </w:r>
      <w:r>
        <w:rPr>
          <w:rFonts w:ascii="Arial" w:cs="Arial" w:eastAsia="Arial" w:hAnsi="Arial"/>
          <w:sz w:val="18"/>
          <w:szCs w:val="18"/>
          <w:color w:val="auto"/>
        </w:rPr>
        <w:t>. Notwithstanding any other provision in this Agreement, in the event the Hart Scott 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 is applicable to any Member by reason of the fact that any assets of the Company will be distributed to such Member in connection with the dissolution of the Company, the distribution of any assets of the Company shall not be consummated until such time as the applicable waiting periods (and extensions thereof) under the HSR Act have expired or otherwise been terminated with respect to each such Member.</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 by Members</w:t>
      </w:r>
      <w:r>
        <w:rPr>
          <w:rFonts w:ascii="Arial" w:cs="Arial" w:eastAsia="Arial" w:hAnsi="Arial"/>
          <w:sz w:val="18"/>
          <w:szCs w:val="18"/>
          <w:color w:val="auto"/>
        </w:rPr>
        <w:t xml:space="preserve">. No Member may Transfer all or any portion of its Units or other interests or rights in the Company except as provided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otherwise with the written consent of the Managing Member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(other than the provisions of </w:t>
      </w:r>
      <w:r>
        <w:rPr>
          <w:rFonts w:ascii="Arial" w:cs="Arial" w:eastAsia="Arial" w:hAnsi="Arial"/>
          <w:sz w:val="18"/>
          <w:szCs w:val="18"/>
          <w:u w:val="single" w:color="auto"/>
          <w:color w:val="auto"/>
        </w:rPr>
        <w:t>Section 7.4 (c)(v)</w:t>
      </w:r>
      <w:r>
        <w:rPr>
          <w:rFonts w:ascii="Arial" w:cs="Arial" w:eastAsia="Arial" w:hAnsi="Arial"/>
          <w:sz w:val="18"/>
          <w:szCs w:val="18"/>
          <w:color w:val="auto"/>
        </w:rPr>
        <w:t xml:space="preserve"> to the extent that such provisions relate to the delivery of legal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and/or tax opinions), without the consent of the Managing Member, a Member may, at any time, Transfer any of such Member’s Units pursuant to the Exchange Agreement. In addition, unless the Managing Member determines in good faith that a proposed Transfer would violate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below, the Managing Member shall be deemed to have consented to a Transfer (i) by a Class B Member of Class B Units then held by such Member to a Permitted Transferee, (ii) by a Class D Member of Class D Units then held by such Member to a Permitted Transferee or (iii) to a Successor in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such Transfer, the transferor shall transfer an equivalent number of shares of Class B Common Stock or Class D Common Stock (as applicable) to the transferee, in accordance with the terms of the Yield Charter. Any purported Transfer of all or a portion of a Member’s Units or other interests in the Company not complying with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void and shall not create any obligation on the part of the Company or the other Members to recognize that Transfer or to deal with the Person to which the Transfer purportedly was made. Notwithstanding anything to the contrary herein, the Class A Units and the Class C Units shall not be Transferable, except to a transferring Class A Member’s or Class C Member’s Successor in Interest (as applicable) or pursuant to the Exchange Agreement.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Admission or Substitution of New Members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Admission</w:t>
      </w:r>
      <w:r>
        <w:rPr>
          <w:rFonts w:ascii="Arial" w:cs="Arial" w:eastAsia="Arial" w:hAnsi="Arial"/>
          <w:sz w:val="16"/>
          <w:szCs w:val="16"/>
          <w:color w:val="auto"/>
        </w:rPr>
        <w:t>. Without the consent of any other Person, the Managing Member shall have the right to admit as a Substituted Member or an Additional Member, any Person who acquires an interest in the Company, or any part thereof, from a Member or from the Company. Concurrently with the admission of a Substituted Member or an Additional Member, the Managing Member shall forthwith (i) amend the Schedule of Members to reflect the name and address of such Substituted Member or Additional Member and to eliminate or modify, as applicable, the name and address of the Transferring Member with regard to the Transferred Units and (ii) cause any necessary papers to be filed and recorded and notice to be given wherever and to the extent required showing the substitution of a Transferee as a Substituted Member in place of the Transferring Member, or the admission of an Additional Member, in each case, at the expense, including payment of any professional and filing fees incurred, of such Substituted Member or Additional Member.</w:t>
      </w:r>
    </w:p>
    <w:p>
      <w:pPr>
        <w:spacing w:after="0" w:line="167" w:lineRule="exact"/>
        <w:rPr>
          <w:rFonts w:ascii="Arial" w:cs="Arial" w:eastAsia="Arial" w:hAnsi="Arial"/>
          <w:sz w:val="16"/>
          <w:szCs w:val="16"/>
          <w:color w:val="auto"/>
        </w:rPr>
      </w:pPr>
    </w:p>
    <w:p>
      <w:pPr>
        <w:jc w:val="both"/>
        <w:ind w:right="80" w:firstLine="1305"/>
        <w:spacing w:after="0" w:line="259" w:lineRule="auto"/>
        <w:tabs>
          <w:tab w:leader="none" w:pos="195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Conditions and Limitations</w:t>
      </w:r>
      <w:r>
        <w:rPr>
          <w:rFonts w:ascii="Arial" w:cs="Arial" w:eastAsia="Arial" w:hAnsi="Arial"/>
          <w:sz w:val="18"/>
          <w:szCs w:val="18"/>
          <w:color w:val="auto"/>
        </w:rPr>
        <w:t xml:space="preserve">. The admission of any Person as a Substituted Member or an Additional Member shall be conditioned upon such Person’s written acceptance and adoption of all the terms and provisions of this Agreement by execution and delivery of the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written instrument(s) in form and substance satisfactory to the Managing Member on behalf of the Company.</w:t>
      </w:r>
    </w:p>
    <w:p>
      <w:pPr>
        <w:spacing w:after="0" w:line="186"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Prohibited Transfers</w:t>
      </w:r>
      <w:r>
        <w:rPr>
          <w:rFonts w:ascii="Arial" w:cs="Arial" w:eastAsia="Arial" w:hAnsi="Arial"/>
          <w:sz w:val="18"/>
          <w:szCs w:val="18"/>
          <w:color w:val="auto"/>
        </w:rPr>
        <w:t>. Notwithstanding any contrary provision in this Agreement, unless each of the Members agrees otherwise in writing, in no event may any Transfer of a Unit or other interest in the Company be made by any Member or Assignee if: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such Transfer is made to any Person who lacks the legal right, power or capacity to own such Unit or other interest in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300" w:right="440" w:firstLine="653"/>
        <w:spacing w:after="0" w:line="277" w:lineRule="auto"/>
        <w:tabs>
          <w:tab w:leader="none" w:pos="2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except as otherwise provided pursuant to the Exchange Agreement, such Transfer (which solely for purposes of this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shall include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issuance of Units upon the exercise of an option or warrant to acquire such Unit) would not be within (or would cause the Company to fail to qualify for) one or more of the safe harbors described in paragraphs (e), (f), (g), (h) or (j) of Treasury Regulations Section 1.7704-1 or otherwise would pose a material risk that the Company could be treated as a “publicly traded partnership” within the meaning of Section 7704 of the Code and the regulations promulgated thereunder;</w:t>
      </w:r>
    </w:p>
    <w:p>
      <w:pPr>
        <w:spacing w:after="0" w:line="187" w:lineRule="exact"/>
        <w:rPr>
          <w:sz w:val="20"/>
          <w:szCs w:val="20"/>
          <w:color w:val="auto"/>
        </w:rPr>
      </w:pPr>
    </w:p>
    <w:p>
      <w:pPr>
        <w:ind w:left="1300" w:right="20" w:firstLine="653"/>
        <w:spacing w:after="0" w:line="279" w:lineRule="auto"/>
        <w:tabs>
          <w:tab w:leader="none" w:pos="2637"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such Transfer would require the registration of such transferred Unit or other interest in the Company or of any Class of Unit or other interest in the Company pursuant to any applicable United States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71" w:lineRule="exact"/>
        <w:rPr>
          <w:rFonts w:ascii="Arial" w:cs="Arial" w:eastAsia="Arial" w:hAnsi="Arial"/>
          <w:sz w:val="17"/>
          <w:szCs w:val="17"/>
          <w:color w:val="auto"/>
        </w:rPr>
      </w:pPr>
    </w:p>
    <w:p>
      <w:pPr>
        <w:ind w:left="1300" w:right="220" w:firstLine="653"/>
        <w:spacing w:after="0" w:line="259" w:lineRule="auto"/>
        <w:tabs>
          <w:tab w:leader="none" w:pos="261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Transfer would cause any portion of the assets of the Company to become “plan assets” of any “benefit plan investor” within the meaning of regulations issued by the U.S. Department of Labor at Section 2510.3-101 of Part 2510 of Chapter XXV, Title 29 of the Code of Federal Regulations as modified by Section 3(42) of the Employee Retirement Income Security Act of 1974, as amended from time to time; or</w:t>
      </w:r>
    </w:p>
    <w:p>
      <w:pPr>
        <w:sectPr>
          <w:pgSz w:w="11900" w:h="16912" w:orient="portrait"/>
          <w:cols w:equalWidth="0" w:num="1">
            <w:col w:w="11400"/>
          </w:cols>
          <w:pgMar w:left="240" w:top="341" w:right="259" w:bottom="0" w:gutter="0" w:footer="0" w:header="0"/>
        </w:sectPr>
      </w:pPr>
    </w:p>
    <w:bookmarkStart w:id="88" w:name="page89"/>
    <w:bookmarkEnd w:id="88"/>
    <w:p>
      <w:pPr>
        <w:spacing w:after="0" w:line="106" w:lineRule="exact"/>
        <w:rPr>
          <w:sz w:val="20"/>
          <w:szCs w:val="20"/>
          <w:color w:val="auto"/>
        </w:rPr>
      </w:pPr>
    </w:p>
    <w:p>
      <w:pPr>
        <w:ind w:left="1300" w:right="220" w:firstLine="653"/>
        <w:spacing w:after="0" w:line="259" w:lineRule="auto"/>
        <w:tabs>
          <w:tab w:leader="none" w:pos="26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notwithstanding any contrary provision in this Agreement, to the extent the Managing Member shall determine that interests in the Company do not meet or will not meet the requirements of Treasury Regulation Section 1.7704-1(h) or could cause the Company to be treated as a publicly traded partnership within the meaning of Section 7704 of the Code, the Managing Member may impose such restrictions on the Transfer of Units or other interests in the Company as the Managing Member may determine to be necessary or advisable so that the Company is not treated as a publicly traded partnership taxable as a corporation under Section 7704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Any Transfer in violation 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shall be null and void ab initio and of no effect.</w:t>
      </w:r>
    </w:p>
    <w:p>
      <w:pPr>
        <w:spacing w:after="0" w:line="225" w:lineRule="exact"/>
        <w:rPr>
          <w:sz w:val="20"/>
          <w:szCs w:val="20"/>
          <w:color w:val="auto"/>
        </w:rPr>
      </w:pPr>
    </w:p>
    <w:p>
      <w:pPr>
        <w:jc w:val="both"/>
        <w:ind w:firstLine="1305"/>
        <w:spacing w:after="0" w:line="279" w:lineRule="auto"/>
        <w:tabs>
          <w:tab w:leader="none" w:pos="1952"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Effect of Transfer to Substituted Member</w:t>
      </w:r>
      <w:r>
        <w:rPr>
          <w:rFonts w:ascii="Arial" w:cs="Arial" w:eastAsia="Arial" w:hAnsi="Arial"/>
          <w:sz w:val="17"/>
          <w:szCs w:val="17"/>
          <w:color w:val="auto"/>
        </w:rPr>
        <w:t xml:space="preserve">. Following the Transfer of any Unit or other interest in the Company that is permitted under </w:t>
      </w:r>
      <w:r>
        <w:rPr>
          <w:rFonts w:ascii="Arial" w:cs="Arial" w:eastAsia="Arial" w:hAnsi="Arial"/>
          <w:sz w:val="17"/>
          <w:szCs w:val="17"/>
          <w:u w:val="single" w:color="auto"/>
          <w:color w:val="auto"/>
        </w:rPr>
        <w:t>Sections 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7.4</w:t>
      </w:r>
      <w:r>
        <w:rPr>
          <w:rFonts w:ascii="Arial" w:cs="Arial" w:eastAsia="Arial" w:hAnsi="Arial"/>
          <w:sz w:val="17"/>
          <w:szCs w:val="17"/>
          <w:color w:val="auto"/>
        </w:rPr>
        <w:t>, the Transferee of such Unit or other interest in the Company shall be treated as having made all of the Capital Contributions in respect of, and received all of the distributions received in respect of, such Unit or other interest in the Company, shall succeed to the Capital Account balance associated with such Unit or other interest in the Company, shall receive allocations and distributions under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respect of such Unit or other interest in the Company and otherwise shall become a Substituted Member entitled to all the rights of a Member with respect to such Unit or other interest in the Company.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Additional Requirements</w:t>
      </w:r>
      <w:r>
        <w:rPr>
          <w:rFonts w:ascii="Arial" w:cs="Arial" w:eastAsia="Arial" w:hAnsi="Arial"/>
          <w:sz w:val="17"/>
          <w:szCs w:val="17"/>
          <w:color w:val="auto"/>
        </w:rPr>
        <w:t>. Notwithstanding any contrary provision in this Agreement, for the avoidance of doubt, the Managing Member may impose such vesting requirements, forfeiture provisions, Transfer restrictions, minimum retained ownership requirements or other similar provisions with respect to any interests in the Company that are outstanding as of the date of this Agreement or are created hereafter, with the written consent of the holder of such interests in the Company. Such requirements, provisions and restrictions need not be uniform among holders of interests in the Company and may be waived or released by the Managing Member in its sole discretion with respect to all or a portion of the interests in the Company owned by any one or more Members or Assignees at any time and from time to time, and such actions or omissions by the Managing Member shall not constitute the breach of this Agreement or of any duty hereunder or otherwise existing at law, in equity or otherwise.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Bankruptcy</w:t>
      </w:r>
      <w:r>
        <w:rPr>
          <w:rFonts w:ascii="Arial" w:cs="Arial" w:eastAsia="Arial" w:hAnsi="Arial"/>
          <w:sz w:val="18"/>
          <w:szCs w:val="18"/>
          <w:color w:val="auto"/>
        </w:rPr>
        <w:t>. Notwithstanding any other provision of this Agreement, the Bankruptcy of a Member shall not cause such Member to cease to be a member of the Company and upon the occurrence of such an event, the Company shall continue without dissolution.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Mandatory Exchange</w:t>
      </w:r>
      <w:r>
        <w:rPr>
          <w:rFonts w:ascii="Arial" w:cs="Arial" w:eastAsia="Arial" w:hAnsi="Arial"/>
          <w:sz w:val="17"/>
          <w:szCs w:val="17"/>
          <w:color w:val="auto"/>
        </w:rPr>
        <w:t xml:space="preserve">. The Managing Member may, with the consent of each of the Class B Members and Class D Members who, together with its Affiliates and Permitted Transferees, beneficially own at least 75% of the Class B Units and Class D Units in the aggregate, require all Members holding Class B Units or Class D Units to exchange all such Units held by them pursuant to the Exchange Agreement. Any exchange of Class B Units and Class D Units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be treated as a transfer of Units governed by </w:t>
      </w:r>
      <w:r>
        <w:rPr>
          <w:rFonts w:ascii="Arial" w:cs="Arial" w:eastAsia="Arial" w:hAnsi="Arial"/>
          <w:sz w:val="17"/>
          <w:szCs w:val="17"/>
          <w:u w:val="single" w:color="auto"/>
          <w:color w:val="auto"/>
        </w:rPr>
        <w:t>Section 3.2(c)</w:t>
      </w:r>
      <w:r>
        <w:rPr>
          <w:rFonts w:ascii="Arial" w:cs="Arial" w:eastAsia="Arial" w:hAnsi="Arial"/>
          <w:sz w:val="17"/>
          <w:szCs w:val="17"/>
          <w:color w:val="auto"/>
        </w:rPr>
        <w: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BOOKS AND RECORDS; FINANCIAL STATEMENTS AND OTHER INFORMATION; TAX MATTERS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keep at its principal executive office (i) correct and complete books and records of account (which, in the case of financial records, shall be kept in accordance with GAAP), (ii) minutes of the proceedings of meetings of the Members, (iii) a current list of the directors and officers of the Company and its Subsidiaries and their respective residence addresses, and (iv) a record containing the names and addresses of all Members, the total number of Units held by each Member, and the dates when they respectively became the owners of record thereof. Any of the foregoing books, minutes or records may be in written form or in any other form capable of being converted into written form within a reasonable time. Except as expressly set forth in this Agreement, notwithstanding the rights set forth in Section 18-305 of the Act, no Member shall have the right to obtain information from the Company.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7"/>
          <w:szCs w:val="17"/>
          <w:u w:val="single" w:color="auto"/>
          <w:color w:val="auto"/>
        </w:rPr>
        <w:t>Information</w:t>
      </w:r>
      <w:r>
        <w:rPr>
          <w:rFonts w:ascii="Arial" w:cs="Arial" w:eastAsia="Arial" w:hAnsi="Arial"/>
          <w:sz w:val="17"/>
          <w:szCs w:val="17"/>
          <w:color w:val="auto"/>
        </w:rPr>
        <w:t>.</w:t>
      </w:r>
    </w:p>
    <w:p>
      <w:pPr>
        <w:spacing w:after="0" w:line="225" w:lineRule="exact"/>
        <w:rPr>
          <w:sz w:val="20"/>
          <w:szCs w:val="20"/>
          <w:color w:val="auto"/>
        </w:rPr>
      </w:pPr>
    </w:p>
    <w:p>
      <w:pPr>
        <w:ind w:right="340" w:firstLine="1305"/>
        <w:spacing w:after="0" w:line="277" w:lineRule="auto"/>
        <w:tabs>
          <w:tab w:leader="none" w:pos="19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Members shall be supplied at the Company’s expense with all other Company information reasonably necessary to enable each Member to prepare its federal, state, and local income tax returns on a timely basis.</w:t>
      </w:r>
    </w:p>
    <w:p>
      <w:pPr>
        <w:spacing w:after="0" w:line="170" w:lineRule="exact"/>
        <w:rPr>
          <w:rFonts w:ascii="Arial" w:cs="Arial" w:eastAsia="Arial" w:hAnsi="Arial"/>
          <w:sz w:val="18"/>
          <w:szCs w:val="18"/>
          <w:color w:val="auto"/>
        </w:rPr>
      </w:pPr>
    </w:p>
    <w:p>
      <w:pPr>
        <w:ind w:firstLine="1305"/>
        <w:spacing w:after="0" w:line="279" w:lineRule="auto"/>
        <w:tabs>
          <w:tab w:leader="none" w:pos="1952" w:val="left"/>
        </w:tabs>
        <w:numPr>
          <w:ilvl w:val="0"/>
          <w:numId w:val="95"/>
        </w:numPr>
        <w:rPr>
          <w:rFonts w:ascii="Arial" w:cs="Arial" w:eastAsia="Arial" w:hAnsi="Arial"/>
          <w:sz w:val="17"/>
          <w:szCs w:val="17"/>
          <w:color w:val="auto"/>
        </w:rPr>
      </w:pPr>
      <w:r>
        <w:rPr>
          <w:rFonts w:ascii="Arial" w:cs="Arial" w:eastAsia="Arial" w:hAnsi="Arial"/>
          <w:sz w:val="17"/>
          <w:szCs w:val="17"/>
          <w:color w:val="auto"/>
        </w:rPr>
        <w:t>All determinations, valuations and other matters of judgment required to be made for ordinary course accounting purposes under this Agreement shall be made by the Managing Member and shall be conclusive and binding on all Members, their Successors in Interest and any other Person who is a party to or otherwise bound by this Agreement, and to the fullest extent permitted by law or as otherwise provided in this Agreement, no such Person shall have the right to an accounting or an appraisal of the assets of the Company or any successor thereto.</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 shall end on December 31st unless otherwise determined by the Managing Member in its sole discretion in accordance with Section 706 of the Code.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302" w:lineRule="auto"/>
        <w:tabs>
          <w:tab w:leader="none" w:pos="194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Preparation of Returns</w:t>
      </w:r>
      <w:r>
        <w:rPr>
          <w:rFonts w:ascii="Arial" w:cs="Arial" w:eastAsia="Arial" w:hAnsi="Arial"/>
          <w:sz w:val="16"/>
          <w:szCs w:val="16"/>
          <w:color w:val="auto"/>
        </w:rPr>
        <w:t>. The Managing Member shall cause to be prepared all federal, state and local tax returns of the Company for each year for which such returns are required to be filed and shall cause such returns to be timely filed. The Managing Member shall determine the appropriate treatment of each item of income, gain, loss, deduction and credit of the Company and the accounting methods and conventions under the tax laws of the United States of America, the several states and other relevant jurisdictions as to the treatment of any such item or any other method or procedure</w:t>
      </w:r>
    </w:p>
    <w:p>
      <w:pPr>
        <w:sectPr>
          <w:pgSz w:w="11900" w:h="16945" w:orient="portrait"/>
          <w:cols w:equalWidth="0" w:num="1">
            <w:col w:w="11400"/>
          </w:cols>
          <w:pgMar w:left="240" w:top="341" w:right="259" w:bottom="0" w:gutter="0" w:footer="0" w:header="0"/>
        </w:sectPr>
      </w:pPr>
    </w:p>
    <w:bookmarkStart w:id="89" w:name="page90"/>
    <w:bookmarkEnd w:id="89"/>
    <w:p>
      <w:pPr>
        <w:ind w:right="80"/>
        <w:spacing w:after="0" w:line="297" w:lineRule="auto"/>
        <w:rPr>
          <w:sz w:val="20"/>
          <w:szCs w:val="20"/>
          <w:color w:val="auto"/>
        </w:rPr>
      </w:pPr>
      <w:r>
        <w:rPr>
          <w:rFonts w:ascii="Arial" w:cs="Arial" w:eastAsia="Arial" w:hAnsi="Arial"/>
          <w:sz w:val="16"/>
          <w:szCs w:val="16"/>
          <w:color w:val="auto"/>
        </w:rPr>
        <w:t>related to the preparation of such tax returns. Except as specifically provided otherwise in this Agreement, the Managing Member may cause the Company to make or refrain from making any and all elections permitted by such tax laws. As promptly as practicable after the end of each Fiscal Year, the Managing Member shall cause the Company to provide to each Member a Schedule K-1 for such Fiscal Year. Additionally, the Managing Member shall cause the Company to provide on a timely basis to each Member, to the extent commercially reasonable and available to the Company without undue cost, any information reasonably required by the Member to prepare, or in connection with an audit of, such Member’s income tax returns.</w:t>
      </w:r>
    </w:p>
    <w:p>
      <w:pPr>
        <w:spacing w:after="0" w:line="158" w:lineRule="exact"/>
        <w:rPr>
          <w:sz w:val="20"/>
          <w:szCs w:val="20"/>
          <w:color w:val="auto"/>
        </w:rPr>
      </w:pPr>
    </w:p>
    <w:p>
      <w:pPr>
        <w:ind w:right="120" w:firstLine="1305"/>
        <w:spacing w:after="0" w:line="257"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Consistent Treatment</w:t>
      </w:r>
      <w:r>
        <w:rPr>
          <w:rFonts w:ascii="Arial" w:cs="Arial" w:eastAsia="Arial" w:hAnsi="Arial"/>
          <w:sz w:val="18"/>
          <w:szCs w:val="18"/>
          <w:color w:val="auto"/>
        </w:rPr>
        <w:t>. Each Member agrees that it shall not, except as otherwise required by applicable law or regulatory requirements, (i) treat, on its individual income tax returns, any item of income, gain, loss, deduction or credit relating to its interest in the Company in a manner inconsistent with the treatment of such item by the Company as reflected on the Form K-1 or other information statement furnished by the Company to such Member for use in preparing its income tax returns or (ii) file any claim for refund relating to any such item based on, or which would result in, such inconsistent treatment.</w:t>
      </w:r>
    </w:p>
    <w:p>
      <w:pPr>
        <w:spacing w:after="0" w:line="188" w:lineRule="exact"/>
        <w:rPr>
          <w:rFonts w:ascii="Arial" w:cs="Arial" w:eastAsia="Arial" w:hAnsi="Arial"/>
          <w:sz w:val="18"/>
          <w:szCs w:val="18"/>
          <w:color w:val="auto"/>
        </w:rPr>
      </w:pPr>
    </w:p>
    <w:p>
      <w:pPr>
        <w:ind w:right="540" w:firstLine="1305"/>
        <w:spacing w:after="0" w:line="308" w:lineRule="auto"/>
        <w:tabs>
          <w:tab w:leader="none" w:pos="195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Duties of the Tax Matters Member and Partnership Representative</w:t>
      </w:r>
      <w:r>
        <w:rPr>
          <w:rFonts w:ascii="Arial" w:cs="Arial" w:eastAsia="Arial" w:hAnsi="Arial"/>
          <w:sz w:val="17"/>
          <w:szCs w:val="17"/>
          <w:color w:val="auto"/>
        </w:rPr>
        <w:t>. In respect of an income tax audit of any tax return of the Company, the filing of any amended return or claim for refund in connection with any item of income, gain, loss, deduction or credit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reflected on any tax return of the Company, or any administrative or judicial proceedings arising out of or in connection with any such audit, amended return, claim for refund or denial of such claim, (i) the Managing Member shall direct the Tax Matters Member or Partnership Representative, as applicable, to act for, and such action shall be final and binding upon, the Company and all Members except to the extent a Member shall properly elect to be excluded from such proceeding pursuant to the Code, (ii) all expenses incurred by the Tax Matters Member or Partnership Representative, as applicable, in connection therewith (including attorneys’, accountants’ and other experts’ fees and disbursements) shall be expenses of, and payable by, the Company, (iii) no Member shall have the right to (A) participate in the audit of any Company tax return, (B) file any amended return or claim for refund in connection with any item of income, gain, loss, deduction or credit (other than items which are not partnership items within the meaning of Code Section 6231(a) (4) or which cease to be partnership items under Code Section 6231(b)) reflected on any tax return of the Company, (C) participate in any administrative or judicial proceedings conducted by the Company, the Tax Matters Member or Partnership Representative, as applicable, arising out of or in connection with any such audit, amended return, claim for refund or denial of such claim, or (D) appeal, challenge or otherwise protest any adverse findings in any such audit conducted by the Company, the Tax Matters Member or Partnership Representative, as applicable, or with respect to any such amended return or claim for refund filed by the Company, the Tax Matters Member or Partnership Representative, as applicable, or in any such administrative or judicial proceedings conducted by the Company, the Tax Matters Member or Partnership Representative, as applicable, and (iv) the Tax Matters Member or Partnership Representative, as applicable, shall keep the Members reasonably apprised of the status of any such proceeding. Notwithstanding the previous sentence, if a petition for a readjustment to any partnership item included in a final partnership administrative adjustment is filed with a District Court or the Court of Claims and the IRS has elected to assess income tax against a Member with respect to that final partnership administrative adjustment (rather than suspending assessments until the District Court or Court of Claims proceedings become final), such Member shall be permitted to file a claim for refund within such period of time as to avoid application of any statute of limitations which would otherwise prevent the Member from having any claim based on the final outcome of that review.</w:t>
      </w:r>
    </w:p>
    <w:p>
      <w:pPr>
        <w:spacing w:after="0" w:line="173" w:lineRule="exact"/>
        <w:rPr>
          <w:sz w:val="20"/>
          <w:szCs w:val="20"/>
          <w:color w:val="auto"/>
        </w:rPr>
      </w:pPr>
    </w:p>
    <w:p>
      <w:pPr>
        <w:ind w:left="1960" w:hanging="655"/>
        <w:spacing w:after="0"/>
        <w:tabs>
          <w:tab w:leader="none" w:pos="196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Tax Matters Member and Partnership Representative</w:t>
      </w:r>
      <w:r>
        <w:rPr>
          <w:rFonts w:ascii="Arial" w:cs="Arial" w:eastAsia="Arial" w:hAnsi="Arial"/>
          <w:sz w:val="16"/>
          <w:szCs w:val="16"/>
          <w:color w:val="auto"/>
        </w:rPr>
        <w:t>. The Company and each Member hereby designate the Managing Member as</w:t>
      </w:r>
    </w:p>
    <w:p>
      <w:pPr>
        <w:spacing w:after="0" w:line="46" w:lineRule="exact"/>
        <w:rPr>
          <w:rFonts w:ascii="Arial" w:cs="Arial" w:eastAsia="Arial" w:hAnsi="Arial"/>
          <w:sz w:val="16"/>
          <w:szCs w:val="16"/>
          <w:color w:val="auto"/>
        </w:rPr>
      </w:pPr>
    </w:p>
    <w:p>
      <w:pPr>
        <w:ind w:right="320" w:firstLine="8"/>
        <w:spacing w:after="0" w:line="261"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“tax matters partner” for purposes of Code Section 6231(a)(7) (the “</w:t>
      </w:r>
      <w:r>
        <w:rPr>
          <w:rFonts w:ascii="Arial" w:cs="Arial" w:eastAsia="Arial" w:hAnsi="Arial"/>
          <w:sz w:val="18"/>
          <w:szCs w:val="18"/>
          <w:u w:val="single" w:color="auto"/>
          <w:color w:val="auto"/>
        </w:rPr>
        <w:t>Tax Matters Member</w:t>
      </w:r>
      <w:r>
        <w:rPr>
          <w:rFonts w:ascii="Arial" w:cs="Arial" w:eastAsia="Arial" w:hAnsi="Arial"/>
          <w:sz w:val="18"/>
          <w:szCs w:val="18"/>
          <w:color w:val="auto"/>
        </w:rPr>
        <w:t>”) and (ii) the “partnership representative” for purposes of Code Section 6223 (the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40" w:firstLine="1305"/>
        <w:spacing w:after="0" w:line="264" w:lineRule="auto"/>
        <w:tabs>
          <w:tab w:leader="none" w:pos="195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Certain Filings</w:t>
      </w:r>
      <w:r>
        <w:rPr>
          <w:rFonts w:ascii="Arial" w:cs="Arial" w:eastAsia="Arial" w:hAnsi="Arial"/>
          <w:sz w:val="18"/>
          <w:szCs w:val="18"/>
          <w:color w:val="auto"/>
        </w:rPr>
        <w:t>. Upon the Transfer of an interest in the Company (within the meaning of the Code), a sale of Company assets or a liquidation of the Company, the Members shall provide the Managing Member with information and shall make tax filings as reasonably requested by the Managing Member and required under applicable law.</w:t>
      </w:r>
    </w:p>
    <w:p>
      <w:pPr>
        <w:spacing w:after="0" w:line="181" w:lineRule="exact"/>
        <w:rPr>
          <w:rFonts w:ascii="Arial" w:cs="Arial" w:eastAsia="Arial" w:hAnsi="Arial"/>
          <w:sz w:val="18"/>
          <w:szCs w:val="18"/>
          <w:color w:val="auto"/>
        </w:rPr>
      </w:pPr>
    </w:p>
    <w:p>
      <w:pPr>
        <w:jc w:val="both"/>
        <w:ind w:right="100" w:firstLine="1305"/>
        <w:spacing w:after="0" w:line="259" w:lineRule="auto"/>
        <w:tabs>
          <w:tab w:leader="none" w:pos="1949"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Section 754 Election</w:t>
      </w:r>
      <w:r>
        <w:rPr>
          <w:rFonts w:ascii="Arial" w:cs="Arial" w:eastAsia="Arial" w:hAnsi="Arial"/>
          <w:sz w:val="18"/>
          <w:szCs w:val="18"/>
          <w:color w:val="auto"/>
        </w:rPr>
        <w:t>. The Managing Member shall cause the Company to make and to maintain and keep in effect at all times, in accordance with Sections 734, 743 and 754 of the Code and applicable Treasury Regulations and comparable state law provisions, an election to adjust basis in the event (i) any Class B Unit is Transferred in accordance with this Agreement or the Exchange Agreement or (ii) any Company property is distributed to any Member.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7" w:lineRule="auto"/>
        <w:tabs>
          <w:tab w:leader="none" w:pos="196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Imputed Underpayment</w:t>
      </w:r>
      <w:r>
        <w:rPr>
          <w:rFonts w:ascii="Arial" w:cs="Arial" w:eastAsia="Arial" w:hAnsi="Arial"/>
          <w:sz w:val="18"/>
          <w:szCs w:val="18"/>
          <w:color w:val="auto"/>
        </w:rPr>
        <w:t xml:space="preserve">. If the Company pays an imputed underpayment pursuant to Section 6225 of the Code, to the extent possible, the portion thereof attributable to a Member shall be treated as a withholding tax with respect to such Member under </w:t>
      </w:r>
      <w:r>
        <w:rPr>
          <w:rFonts w:ascii="Arial" w:cs="Arial" w:eastAsia="Arial" w:hAnsi="Arial"/>
          <w:sz w:val="18"/>
          <w:szCs w:val="18"/>
          <w:u w:val="single" w:color="auto"/>
          <w:color w:val="auto"/>
        </w:rPr>
        <w:t>Section 4.6</w:t>
      </w:r>
      <w:r>
        <w:rPr>
          <w:rFonts w:ascii="Arial" w:cs="Arial" w:eastAsia="Arial" w:hAnsi="Arial"/>
          <w:sz w:val="18"/>
          <w:szCs w:val="18"/>
          <w:color w:val="auto"/>
        </w:rPr>
        <w:t>. To the extent that such portion of an imputed underpayment cannot be withheld from a current distribution, the Member (or former Member) shall be liable to the Company for the amount that cannot be so offset (including any liability for Taxes, penalties, additions to Tax or interest). The Company may elect the alternative set forth in Section 6226 of the Code instead of paying the imputed underpayment.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Separate Agreements; Schedules</w:t>
      </w:r>
      <w:r>
        <w:rPr>
          <w:rFonts w:ascii="Arial" w:cs="Arial" w:eastAsia="Arial" w:hAnsi="Arial"/>
          <w:sz w:val="17"/>
          <w:szCs w:val="17"/>
          <w:color w:val="auto"/>
        </w:rPr>
        <w:t xml:space="preserve">. Notwithstanding any other provision of this Agreement, including </w:t>
      </w:r>
      <w:r>
        <w:rPr>
          <w:rFonts w:ascii="Arial" w:cs="Arial" w:eastAsia="Arial" w:hAnsi="Arial"/>
          <w:sz w:val="17"/>
          <w:szCs w:val="17"/>
          <w:u w:val="single" w:color="auto"/>
          <w:color w:val="auto"/>
        </w:rPr>
        <w:t>Section 9.4</w:t>
      </w:r>
      <w:r>
        <w:rPr>
          <w:rFonts w:ascii="Arial" w:cs="Arial" w:eastAsia="Arial" w:hAnsi="Arial"/>
          <w:sz w:val="17"/>
          <w:szCs w:val="17"/>
          <w:color w:val="auto"/>
        </w:rPr>
        <w:t>, or of any other binding agreement between the Company and any Member, the Managing Member may, or may cause the Company to, without the approval of any other Member or other Person, enter into separate agreements with individual Members with respect to any matter, which have the effect of establishing rights under, or altering, supplementing or amending the terms of, this Agreement or any such separate agreement. The parties hereto agree that any terms contained in any such separate agreement shall govern with respect to such Member(s) party thereto notwithstanding the provisions of this Agreement. The Managing Member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Governing Law; Disputes</w:t>
      </w:r>
      <w:r>
        <w:rPr>
          <w:rFonts w:ascii="Arial" w:cs="Arial" w:eastAsia="Arial" w:hAnsi="Arial"/>
          <w:sz w:val="16"/>
          <w:szCs w:val="16"/>
          <w:color w:val="auto"/>
        </w:rPr>
        <w:t>.</w:t>
      </w:r>
    </w:p>
    <w:p>
      <w:pPr>
        <w:sectPr>
          <w:pgSz w:w="11900" w:h="16838" w:orient="portrait"/>
          <w:cols w:equalWidth="0" w:num="1">
            <w:col w:w="11420"/>
          </w:cols>
          <w:pgMar w:left="240" w:top="125" w:right="239" w:bottom="32" w:gutter="0" w:footer="0" w:header="0"/>
        </w:sectPr>
      </w:pPr>
    </w:p>
    <w:bookmarkStart w:id="90" w:name="page91"/>
    <w:bookmarkEnd w:id="90"/>
    <w:p>
      <w:pPr>
        <w:jc w:val="both"/>
        <w:ind w:right="340" w:firstLine="1305"/>
        <w:spacing w:after="0" w:line="264" w:lineRule="auto"/>
        <w:tabs>
          <w:tab w:leader="none" w:pos="194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IS GOVERNED BY AND SHALL BE CONSTRUED IN ACCORDANCE WITH THE LAW OF THE STATE OF DELAWARE, EXCLUDING ANY CONFLICT OF LAWS RULE OR PRINCIPLE THAT MIGHT REFER THE GOVERNANCE OR THE CONSTRUCTION OF THIS AGREEMENT TO THE LAW OF ANOTHER JURISDICTION.</w:t>
      </w:r>
    </w:p>
    <w:p>
      <w:pPr>
        <w:spacing w:after="0" w:line="181" w:lineRule="exact"/>
        <w:rPr>
          <w:rFonts w:ascii="Arial" w:cs="Arial" w:eastAsia="Arial" w:hAnsi="Arial"/>
          <w:sz w:val="18"/>
          <w:szCs w:val="18"/>
          <w:color w:val="auto"/>
        </w:rPr>
      </w:pPr>
    </w:p>
    <w:p>
      <w:pPr>
        <w:ind w:right="40" w:firstLine="1305"/>
        <w:spacing w:after="0" w:line="290" w:lineRule="auto"/>
        <w:tabs>
          <w:tab w:leader="none" w:pos="19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dispute, controversy or claim solely arising out of, relating to or in connection with rights or obligations of any Member holding Units of a Class vis-à-vis a Member holding Units of another Class shall be finally settled by arbitration. The arbitration shall take place in Wilmington, Delaware and be conducted in accordance with the Commercial Arbitration Rules of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then in effect (except as they may be modified by mutual agreement of the Member holding Units of a Class and the affected Member holding Units of another Class.).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Company. Performance under this Agreement shall continue if reasonably possible during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arbitration proceedings. Notwithstanding the foregoing, the parties hereto may bring an action or special proceeding in any court of competent jurisdiction for the purpose of compelling a party to arbitrate and/or seeking temporary or preliminary relief in aid of an arbitration hereunder.</w:t>
      </w:r>
    </w:p>
    <w:p>
      <w:pPr>
        <w:spacing w:after="0" w:line="170" w:lineRule="exact"/>
        <w:rPr>
          <w:sz w:val="20"/>
          <w:szCs w:val="20"/>
          <w:color w:val="auto"/>
        </w:rPr>
      </w:pPr>
    </w:p>
    <w:p>
      <w:pPr>
        <w:ind w:firstLine="1305"/>
        <w:spacing w:after="0" w:line="272" w:lineRule="auto"/>
        <w:tabs>
          <w:tab w:leader="none" w:pos="19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party agrees that it shall bring any action, suit, demand or proceeding (including counterclaims) in respect of any claim arising out of or related to this Agreement or the transactions contemplated hereby, exclusively in the United States District Court for the District of Delaware or any Delaware State court, in each case, sitting in the City of Wilmington, Delaware (the “</w:t>
      </w:r>
      <w:r>
        <w:rPr>
          <w:rFonts w:ascii="Arial" w:cs="Arial" w:eastAsia="Arial" w:hAnsi="Arial"/>
          <w:sz w:val="17"/>
          <w:szCs w:val="17"/>
          <w:u w:val="single" w:color="auto"/>
          <w:color w:val="auto"/>
        </w:rPr>
        <w:t>Chosen Courts</w:t>
      </w:r>
      <w:r>
        <w:rPr>
          <w:rFonts w:ascii="Arial" w:cs="Arial" w:eastAsia="Arial" w:hAnsi="Arial"/>
          <w:sz w:val="17"/>
          <w:szCs w:val="17"/>
          <w:color w:val="auto"/>
        </w:rPr>
        <w:t xml:space="preserve">”), and solely in connection with claims arising under this Agreement or the transactions contemplated hereby (i) irrevocably submits to the exclusive jurisdiction of the Chosen Courts, (ii) waives any objection to laying venue in any such action, suit, demand or proceeding in the Chosen Courts, (iii) waives any objection that the Chosen Courts are an inconvenient forum or do not have jurisdiction over any Party and (iv) agrees that service of process upon such party in any such action, suit, demand or proceeding shall be effective if notice is given in accordance with </w:t>
      </w:r>
      <w:r>
        <w:rPr>
          <w:rFonts w:ascii="Arial" w:cs="Arial" w:eastAsia="Arial" w:hAnsi="Arial"/>
          <w:sz w:val="17"/>
          <w:szCs w:val="17"/>
          <w:u w:val="single" w:color="auto"/>
          <w:color w:val="auto"/>
        </w:rPr>
        <w:t>Section 9.5</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1305"/>
        <w:spacing w:after="0" w:line="264" w:lineRule="auto"/>
        <w:tabs>
          <w:tab w:leader="none" w:pos="19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PARTY IRREVOCABLY WAIVES ANY AND ALL RIGHT TO TRIAL BY JURY IN ANY ACTION, SUIT, DEMAND OR PROCEEDING (INCLUDING COUNTERCLAIMS) ARISING OUT OF OR RELATED TO THIS AGREEMENT OR THE TRANSACTIONS CONTEMPLATED HEREBY.</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shall be binding upon and shall inure to the benefit of the parties hereto and their respective Successors in Interest; provided that no Person claiming by, through or under a Member (whether as such Member’s Successor in Interest or otherwise), as distinct from such Member itself, shall have any rights as, or in respect to, a Member (including the right to approve or vote on any matter or to notice thereof), and nothing in this Agreement (express or implied) is intended to confer upon any other Person any rights or remedies of any nature whatsoever under or by reason of this Agreement.</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may be amended, supplemented, waived or modified with the written consent of the Managing Member and the Members holding a majority of each class of outstanding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the Managing Member is Yield, any such amendment, supplement or waiver must be approved by a majority of Yield’s independent directors (as determined in accordance with the applicable listing rules of the exchange on which Yield’s common stock is listed as of the time of such amendment, supplement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books and records of the Company (including the Schedule of Members) shall be deemed amended from time to time to reflect the admission of a new Member, the withdrawal or resignation of a Member, the adjustment of the Units or other interests in the Company resulting from any issuance, Transfer or other disposition of Units or other interests in the Company, in each case that is made in accordance with the provisions hereof.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remedies herein provided shall be cumulative and not exclusive of any rights or remedies provided by law.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or permitted by this Agreement to be given, such notice shall be in writing and shall be given to any Member at such Member’s address, facsimile number or email address shown in the Company’s books and records, or, if given to the Company, at the following address: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804 Carnegie Center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(609) 524-4501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ogc@nrgyield.com</w:t>
      </w:r>
    </w:p>
    <w:p>
      <w:pPr>
        <w:spacing w:after="0" w:line="21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Each proper notice shall be effective upon any of the following: (a) personal delivery to the recipient, (b) when sent by facsimile or email to the recipient (with confirmation of receipt), (c) one Business Day after being sent to the recipient by reputable overnight courier service (charges prepaid) or (d) three Business Days after being deposited in the mails (first class or airmail postage prepaid).</w:t>
      </w:r>
    </w:p>
    <w:p>
      <w:pPr>
        <w:sectPr>
          <w:pgSz w:w="11900" w:h="16838" w:orient="portrait"/>
          <w:cols w:equalWidth="0" w:num="1">
            <w:col w:w="11380"/>
          </w:cols>
          <w:pgMar w:left="240" w:top="125" w:right="279" w:bottom="0" w:gutter="0" w:footer="0" w:header="0"/>
        </w:sectPr>
      </w:pPr>
    </w:p>
    <w:bookmarkStart w:id="91" w:name="page92"/>
    <w:bookmarkEnd w:id="91"/>
    <w:p>
      <w:pPr>
        <w:ind w:right="220" w:firstLine="648"/>
        <w:spacing w:after="0" w:line="264"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Power of Attorney</w:t>
      </w:r>
      <w:r>
        <w:rPr>
          <w:rFonts w:ascii="Arial" w:cs="Arial" w:eastAsia="Arial" w:hAnsi="Arial"/>
          <w:sz w:val="16"/>
          <w:szCs w:val="16"/>
          <w:color w:val="auto"/>
        </w:rPr>
        <w:t>. Each Member hereby irrevocably appoints the Managing Member as such Member’s true and lawful</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representative and attorney in fact, each acting alone, in such Member’s name, place and stead, (a) to make, execute, sign and file all instruments, documents and certificates which, from time to time, may be required to set forth any amendment to this Agreement or which may be required by this Agreement or by the laws of the United States of America, the State of Delaware or any other state in which the Company shall determine to do business, or any political subdivision or agency thereof and (b) to execute, implement and continue the valid and subsisting existence of the Company or to qualify and continue the Company as a foreign limited liability company in all jurisdictions in which the Company may conduct business. Such power of attorney is coupled with an interest and shall survive and continue in full force and effect notwithstanding the subsequent withdrawal from the Company of any Member for any reason and shall survive and shall not be affected by the disability, incapacity, bankruptcy or dissolution of such Member. No power of attorney granted in this Agreement shall revoke any previously granted power of attorney.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the Exchange Agreement and the other documents and agreements referred to herein or entered into concurrently herewith embody the entire agreement and understanding of the parties hereto in respect of the subject matter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 including the Original LLC Agreement.</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Remedies</w:t>
      </w:r>
      <w:r>
        <w:rPr>
          <w:rFonts w:ascii="Arial" w:cs="Arial" w:eastAsia="Arial" w:hAnsi="Arial"/>
          <w:sz w:val="18"/>
          <w:szCs w:val="18"/>
          <w:color w:val="auto"/>
        </w:rPr>
        <w:t>. Each Member shall have all rights and remedies set forth in this Agreement and all rights and remedies that such Person has been granted at any time under any other agreement or contract and all of the rights that such Person has under any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applicable law.</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Delivery by Facsimile or Email</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the parties hereto have executed this Fourth Amended and Restated Limited Liability Company Agreement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Senior Vice President &amp; CFO</w:t>
            </w:r>
          </w:p>
        </w:tc>
      </w:tr>
    </w:tbl>
    <w:p>
      <w:pPr>
        <w:sectPr>
          <w:pgSz w:w="11900" w:h="16838" w:orient="portrait"/>
          <w:cols w:equalWidth="0" w:num="1">
            <w:col w:w="11420"/>
          </w:cols>
          <w:pgMar w:left="240" w:top="125" w:right="239" w:bottom="0" w:gutter="0" w:footer="0" w:header="0"/>
        </w:sectPr>
      </w:pPr>
    </w:p>
    <w:bookmarkStart w:id="92" w:name="page93"/>
    <w:bookmarkEnd w:id="92"/>
    <w:p>
      <w:pPr>
        <w:ind w:left="5720"/>
        <w:spacing w:after="0"/>
        <w:rPr>
          <w:sz w:val="20"/>
          <w:szCs w:val="20"/>
          <w:color w:val="auto"/>
        </w:rPr>
      </w:pPr>
      <w:r>
        <w:rPr>
          <w:rFonts w:ascii="Arial" w:cs="Arial" w:eastAsia="Arial" w:hAnsi="Arial"/>
          <w:sz w:val="18"/>
          <w:szCs w:val="18"/>
          <w:color w:val="auto"/>
        </w:rPr>
        <w:t>OTHER MEMBERS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ZEPHYR RENEWABLES LLC</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Craig Cornelius</w:t>
      </w:r>
    </w:p>
    <w:p>
      <w:pPr>
        <w:spacing w:after="0" w:line="2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Name:</w:t>
        <w:tab/>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Fourth Amended and Restated LLC Agreement of NRG Yield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Adoption Agreement is executed by the undersigned pursuant to the Fourth Amended and Restated Limited Liability Company Agreement of NRG Yield LLC (the “Company”), dated as of August 31, 2018, as amended, restated or supplemented from time to time, a copy of which is attached hereto and is incorporated herein by reference (the “</w:t>
      </w:r>
      <w:r>
        <w:rPr>
          <w:rFonts w:ascii="Arial" w:cs="Arial" w:eastAsia="Arial" w:hAnsi="Arial"/>
          <w:sz w:val="16"/>
          <w:szCs w:val="16"/>
          <w:u w:val="single" w:color="auto"/>
          <w:color w:val="auto"/>
        </w:rPr>
        <w:t>Agreement</w:t>
      </w:r>
      <w:r>
        <w:rPr>
          <w:rFonts w:ascii="Arial" w:cs="Arial" w:eastAsia="Arial" w:hAnsi="Arial"/>
          <w:sz w:val="16"/>
          <w:szCs w:val="16"/>
          <w:color w:val="auto"/>
        </w:rPr>
        <w:t>”). By the execution of this Adoption Agreement, the undersigned agrees as follows:</w:t>
      </w:r>
    </w:p>
    <w:p>
      <w:pPr>
        <w:spacing w:after="0" w:line="147" w:lineRule="exact"/>
        <w:rPr>
          <w:sz w:val="20"/>
          <w:szCs w:val="20"/>
          <w:color w:val="auto"/>
        </w:rPr>
      </w:pPr>
    </w:p>
    <w:p>
      <w:pPr>
        <w:ind w:right="120" w:firstLine="656"/>
        <w:spacing w:after="0" w:line="264" w:lineRule="auto"/>
        <w:tabs>
          <w:tab w:leader="none" w:pos="12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Acknowledgment. The undersigned acknowledges that he/she is acquiring [Class [·]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181" w:lineRule="exact"/>
        <w:rPr>
          <w:rFonts w:ascii="Arial" w:cs="Arial" w:eastAsia="Arial" w:hAnsi="Arial"/>
          <w:sz w:val="18"/>
          <w:szCs w:val="18"/>
          <w:color w:val="auto"/>
        </w:rPr>
      </w:pPr>
    </w:p>
    <w:p>
      <w:pPr>
        <w:jc w:val="both"/>
        <w:ind w:right="60" w:firstLine="656"/>
        <w:spacing w:after="0" w:line="342" w:lineRule="auto"/>
        <w:tabs>
          <w:tab w:leader="none" w:pos="129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Agreement.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Notice. Any notice required or permitted by the Agreement shall be given to the undersigned at the address listed below.</w:t>
      </w:r>
    </w:p>
    <w:p>
      <w:pPr>
        <w:spacing w:after="0" w:line="225" w:lineRule="exact"/>
        <w:rPr>
          <w:sz w:val="20"/>
          <w:szCs w:val="20"/>
          <w:color w:val="auto"/>
        </w:rPr>
      </w:pPr>
    </w:p>
    <w:p>
      <w:pPr>
        <w:ind w:left="660"/>
        <w:spacing w:after="0"/>
        <w:tabs>
          <w:tab w:leader="none" w:pos="3960" w:val="left"/>
          <w:tab w:leader="none" w:pos="5860" w:val="left"/>
          <w:tab w:leader="none" w:pos="6520" w:val="left"/>
        </w:tabs>
        <w:rPr>
          <w:sz w:val="20"/>
          <w:szCs w:val="20"/>
          <w:color w:val="auto"/>
        </w:rPr>
      </w:pPr>
      <w:r>
        <w:rPr>
          <w:rFonts w:ascii="Arial" w:cs="Arial" w:eastAsia="Arial" w:hAnsi="Arial"/>
          <w:sz w:val="18"/>
          <w:szCs w:val="18"/>
          <w:color w:val="auto"/>
        </w:rPr>
        <w:t>EXECUTED AND DATED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This TRANSITION SERVICES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31, 2018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NRG Energy, Inc., a Delaware corporation (“</w:t>
      </w:r>
      <w:r>
        <w:rPr>
          <w:rFonts w:ascii="Arial" w:cs="Arial" w:eastAsia="Arial" w:hAnsi="Arial"/>
          <w:sz w:val="18"/>
          <w:szCs w:val="18"/>
          <w:b w:val="1"/>
          <w:bCs w:val="1"/>
          <w:color w:val="auto"/>
        </w:rPr>
        <w:t>Service Provider</w:t>
      </w:r>
      <w:r>
        <w:rPr>
          <w:rFonts w:ascii="Arial" w:cs="Arial" w:eastAsia="Arial" w:hAnsi="Arial"/>
          <w:sz w:val="18"/>
          <w:szCs w:val="18"/>
          <w:color w:val="auto"/>
        </w:rPr>
        <w:t>”), and NRG Yield,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Each of Service Provider and the Company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656"/>
        <w:spacing w:after="0" w:line="258" w:lineRule="auto"/>
        <w:tabs>
          <w:tab w:leader="none" w:pos="13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Service Provider and NRG Repowering Holdings LLC, a Delaware limited liability company (“</w:t>
      </w:r>
      <w:r>
        <w:rPr>
          <w:rFonts w:ascii="Arial" w:cs="Arial" w:eastAsia="Arial" w:hAnsi="Arial"/>
          <w:sz w:val="18"/>
          <w:szCs w:val="18"/>
          <w:b w:val="1"/>
          <w:bCs w:val="1"/>
          <w:color w:val="auto"/>
        </w:rPr>
        <w:t>Repowering</w:t>
      </w:r>
      <w:r>
        <w:rPr>
          <w:rFonts w:ascii="Arial" w:cs="Arial" w:eastAsia="Arial" w:hAnsi="Arial"/>
          <w:sz w:val="18"/>
          <w:szCs w:val="18"/>
          <w:color w:val="auto"/>
        </w:rPr>
        <w:t>” and, together with Service Provider, “</w:t>
      </w:r>
      <w:r>
        <w:rPr>
          <w:rFonts w:ascii="Arial" w:cs="Arial" w:eastAsia="Arial" w:hAnsi="Arial"/>
          <w:sz w:val="18"/>
          <w:szCs w:val="18"/>
          <w:b w:val="1"/>
          <w:bCs w:val="1"/>
          <w:color w:val="auto"/>
        </w:rPr>
        <w:t>Sellers</w:t>
      </w:r>
      <w:r>
        <w:rPr>
          <w:rFonts w:ascii="Arial" w:cs="Arial" w:eastAsia="Arial" w:hAnsi="Arial"/>
          <w:sz w:val="18"/>
          <w:szCs w:val="18"/>
          <w:color w:val="auto"/>
        </w:rPr>
        <w:t>”) and GIP III Zephyr Acquisition Partners, L.P., a Delaware limited partnership (“</w:t>
      </w:r>
      <w:r>
        <w:rPr>
          <w:rFonts w:ascii="Arial" w:cs="Arial" w:eastAsia="Arial" w:hAnsi="Arial"/>
          <w:sz w:val="18"/>
          <w:szCs w:val="18"/>
          <w:b w:val="1"/>
          <w:bCs w:val="1"/>
          <w:color w:val="auto"/>
        </w:rPr>
        <w:t>Buyer</w:t>
      </w:r>
      <w:r>
        <w:rPr>
          <w:rFonts w:ascii="Arial" w:cs="Arial" w:eastAsia="Arial" w:hAnsi="Arial"/>
          <w:sz w:val="18"/>
          <w:szCs w:val="18"/>
          <w:color w:val="auto"/>
        </w:rPr>
        <w:t>”), have entered into that certain Purchase and Sale Agreement dated as of February 6, 2018 (the “</w:t>
      </w:r>
      <w:r>
        <w:rPr>
          <w:rFonts w:ascii="Arial" w:cs="Arial" w:eastAsia="Arial" w:hAnsi="Arial"/>
          <w:sz w:val="18"/>
          <w:szCs w:val="18"/>
          <w:b w:val="1"/>
          <w:bCs w:val="1"/>
          <w:color w:val="auto"/>
        </w:rPr>
        <w:t>Purchase Agreement</w:t>
      </w:r>
      <w:r>
        <w:rPr>
          <w:rFonts w:ascii="Arial" w:cs="Arial" w:eastAsia="Arial" w:hAnsi="Arial"/>
          <w:sz w:val="18"/>
          <w:szCs w:val="18"/>
          <w:color w:val="auto"/>
        </w:rPr>
        <w:t>”), whereby Sellers have agreed to sell to Buyer, and Buyer has agreed to purchase from Sellers, one hundred percent (100%) of the equity interests in Zephyr Renewables LLC, a Delaware limited liability company, which in turn owns a controlling interest in the Company.</w:t>
      </w:r>
    </w:p>
    <w:p>
      <w:pPr>
        <w:spacing w:after="0" w:line="187" w:lineRule="exact"/>
        <w:rPr>
          <w:rFonts w:ascii="Arial" w:cs="Arial" w:eastAsia="Arial" w:hAnsi="Arial"/>
          <w:sz w:val="18"/>
          <w:szCs w:val="18"/>
          <w:color w:val="auto"/>
        </w:rPr>
      </w:pPr>
    </w:p>
    <w:p>
      <w:pPr>
        <w:ind w:right="820" w:firstLine="656"/>
        <w:spacing w:after="0" w:line="277" w:lineRule="auto"/>
        <w:tabs>
          <w:tab w:leader="none" w:pos="12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execution and delivery of this Agreement is a condition precedent to the obligations of Sellers and Buyer to consummate the transactions contemplated by the Purchase Agreement.</w:t>
      </w:r>
    </w:p>
    <w:p>
      <w:pPr>
        <w:spacing w:after="0" w:line="170" w:lineRule="exact"/>
        <w:rPr>
          <w:rFonts w:ascii="Arial" w:cs="Arial" w:eastAsia="Arial" w:hAnsi="Arial"/>
          <w:sz w:val="18"/>
          <w:szCs w:val="18"/>
          <w:color w:val="auto"/>
        </w:rPr>
      </w:pPr>
    </w:p>
    <w:p>
      <w:pPr>
        <w:ind w:right="80" w:firstLine="656"/>
        <w:spacing w:after="0" w:line="264" w:lineRule="auto"/>
        <w:tabs>
          <w:tab w:leader="none" w:pos="12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Following the Closing, the Company desires to secure certain services from Service Provider and Service Provider is willing to make available to and permit the Company to utilize the services of Service Provider in the performance and handling of certain matters in return for compensation paid by the Company to Service Provider under the terms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the mutual covenants and agreements contained herein, Service Provider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 as follows:</w:t>
      </w:r>
    </w:p>
    <w:p>
      <w:pPr>
        <w:spacing w:after="0" w:line="162" w:lineRule="exact"/>
        <w:rPr>
          <w:sz w:val="20"/>
          <w:szCs w:val="20"/>
          <w:color w:val="auto"/>
        </w:rPr>
      </w:pPr>
    </w:p>
    <w:p>
      <w:pPr>
        <w:ind w:right="180" w:firstLine="656"/>
        <w:spacing w:after="0" w:line="282" w:lineRule="auto"/>
        <w:tabs>
          <w:tab w:leader="none" w:pos="129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Unless the context shall otherwise require, capitalized terms used and not defined herein shall have the meanings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Agreement.</w:t>
      </w:r>
    </w:p>
    <w:p>
      <w:pPr>
        <w:spacing w:after="0" w:line="16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 of Services and Additional Services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320" w:firstLine="1305"/>
        <w:spacing w:after="0" w:line="312" w:lineRule="auto"/>
        <w:tabs>
          <w:tab w:leader="none" w:pos="194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Service Provider or its Affiliates shall furnish to the Company the services designated on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may be amended or supplemented pursuant to the terms of this Agreement, the “</w:t>
      </w:r>
      <w:r>
        <w:rPr>
          <w:rFonts w:ascii="Arial" w:cs="Arial" w:eastAsia="Arial" w:hAnsi="Arial"/>
          <w:sz w:val="16"/>
          <w:szCs w:val="16"/>
          <w:b w:val="1"/>
          <w:bCs w:val="1"/>
          <w:color w:val="auto"/>
        </w:rPr>
        <w:t>Services Attachment</w:t>
      </w:r>
      <w:r>
        <w:rPr>
          <w:rFonts w:ascii="Arial" w:cs="Arial" w:eastAsia="Arial" w:hAnsi="Arial"/>
          <w:sz w:val="16"/>
          <w:szCs w:val="16"/>
          <w:color w:val="auto"/>
        </w:rPr>
        <w:t>”) and such additional services as set forth herein (collectively, the “</w:t>
      </w:r>
      <w:r>
        <w:rPr>
          <w:rFonts w:ascii="Arial" w:cs="Arial" w:eastAsia="Arial" w:hAnsi="Arial"/>
          <w:sz w:val="16"/>
          <w:szCs w:val="16"/>
          <w:b w:val="1"/>
          <w:bCs w:val="1"/>
          <w:color w:val="auto"/>
        </w:rPr>
        <w:t>Services</w:t>
      </w:r>
      <w:r>
        <w:rPr>
          <w:rFonts w:ascii="Arial" w:cs="Arial" w:eastAsia="Arial" w:hAnsi="Arial"/>
          <w:sz w:val="16"/>
          <w:szCs w:val="16"/>
          <w:color w:val="auto"/>
        </w:rPr>
        <w:t>”) for the respective periods and for the respective consideration set forth in this Agreement and on the Services Attachment.</w:t>
      </w:r>
    </w:p>
    <w:p>
      <w:pPr>
        <w:spacing w:after="0" w:line="146" w:lineRule="exact"/>
        <w:rPr>
          <w:rFonts w:ascii="Arial" w:cs="Arial" w:eastAsia="Arial" w:hAnsi="Arial"/>
          <w:sz w:val="16"/>
          <w:szCs w:val="16"/>
          <w:color w:val="auto"/>
        </w:rPr>
      </w:pPr>
    </w:p>
    <w:p>
      <w:pPr>
        <w:ind w:right="320" w:firstLine="1305"/>
        <w:spacing w:after="0" w:line="259" w:lineRule="auto"/>
        <w:tabs>
          <w:tab w:leader="none" w:pos="19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Unless otherwise agreed by the Parties, the Services will only be provided in the United States and shall only be provided in connection with the business and operations of the Company. Service Provider shall provide the Services at Service Provider’s offices in Princeton, New Jersey, Houston, Texas and such other locations as reasonably necessary to provide the Services listed on the Services Attachment. Service Provider shall provide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Services in a manner and at a level that is consistent with, applicable Law and </w:t>
      </w:r>
      <w:r>
        <w:rPr>
          <w:rFonts w:ascii="Arial" w:cs="Arial" w:eastAsia="Arial" w:hAnsi="Arial"/>
          <w:sz w:val="17"/>
          <w:szCs w:val="17"/>
          <w:color w:val="auto"/>
        </w:rPr>
        <w:t>Prudent Industry Practices</w:t>
      </w:r>
      <w:r>
        <w:rPr>
          <w:rFonts w:ascii="Arial" w:cs="Arial" w:eastAsia="Arial" w:hAnsi="Arial"/>
          <w:sz w:val="18"/>
          <w:szCs w:val="18"/>
          <w:color w:val="auto"/>
        </w:rPr>
        <w:t xml:space="preserve"> and that is in accordance with any applicable specifications and limitations set forth on the applicable Services Attachment.</w:t>
      </w:r>
    </w:p>
    <w:p>
      <w:pPr>
        <w:spacing w:after="0" w:line="170" w:lineRule="exact"/>
        <w:rPr>
          <w:sz w:val="20"/>
          <w:szCs w:val="20"/>
          <w:color w:val="auto"/>
        </w:rPr>
      </w:pPr>
    </w:p>
    <w:p>
      <w:pPr>
        <w:ind w:right="20" w:firstLine="1305"/>
        <w:spacing w:after="0" w:line="293" w:lineRule="auto"/>
        <w:tabs>
          <w:tab w:leader="none" w:pos="195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 the event one or more of the individuals performing the Services on behalf of Service Provider is terminated by Service Provider or terminates their employment with Service Provider, Service Provider shall replace such employee with another employee who has the necessary skills, background and experience required to perform the applicable Service. In the event one or more of the individuals performing the Services on behalf of Service Provider transfers his or her employment to the Company and as a result, such employee is providing Services previously provided by Service Provider directly to the Company, the Annual Fee will shall be commensurately reduced as reasonably agreed by the Parties to reflect the reduction in the scope of Services and the cost to Service Provider of such Services, and Service Provider shall no longer be responsible for providing such Services.</w:t>
      </w:r>
    </w:p>
    <w:p>
      <w:pPr>
        <w:spacing w:after="0" w:line="164" w:lineRule="exact"/>
        <w:rPr>
          <w:rFonts w:ascii="Arial" w:cs="Arial" w:eastAsia="Arial" w:hAnsi="Arial"/>
          <w:sz w:val="16"/>
          <w:szCs w:val="16"/>
          <w:color w:val="auto"/>
        </w:rPr>
      </w:pPr>
    </w:p>
    <w:p>
      <w:pPr>
        <w:ind w:right="20" w:firstLine="1305"/>
        <w:spacing w:after="0" w:line="297" w:lineRule="auto"/>
        <w:tabs>
          <w:tab w:leader="none" w:pos="195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Company requests additional services not listed on the Services Attachment (other than travel) and Service Provider agrees, in its sole discretion, to perform such services, then Service Provider shall be obligated to perform such services as mutually agreed by the Parties in writing in an amendment to this Agreement that attaches an amended Services Attachment to this Agreement (such Services, the “</w:t>
      </w:r>
      <w:r>
        <w:rPr>
          <w:rFonts w:ascii="Arial" w:cs="Arial" w:eastAsia="Arial" w:hAnsi="Arial"/>
          <w:sz w:val="16"/>
          <w:szCs w:val="16"/>
          <w:b w:val="1"/>
          <w:bCs w:val="1"/>
          <w:color w:val="auto"/>
        </w:rPr>
        <w:t>Additional Services</w:t>
      </w:r>
      <w:r>
        <w:rPr>
          <w:rFonts w:ascii="Arial" w:cs="Arial" w:eastAsia="Arial" w:hAnsi="Arial"/>
          <w:sz w:val="16"/>
          <w:szCs w:val="16"/>
          <w:color w:val="auto"/>
        </w:rPr>
        <w:t xml:space="preserve">”). If the Company requests travel or other on-site performance of the Services (other than at the locations specified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above), then Company shall pay for Service Provider’s travel expenses and reasonable and documented costs related thereto in addition to any fees set forth on the Services Attachment.</w:t>
      </w:r>
    </w:p>
    <w:p>
      <w:pPr>
        <w:spacing w:after="0" w:line="158" w:lineRule="exact"/>
        <w:rPr>
          <w:rFonts w:ascii="Arial" w:cs="Arial" w:eastAsia="Arial" w:hAnsi="Arial"/>
          <w:sz w:val="16"/>
          <w:szCs w:val="16"/>
          <w:color w:val="auto"/>
        </w:rPr>
      </w:pPr>
    </w:p>
    <w:p>
      <w:pPr>
        <w:ind w:firstLine="1305"/>
        <w:spacing w:after="0" w:line="286" w:lineRule="auto"/>
        <w:tabs>
          <w:tab w:leader="none" w:pos="195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Service Provider shall not be required to provide any Service to the extent the performance of such Service would require Service Provider to violate any applicable Law. In the event that the provision of any Service (i) becomes impracticable in any material respect as a result of events or circumstances outside the reasonable control of Service Provider, or (ii) would result in the breach by Service Provider of any Contract in any material respect existing on the Effective Date, then Service Provider agrees to (i) promptly notify the Company in writing upon learning of such events or circumstances and</w:t>
      </w:r>
    </w:p>
    <w:p>
      <w:pPr>
        <w:spacing w:after="0" w:line="1" w:lineRule="exact"/>
        <w:rPr>
          <w:rFonts w:ascii="Arial" w:cs="Arial" w:eastAsia="Arial" w:hAnsi="Arial"/>
          <w:sz w:val="16"/>
          <w:szCs w:val="16"/>
          <w:color w:val="auto"/>
        </w:rPr>
      </w:pPr>
    </w:p>
    <w:p>
      <w:pPr>
        <w:ind w:right="20" w:firstLine="8"/>
        <w:spacing w:after="0" w:line="254" w:lineRule="auto"/>
        <w:tabs>
          <w:tab w:leader="none" w:pos="2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make alternative arrangements to provide the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cost of performing the Services is greater than that provided in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Service Provider will obtain the Company’s consent, which shall not be unreasonably withheld, before incurring such additional costs. The Company shall reimburse Service Provider for such approved, reasonable, and documented costs of performance of Services under this </w:t>
      </w:r>
      <w:r>
        <w:rPr>
          <w:rFonts w:ascii="Arial" w:cs="Arial" w:eastAsia="Arial" w:hAnsi="Arial"/>
          <w:sz w:val="18"/>
          <w:szCs w:val="18"/>
          <w:u w:val="single" w:color="auto"/>
          <w:color w:val="auto"/>
        </w:rPr>
        <w:t>Section 2(e)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200" w:firstLine="1305"/>
        <w:spacing w:after="0" w:line="264" w:lineRule="auto"/>
        <w:tabs>
          <w:tab w:leader="none" w:pos="194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the Company shall be responsible for procuring its own licenses (including any incremental licenses) for platforms and Services during the Term; </w:t>
      </w:r>
      <w:r>
        <w:rPr>
          <w:rFonts w:ascii="Arial" w:cs="Arial" w:eastAsia="Arial" w:hAnsi="Arial"/>
          <w:sz w:val="18"/>
          <w:szCs w:val="18"/>
          <w:i w:val="1"/>
          <w:iCs w:val="1"/>
          <w:color w:val="auto"/>
        </w:rPr>
        <w:t>provided, however</w:t>
      </w:r>
      <w:r>
        <w:rPr>
          <w:rFonts w:ascii="Arial" w:cs="Arial" w:eastAsia="Arial" w:hAnsi="Arial"/>
          <w:sz w:val="18"/>
          <w:szCs w:val="18"/>
          <w:color w:val="auto"/>
        </w:rPr>
        <w:t>, that Service Provider shall cooperate and provide support to the Company in procuring such licenses.</w:t>
      </w:r>
    </w:p>
    <w:p>
      <w:pPr>
        <w:sectPr>
          <w:pgSz w:w="11900" w:h="16838" w:orient="portrait"/>
          <w:cols w:equalWidth="0" w:num="1">
            <w:col w:w="11420"/>
          </w:cols>
          <w:pgMar w:left="240" w:top="121" w:right="239" w:bottom="56" w:gutter="0" w:footer="0" w:header="0"/>
        </w:sectPr>
      </w:pPr>
    </w:p>
    <w:bookmarkStart w:id="94" w:name="page95"/>
    <w:bookmarkEnd w:id="94"/>
    <w:p>
      <w:pPr>
        <w:spacing w:after="0" w:line="114" w:lineRule="exact"/>
        <w:rPr>
          <w:sz w:val="20"/>
          <w:szCs w:val="20"/>
          <w:color w:val="auto"/>
        </w:rPr>
      </w:pPr>
    </w:p>
    <w:p>
      <w:pPr>
        <w:ind w:right="60" w:firstLine="1305"/>
        <w:spacing w:after="0" w:line="259" w:lineRule="auto"/>
        <w:tabs>
          <w:tab w:leader="none" w:pos="19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From and after the Effective Date until December 31, 2020, Service Provider (or its Affiliate), as specifically requested by the Company, shall use its commercially reasonable efforts to (i) obtain the consents and transfer (at Service Provider’s sole expense) or, if Company requests, to assist Company in obtaining, the permits and licenses that are set forth on </w:t>
      </w:r>
      <w:r>
        <w:rPr>
          <w:rFonts w:ascii="Arial" w:cs="Arial" w:eastAsia="Arial" w:hAnsi="Arial"/>
          <w:sz w:val="18"/>
          <w:szCs w:val="18"/>
          <w:u w:val="single" w:color="auto"/>
          <w:color w:val="auto"/>
        </w:rPr>
        <w:t>Schedule 2(g)</w:t>
      </w:r>
      <w:r>
        <w:rPr>
          <w:rFonts w:ascii="Arial" w:cs="Arial" w:eastAsia="Arial" w:hAnsi="Arial"/>
          <w:sz w:val="18"/>
          <w:szCs w:val="18"/>
          <w:color w:val="auto"/>
        </w:rPr>
        <w:t>, to Company (or Company’s applicable Affiliate), and (ii) transfer to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(or Company’s applicable Affiliate) or the relevant permitting agency, the credits that are set forth on </w:t>
      </w:r>
      <w:r>
        <w:rPr>
          <w:rFonts w:ascii="Arial" w:cs="Arial" w:eastAsia="Arial" w:hAnsi="Arial"/>
          <w:sz w:val="16"/>
          <w:szCs w:val="16"/>
          <w:u w:val="single" w:color="auto"/>
          <w:color w:val="auto"/>
        </w:rPr>
        <w:t>Schedule 2(g)</w:t>
      </w:r>
      <w:r>
        <w:rPr>
          <w:rFonts w:ascii="Arial" w:cs="Arial" w:eastAsia="Arial" w:hAnsi="Arial"/>
          <w:sz w:val="16"/>
          <w:szCs w:val="16"/>
          <w:color w:val="auto"/>
        </w:rPr>
        <w:t xml:space="preserve">. Service Provider shall notify Company promptly after the successful transfer of any permit, license or credit pursuant to this </w:t>
      </w:r>
      <w:r>
        <w:rPr>
          <w:rFonts w:ascii="Arial" w:cs="Arial" w:eastAsia="Arial" w:hAnsi="Arial"/>
          <w:sz w:val="16"/>
          <w:szCs w:val="16"/>
          <w:u w:val="single" w:color="auto"/>
          <w:color w:val="auto"/>
        </w:rPr>
        <w:t>Section 2(g)</w:t>
      </w:r>
      <w:r>
        <w:rPr>
          <w:rFonts w:ascii="Arial" w:cs="Arial" w:eastAsia="Arial" w:hAnsi="Arial"/>
          <w:sz w:val="16"/>
          <w:szCs w:val="16"/>
          <w:color w:val="auto"/>
        </w:rPr>
        <w:t xml:space="preserve">. Service Provider acknowledges that it may hold certain permits and licenses, other than those set forth on </w:t>
      </w:r>
      <w:r>
        <w:rPr>
          <w:rFonts w:ascii="Arial" w:cs="Arial" w:eastAsia="Arial" w:hAnsi="Arial"/>
          <w:sz w:val="16"/>
          <w:szCs w:val="16"/>
          <w:u w:val="single" w:color="auto"/>
          <w:color w:val="auto"/>
        </w:rPr>
        <w:t>Schedule 2(g)</w:t>
      </w:r>
      <w:r>
        <w:rPr>
          <w:rFonts w:ascii="Arial" w:cs="Arial" w:eastAsia="Arial" w:hAnsi="Arial"/>
          <w:sz w:val="16"/>
          <w:szCs w:val="16"/>
          <w:color w:val="auto"/>
        </w:rPr>
        <w:t>, that may be useful to the operation of the business of Company and Service Provider agrees to use its commercially reasonable efforts to allow Company to use such permits and licenses during the term of this Agreement, at Company’s sole expense.</w:t>
      </w:r>
    </w:p>
    <w:p>
      <w:pPr>
        <w:spacing w:after="0" w:line="154" w:lineRule="exact"/>
        <w:rPr>
          <w:sz w:val="20"/>
          <w:szCs w:val="20"/>
          <w:color w:val="auto"/>
        </w:rPr>
      </w:pPr>
    </w:p>
    <w:p>
      <w:pPr>
        <w:ind w:right="440" w:firstLine="1305"/>
        <w:spacing w:after="0" w:line="277" w:lineRule="auto"/>
        <w:tabs>
          <w:tab w:leader="none" w:pos="19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the extent that the Company receives NERC transition services, the Company shall register with NERC as the Generation Owner and Operator and maintain its own compliance program which may designate the Service Provider as its agent.</w:t>
      </w:r>
    </w:p>
    <w:p>
      <w:pPr>
        <w:spacing w:after="0" w:line="170" w:lineRule="exact"/>
        <w:rPr>
          <w:rFonts w:ascii="Arial" w:cs="Arial" w:eastAsia="Arial" w:hAnsi="Arial"/>
          <w:sz w:val="18"/>
          <w:szCs w:val="18"/>
          <w:color w:val="auto"/>
        </w:rPr>
      </w:pPr>
    </w:p>
    <w:p>
      <w:pPr>
        <w:ind w:firstLine="1305"/>
        <w:spacing w:after="0" w:line="270" w:lineRule="auto"/>
        <w:tabs>
          <w:tab w:leader="none" w:pos="196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From and after the Effective Date until December 31, 2020, Service Provider and its subsidiaries will reasonably cooperate with the Company and its subsidiaries and their respective agents and representatives in connection with any legal or regulatory proceeding, action, investigation, claim or demand by a third party (including any Governmental Authority) in connection with or arising from the business, operations, assets, properties or employees of the Company or any of its subsidiaries prior to the Effective Date, including by making available the personnel of Service Provider and its subsidiaries, participating in meetings, and providing such testimony and access to its and their books and records as is reasonably requested in connection with such proceeding, action, investigation, claim or demand;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cooperation and support shall not interfere with the ordinary business operations of Service Provider and (ii) the Company shall (A) reimburse Service Provider for any reasonable out-of-pocket expenses and (B) provide reasonable reimbursement to Service Provider with respect to any time spent by the relevant personnel of Service Provider and its subsidiaries, in each case incurred with respect to the provision of such cooperation and support.</w:t>
      </w:r>
    </w:p>
    <w:p>
      <w:pPr>
        <w:spacing w:after="0" w:line="181" w:lineRule="exact"/>
        <w:rPr>
          <w:rFonts w:ascii="Arial" w:cs="Arial" w:eastAsia="Arial" w:hAnsi="Arial"/>
          <w:sz w:val="17"/>
          <w:szCs w:val="17"/>
          <w:color w:val="auto"/>
        </w:rPr>
      </w:pPr>
    </w:p>
    <w:p>
      <w:pPr>
        <w:ind w:right="600" w:firstLine="1305"/>
        <w:spacing w:after="0" w:line="264" w:lineRule="auto"/>
        <w:tabs>
          <w:tab w:leader="none" w:pos="195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ensure compliance with the Sarbanes-Oxley Act, Service Provider will have control owners and operators certify their compliance with controls quarterly according to current practices, and make these records, or a summary, available to the Company and the Company auditors.</w:t>
      </w:r>
    </w:p>
    <w:p>
      <w:pPr>
        <w:spacing w:after="0" w:line="181" w:lineRule="exact"/>
        <w:rPr>
          <w:rFonts w:ascii="Arial" w:cs="Arial" w:eastAsia="Arial" w:hAnsi="Arial"/>
          <w:sz w:val="18"/>
          <w:szCs w:val="18"/>
          <w:color w:val="auto"/>
        </w:rPr>
      </w:pPr>
    </w:p>
    <w:p>
      <w:pPr>
        <w:ind w:right="200" w:firstLine="1305"/>
        <w:spacing w:after="0" w:line="342" w:lineRule="auto"/>
        <w:tabs>
          <w:tab w:leader="none" w:pos="195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Each Party shall use reasonable efforts to maintain system access and other information management controls which are focused on complying with FERC, NERC and other regulatory guidelines that limit the sharing of information between regulated and non-regulated assets.</w:t>
      </w:r>
    </w:p>
    <w:p>
      <w:pPr>
        <w:spacing w:after="0" w:line="119" w:lineRule="exact"/>
        <w:rPr>
          <w:rFonts w:ascii="Arial" w:cs="Arial" w:eastAsia="Arial" w:hAnsi="Arial"/>
          <w:sz w:val="16"/>
          <w:szCs w:val="16"/>
          <w:color w:val="auto"/>
        </w:rPr>
      </w:pPr>
    </w:p>
    <w:p>
      <w:pPr>
        <w:ind w:right="240" w:firstLine="656"/>
        <w:spacing w:after="0" w:line="258" w:lineRule="auto"/>
        <w:tabs>
          <w:tab w:leader="none" w:pos="129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as of the Effective Date and shall continue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effect until the earlier to occur of (a) June 30, 2019 and (b) the date that all Services are terminated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extend the Term on a month-by-month basis until no later than March 31, 2020 for a fixed monthly fee of One Hundred Thirteen Thousand Seven Hundred Fifty Dollars ($113,750) provided that the Company delivers written notice to Service Provider of its intent to extend the Term of this Agreement by no later than April 30,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56"/>
        <w:spacing w:after="0" w:line="282" w:lineRule="auto"/>
        <w:tabs>
          <w:tab w:leader="none" w:pos="129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this Agreement by the Company</w:t>
      </w:r>
      <w:r>
        <w:rPr>
          <w:rFonts w:ascii="Arial" w:cs="Arial" w:eastAsia="Arial" w:hAnsi="Arial"/>
          <w:sz w:val="18"/>
          <w:szCs w:val="18"/>
          <w:color w:val="auto"/>
        </w:rPr>
        <w:t>. The Company may terminate this Agreement effective upon thirty (30)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termination to Service Provider if:</w:t>
      </w:r>
    </w:p>
    <w:p>
      <w:pPr>
        <w:spacing w:after="0" w:line="165" w:lineRule="exact"/>
        <w:rPr>
          <w:rFonts w:ascii="Arial" w:cs="Arial" w:eastAsia="Arial" w:hAnsi="Arial"/>
          <w:sz w:val="18"/>
          <w:szCs w:val="18"/>
          <w:b w:val="1"/>
          <w:bCs w:val="1"/>
          <w:color w:val="auto"/>
        </w:rPr>
      </w:pPr>
    </w:p>
    <w:p>
      <w:pPr>
        <w:ind w:right="280" w:firstLine="1305"/>
        <w:spacing w:after="0" w:line="264" w:lineRule="auto"/>
        <w:tabs>
          <w:tab w:leader="none" w:pos="194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Service Provider defaults in the performance or observance of any material term, condition or agreement contained in this Agreement in a manner that results in material harm to the Company and such default continues for a period of thirty (30) days after written notice thereof specifying such default and requesting that the same be remedied in such thirty (30)-day period;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Service Provider engages in fraud, misappropriation of funds or embezzlement against the Company;</w:t>
      </w:r>
    </w:p>
    <w:p>
      <w:pPr>
        <w:spacing w:after="0" w:line="225" w:lineRule="exact"/>
        <w:rPr>
          <w:rFonts w:ascii="Arial" w:cs="Arial" w:eastAsia="Arial" w:hAnsi="Arial"/>
          <w:sz w:val="18"/>
          <w:szCs w:val="18"/>
          <w:color w:val="auto"/>
        </w:rPr>
      </w:pPr>
    </w:p>
    <w:p>
      <w:pPr>
        <w:ind w:right="40" w:firstLine="1305"/>
        <w:spacing w:after="0" w:line="277" w:lineRule="auto"/>
        <w:tabs>
          <w:tab w:leader="none" w:pos="195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Service Provider is grossly negligent in the performance of its obligations under this Agreement, and such gross negligence results in material harm to the Company; or</w:t>
      </w:r>
    </w:p>
    <w:p>
      <w:pPr>
        <w:spacing w:after="0" w:line="170" w:lineRule="exact"/>
        <w:rPr>
          <w:rFonts w:ascii="Arial" w:cs="Arial" w:eastAsia="Arial" w:hAnsi="Arial"/>
          <w:sz w:val="18"/>
          <w:szCs w:val="18"/>
          <w:color w:val="auto"/>
        </w:rPr>
      </w:pPr>
    </w:p>
    <w:p>
      <w:pPr>
        <w:ind w:right="80" w:firstLine="1305"/>
        <w:spacing w:after="0" w:line="271" w:lineRule="auto"/>
        <w:tabs>
          <w:tab w:leader="none" w:pos="195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Service Provider makes a general assignment for the benefit of its 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 seeking such reorganization or has a decree entered against it by a court of competent jurisdiction appointing a receiver, liquidator, trustee or assignee in bankruptcy or in insolvency. In addition, the Company may terminate any Service, in whole or in part upon thirty (30) days’ prior written notice to Service Provider, with such termination effective on the first day of the month commencing after such thirty (30)-day period. In the case of any partial termination of a Service, the Annual Fee for such Service shall be commensurately reduced as reasonably agreed by the Parties. The Company shall remain liable for the payment of all costs and fees hereunder for such Service performed by Service Provider prior to the date of termination of such Service.</w:t>
      </w:r>
    </w:p>
    <w:p>
      <w:pPr>
        <w:spacing w:after="0" w:line="174" w:lineRule="exact"/>
        <w:rPr>
          <w:rFonts w:ascii="Arial" w:cs="Arial" w:eastAsia="Arial" w:hAnsi="Arial"/>
          <w:sz w:val="17"/>
          <w:szCs w:val="17"/>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this Agreement by Service Provider</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Service Provider may terminate this Agreement effective upon 90 days’ prior written notice of termination to the Company if:</w:t>
      </w:r>
    </w:p>
    <w:p>
      <w:pPr>
        <w:spacing w:after="0" w:line="236" w:lineRule="exact"/>
        <w:rPr>
          <w:rFonts w:ascii="Arial" w:cs="Arial" w:eastAsia="Arial" w:hAnsi="Arial"/>
          <w:sz w:val="17"/>
          <w:szCs w:val="17"/>
          <w:color w:val="auto"/>
        </w:rPr>
      </w:pPr>
    </w:p>
    <w:p>
      <w:pPr>
        <w:ind w:left="1300" w:right="240" w:firstLine="653"/>
        <w:spacing w:after="0" w:line="286" w:lineRule="auto"/>
        <w:tabs>
          <w:tab w:leader="none" w:pos="2618" w:val="left"/>
        </w:tabs>
        <w:numPr>
          <w:ilvl w:val="2"/>
          <w:numId w:val="111"/>
        </w:numPr>
        <w:rPr>
          <w:rFonts w:ascii="Arial" w:cs="Arial" w:eastAsia="Arial" w:hAnsi="Arial"/>
          <w:sz w:val="17"/>
          <w:szCs w:val="17"/>
          <w:color w:val="auto"/>
        </w:rPr>
      </w:pPr>
      <w:r>
        <w:rPr>
          <w:rFonts w:ascii="Arial" w:cs="Arial" w:eastAsia="Arial" w:hAnsi="Arial"/>
          <w:sz w:val="17"/>
          <w:szCs w:val="17"/>
          <w:color w:val="auto"/>
        </w:rPr>
        <w:t>the Company defaults in the performance or observance of any material term, condition or agreement contained in this Agreement in a manner that results in material harm to Service Provider and such default continues for a period of thirty (30) days after written notice thereof specifying such default and requesting that the same be remedied in such thirty (30)-day period; or</w:t>
      </w:r>
    </w:p>
    <w:p>
      <w:pPr>
        <w:spacing w:after="0" w:line="165" w:lineRule="exact"/>
        <w:rPr>
          <w:rFonts w:ascii="Arial" w:cs="Arial" w:eastAsia="Arial" w:hAnsi="Arial"/>
          <w:sz w:val="17"/>
          <w:szCs w:val="17"/>
          <w:color w:val="auto"/>
        </w:rPr>
      </w:pPr>
    </w:p>
    <w:p>
      <w:pPr>
        <w:ind w:left="1300" w:right="20" w:firstLine="653"/>
        <w:spacing w:after="0" w:line="312" w:lineRule="auto"/>
        <w:tabs>
          <w:tab w:leader="none" w:pos="2627"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 Company makes a general assignment for the benefit of its creditors, institutes proceedings to be adjudicated voluntarily bankrupt, consents to the filing of a petition of bankruptcy against it, is adjudicated by a court of competent jurisdiction as being bankrupt or insolvent, seeks reorganization under any bankruptcy law or consents to the filing of a petition seeking such reorganization or</w:t>
      </w:r>
    </w:p>
    <w:p>
      <w:pPr>
        <w:sectPr>
          <w:pgSz w:w="11900" w:h="16952" w:orient="portrait"/>
          <w:cols w:equalWidth="0" w:num="1">
            <w:col w:w="11400"/>
          </w:cols>
          <w:pgMar w:left="240" w:top="125" w:right="259" w:bottom="0" w:gutter="0" w:footer="0" w:header="0"/>
        </w:sectPr>
      </w:pPr>
    </w:p>
    <w:bookmarkStart w:id="95" w:name="page96"/>
    <w:bookmarkEnd w:id="95"/>
    <w:p>
      <w:pPr>
        <w:spacing w:after="0" w:line="24"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has a decree entered against it by a court of competent jurisdiction appointing a receiver, liquidator, trustee or assignee in bankruptcy or in insolvency.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If the Company is in default for a breach of its payment obligations hereunder and such default continues for a period of ten</w:t>
      </w:r>
    </w:p>
    <w:p>
      <w:pPr>
        <w:spacing w:after="0" w:line="34" w:lineRule="exact"/>
        <w:rPr>
          <w:rFonts w:ascii="Arial" w:cs="Arial" w:eastAsia="Arial" w:hAnsi="Arial"/>
          <w:sz w:val="17"/>
          <w:szCs w:val="17"/>
          <w:color w:val="auto"/>
        </w:rPr>
      </w:pPr>
    </w:p>
    <w:p>
      <w:pPr>
        <w:jc w:val="both"/>
        <w:ind w:right="500" w:firstLine="8"/>
        <w:spacing w:after="0" w:line="255" w:lineRule="auto"/>
        <w:tabs>
          <w:tab w:leader="none" w:pos="3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Business Days after written notice thereof specifying such default and requesting that the same be remedied in such ten (10) Business Day period, Service Provider may either (i) terminate this Agreement, effective immediately upon written notice of termination to the Company, or (ii) immediately suspend the performance of any and all Services until such breach is cured.</w:t>
      </w:r>
    </w:p>
    <w:p>
      <w:pPr>
        <w:spacing w:after="0" w:line="186" w:lineRule="exact"/>
        <w:rPr>
          <w:rFonts w:ascii="Arial" w:cs="Arial" w:eastAsia="Arial" w:hAnsi="Arial"/>
          <w:sz w:val="18"/>
          <w:szCs w:val="18"/>
          <w:color w:val="auto"/>
        </w:rPr>
      </w:pPr>
    </w:p>
    <w:p>
      <w:pPr>
        <w:ind w:firstLine="656"/>
        <w:spacing w:after="0" w:line="286" w:lineRule="auto"/>
        <w:tabs>
          <w:tab w:leader="none" w:pos="1296"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In consideration for Service Provider’s provision of the Services or Additional Services, the Company shall pay Service Provider</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on the Services Attachment (the “</w:t>
      </w:r>
      <w:r>
        <w:rPr>
          <w:rFonts w:ascii="Arial" w:cs="Arial" w:eastAsia="Arial" w:hAnsi="Arial"/>
          <w:sz w:val="16"/>
          <w:szCs w:val="16"/>
          <w:u w:val="single" w:color="auto"/>
          <w:color w:val="auto"/>
        </w:rPr>
        <w:t>Annual Fee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Company adds a Service pursuant to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or terminates a Service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Annual Fee will be adjusted by the corresponding amount for such Service as listed on the Services Attachment (or (a) in the case of Additional Services not listed on the Services Attachment, an amount mutually agreed by the Parties and (b) in the case of a partial termination of Services, the commensurate reduction in the Annual Fee agreed to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To the extent Service Provider incurs third party expenses on behalf of the Company in performing the Services or Additional Services, the Company shall reimburse Service Provider for such reasonable and documented third party expenses (“</w:t>
      </w:r>
      <w:r>
        <w:rPr>
          <w:rFonts w:ascii="Arial" w:cs="Arial" w:eastAsia="Arial" w:hAnsi="Arial"/>
          <w:sz w:val="16"/>
          <w:szCs w:val="16"/>
          <w:u w:val="single" w:color="auto"/>
          <w:color w:val="auto"/>
        </w:rPr>
        <w:t>Reimbursable Costs</w:t>
      </w:r>
      <w:r>
        <w:rPr>
          <w:rFonts w:ascii="Arial" w:cs="Arial" w:eastAsia="Arial" w:hAnsi="Arial"/>
          <w:sz w:val="16"/>
          <w:szCs w:val="16"/>
          <w:color w:val="auto"/>
        </w:rPr>
        <w:t xml:space="preserve">”). Service Provider will invoice the Company in installments on a monthly basis for such Services, Additional Services or Reimbursable Costs, and such invoice will be due and payable thirty (30) days after receipt by the Company. Service Provider’s invoices shall contain reasonably sufficient information to determine the accuracy of any costs, fees and expenses. The Company shall notify Service Provider within fifteen (15) days after receipt of any invoice of the amount of any costs, fees or expenses for Services, Additional Services or Reimbursable Costs that the Company disputes in good faith, which the Parties shall negotiate in good faith to resolve;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pay all undisputed amounts by the due date required on such invoice. If (a) this Agreement is terminated or (b) any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terminated in whole or in part, in either case pursuant to </w:t>
      </w:r>
      <w:r>
        <w:rPr>
          <w:rFonts w:ascii="Arial" w:cs="Arial" w:eastAsia="Arial" w:hAnsi="Arial"/>
          <w:sz w:val="16"/>
          <w:szCs w:val="16"/>
          <w:u w:val="single" w:color="auto"/>
          <w:color w:val="auto"/>
        </w:rPr>
        <w:t>Sections 3,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of this Agreement, the Company shall remain liable for the payment of all costs and fees hereunder for all Services performed by Service Provider prior to the date of termination of all or part of such Service.</w:t>
      </w:r>
    </w:p>
    <w:p>
      <w:pPr>
        <w:spacing w:after="0" w:line="171" w:lineRule="exact"/>
        <w:rPr>
          <w:rFonts w:ascii="Arial" w:cs="Arial" w:eastAsia="Arial" w:hAnsi="Arial"/>
          <w:sz w:val="16"/>
          <w:szCs w:val="16"/>
          <w:b w:val="1"/>
          <w:bCs w:val="1"/>
          <w:color w:val="auto"/>
        </w:rPr>
      </w:pPr>
    </w:p>
    <w:p>
      <w:pPr>
        <w:ind w:left="1300" w:hanging="644"/>
        <w:spacing w:after="0"/>
        <w:tabs>
          <w:tab w:leader="none" w:pos="1300" w:val="left"/>
        </w:tabs>
        <w:numPr>
          <w:ilvl w:val="1"/>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Service Provider</w:t>
      </w:r>
      <w:r>
        <w:rPr>
          <w:rFonts w:ascii="Arial" w:cs="Arial" w:eastAsia="Arial" w:hAnsi="Arial"/>
          <w:sz w:val="17"/>
          <w:szCs w:val="17"/>
          <w:color w:val="auto"/>
        </w:rPr>
        <w:t>. Service Provider hereby represents and warrants to the Company that:</w:t>
      </w:r>
    </w:p>
    <w:p>
      <w:pPr>
        <w:spacing w:after="0" w:line="240" w:lineRule="exact"/>
        <w:rPr>
          <w:rFonts w:ascii="Arial" w:cs="Arial" w:eastAsia="Arial" w:hAnsi="Arial"/>
          <w:sz w:val="17"/>
          <w:szCs w:val="17"/>
          <w:b w:val="1"/>
          <w:bCs w:val="1"/>
          <w:color w:val="auto"/>
        </w:rPr>
      </w:pPr>
    </w:p>
    <w:p>
      <w:pPr>
        <w:ind w:left="1940" w:hanging="635"/>
        <w:spacing w:after="0"/>
        <w:tabs>
          <w:tab w:leader="none" w:pos="194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it is validly organized and existing under the laws of the State of Delaware;</w:t>
      </w:r>
    </w:p>
    <w:p>
      <w:pPr>
        <w:spacing w:after="0" w:line="225" w:lineRule="exact"/>
        <w:rPr>
          <w:rFonts w:ascii="Arial" w:cs="Arial" w:eastAsia="Arial" w:hAnsi="Arial"/>
          <w:sz w:val="18"/>
          <w:szCs w:val="18"/>
          <w:color w:val="auto"/>
        </w:rPr>
      </w:pPr>
    </w:p>
    <w:p>
      <w:pPr>
        <w:ind w:right="100" w:firstLine="1305"/>
        <w:spacing w:after="0" w:line="264" w:lineRule="auto"/>
        <w:tabs>
          <w:tab w:leader="none" w:pos="19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it holds, and shall hold, such consents, licenses, approvals, registrations, permits or other authorizations granted by any governmental authority (each, a “</w:t>
      </w:r>
      <w:r>
        <w:rPr>
          <w:rFonts w:ascii="Arial" w:cs="Arial" w:eastAsia="Arial" w:hAnsi="Arial"/>
          <w:sz w:val="18"/>
          <w:szCs w:val="18"/>
          <w:b w:val="1"/>
          <w:bCs w:val="1"/>
          <w:color w:val="auto"/>
        </w:rPr>
        <w:t>Permit</w:t>
      </w:r>
      <w:r>
        <w:rPr>
          <w:rFonts w:ascii="Arial" w:cs="Arial" w:eastAsia="Arial" w:hAnsi="Arial"/>
          <w:sz w:val="18"/>
          <w:szCs w:val="18"/>
          <w:color w:val="auto"/>
        </w:rPr>
        <w:t>”) as are necessary to perform its obligations hereunder and is not aware of, and shall inform the Company promptly upon knowledge of, any pending or threatened cancellation of such Permits;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it has the power, capacity and authority to enter into this Agreement and to perform its obligations hereunder;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it has taken all necessary action to authorize the execution, delivery and performance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302" w:lineRule="auto"/>
        <w:tabs>
          <w:tab w:leader="none" w:pos="1955"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the execution and delivery of this Agreement by it and the performance by it of its obligations hereunder do not and will not contravene, breach or result in any default under its certificate of incorporation or bylaws, or under any mortgage, lease, agreement or other legally binding instrument, Permit or applicable Law to which it is a party or by which it or any of its properties or assets may be bound, except for any such contravention, breach or default which would not have a material adverse effect on the business, assets, financial condition or results of operations of the Service Provider;</w:t>
      </w:r>
    </w:p>
    <w:p>
      <w:pPr>
        <w:spacing w:after="0" w:line="154" w:lineRule="exact"/>
        <w:rPr>
          <w:rFonts w:ascii="Arial" w:cs="Arial" w:eastAsia="Arial" w:hAnsi="Arial"/>
          <w:sz w:val="16"/>
          <w:szCs w:val="16"/>
          <w:color w:val="auto"/>
        </w:rPr>
      </w:pPr>
    </w:p>
    <w:p>
      <w:pPr>
        <w:ind w:right="160" w:firstLine="1305"/>
        <w:spacing w:after="0" w:line="277" w:lineRule="auto"/>
        <w:tabs>
          <w:tab w:leader="none" w:pos="1949" w:val="left"/>
        </w:tabs>
        <w:numPr>
          <w:ilvl w:val="2"/>
          <w:numId w:val="114"/>
        </w:numPr>
        <w:rPr>
          <w:rFonts w:ascii="Arial" w:cs="Arial" w:eastAsia="Arial" w:hAnsi="Arial"/>
          <w:sz w:val="18"/>
          <w:szCs w:val="18"/>
          <w:color w:val="auto"/>
        </w:rPr>
      </w:pPr>
      <w:r>
        <w:rPr>
          <w:rFonts w:ascii="Arial" w:cs="Arial" w:eastAsia="Arial" w:hAnsi="Arial"/>
          <w:sz w:val="18"/>
          <w:szCs w:val="18"/>
          <w:color w:val="auto"/>
        </w:rPr>
        <w:t>no authorization, consent or approval, or filing with or notice to any Person is required in connection with the execution, delivery or performance by it of this Agreement; and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this Agreement constitutes its valid and legally binding obligation, enforceable against it in accordance with its terms, subject to</w:t>
      </w:r>
    </w:p>
    <w:p>
      <w:pPr>
        <w:spacing w:after="0" w:line="46" w:lineRule="exact"/>
        <w:rPr>
          <w:rFonts w:ascii="Arial" w:cs="Arial" w:eastAsia="Arial" w:hAnsi="Arial"/>
          <w:sz w:val="16"/>
          <w:szCs w:val="16"/>
          <w:color w:val="auto"/>
        </w:rPr>
      </w:pPr>
    </w:p>
    <w:p>
      <w:pPr>
        <w:jc w:val="both"/>
        <w:ind w:right="240" w:firstLine="8"/>
        <w:spacing w:after="0" w:line="302" w:lineRule="auto"/>
        <w:tabs>
          <w:tab w:leader="none" w:pos="21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applicable bankruptcy, insolvency, moratorium, fraudulent conveyance, reorganization and other laws of general application limiting the 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51" w:lineRule="exact"/>
        <w:rPr>
          <w:rFonts w:ascii="Arial" w:cs="Arial" w:eastAsia="Arial" w:hAnsi="Arial"/>
          <w:sz w:val="16"/>
          <w:szCs w:val="16"/>
          <w:color w:val="auto"/>
        </w:rPr>
      </w:pPr>
    </w:p>
    <w:p>
      <w:pPr>
        <w:ind w:left="1300" w:hanging="644"/>
        <w:spacing w:after="0"/>
        <w:tabs>
          <w:tab w:leader="none" w:pos="130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color w:val="auto"/>
        </w:rPr>
        <w:t>. The Company hereby represents and warrants to Service Provider that:</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it is validly organized and existing under the laws of the State of Delaware;</w:t>
      </w:r>
    </w:p>
    <w:p>
      <w:pPr>
        <w:spacing w:after="0" w:line="225" w:lineRule="exact"/>
        <w:rPr>
          <w:rFonts w:ascii="Arial" w:cs="Arial" w:eastAsia="Arial" w:hAnsi="Arial"/>
          <w:sz w:val="18"/>
          <w:szCs w:val="18"/>
          <w:color w:val="auto"/>
        </w:rPr>
      </w:pPr>
    </w:p>
    <w:p>
      <w:pPr>
        <w:ind w:right="40" w:firstLine="1305"/>
        <w:spacing w:after="0" w:line="308" w:lineRule="auto"/>
        <w:tabs>
          <w:tab w:leader="none" w:pos="1952" w:val="left"/>
        </w:tabs>
        <w:numPr>
          <w:ilvl w:val="2"/>
          <w:numId w:val="115"/>
        </w:numPr>
        <w:rPr>
          <w:rFonts w:ascii="Arial" w:cs="Arial" w:eastAsia="Arial" w:hAnsi="Arial"/>
          <w:sz w:val="17"/>
          <w:szCs w:val="17"/>
          <w:color w:val="auto"/>
        </w:rPr>
      </w:pPr>
      <w:r>
        <w:rPr>
          <w:rFonts w:ascii="Arial" w:cs="Arial" w:eastAsia="Arial" w:hAnsi="Arial"/>
          <w:sz w:val="17"/>
          <w:szCs w:val="17"/>
          <w:color w:val="auto"/>
        </w:rPr>
        <w:t>it holds such Permits necessary to own and operate the projects and entities that it directly or indirectly owns or operates from time to time and is not aware of, and shall inform the Service Provider of, any pending or threatened cancellation of such Permits;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it has the power, capacity and authority to enter into this Agreement and to perform its duties and obligations hereunder;</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it has taken all necessary action to authorize the execution, delivery and performance of this Agreement;</w:t>
      </w:r>
    </w:p>
    <w:p>
      <w:pPr>
        <w:spacing w:after="0" w:line="225" w:lineRule="exact"/>
        <w:rPr>
          <w:rFonts w:ascii="Arial" w:cs="Arial" w:eastAsia="Arial" w:hAnsi="Arial"/>
          <w:sz w:val="18"/>
          <w:szCs w:val="18"/>
          <w:color w:val="auto"/>
        </w:rPr>
      </w:pPr>
    </w:p>
    <w:p>
      <w:pPr>
        <w:ind w:firstLine="1305"/>
        <w:spacing w:after="0" w:line="302" w:lineRule="auto"/>
        <w:tabs>
          <w:tab w:leader="none" w:pos="1955"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the execution and delivery of this Agreement by it and the performance by it of its obligations hereunder do not and will not contravene, breach or result in any default under its certificate of incorporation or bylaws, or under any mortgage, lease, agreement or other legally binding instrument, Permit or applicable Law to which it is a party or by which any of its properties or assets may be bound, except for any such contravention, breach or default which would not have a material adverse effect on the business, assets, financial condition or results of operations of the Company as a whole;</w:t>
      </w:r>
    </w:p>
    <w:p>
      <w:pPr>
        <w:spacing w:after="0" w:line="154" w:lineRule="exact"/>
        <w:rPr>
          <w:rFonts w:ascii="Arial" w:cs="Arial" w:eastAsia="Arial" w:hAnsi="Arial"/>
          <w:sz w:val="16"/>
          <w:szCs w:val="16"/>
          <w:color w:val="auto"/>
        </w:rPr>
      </w:pPr>
    </w:p>
    <w:p>
      <w:pPr>
        <w:ind w:right="160" w:firstLine="1305"/>
        <w:spacing w:after="0" w:line="277" w:lineRule="auto"/>
        <w:tabs>
          <w:tab w:leader="none" w:pos="1949" w:val="left"/>
        </w:tabs>
        <w:numPr>
          <w:ilvl w:val="2"/>
          <w:numId w:val="115"/>
        </w:numPr>
        <w:rPr>
          <w:rFonts w:ascii="Arial" w:cs="Arial" w:eastAsia="Arial" w:hAnsi="Arial"/>
          <w:sz w:val="18"/>
          <w:szCs w:val="18"/>
          <w:color w:val="auto"/>
        </w:rPr>
      </w:pPr>
      <w:r>
        <w:rPr>
          <w:rFonts w:ascii="Arial" w:cs="Arial" w:eastAsia="Arial" w:hAnsi="Arial"/>
          <w:sz w:val="18"/>
          <w:szCs w:val="18"/>
          <w:color w:val="auto"/>
        </w:rPr>
        <w:t>no authorization, consent or approval, or filing with or notice to any Person is required in connection with the execution, delivery or performance by it of this Agreement; and</w:t>
      </w:r>
    </w:p>
    <w:p>
      <w:pPr>
        <w:sectPr>
          <w:pgSz w:w="11900" w:h="16862"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62" w:orient="portrait"/>
          <w:cols w:equalWidth="0" w:num="1">
            <w:col w:w="11420"/>
          </w:cols>
          <w:pgMar w:left="240" w:top="125" w:right="239" w:bottom="0" w:gutter="0" w:footer="0" w:header="0"/>
          <w:type w:val="continuous"/>
        </w:sectPr>
      </w:pPr>
    </w:p>
    <w:bookmarkStart w:id="96" w:name="page97"/>
    <w:bookmarkEnd w:id="96"/>
    <w:p>
      <w:pPr>
        <w:ind w:left="1980" w:hanging="675"/>
        <w:spacing w:after="0"/>
        <w:tabs>
          <w:tab w:leader="none" w:pos="1980" w:val="left"/>
        </w:tabs>
        <w:numPr>
          <w:ilvl w:val="2"/>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constitutes its valid and legally binding obligation, enforceable against it in accordance with its terms, subject to:</w:t>
      </w:r>
    </w:p>
    <w:p>
      <w:pPr>
        <w:spacing w:after="0" w:line="46" w:lineRule="exact"/>
        <w:rPr>
          <w:rFonts w:ascii="Arial" w:cs="Arial" w:eastAsia="Arial" w:hAnsi="Arial"/>
          <w:sz w:val="16"/>
          <w:szCs w:val="16"/>
          <w:color w:val="auto"/>
        </w:rPr>
      </w:pPr>
    </w:p>
    <w:p>
      <w:pPr>
        <w:jc w:val="both"/>
        <w:ind w:right="200" w:firstLine="8"/>
        <w:spacing w:after="0" w:line="302" w:lineRule="auto"/>
        <w:tabs>
          <w:tab w:leader="none" w:pos="2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applicable bankruptcy, insolvency, moratorium, fraudulent conveyance, reorganization and other laws of general application limiting the enforcement of creditors’ rights and remedies generally; and (ii) general principles of equity, including standards of materiality, good faith, fair dealing and reasonableness, equitable defenses and limits as to the availability of equitable remedies, whether such principles are considered in a proceeding at law or in equity.</w:t>
      </w:r>
    </w:p>
    <w:p>
      <w:pPr>
        <w:spacing w:after="0" w:line="151" w:lineRule="exact"/>
        <w:rPr>
          <w:rFonts w:ascii="Arial" w:cs="Arial" w:eastAsia="Arial" w:hAnsi="Arial"/>
          <w:sz w:val="16"/>
          <w:szCs w:val="16"/>
          <w:color w:val="auto"/>
        </w:rPr>
      </w:pPr>
    </w:p>
    <w:p>
      <w:pPr>
        <w:ind w:right="100" w:firstLine="656"/>
        <w:spacing w:after="0" w:line="286" w:lineRule="auto"/>
        <w:tabs>
          <w:tab w:leader="none" w:pos="1296"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Independent Contractor Status</w:t>
      </w:r>
      <w:r>
        <w:rPr>
          <w:rFonts w:ascii="Arial" w:cs="Arial" w:eastAsia="Arial" w:hAnsi="Arial"/>
          <w:sz w:val="16"/>
          <w:szCs w:val="16"/>
          <w:color w:val="auto"/>
        </w:rPr>
        <w:t>. The Parties acknowledge and agree that Service Provider is an independent contractor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of each and every part of this Agreement and nothing herein shall be construed to be inconsistent with this status. Service Provider shall have full authority to select the means, methods and manner of performing the Services, provided such Services are consistent with the terms of this Agreement. Without limiting Service Provider’s authority to select the means, methods and manner of performing the Services, the Company shall be entitled to specify the nature of such Services. No agent, employee or servant of Service Provider shall be or shall be deemed to be the employee, agent or servant of any NYLD Entity and nothing in this Agreement shall be construed to make any NYLD Entity an employer, directly or indirectly, of Service Provider’s employees under any applicable Law or otherwise. None of the benefits provided by the Company to its respective employees, including compensation insurance and unemployment insurance, shall be available to the employees, agents or servants of Service Provider. Service Provider will be solely and entirely responsible for its acts and the acts of Service Provider’s agents, employees, servants, contractors and subcontractors during the performance of the Agreement. Service Provider shall be solely and entirely responsible for the payment and provision of all wages, bonuses and commissions, employee benefits, including severance and worker’s compensation, and the withholding and payment of applicable Taxes relating to Service Provider’s agents, employees, servants, contractors and subcontractors. The Company acknowledges and agrees that the personnel of Service Provider providing such Services has, and shall have, no responsibilities with respect to the business of Service Provider and its Affiliates other than the performance of the Services, provided that Service Provider shall still provide the Services in accordance with the standards in </w:t>
      </w:r>
      <w:r>
        <w:rPr>
          <w:rFonts w:ascii="Arial" w:cs="Arial" w:eastAsia="Arial" w:hAnsi="Arial"/>
          <w:sz w:val="16"/>
          <w:szCs w:val="16"/>
          <w:u w:val="single" w:color="auto"/>
          <w:color w:val="auto"/>
        </w:rPr>
        <w:t>Section 2(b)</w:t>
      </w:r>
      <w:r>
        <w:rPr>
          <w:rFonts w:ascii="Arial" w:cs="Arial" w:eastAsia="Arial" w:hAnsi="Arial"/>
          <w:sz w:val="16"/>
          <w:szCs w:val="16"/>
          <w:color w:val="auto"/>
        </w:rPr>
        <w:t>.</w:t>
      </w:r>
    </w:p>
    <w:p>
      <w:pPr>
        <w:spacing w:after="0" w:line="171" w:lineRule="exact"/>
        <w:rPr>
          <w:rFonts w:ascii="Arial" w:cs="Arial" w:eastAsia="Arial" w:hAnsi="Arial"/>
          <w:sz w:val="16"/>
          <w:szCs w:val="16"/>
          <w:b w:val="1"/>
          <w:bCs w:val="1"/>
          <w:color w:val="auto"/>
        </w:rPr>
      </w:pPr>
    </w:p>
    <w:p>
      <w:pPr>
        <w:ind w:right="120" w:firstLine="656"/>
        <w:spacing w:after="0" w:line="303" w:lineRule="auto"/>
        <w:tabs>
          <w:tab w:leader="none" w:pos="1292"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Performance</w:t>
      </w:r>
      <w:r>
        <w:rPr>
          <w:rFonts w:ascii="Arial" w:cs="Arial" w:eastAsia="Arial" w:hAnsi="Arial"/>
          <w:sz w:val="16"/>
          <w:szCs w:val="16"/>
          <w:color w:val="auto"/>
        </w:rPr>
        <w:t>. Service Provider shall perform the Services or Additional Services in a timely manner and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Prudent Industry Practices. “Prudent Industry Practices” shall mean those practices, methods, standards and acts that at a particular time in the exercise of good judgment and in light of the facts known at the time the decision was made, would reasonably have been expected to accomplish the desired result in a manner consistent with applicable Law, applicable Permits, equipment manufacturers’ recommendations, reliability, safety and expedition.</w:t>
      </w:r>
    </w:p>
    <w:p>
      <w:pPr>
        <w:spacing w:after="0" w:line="151" w:lineRule="exact"/>
        <w:rPr>
          <w:rFonts w:ascii="Arial" w:cs="Arial" w:eastAsia="Arial" w:hAnsi="Arial"/>
          <w:sz w:val="16"/>
          <w:szCs w:val="16"/>
          <w:b w:val="1"/>
          <w:bCs w:val="1"/>
          <w:color w:val="auto"/>
        </w:rPr>
      </w:pPr>
    </w:p>
    <w:p>
      <w:pPr>
        <w:ind w:right="220" w:firstLine="656"/>
        <w:spacing w:after="0" w:line="289" w:lineRule="auto"/>
        <w:tabs>
          <w:tab w:leader="none" w:pos="1282"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Disclaimer of Warranties</w:t>
      </w:r>
      <w:r>
        <w:rPr>
          <w:rFonts w:ascii="Arial" w:cs="Arial" w:eastAsia="Arial" w:hAnsi="Arial"/>
          <w:sz w:val="17"/>
          <w:szCs w:val="17"/>
          <w:color w:val="auto"/>
        </w:rPr>
        <w:t>. EXCEPT AS EXPRESSLY SET FORTH HEREIN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SERVICE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MAKES NO REPRESENTATIONS OR WARRANTIES, EXPRESS, IMPLIED, OR STATUTORY, INCLUDING TO THE IMPLIED WARRANTIES OF MERCHANTABILITY OR FITNESS FOR A PARTICULAR PURPOSE, WITH RESPECT TO THE SERVICES PROVIDED BY IT HEREUNDER.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40" w:firstLine="1305"/>
        <w:spacing w:after="0" w:line="257" w:lineRule="auto"/>
        <w:tabs>
          <w:tab w:leader="none" w:pos="194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Service Provider shall indemnify, defend and hold harmless the Company, any of its Affiliates, and any directors, officers, agents, members, partners, shareholders, employees and other representatives of each of the foregoing from and against any claims, liabilities, losses, damages including cover damages (but expressly excluding consequential and punitive damages, except to the extent awarded in a final judgment in respect of a third party claim), costs or expenses (including legal fees) (“</w:t>
      </w:r>
      <w:r>
        <w:rPr>
          <w:rFonts w:ascii="Arial" w:cs="Arial" w:eastAsia="Arial" w:hAnsi="Arial"/>
          <w:sz w:val="18"/>
          <w:szCs w:val="18"/>
          <w:b w:val="1"/>
          <w:bCs w:val="1"/>
          <w:color w:val="auto"/>
        </w:rPr>
        <w:t>Liabilities</w:t>
      </w:r>
      <w:r>
        <w:rPr>
          <w:rFonts w:ascii="Arial" w:cs="Arial" w:eastAsia="Arial" w:hAnsi="Arial"/>
          <w:sz w:val="18"/>
          <w:szCs w:val="18"/>
          <w:color w:val="auto"/>
        </w:rPr>
        <w:t>”) incurred by them or threatened in connection with any claims resulting from Service Provider’s breach of its obligations under this Agreement.</w:t>
      </w:r>
    </w:p>
    <w:p>
      <w:pPr>
        <w:spacing w:after="0" w:line="188" w:lineRule="exact"/>
        <w:rPr>
          <w:rFonts w:ascii="Arial" w:cs="Arial" w:eastAsia="Arial" w:hAnsi="Arial"/>
          <w:sz w:val="18"/>
          <w:szCs w:val="18"/>
          <w:color w:val="auto"/>
        </w:rPr>
      </w:pPr>
    </w:p>
    <w:p>
      <w:pPr>
        <w:jc w:val="both"/>
        <w:ind w:right="80" w:firstLine="1305"/>
        <w:spacing w:after="0" w:line="312" w:lineRule="auto"/>
        <w:tabs>
          <w:tab w:leader="none" w:pos="195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Service Provider’s total liability to the Company under this Agreement will be equal to Thirteen Million Five Hundred Thousand Dollars ($13,500,000) (the “</w:t>
      </w:r>
      <w:r>
        <w:rPr>
          <w:rFonts w:ascii="Arial" w:cs="Arial" w:eastAsia="Arial" w:hAnsi="Arial"/>
          <w:sz w:val="16"/>
          <w:szCs w:val="16"/>
          <w:b w:val="1"/>
          <w:bCs w:val="1"/>
          <w:color w:val="auto"/>
        </w:rPr>
        <w:t>Liability Cap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Liability Cap will not apply to Liabilities of the Service Provider resulting from the Service Provider’s fraud, willful misconduct, gross negligence or in the case of a criminal matter, conduct undertaken with knowledge that the conduct was unlawful.</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no event shall any Party be entitled to duplicate compensation with respect to Liabilities under more than one provision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220" w:firstLine="1305"/>
        <w:spacing w:after="0" w:line="277" w:lineRule="auto"/>
        <w:tabs>
          <w:tab w:leader="none" w:pos="195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indemnification procedures applicable to this Agreement shall be the indemnification procedures set forth in Sections 13.05 through and including Section 13.07 of the Purchase Agreement applied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Agreement.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Systems Security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305"/>
        <w:spacing w:after="0" w:line="258" w:lineRule="auto"/>
        <w:tabs>
          <w:tab w:leader="none" w:pos="194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any Party or its personnel will be given access to another Party’s computer systems or software (“</w:t>
      </w:r>
      <w:r>
        <w:rPr>
          <w:rFonts w:ascii="Arial" w:cs="Arial" w:eastAsia="Arial" w:hAnsi="Arial"/>
          <w:sz w:val="18"/>
          <w:szCs w:val="18"/>
          <w:b w:val="1"/>
          <w:bCs w:val="1"/>
          <w:color w:val="auto"/>
        </w:rPr>
        <w:t>Systems</w:t>
      </w:r>
      <w:r>
        <w:rPr>
          <w:rFonts w:ascii="Arial" w:cs="Arial" w:eastAsia="Arial" w:hAnsi="Arial"/>
          <w:sz w:val="18"/>
          <w:szCs w:val="18"/>
          <w:color w:val="auto"/>
        </w:rPr>
        <w:t>”) in connection with the performance of the Services, the accessing Party or its personnel, as the case may be, shall comply with applicable Law and all of such other Party’s system security policies, procedures and requirements (as amended from time to time, the “</w:t>
      </w:r>
      <w:r>
        <w:rPr>
          <w:rFonts w:ascii="Arial" w:cs="Arial" w:eastAsia="Arial" w:hAnsi="Arial"/>
          <w:sz w:val="18"/>
          <w:szCs w:val="18"/>
          <w:b w:val="1"/>
          <w:bCs w:val="1"/>
          <w:color w:val="auto"/>
        </w:rPr>
        <w:t>Security Regulations</w:t>
      </w:r>
      <w:r>
        <w:rPr>
          <w:rFonts w:ascii="Arial" w:cs="Arial" w:eastAsia="Arial" w:hAnsi="Arial"/>
          <w:sz w:val="18"/>
          <w:szCs w:val="18"/>
          <w:color w:val="auto"/>
        </w:rPr>
        <w:t>”), and shall not tamper with, compromise or circumvent any security or audit measures employed by such other Party. Each Party shall provide to the other its respective Security Regulations in writing prior to permitting the other Party to access its Systems.</w:t>
      </w:r>
    </w:p>
    <w:p>
      <w:pPr>
        <w:spacing w:after="0" w:line="187" w:lineRule="exact"/>
        <w:rPr>
          <w:rFonts w:ascii="Arial" w:cs="Arial" w:eastAsia="Arial" w:hAnsi="Arial"/>
          <w:sz w:val="18"/>
          <w:szCs w:val="18"/>
          <w:color w:val="auto"/>
        </w:rPr>
      </w:pPr>
    </w:p>
    <w:p>
      <w:pPr>
        <w:ind w:right="200" w:firstLine="1305"/>
        <w:spacing w:after="0" w:line="264" w:lineRule="auto"/>
        <w:tabs>
          <w:tab w:leader="none" w:pos="195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Party shall use commercially reasonable efforts to ensure that only those of its personnel who are specifically authorized to have access to the Systems of the other Party gain such access, and to prevent unauthorized access, use, destruction, alteration or loss of information contained therein.</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at any time, any Party determines that the other Party or its personnel has sought to circumvent, or has circumvented, applicable Law or its Security Regulations or that any unauthorized personnel of such other Party has accessed its Systems, such Party shall immediately terminate any such personnel’s access to the other Party’s Systems and immediately notify the other Party.</w:t>
      </w:r>
    </w:p>
    <w:p>
      <w:pPr>
        <w:spacing w:after="0" w:line="181" w:lineRule="exact"/>
        <w:rPr>
          <w:rFonts w:ascii="Arial" w:cs="Arial" w:eastAsia="Arial" w:hAnsi="Arial"/>
          <w:sz w:val="18"/>
          <w:szCs w:val="18"/>
          <w:color w:val="auto"/>
        </w:rPr>
      </w:pPr>
    </w:p>
    <w:p>
      <w:pPr>
        <w:ind w:right="240" w:firstLine="1305"/>
        <w:spacing w:after="0" w:line="308" w:lineRule="auto"/>
        <w:tabs>
          <w:tab w:leader="none" w:pos="195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Each Party and its personnel shall access and use only those Systems, and only such data and information with such Systems, to which it has been granted the right to access and use. Any Party shall have the right to deny the personnel of another Party access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such Party’s Systems, after prior written notice, in the event such Party reasonably believes that such personnel pose a security concern.</w:t>
      </w:r>
    </w:p>
    <w:p>
      <w:pPr>
        <w:spacing w:after="0" w:line="221" w:lineRule="exact"/>
        <w:rPr>
          <w:sz w:val="20"/>
          <w:szCs w:val="20"/>
          <w:color w:val="auto"/>
        </w:rPr>
      </w:pPr>
    </w:p>
    <w:p>
      <w:pPr>
        <w:ind w:right="220" w:firstLine="656"/>
        <w:spacing w:after="0" w:line="266" w:lineRule="auto"/>
        <w:tabs>
          <w:tab w:leader="none" w:pos="12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Privacy</w:t>
      </w:r>
      <w:r>
        <w:rPr>
          <w:rFonts w:ascii="Arial" w:cs="Arial" w:eastAsia="Arial" w:hAnsi="Arial"/>
          <w:sz w:val="18"/>
          <w:szCs w:val="18"/>
          <w:color w:val="auto"/>
        </w:rPr>
        <w:t>. Notwithstanding anything herein to the contrary, with respect to personally identifiable information owned or controlled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shared under this Agreement, the Parties shall at all times comply with applicable Law, including with respect to using, accessing, storing, handling, processing, transmitting and disposing of such information.</w:t>
      </w:r>
    </w:p>
    <w:p>
      <w:pPr>
        <w:spacing w:after="0" w:line="176" w:lineRule="exact"/>
        <w:rPr>
          <w:rFonts w:ascii="Arial" w:cs="Arial" w:eastAsia="Arial" w:hAnsi="Arial"/>
          <w:sz w:val="18"/>
          <w:szCs w:val="18"/>
          <w:b w:val="1"/>
          <w:bCs w:val="1"/>
          <w:color w:val="auto"/>
        </w:rPr>
      </w:pPr>
    </w:p>
    <w:p>
      <w:pPr>
        <w:ind w:right="80" w:firstLine="656"/>
        <w:spacing w:after="0" w:line="273" w:lineRule="auto"/>
        <w:tabs>
          <w:tab w:leader="none" w:pos="1292"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No Party shall, and each Party shall cause other Persons under its control (including Affiliates and representatives)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providing or receiving Services or that otherwise have access to information of another Party that is confidential or proprietary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not to, disclose to any other Person or use, except to the extent reasonably necessary in order for such Party to perform its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any Confidential Information of such other Party that after the Closing is provided or that becomes known or available pursuant to or as a result of the carrying out of the provisions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may disclose (subject to applicable Law) Confidential Information of another Party to its personnel and such other third parties who (a) require such information in order to perform their duties in connection with this Agreement and (b) have agreed to use and maintain the confidentiality of such information consistent with the terms hereof.</w:t>
      </w:r>
    </w:p>
    <w:p>
      <w:pPr>
        <w:spacing w:after="0" w:line="172" w:lineRule="exact"/>
        <w:rPr>
          <w:rFonts w:ascii="Arial" w:cs="Arial" w:eastAsia="Arial" w:hAnsi="Arial"/>
          <w:sz w:val="17"/>
          <w:szCs w:val="17"/>
          <w:b w:val="1"/>
          <w:bCs w:val="1"/>
          <w:color w:val="auto"/>
        </w:rPr>
      </w:pPr>
    </w:p>
    <w:p>
      <w:pPr>
        <w:ind w:right="80" w:firstLine="656"/>
        <w:spacing w:after="0" w:line="314" w:lineRule="auto"/>
        <w:tabs>
          <w:tab w:leader="none" w:pos="129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Access to Facilities</w:t>
      </w:r>
      <w:r>
        <w:rPr>
          <w:rFonts w:ascii="Arial" w:cs="Arial" w:eastAsia="Arial" w:hAnsi="Arial"/>
          <w:sz w:val="16"/>
          <w:szCs w:val="16"/>
          <w:color w:val="auto"/>
        </w:rPr>
        <w:t>. In connection with the performance of the Services, the Company shall permit Service Provider and its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servants and employees full right of ingress and egress to facilities owned or operated by any applicable NYLD Entity during regular business hours, subject only to the usual and customary safety and security restrictions developed, observed and enforced in the ordinary course at such facilities and business need.</w:t>
      </w:r>
    </w:p>
    <w:p>
      <w:pPr>
        <w:spacing w:after="0" w:line="142" w:lineRule="exact"/>
        <w:rPr>
          <w:rFonts w:ascii="Arial" w:cs="Arial" w:eastAsia="Arial" w:hAnsi="Arial"/>
          <w:sz w:val="16"/>
          <w:szCs w:val="16"/>
          <w:b w:val="1"/>
          <w:bCs w:val="1"/>
          <w:color w:val="auto"/>
        </w:rPr>
      </w:pPr>
    </w:p>
    <w:p>
      <w:pPr>
        <w:ind w:right="80" w:firstLine="656"/>
        <w:spacing w:after="0" w:line="298" w:lineRule="auto"/>
        <w:tabs>
          <w:tab w:leader="none" w:pos="129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Audit Rights</w:t>
      </w:r>
      <w:r>
        <w:rPr>
          <w:rFonts w:ascii="Arial" w:cs="Arial" w:eastAsia="Arial" w:hAnsi="Arial"/>
          <w:sz w:val="16"/>
          <w:szCs w:val="16"/>
          <w:color w:val="auto"/>
        </w:rPr>
        <w:t>. The Company shall have the right, at reasonable times and on reasonable notice, to audit the books and records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to the extent related to the Services to ensure compliance with this Agreement. Such audits may be performed by the employees, independent accounting firms, and other designated representatives of the Company (including internal auditing personnel) at its sole cost and expense. Service Provider shall cooperate with the Company’s representatives to accomplish the audit as expeditiously as possible and the Company shall conduct its audit in a manner which shall result in a minimum of interference with Service Provider’s business and providing of Services hereunder.</w:t>
      </w:r>
    </w:p>
    <w:p>
      <w:pPr>
        <w:spacing w:after="0" w:line="154"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225" w:lineRule="exact"/>
        <w:rPr>
          <w:rFonts w:ascii="Arial" w:cs="Arial" w:eastAsia="Arial" w:hAnsi="Arial"/>
          <w:sz w:val="18"/>
          <w:szCs w:val="18"/>
          <w:b w:val="1"/>
          <w:bCs w:val="1"/>
          <w:color w:val="auto"/>
        </w:rPr>
      </w:pPr>
    </w:p>
    <w:p>
      <w:pPr>
        <w:ind w:right="220" w:firstLine="656"/>
        <w:spacing w:after="0" w:line="282" w:lineRule="auto"/>
        <w:tabs>
          <w:tab w:leader="none" w:pos="12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If this Agreement is terminated, all obligations of the Parties under this Agreement shall terminate,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2.2(g)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2.2(i)</w:t>
      </w:r>
      <w:r>
        <w:rPr>
          <w:rFonts w:ascii="Arial" w:cs="Arial" w:eastAsia="Arial" w:hAnsi="Arial"/>
          <w:sz w:val="18"/>
          <w:szCs w:val="18"/>
          <w:color w:val="auto"/>
        </w:rPr>
        <w:t xml:space="preserve">, </w:t>
      </w:r>
      <w:r>
        <w:rPr>
          <w:rFonts w:ascii="Arial" w:cs="Arial" w:eastAsia="Arial" w:hAnsi="Arial"/>
          <w:sz w:val="18"/>
          <w:szCs w:val="18"/>
          <w:u w:val="single" w:color="auto"/>
          <w:color w:val="auto"/>
        </w:rPr>
        <w:t>11, 12, 14, 15, 17, 21, 22, 25, 26, 27, 29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32, 33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160" w:firstLine="656"/>
        <w:spacing w:after="0" w:line="266" w:lineRule="auto"/>
        <w:tabs>
          <w:tab w:leader="none" w:pos="12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Service Provider and its employees, and any contractors, subcontractors, and other agents engaged by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to provide the Services, shall comply with all applicable Laws and all written policies of each Company provided to Service Provider in writing in performing the Services or any related work or other services.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256" w:lineRule="auto"/>
        <w:tabs>
          <w:tab w:leader="none" w:pos="132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and other communications required or permitted to be given or made hereunder by any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 writing and shall be deemed to have been duly given or made if (a) delivered personally, (b) sent by a recognized prepaid overnight courier service (which provides a receipt), (c) three business days after it is mailed to the recipient by first class mail, return receipt requested, at the addresses specified below, or (d) sent by electronic transmission (including e-mail with return receipt requested), to such Party at the addresses specified below. Any Party may change such Party’s address for receipt of notice by giving prior written notice of the change to the sending Party as provided herein. Notices and other communications will be addressed as follows: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If to Service Provider</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NRG Energy,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Donna Benefield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donna.benefield@nrg.com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NRG Energy,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(609) 524-4501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ogc@nrg.com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ogc@nrgyield.com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20004-2595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Patrick W. Lynch</w:t>
      </w:r>
    </w:p>
    <w:p>
      <w:pPr>
        <w:sectPr>
          <w:pgSz w:w="11900" w:h="16838" w:orient="portrait"/>
          <w:cols w:equalWidth="0" w:num="1">
            <w:col w:w="11380"/>
          </w:cols>
          <w:pgMar w:left="240" w:top="341" w:right="279" w:bottom="0" w:gutter="0" w:footer="0" w:header="0"/>
        </w:sectPr>
      </w:pPr>
    </w:p>
    <w:bookmarkStart w:id="98" w:name="page99"/>
    <w:bookmarkEnd w:id="98"/>
    <w:p>
      <w:pPr>
        <w:ind w:left="1960"/>
        <w:spacing w:after="0"/>
        <w:rPr>
          <w:sz w:val="20"/>
          <w:szCs w:val="20"/>
          <w:color w:val="auto"/>
        </w:rPr>
      </w:pPr>
      <w:r>
        <w:rPr>
          <w:rFonts w:ascii="Arial" w:cs="Arial" w:eastAsia="Arial" w:hAnsi="Arial"/>
          <w:sz w:val="18"/>
          <w:szCs w:val="18"/>
          <w:color w:val="auto"/>
        </w:rPr>
        <w:t>E-mail: plynch@crowell.com</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(202) 628-5116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Such notices, requests, demands, and other communications shall be effective (x) if given by personal delivery or courier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upon physical receipt or rejection, or (y) if given by electronic transmission, as of the date of confirmed delivery if delivered before 5:00 p.m. at the place of receipt on any Business Day, or the next succeeding Business Day if confirmed delivery is after 5:00 p.m. at the place of receipt on any Business Day or during any non-Business Day at the place of receipt</w:t>
      </w:r>
    </w:p>
    <w:p>
      <w:pPr>
        <w:spacing w:after="0" w:line="183" w:lineRule="exact"/>
        <w:rPr>
          <w:sz w:val="20"/>
          <w:szCs w:val="20"/>
          <w:color w:val="auto"/>
        </w:rPr>
      </w:pPr>
    </w:p>
    <w:p>
      <w:pPr>
        <w:jc w:val="both"/>
        <w:ind w:right="460" w:firstLine="656"/>
        <w:spacing w:after="0" w:line="266" w:lineRule="auto"/>
        <w:tabs>
          <w:tab w:leader="none" w:pos="1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including the Services Attachment, constitutes the sole and entire agreement of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contained herein and supersedes all prior and contemporaneous understandings and agreements, both written and oral, with respect to such subject matter.</w:t>
      </w:r>
    </w:p>
    <w:p>
      <w:pPr>
        <w:spacing w:after="0" w:line="176" w:lineRule="exact"/>
        <w:rPr>
          <w:rFonts w:ascii="Arial" w:cs="Arial" w:eastAsia="Arial" w:hAnsi="Arial"/>
          <w:sz w:val="18"/>
          <w:szCs w:val="18"/>
          <w:b w:val="1"/>
          <w:bCs w:val="1"/>
          <w:color w:val="auto"/>
        </w:rPr>
      </w:pPr>
    </w:p>
    <w:p>
      <w:pPr>
        <w:ind w:right="40" w:firstLine="656"/>
        <w:spacing w:after="0" w:line="273" w:lineRule="auto"/>
        <w:tabs>
          <w:tab w:leader="none" w:pos="1323"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Assignability</w:t>
      </w:r>
      <w:r>
        <w:rPr>
          <w:rFonts w:ascii="Arial" w:cs="Arial" w:eastAsia="Arial" w:hAnsi="Arial"/>
          <w:sz w:val="17"/>
          <w:szCs w:val="17"/>
          <w:color w:val="auto"/>
        </w:rPr>
        <w:t>. This Agreement shall be binding upon and inure to the benefit of the permitted successors and assigns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that no Party may assign, delegate or otherwise transfer any of its rights or obligations under this Agreement without the prior written consent of the other Parties, except that (a) subcontractors of Service Provider or Affiliates of Service Provider may provide Services hereunder without any such consent (it being understood that any delegation of the obligation to provide Services to a subcontractor shall not relieve Service Provider of its obligations hereunder), and (b) in the case of assignment by any Person that is the assignors’ successor by merger, consolidation or purchase of assets, in which case the successor shall be bound under this Agreement and by the terms of the assignment in the same manner as such Person is bound under this Agreement. Any purported assignment of this Agreement in violation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be null and void.</w:t>
      </w:r>
    </w:p>
    <w:p>
      <w:pPr>
        <w:spacing w:after="0" w:line="172" w:lineRule="exact"/>
        <w:rPr>
          <w:rFonts w:ascii="Arial" w:cs="Arial" w:eastAsia="Arial" w:hAnsi="Arial"/>
          <w:sz w:val="17"/>
          <w:szCs w:val="17"/>
          <w:b w:val="1"/>
          <w:bCs w:val="1"/>
          <w:color w:val="auto"/>
        </w:rPr>
      </w:pPr>
    </w:p>
    <w:p>
      <w:pPr>
        <w:ind w:firstLine="656"/>
        <w:spacing w:after="0" w:line="256" w:lineRule="auto"/>
        <w:tabs>
          <w:tab w:leader="none" w:pos="1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if, but only if such amendment or waiver is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is signed, in the case of an amendment, by each of the Parties or, in the case of a waiver, by the Party against whom the waiver is to be effective. No waiver of any provision of this Agreement will constitute a waiver of any other provision nor will any waiver of any provision of this Agreement constitute a continuing waiver unless otherwise expressly provided. A Party’s failure or delay in exercising any right under this Agreement will not operate as a waiver of that right. A single or partial exercise of any right will not preclude a Party from any other or further exercise of that right or the exercise of any other right.</w:t>
      </w:r>
    </w:p>
    <w:p>
      <w:pPr>
        <w:spacing w:after="0" w:line="187" w:lineRule="exact"/>
        <w:rPr>
          <w:rFonts w:ascii="Arial" w:cs="Arial" w:eastAsia="Arial" w:hAnsi="Arial"/>
          <w:sz w:val="18"/>
          <w:szCs w:val="18"/>
          <w:b w:val="1"/>
          <w:bCs w:val="1"/>
          <w:color w:val="auto"/>
        </w:rPr>
      </w:pPr>
    </w:p>
    <w:p>
      <w:pPr>
        <w:ind w:right="180" w:firstLine="656"/>
        <w:spacing w:after="0" w:line="258" w:lineRule="auto"/>
        <w:tabs>
          <w:tab w:leader="none" w:pos="1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shall be judicially declared to be invalid, unenforceable or void, such decision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effect of invalidating or voiding the remainder of this Agreement, and this Agreement shall be deemed amended to modify such provision to the extent necessary to render it valid, legal and enforceable while preserving its intent or, if such modification is not possible, by substituting another provision that is valid, legal and enforceable and that achieves the same objective and preserves the economic and legal substance of the transactions contemplated in this Agreement with respect to any Party</w:t>
      </w:r>
    </w:p>
    <w:p>
      <w:pPr>
        <w:spacing w:after="0" w:line="183" w:lineRule="exact"/>
        <w:rPr>
          <w:rFonts w:ascii="Arial" w:cs="Arial" w:eastAsia="Arial" w:hAnsi="Arial"/>
          <w:sz w:val="18"/>
          <w:szCs w:val="18"/>
          <w:b w:val="1"/>
          <w:bCs w:val="1"/>
          <w:color w:val="auto"/>
        </w:rPr>
      </w:pPr>
    </w:p>
    <w:p>
      <w:pPr>
        <w:ind w:right="320" w:firstLine="656"/>
        <w:spacing w:after="0" w:line="282" w:lineRule="auto"/>
        <w:tabs>
          <w:tab w:leader="none" w:pos="1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enforced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the principles of conflicts of laws thereof.</w:t>
      </w:r>
    </w:p>
    <w:p>
      <w:pPr>
        <w:spacing w:after="0" w:line="161" w:lineRule="exact"/>
        <w:rPr>
          <w:rFonts w:ascii="Arial" w:cs="Arial" w:eastAsia="Arial" w:hAnsi="Arial"/>
          <w:sz w:val="18"/>
          <w:szCs w:val="18"/>
          <w:b w:val="1"/>
          <w:bCs w:val="1"/>
          <w:color w:val="auto"/>
        </w:rPr>
      </w:pPr>
    </w:p>
    <w:p>
      <w:pPr>
        <w:ind w:right="60" w:firstLine="656"/>
        <w:spacing w:after="0" w:line="282" w:lineRule="auto"/>
        <w:tabs>
          <w:tab w:leader="none" w:pos="1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EACH OF THE PARTIES IRREVOCABLY SUBMITS TO THE NON-EXCLUSIVE JURISDICTION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COURT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CHANCERY OR, TO THE EXTENT SUCH COURT DECLINES TO ACCEPT JURISDICTION OVER A PARTICULAR MATTER, ANY FEDERAL COURT OF THE UNITED STATES OF AMERICA LOCATED IN THE STATE OF DELAWARE, FOR THE PURPOSES OF ANY SUIT, ACTION OR OTHER PROCEEDING TO ENFORCE THE ALTERNATIVE DISPUTE RESOLUTION PROVISION IN </w:t>
      </w:r>
      <w:r>
        <w:rPr>
          <w:rFonts w:ascii="Arial" w:cs="Arial" w:eastAsia="Arial" w:hAnsi="Arial"/>
          <w:sz w:val="17"/>
          <w:szCs w:val="17"/>
          <w:u w:val="single" w:color="auto"/>
          <w:color w:val="auto"/>
        </w:rPr>
        <w:t>SECTION 33</w:t>
      </w:r>
      <w:r>
        <w:rPr>
          <w:rFonts w:ascii="Arial" w:cs="Arial" w:eastAsia="Arial" w:hAnsi="Arial"/>
          <w:sz w:val="17"/>
          <w:szCs w:val="17"/>
          <w:color w:val="auto"/>
        </w:rPr>
        <w:t>. THE DECISION IN ANY ALTERNATIVE DISPUTE RESOLUTION SHALL BE FINAL AND BINDING AND MAY BE ENTERED IN ANY COURT HAVING JURISDICTION THEREOF. IF ANY PARTY FAILS TO APPEAR AT ANY PROPERLY NOTICED ALTERNATIVE DISPUTE RESOLUTION PROCEEDING, AN AWARD MAY BE ENTERED AGAINST THAT PARTY IN A COURT HAVING JURISDICTION THEREOF.</w:t>
      </w:r>
    </w:p>
    <w:p>
      <w:pPr>
        <w:spacing w:after="0" w:line="174" w:lineRule="exact"/>
        <w:rPr>
          <w:sz w:val="20"/>
          <w:szCs w:val="20"/>
          <w:color w:val="auto"/>
        </w:rPr>
      </w:pPr>
    </w:p>
    <w:p>
      <w:pPr>
        <w:ind w:left="1340" w:hanging="684"/>
        <w:spacing w:after="0"/>
        <w:tabs>
          <w:tab w:leader="none" w:pos="1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656"/>
        <w:spacing w:after="0" w:line="281" w:lineRule="auto"/>
        <w:tabs>
          <w:tab w:leader="none" w:pos="1323"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AS A SPECIFICALLY BARGAINED FOR INDUCEMENT FOR EACH OF THE PARTIES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THIS AGREEMENT (AFTER HAVING THE OPPORTUNITY TO CONSULT WITH COUNSEL), EACH PARTY WAIVES, TO THE FULLEST EXTENT PERMITTED BY APPLICABLE LAW, ANY RIGHT IT MAY HAVE TO A TRIAL BY JURY IN RESPECT OF ANY LEGAL ACTION, SUIT OR PROCEEDING ARISING OUT OF OR RELATING TO THIS AGREEMENT OR ANY TRANSACTION CONTEMPLATED HEREBY.</w:t>
      </w:r>
    </w:p>
    <w:p>
      <w:pPr>
        <w:spacing w:after="0" w:line="164" w:lineRule="exact"/>
        <w:rPr>
          <w:rFonts w:ascii="Arial" w:cs="Arial" w:eastAsia="Arial" w:hAnsi="Arial"/>
          <w:sz w:val="17"/>
          <w:szCs w:val="17"/>
          <w:b w:val="1"/>
          <w:bCs w:val="1"/>
          <w:color w:val="auto"/>
        </w:rPr>
      </w:pPr>
    </w:p>
    <w:p>
      <w:pPr>
        <w:jc w:val="both"/>
        <w:ind w:right="360" w:firstLine="656"/>
        <w:spacing w:after="0" w:line="261" w:lineRule="auto"/>
        <w:tabs>
          <w:tab w:leader="none" w:pos="132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time to time following the Closing, at the request of any Party and without further consideration,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execute and deliver to such requesting Party such instruments and documents and take such other action (but without incurring any material financial obligation) as such requesting Party may reasonably request in order to consummate more fully and effectively the transactions contemplated hereby.</w:t>
      </w:r>
    </w:p>
    <w:p>
      <w:pPr>
        <w:spacing w:after="0" w:line="180" w:lineRule="exact"/>
        <w:rPr>
          <w:rFonts w:ascii="Arial" w:cs="Arial" w:eastAsia="Arial" w:hAnsi="Arial"/>
          <w:sz w:val="18"/>
          <w:szCs w:val="18"/>
          <w:b w:val="1"/>
          <w:bCs w:val="1"/>
          <w:color w:val="auto"/>
        </w:rPr>
      </w:pPr>
    </w:p>
    <w:p>
      <w:pPr>
        <w:ind w:right="460" w:firstLine="656"/>
        <w:spacing w:after="0" w:line="266" w:lineRule="auto"/>
        <w:tabs>
          <w:tab w:leader="none" w:pos="132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instrument may be executed in any number of counterparts, each of which for all purposes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shall constitute collectively, one instrument. This instrument may be validly executed and delivered by pdf or other electronic transmission.</w:t>
      </w:r>
    </w:p>
    <w:p>
      <w:pPr>
        <w:spacing w:after="0" w:line="176" w:lineRule="exact"/>
        <w:rPr>
          <w:rFonts w:ascii="Arial" w:cs="Arial" w:eastAsia="Arial" w:hAnsi="Arial"/>
          <w:sz w:val="18"/>
          <w:szCs w:val="18"/>
          <w:b w:val="1"/>
          <w:bCs w:val="1"/>
          <w:color w:val="auto"/>
        </w:rPr>
      </w:pPr>
    </w:p>
    <w:p>
      <w:pPr>
        <w:ind w:right="120" w:firstLine="656"/>
        <w:spacing w:after="0" w:line="313" w:lineRule="auto"/>
        <w:tabs>
          <w:tab w:leader="none" w:pos="1323"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Joint Venture or Partnership; Construction</w:t>
      </w:r>
      <w:r>
        <w:rPr>
          <w:rFonts w:ascii="Arial" w:cs="Arial" w:eastAsia="Arial" w:hAnsi="Arial"/>
          <w:sz w:val="17"/>
          <w:szCs w:val="17"/>
          <w:color w:val="auto"/>
        </w:rPr>
        <w:t>. This Agreement shall not be deemed to create a joint venture or partnership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No consideration shall be given to the fact or presumption that one Party had a greater or lesser hand in drafting this Agreement.</w:t>
      </w:r>
    </w:p>
    <w:p>
      <w:pPr>
        <w:spacing w:after="0" w:line="138" w:lineRule="exact"/>
        <w:rPr>
          <w:rFonts w:ascii="Arial" w:cs="Arial" w:eastAsia="Arial" w:hAnsi="Arial"/>
          <w:sz w:val="17"/>
          <w:szCs w:val="17"/>
          <w:b w:val="1"/>
          <w:bCs w:val="1"/>
          <w:color w:val="auto"/>
        </w:rPr>
      </w:pPr>
    </w:p>
    <w:p>
      <w:pPr>
        <w:ind w:right="340" w:firstLine="656"/>
        <w:spacing w:after="0" w:line="347" w:lineRule="auto"/>
        <w:tabs>
          <w:tab w:leader="none" w:pos="1323"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Alternative Dispute Resolution</w:t>
      </w:r>
      <w:r>
        <w:rPr>
          <w:rFonts w:ascii="Arial" w:cs="Arial" w:eastAsia="Arial" w:hAnsi="Arial"/>
          <w:sz w:val="16"/>
          <w:szCs w:val="16"/>
          <w:color w:val="auto"/>
        </w:rPr>
        <w:t>. Any dispute or disagreement of any kind or nature between the Parties arising out of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this Agreement shall be resolved in accordance with the Alternative Dispute Resolution (“</w:t>
      </w:r>
      <w:r>
        <w:rPr>
          <w:rFonts w:ascii="Arial" w:cs="Arial" w:eastAsia="Arial" w:hAnsi="Arial"/>
          <w:sz w:val="16"/>
          <w:szCs w:val="16"/>
          <w:b w:val="1"/>
          <w:bCs w:val="1"/>
          <w:color w:val="auto"/>
        </w:rPr>
        <w:t>ADR</w:t>
      </w:r>
      <w:r>
        <w:rPr>
          <w:rFonts w:ascii="Arial" w:cs="Arial" w:eastAsia="Arial" w:hAnsi="Arial"/>
          <w:sz w:val="16"/>
          <w:szCs w:val="16"/>
          <w:color w:val="auto"/>
        </w:rPr>
        <w:t xml:space="preserve">”) provisions set forth in </w:t>
      </w:r>
      <w:r>
        <w:rPr>
          <w:rFonts w:ascii="Arial" w:cs="Arial" w:eastAsia="Arial" w:hAnsi="Arial"/>
          <w:sz w:val="16"/>
          <w:szCs w:val="16"/>
          <w:u w:val="single" w:color="auto"/>
          <w:color w:val="auto"/>
        </w:rPr>
        <w:t>Attachment B</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99" w:name="page100"/>
    <w:bookmarkEnd w:id="99"/>
    <w:p>
      <w:pPr>
        <w:ind w:left="1320" w:hanging="684"/>
        <w:spacing w:after="0"/>
        <w:tabs>
          <w:tab w:leader="none" w:pos="13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980" w:hanging="695"/>
        <w:spacing w:after="0"/>
        <w:tabs>
          <w:tab w:leader="none" w:pos="1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this Agreement, unless the context otherwise requires:</w:t>
      </w:r>
    </w:p>
    <w:p>
      <w:pPr>
        <w:spacing w:after="0" w:line="225" w:lineRule="exact"/>
        <w:rPr>
          <w:rFonts w:ascii="Arial" w:cs="Arial" w:eastAsia="Arial" w:hAnsi="Arial"/>
          <w:sz w:val="18"/>
          <w:szCs w:val="18"/>
          <w:color w:val="auto"/>
        </w:rPr>
      </w:pPr>
    </w:p>
    <w:p>
      <w:pPr>
        <w:ind w:left="-20" w:right="480" w:firstLine="1305"/>
        <w:spacing w:after="0" w:line="277" w:lineRule="auto"/>
        <w:tabs>
          <w:tab w:leader="none" w:pos="19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 words importing gender shall include all genders or the neuter, and words importing the neuter shall include all genders;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0" w:firstLine="1305"/>
        <w:spacing w:after="0" w:line="264" w:lineRule="auto"/>
        <w:tabs>
          <w:tab w:leader="none" w:pos="19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words “include”, “includes”, “including”, or any variations thereof, when following any general term or statement, are not to be construed as limiting the general term or statement to the specific items or matters set forth or to similar items or matters, but rather as referring to all other items or matters that could reasonably fall within the broadest possible scope of the general term or statement;</w:t>
      </w:r>
    </w:p>
    <w:p>
      <w:pPr>
        <w:spacing w:after="0" w:line="181" w:lineRule="exact"/>
        <w:rPr>
          <w:rFonts w:ascii="Arial" w:cs="Arial" w:eastAsia="Arial" w:hAnsi="Arial"/>
          <w:sz w:val="18"/>
          <w:szCs w:val="18"/>
          <w:color w:val="auto"/>
        </w:rPr>
      </w:pPr>
    </w:p>
    <w:p>
      <w:pPr>
        <w:ind w:left="1980" w:hanging="695"/>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references to any Person include such Person’s successors and permitted assigns;</w:t>
      </w:r>
    </w:p>
    <w:p>
      <w:pPr>
        <w:spacing w:after="0" w:line="225" w:lineRule="exact"/>
        <w:rPr>
          <w:rFonts w:ascii="Arial" w:cs="Arial" w:eastAsia="Arial" w:hAnsi="Arial"/>
          <w:sz w:val="18"/>
          <w:szCs w:val="18"/>
          <w:color w:val="auto"/>
        </w:rPr>
      </w:pPr>
    </w:p>
    <w:p>
      <w:pPr>
        <w:ind w:left="-20" w:right="20" w:firstLine="1305"/>
        <w:spacing w:after="0" w:line="264" w:lineRule="auto"/>
        <w:tabs>
          <w:tab w:leader="none" w:pos="19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reference to a statute, regulation, policy, rule or instrument shall include, and shall be deemed to be a reference also to, all amendments made to such statute, regulation, policy, rule or instrument and to any statute, regulation, policy, rule or instrument that may be passed which has the effect of supplementing or superseding the statute, regulation, policy, rule or instrument so referred to;</w:t>
      </w:r>
    </w:p>
    <w:p>
      <w:pPr>
        <w:spacing w:after="0" w:line="181" w:lineRule="exact"/>
        <w:rPr>
          <w:rFonts w:ascii="Arial" w:cs="Arial" w:eastAsia="Arial" w:hAnsi="Arial"/>
          <w:sz w:val="18"/>
          <w:szCs w:val="18"/>
          <w:color w:val="auto"/>
        </w:rPr>
      </w:pPr>
    </w:p>
    <w:p>
      <w:pPr>
        <w:ind w:left="-20" w:right="100" w:firstLine="1305"/>
        <w:spacing w:after="0" w:line="264" w:lineRule="auto"/>
        <w:tabs>
          <w:tab w:leader="none" w:pos="199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reference to this Agreement or any other agreement, document or instrument shall be construed as a reference to this Agreement or, as the case may be, such other agreement, document or instrument as the same may have been, or may from time to time be, amended, varied, replaced, amended and restated, supplemented or otherwise modified;</w:t>
      </w:r>
    </w:p>
    <w:p>
      <w:pPr>
        <w:spacing w:after="0" w:line="181" w:lineRule="exact"/>
        <w:rPr>
          <w:rFonts w:ascii="Arial" w:cs="Arial" w:eastAsia="Arial" w:hAnsi="Arial"/>
          <w:sz w:val="18"/>
          <w:szCs w:val="18"/>
          <w:color w:val="auto"/>
        </w:rPr>
      </w:pPr>
    </w:p>
    <w:p>
      <w:pPr>
        <w:ind w:left="-20" w:right="360" w:firstLine="1305"/>
        <w:spacing w:after="0" w:line="277" w:lineRule="auto"/>
        <w:tabs>
          <w:tab w:leader="none" w:pos="19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a reference in this Agreement is made to a Section or Schedule, such reference shall be to a Section or Schedule to this Agreement unless otherwise indicated;</w:t>
      </w:r>
    </w:p>
    <w:p>
      <w:pPr>
        <w:spacing w:after="0" w:line="170" w:lineRule="exact"/>
        <w:rPr>
          <w:rFonts w:ascii="Arial" w:cs="Arial" w:eastAsia="Arial" w:hAnsi="Arial"/>
          <w:sz w:val="18"/>
          <w:szCs w:val="18"/>
          <w:color w:val="auto"/>
        </w:rPr>
      </w:pPr>
    </w:p>
    <w:p>
      <w:pPr>
        <w:ind w:left="-20" w:firstLine="1305"/>
        <w:spacing w:after="0" w:line="264" w:lineRule="auto"/>
        <w:tabs>
          <w:tab w:leader="none" w:pos="19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that any day on which any amount is to be determined or any action is required to be taken hereunder is not a Business Day, then such amount shall be determined or such action shall be required to be taken at or before the requisite time on the next succeeding day that is a Business Day; and</w:t>
      </w:r>
    </w:p>
    <w:p>
      <w:pPr>
        <w:spacing w:after="0" w:line="181" w:lineRule="exact"/>
        <w:rPr>
          <w:rFonts w:ascii="Arial" w:cs="Arial" w:eastAsia="Arial" w:hAnsi="Arial"/>
          <w:sz w:val="18"/>
          <w:szCs w:val="18"/>
          <w:color w:val="auto"/>
        </w:rPr>
      </w:pPr>
    </w:p>
    <w:p>
      <w:pPr>
        <w:ind w:left="2000" w:hanging="715"/>
        <w:spacing w:after="0"/>
        <w:tabs>
          <w:tab w:leader="none" w:pos="2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except where otherwise expressly provided, all amounts in this Agreement are stated and shall be paid in U.S. currency.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executed by the Parties on the date set forth above.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u w:val="single" w:color="auto"/>
          <w:color w:val="auto"/>
        </w:rPr>
        <w:t>SERVICE PROVIDER</w:t>
      </w:r>
      <w:r>
        <w:rPr>
          <w:rFonts w:ascii="Arial" w:cs="Arial" w:eastAsia="Arial" w:hAnsi="Arial"/>
          <w:sz w:val="18"/>
          <w:szCs w:val="18"/>
          <w:b w:val="1"/>
          <w:bCs w:val="1"/>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NRG ENERGY, INC.</w:t>
      </w:r>
    </w:p>
    <w:p>
      <w:pPr>
        <w:spacing w:after="0" w:line="229" w:lineRule="exact"/>
        <w:rPr>
          <w:sz w:val="20"/>
          <w:szCs w:val="20"/>
          <w:color w:val="auto"/>
        </w:rPr>
      </w:pPr>
    </w:p>
    <w:p>
      <w:pPr>
        <w:ind w:left="6060"/>
        <w:spacing w:after="0"/>
        <w:tabs>
          <w:tab w:leader="none" w:pos="6520" w:val="left"/>
        </w:tabs>
        <w:rPr>
          <w:sz w:val="20"/>
          <w:szCs w:val="20"/>
          <w:color w:val="auto"/>
        </w:rPr>
      </w:pPr>
      <w:r>
        <w:rPr>
          <w:rFonts w:ascii="Arial" w:cs="Arial" w:eastAsia="Arial" w:hAnsi="Arial"/>
          <w:sz w:val="18"/>
          <w:szCs w:val="18"/>
          <w:color w:val="auto"/>
        </w:rPr>
        <w:t>By:</w:t>
        <w:tab/>
        <w:t>/s/ Gaetan Frotte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Gaetan Frotte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-130810</wp:posOffset>
            </wp:positionV>
            <wp:extent cx="30873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Title: Senior Vice President &amp; Treasurer</w:t>
      </w:r>
    </w:p>
    <w:p>
      <w:pPr>
        <w:spacing w:after="0" w:line="200" w:lineRule="exact"/>
        <w:rPr>
          <w:sz w:val="20"/>
          <w:szCs w:val="20"/>
          <w:color w:val="auto"/>
        </w:rPr>
      </w:pPr>
    </w:p>
    <w:p>
      <w:pPr>
        <w:spacing w:after="0" w:line="2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NRG YIELD, INC.</w:t>
      </w:r>
    </w:p>
    <w:p>
      <w:pPr>
        <w:spacing w:after="0" w:line="225" w:lineRule="exact"/>
        <w:rPr>
          <w:sz w:val="20"/>
          <w:szCs w:val="20"/>
          <w:color w:val="auto"/>
        </w:rPr>
      </w:pPr>
    </w:p>
    <w:p>
      <w:pPr>
        <w:ind w:left="6060"/>
        <w:spacing w:after="0"/>
        <w:tabs>
          <w:tab w:leader="none" w:pos="65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Chad Plotkin</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-130810</wp:posOffset>
            </wp:positionV>
            <wp:extent cx="30873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Title: Senior Vice President &amp; CFO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Yield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364-DAY BRIDGE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NRG YIELD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NRG YIELD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left="260" w:right="220"/>
        <w:spacing w:after="0" w:line="277" w:lineRule="auto"/>
        <w:rPr>
          <w:sz w:val="20"/>
          <w:szCs w:val="20"/>
          <w:color w:val="auto"/>
        </w:rPr>
      </w:pPr>
      <w:r>
        <w:rPr>
          <w:rFonts w:ascii="Arial" w:cs="Arial" w:eastAsia="Arial" w:hAnsi="Arial"/>
          <w:sz w:val="18"/>
          <w:szCs w:val="18"/>
          <w:color w:val="auto"/>
        </w:rPr>
        <w:t>MERRILL LYNCH, PIERCE, FENNER &amp; SMITH INCORPORATED, CREDIT SUISSE SECURITIES (USA) LLC, RBC CAPITAL MARKETS and CITIBANK, 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320" w:type="dxa"/>
            <w:vAlign w:val="bottom"/>
            <w:gridSpan w:val="2"/>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365"/>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90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411"/>
        </w:trPr>
        <w:tc>
          <w:tcPr>
            <w:tcW w:w="10440" w:type="dxa"/>
            <w:vAlign w:val="bottom"/>
            <w:gridSpan w:val="3"/>
          </w:tcPr>
          <w:p>
            <w:pPr>
              <w:spacing w:after="0"/>
              <w:rPr>
                <w:sz w:val="20"/>
                <w:szCs w:val="20"/>
                <w:color w:val="auto"/>
              </w:rPr>
            </w:pPr>
            <w:r>
              <w:rPr>
                <w:rFonts w:ascii="Arial" w:cs="Arial" w:eastAsia="Arial" w:hAnsi="Arial"/>
                <w:sz w:val="18"/>
                <w:szCs w:val="18"/>
                <w:color w:val="auto"/>
              </w:rPr>
              <w:t>ARTICLE I DEFINITIONS AND ACCOUNTING TERMS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Defined Terms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Other Interpretive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Accounting Terms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Times of Day</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Currency Equivalents Generally</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440" w:type="dxa"/>
            <w:vAlign w:val="bottom"/>
            <w:gridSpan w:val="3"/>
          </w:tcPr>
          <w:p>
            <w:pPr>
              <w:spacing w:after="0"/>
              <w:rPr>
                <w:sz w:val="20"/>
                <w:szCs w:val="20"/>
                <w:color w:val="auto"/>
              </w:rPr>
            </w:pPr>
            <w:r>
              <w:rPr>
                <w:rFonts w:ascii="Arial" w:cs="Arial" w:eastAsia="Arial" w:hAnsi="Arial"/>
                <w:sz w:val="18"/>
                <w:szCs w:val="18"/>
                <w:color w:val="auto"/>
              </w:rPr>
              <w:t>ARTICLE II THE COMMITMENTS AND CREDIT EXTENSIONS</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The Borrowings</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Borrowings, Conversions and Continuations of Loans</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2.03</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Prepayments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2.04</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Repayment of Loans</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2.05</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2.06</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Fees</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2.07</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Computation of Interest and Fees</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2.08</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Evidence of Debt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2.09</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Payments Generally; Administrative Agent’s Clawback</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2.10</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Sharing of Payments by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Defaulting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2.12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Maturity Date Extensions</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0440" w:type="dxa"/>
            <w:vAlign w:val="bottom"/>
            <w:gridSpan w:val="3"/>
          </w:tcPr>
          <w:p>
            <w:pPr>
              <w:spacing w:after="0"/>
              <w:rPr>
                <w:sz w:val="20"/>
                <w:szCs w:val="20"/>
                <w:color w:val="auto"/>
              </w:rPr>
            </w:pPr>
            <w:r>
              <w:rPr>
                <w:rFonts w:ascii="Arial" w:cs="Arial" w:eastAsia="Arial" w:hAnsi="Arial"/>
                <w:sz w:val="18"/>
                <w:szCs w:val="18"/>
                <w:color w:val="auto"/>
              </w:rPr>
              <w:t>ARTICLE III TAXES, YIELD PROTECTION AND ILLEGALITY</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Taxes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Illegality</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3.03</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Inability to Determine Rates</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3.04</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Increased Costs; Reserves on Eurodollar Rate Loans</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3.05</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Compensation for Losses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3.06</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Mitigation Obligations; Replacement of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3.07</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Survival</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440" w:type="dxa"/>
            <w:vAlign w:val="bottom"/>
            <w:gridSpan w:val="3"/>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Conditions of Effectiveness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4.02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Conditions to all Credit Extensions</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0440" w:type="dxa"/>
            <w:vAlign w:val="bottom"/>
            <w:gridSpan w:val="3"/>
          </w:tcPr>
          <w:p>
            <w:pPr>
              <w:spacing w:after="0"/>
              <w:rPr>
                <w:sz w:val="20"/>
                <w:szCs w:val="20"/>
                <w:color w:val="auto"/>
              </w:rPr>
            </w:pPr>
            <w:r>
              <w:rPr>
                <w:rFonts w:ascii="Arial" w:cs="Arial" w:eastAsia="Arial" w:hAnsi="Arial"/>
                <w:sz w:val="18"/>
                <w:szCs w:val="18"/>
                <w:color w:val="auto"/>
              </w:rPr>
              <w:t>ARTICLE V REPRESENTATIONS AND WARRANTIES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5.01</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Existence, Qualification and Power</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Authorization; No Contravention</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5.03</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Governmental Authorization</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5.04</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Binding Effect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5.05</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Financial Statements; No Material Adverse Effect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20" w:type="dxa"/>
            <w:vAlign w:val="bottom"/>
          </w:tcPr>
          <w:p>
            <w:pPr>
              <w:jc w:val="right"/>
              <w:ind w:right="170"/>
              <w:spacing w:after="0"/>
              <w:rPr>
                <w:sz w:val="20"/>
                <w:szCs w:val="20"/>
                <w:color w:val="auto"/>
              </w:rPr>
            </w:pPr>
            <w:r>
              <w:rPr>
                <w:rFonts w:ascii="Arial" w:cs="Arial" w:eastAsia="Arial" w:hAnsi="Arial"/>
                <w:sz w:val="18"/>
                <w:szCs w:val="18"/>
                <w:color w:val="auto"/>
              </w:rPr>
              <w:t>5.06</w:t>
            </w:r>
          </w:p>
        </w:tc>
        <w:tc>
          <w:tcPr>
            <w:tcW w:w="9320" w:type="dxa"/>
            <w:vAlign w:val="bottom"/>
            <w:gridSpan w:val="2"/>
          </w:tcPr>
          <w:p>
            <w:pPr>
              <w:ind w:left="260"/>
              <w:spacing w:after="0"/>
              <w:rPr>
                <w:sz w:val="20"/>
                <w:szCs w:val="20"/>
                <w:color w:val="auto"/>
              </w:rPr>
            </w:pPr>
            <w:r>
              <w:rPr>
                <w:rFonts w:ascii="Arial" w:cs="Arial" w:eastAsia="Arial" w:hAnsi="Arial"/>
                <w:sz w:val="18"/>
                <w:szCs w:val="18"/>
                <w:color w:val="auto"/>
              </w:rPr>
              <w:t>Litigation</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121" w:right="239" w:bottom="0" w:gutter="0" w:footer="0" w:header="0"/>
        </w:sectPr>
      </w:pPr>
    </w:p>
    <w:bookmarkStart w:id="101" w:name="page102"/>
    <w:bookmarkEnd w:id="10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5.07</w:t>
            </w:r>
          </w:p>
        </w:tc>
        <w:tc>
          <w:tcPr>
            <w:tcW w:w="768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5.08</w:t>
            </w:r>
          </w:p>
        </w:tc>
        <w:tc>
          <w:tcPr>
            <w:tcW w:w="7680" w:type="dxa"/>
            <w:vAlign w:val="bottom"/>
          </w:tcPr>
          <w:p>
            <w:pPr>
              <w:ind w:left="220"/>
              <w:spacing w:after="0"/>
              <w:rPr>
                <w:sz w:val="20"/>
                <w:szCs w:val="20"/>
                <w:color w:val="auto"/>
              </w:rPr>
            </w:pPr>
            <w:r>
              <w:rPr>
                <w:rFonts w:ascii="Arial" w:cs="Arial" w:eastAsia="Arial" w:hAnsi="Arial"/>
                <w:sz w:val="18"/>
                <w:szCs w:val="18"/>
                <w:color w:val="auto"/>
              </w:rPr>
              <w:t>Ownership of Properties</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160" w:type="dxa"/>
            <w:vAlign w:val="bottom"/>
          </w:tcPr>
          <w:p>
            <w:pPr>
              <w:spacing w:after="0"/>
              <w:rPr>
                <w:sz w:val="24"/>
                <w:szCs w:val="24"/>
                <w:color w:val="auto"/>
              </w:rPr>
            </w:pPr>
          </w:p>
        </w:tc>
        <w:tc>
          <w:tcPr>
            <w:tcW w:w="7680" w:type="dxa"/>
            <w:vAlign w:val="bottom"/>
          </w:tcPr>
          <w:p>
            <w:pPr>
              <w:ind w:left="4520"/>
              <w:spacing w:after="0"/>
              <w:rPr>
                <w:sz w:val="20"/>
                <w:szCs w:val="20"/>
                <w:color w:val="auto"/>
              </w:rPr>
            </w:pPr>
            <w:r>
              <w:rPr>
                <w:rFonts w:ascii="Arial" w:cs="Arial" w:eastAsia="Arial" w:hAnsi="Arial"/>
                <w:sz w:val="18"/>
                <w:szCs w:val="18"/>
                <w:color w:val="auto"/>
              </w:rPr>
              <w:t>i</w:t>
            </w:r>
          </w:p>
        </w:tc>
        <w:tc>
          <w:tcPr>
            <w:tcW w:w="262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76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r>
      <w:tr>
        <w:trPr>
          <w:trHeight w:val="766"/>
        </w:trPr>
        <w:tc>
          <w:tcPr>
            <w:tcW w:w="1160" w:type="dxa"/>
            <w:vAlign w:val="bottom"/>
          </w:tcPr>
          <w:p>
            <w:pPr>
              <w:ind w:left="540"/>
              <w:spacing w:after="0"/>
              <w:rPr>
                <w:sz w:val="20"/>
                <w:szCs w:val="20"/>
                <w:color w:val="auto"/>
              </w:rPr>
            </w:pPr>
            <w:r>
              <w:rPr>
                <w:rFonts w:ascii="Arial" w:cs="Arial" w:eastAsia="Arial" w:hAnsi="Arial"/>
                <w:sz w:val="18"/>
                <w:szCs w:val="18"/>
                <w:color w:val="auto"/>
              </w:rPr>
              <w:t>5.09</w:t>
            </w:r>
          </w:p>
        </w:tc>
        <w:tc>
          <w:tcPr>
            <w:tcW w:w="7680" w:type="dxa"/>
            <w:vAlign w:val="bottom"/>
          </w:tcPr>
          <w:p>
            <w:pPr>
              <w:ind w:left="220"/>
              <w:spacing w:after="0"/>
              <w:rPr>
                <w:sz w:val="20"/>
                <w:szCs w:val="20"/>
                <w:color w:val="auto"/>
              </w:rPr>
            </w:pPr>
            <w:r>
              <w:rPr>
                <w:rFonts w:ascii="Arial" w:cs="Arial" w:eastAsia="Arial" w:hAnsi="Arial"/>
                <w:sz w:val="18"/>
                <w:szCs w:val="18"/>
                <w:color w:val="auto"/>
              </w:rPr>
              <w:t>Environmental Compliance</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5.10</w:t>
            </w:r>
          </w:p>
        </w:tc>
        <w:tc>
          <w:tcPr>
            <w:tcW w:w="76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5.11</w:t>
            </w:r>
          </w:p>
        </w:tc>
        <w:tc>
          <w:tcPr>
            <w:tcW w:w="7680" w:type="dxa"/>
            <w:vAlign w:val="bottom"/>
          </w:tcPr>
          <w:p>
            <w:pPr>
              <w:ind w:left="22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5.12</w:t>
            </w:r>
          </w:p>
        </w:tc>
        <w:tc>
          <w:tcPr>
            <w:tcW w:w="7680" w:type="dxa"/>
            <w:vAlign w:val="bottom"/>
          </w:tcPr>
          <w:p>
            <w:pPr>
              <w:ind w:left="220"/>
              <w:spacing w:after="0"/>
              <w:rPr>
                <w:sz w:val="20"/>
                <w:szCs w:val="20"/>
                <w:color w:val="auto"/>
              </w:rPr>
            </w:pPr>
            <w:r>
              <w:rPr>
                <w:rFonts w:ascii="Arial" w:cs="Arial" w:eastAsia="Arial" w:hAnsi="Arial"/>
                <w:sz w:val="18"/>
                <w:szCs w:val="18"/>
                <w:color w:val="auto"/>
              </w:rPr>
              <w:t>ERISA Compliance</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5.13</w:t>
            </w:r>
          </w:p>
        </w:tc>
        <w:tc>
          <w:tcPr>
            <w:tcW w:w="7680" w:type="dxa"/>
            <w:vAlign w:val="bottom"/>
          </w:tcPr>
          <w:p>
            <w:pPr>
              <w:ind w:left="220"/>
              <w:spacing w:after="0"/>
              <w:rPr>
                <w:sz w:val="20"/>
                <w:szCs w:val="20"/>
                <w:color w:val="auto"/>
              </w:rPr>
            </w:pPr>
            <w:r>
              <w:rPr>
                <w:rFonts w:ascii="Arial" w:cs="Arial" w:eastAsia="Arial" w:hAnsi="Arial"/>
                <w:sz w:val="18"/>
                <w:szCs w:val="18"/>
                <w:color w:val="auto"/>
              </w:rPr>
              <w:t>Subsidiaries; Equity Interests; Loan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5.14</w:t>
            </w:r>
          </w:p>
        </w:tc>
        <w:tc>
          <w:tcPr>
            <w:tcW w:w="7680" w:type="dxa"/>
            <w:vAlign w:val="bottom"/>
          </w:tcPr>
          <w:p>
            <w:pPr>
              <w:ind w:left="220"/>
              <w:spacing w:after="0"/>
              <w:rPr>
                <w:sz w:val="20"/>
                <w:szCs w:val="20"/>
                <w:color w:val="auto"/>
              </w:rPr>
            </w:pPr>
            <w:r>
              <w:rPr>
                <w:rFonts w:ascii="Arial" w:cs="Arial" w:eastAsia="Arial" w:hAnsi="Arial"/>
                <w:sz w:val="18"/>
                <w:szCs w:val="18"/>
                <w:color w:val="auto"/>
              </w:rPr>
              <w:t>Margin Regulations; Investment Company Act</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5.15</w:t>
            </w:r>
          </w:p>
        </w:tc>
        <w:tc>
          <w:tcPr>
            <w:tcW w:w="768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5.16</w:t>
            </w:r>
          </w:p>
        </w:tc>
        <w:tc>
          <w:tcPr>
            <w:tcW w:w="768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5.17</w:t>
            </w:r>
          </w:p>
        </w:tc>
        <w:tc>
          <w:tcPr>
            <w:tcW w:w="7680" w:type="dxa"/>
            <w:vAlign w:val="bottom"/>
          </w:tcPr>
          <w:p>
            <w:pPr>
              <w:ind w:left="220"/>
              <w:spacing w:after="0"/>
              <w:rPr>
                <w:sz w:val="20"/>
                <w:szCs w:val="20"/>
                <w:color w:val="auto"/>
              </w:rPr>
            </w:pPr>
            <w:r>
              <w:rPr>
                <w:rFonts w:ascii="Arial" w:cs="Arial" w:eastAsia="Arial" w:hAnsi="Arial"/>
                <w:sz w:val="18"/>
                <w:szCs w:val="18"/>
                <w:color w:val="auto"/>
              </w:rPr>
              <w:t>Energy Regulatory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5.18</w:t>
            </w:r>
          </w:p>
        </w:tc>
        <w:tc>
          <w:tcPr>
            <w:tcW w:w="7680" w:type="dxa"/>
            <w:vAlign w:val="bottom"/>
          </w:tcPr>
          <w:p>
            <w:pPr>
              <w:ind w:left="220"/>
              <w:spacing w:after="0"/>
              <w:rPr>
                <w:sz w:val="20"/>
                <w:szCs w:val="20"/>
                <w:color w:val="auto"/>
              </w:rPr>
            </w:pPr>
            <w:r>
              <w:rPr>
                <w:rFonts w:ascii="Arial" w:cs="Arial" w:eastAsia="Arial" w:hAnsi="Arial"/>
                <w:sz w:val="18"/>
                <w:szCs w:val="18"/>
                <w:color w:val="auto"/>
              </w:rPr>
              <w:t>Intellectual Property; Licenses,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5.19</w:t>
            </w:r>
          </w:p>
        </w:tc>
        <w:tc>
          <w:tcPr>
            <w:tcW w:w="7680" w:type="dxa"/>
            <w:vAlign w:val="bottom"/>
          </w:tcPr>
          <w:p>
            <w:pPr>
              <w:ind w:left="220"/>
              <w:spacing w:after="0"/>
              <w:rPr>
                <w:sz w:val="20"/>
                <w:szCs w:val="20"/>
                <w:color w:val="auto"/>
              </w:rPr>
            </w:pPr>
            <w:r>
              <w:rPr>
                <w:rFonts w:ascii="Arial" w:cs="Arial" w:eastAsia="Arial" w:hAnsi="Arial"/>
                <w:sz w:val="18"/>
                <w:szCs w:val="18"/>
                <w:color w:val="auto"/>
              </w:rPr>
              <w:t>Solvency</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5.20</w:t>
            </w:r>
          </w:p>
        </w:tc>
        <w:tc>
          <w:tcPr>
            <w:tcW w:w="7680" w:type="dxa"/>
            <w:vAlign w:val="bottom"/>
          </w:tcPr>
          <w:p>
            <w:pPr>
              <w:ind w:left="220"/>
              <w:spacing w:after="0"/>
              <w:rPr>
                <w:sz w:val="20"/>
                <w:szCs w:val="20"/>
                <w:color w:val="auto"/>
              </w:rPr>
            </w:pPr>
            <w:r>
              <w:rPr>
                <w:rFonts w:ascii="Arial" w:cs="Arial" w:eastAsia="Arial" w:hAnsi="Arial"/>
                <w:sz w:val="18"/>
                <w:szCs w:val="18"/>
                <w:color w:val="auto"/>
              </w:rPr>
              <w:t>Casualty, Etc.</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5.21</w:t>
            </w:r>
          </w:p>
        </w:tc>
        <w:tc>
          <w:tcPr>
            <w:tcW w:w="7680" w:type="dxa"/>
            <w:vAlign w:val="bottom"/>
          </w:tcPr>
          <w:p>
            <w:pPr>
              <w:ind w:left="220"/>
              <w:spacing w:after="0"/>
              <w:rPr>
                <w:sz w:val="20"/>
                <w:szCs w:val="20"/>
                <w:color w:val="auto"/>
              </w:rPr>
            </w:pPr>
            <w:r>
              <w:rPr>
                <w:rFonts w:ascii="Arial" w:cs="Arial" w:eastAsia="Arial" w:hAnsi="Arial"/>
                <w:sz w:val="18"/>
                <w:szCs w:val="18"/>
                <w:color w:val="auto"/>
              </w:rPr>
              <w:t>Labor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5.22</w:t>
            </w:r>
          </w:p>
        </w:tc>
        <w:tc>
          <w:tcPr>
            <w:tcW w:w="7680" w:type="dxa"/>
            <w:vAlign w:val="bottom"/>
          </w:tcPr>
          <w:p>
            <w:pPr>
              <w:ind w:left="220"/>
              <w:spacing w:after="0"/>
              <w:rPr>
                <w:sz w:val="20"/>
                <w:szCs w:val="20"/>
                <w:color w:val="auto"/>
              </w:rPr>
            </w:pPr>
            <w:r>
              <w:rPr>
                <w:rFonts w:ascii="Arial" w:cs="Arial" w:eastAsia="Arial" w:hAnsi="Arial"/>
                <w:sz w:val="18"/>
                <w:szCs w:val="18"/>
                <w:color w:val="auto"/>
              </w:rPr>
              <w:t>Anti-Corruption Laws and Sanctions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5.23</w:t>
            </w:r>
          </w:p>
        </w:tc>
        <w:tc>
          <w:tcPr>
            <w:tcW w:w="768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5.24</w:t>
            </w:r>
          </w:p>
        </w:tc>
        <w:tc>
          <w:tcPr>
            <w:tcW w:w="7680" w:type="dxa"/>
            <w:vAlign w:val="bottom"/>
          </w:tcPr>
          <w:p>
            <w:pPr>
              <w:ind w:left="220"/>
              <w:spacing w:after="0"/>
              <w:rPr>
                <w:sz w:val="20"/>
                <w:szCs w:val="20"/>
                <w:color w:val="auto"/>
              </w:rPr>
            </w:pPr>
            <w:r>
              <w:rPr>
                <w:rFonts w:ascii="Arial" w:cs="Arial" w:eastAsia="Arial" w:hAnsi="Arial"/>
                <w:sz w:val="18"/>
                <w:szCs w:val="18"/>
                <w:color w:val="auto"/>
              </w:rPr>
              <w:t>PATRIOT Act, Etc.</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6.01</w:t>
            </w:r>
          </w:p>
        </w:tc>
        <w:tc>
          <w:tcPr>
            <w:tcW w:w="768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6.02</w:t>
            </w:r>
          </w:p>
        </w:tc>
        <w:tc>
          <w:tcPr>
            <w:tcW w:w="7680" w:type="dxa"/>
            <w:vAlign w:val="bottom"/>
          </w:tcPr>
          <w:p>
            <w:pPr>
              <w:ind w:left="220"/>
              <w:spacing w:after="0"/>
              <w:rPr>
                <w:sz w:val="20"/>
                <w:szCs w:val="20"/>
                <w:color w:val="auto"/>
              </w:rPr>
            </w:pPr>
            <w:r>
              <w:rPr>
                <w:rFonts w:ascii="Arial" w:cs="Arial" w:eastAsia="Arial" w:hAnsi="Arial"/>
                <w:sz w:val="18"/>
                <w:szCs w:val="18"/>
                <w:color w:val="auto"/>
              </w:rPr>
              <w:t>Certificates; Other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6.03</w:t>
            </w:r>
          </w:p>
        </w:tc>
        <w:tc>
          <w:tcPr>
            <w:tcW w:w="7680" w:type="dxa"/>
            <w:vAlign w:val="bottom"/>
          </w:tcPr>
          <w:p>
            <w:pPr>
              <w:ind w:left="220"/>
              <w:spacing w:after="0"/>
              <w:rPr>
                <w:sz w:val="20"/>
                <w:szCs w:val="20"/>
                <w:color w:val="auto"/>
              </w:rPr>
            </w:pPr>
            <w:r>
              <w:rPr>
                <w:rFonts w:ascii="Arial" w:cs="Arial" w:eastAsia="Arial" w:hAnsi="Arial"/>
                <w:sz w:val="18"/>
                <w:szCs w:val="18"/>
                <w:color w:val="auto"/>
              </w:rPr>
              <w:t>Payment of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6.04</w:t>
            </w:r>
          </w:p>
        </w:tc>
        <w:tc>
          <w:tcPr>
            <w:tcW w:w="7680" w:type="dxa"/>
            <w:vAlign w:val="bottom"/>
          </w:tcPr>
          <w:p>
            <w:pPr>
              <w:ind w:left="220"/>
              <w:spacing w:after="0"/>
              <w:rPr>
                <w:sz w:val="20"/>
                <w:szCs w:val="20"/>
                <w:color w:val="auto"/>
              </w:rPr>
            </w:pPr>
            <w:r>
              <w:rPr>
                <w:rFonts w:ascii="Arial" w:cs="Arial" w:eastAsia="Arial" w:hAnsi="Arial"/>
                <w:sz w:val="18"/>
                <w:szCs w:val="18"/>
                <w:color w:val="auto"/>
              </w:rPr>
              <w:t>Preservation of Existence, Etc.</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6.05</w:t>
            </w:r>
          </w:p>
        </w:tc>
        <w:tc>
          <w:tcPr>
            <w:tcW w:w="7680" w:type="dxa"/>
            <w:vAlign w:val="bottom"/>
          </w:tcPr>
          <w:p>
            <w:pPr>
              <w:ind w:left="220"/>
              <w:spacing w:after="0"/>
              <w:rPr>
                <w:sz w:val="20"/>
                <w:szCs w:val="20"/>
                <w:color w:val="auto"/>
              </w:rPr>
            </w:pPr>
            <w:r>
              <w:rPr>
                <w:rFonts w:ascii="Arial" w:cs="Arial" w:eastAsia="Arial" w:hAnsi="Arial"/>
                <w:sz w:val="18"/>
                <w:szCs w:val="18"/>
                <w:color w:val="auto"/>
              </w:rPr>
              <w:t>Additional Guarantees</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7.01</w:t>
            </w:r>
          </w:p>
        </w:tc>
        <w:tc>
          <w:tcPr>
            <w:tcW w:w="7680" w:type="dxa"/>
            <w:vAlign w:val="bottom"/>
          </w:tcPr>
          <w:p>
            <w:pPr>
              <w:ind w:left="220"/>
              <w:spacing w:after="0"/>
              <w:rPr>
                <w:sz w:val="20"/>
                <w:szCs w:val="20"/>
                <w:color w:val="auto"/>
              </w:rPr>
            </w:pPr>
            <w:r>
              <w:rPr>
                <w:rFonts w:ascii="Arial" w:cs="Arial" w:eastAsia="Arial" w:hAnsi="Arial"/>
                <w:sz w:val="18"/>
                <w:szCs w:val="18"/>
                <w:color w:val="auto"/>
              </w:rPr>
              <w:t>Liens</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7.02</w:t>
            </w:r>
          </w:p>
        </w:tc>
        <w:tc>
          <w:tcPr>
            <w:tcW w:w="7680" w:type="dxa"/>
            <w:vAlign w:val="bottom"/>
          </w:tcPr>
          <w:p>
            <w:pPr>
              <w:ind w:left="220"/>
              <w:spacing w:after="0"/>
              <w:rPr>
                <w:sz w:val="20"/>
                <w:szCs w:val="20"/>
                <w:color w:val="auto"/>
              </w:rPr>
            </w:pPr>
            <w:r>
              <w:rPr>
                <w:rFonts w:ascii="Arial" w:cs="Arial" w:eastAsia="Arial" w:hAnsi="Arial"/>
                <w:sz w:val="18"/>
                <w:szCs w:val="18"/>
                <w:color w:val="auto"/>
              </w:rPr>
              <w:t>Fundamental Changes</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7.03</w:t>
            </w:r>
          </w:p>
        </w:tc>
        <w:tc>
          <w:tcPr>
            <w:tcW w:w="7680" w:type="dxa"/>
            <w:vAlign w:val="bottom"/>
          </w:tcPr>
          <w:p>
            <w:pPr>
              <w:ind w:left="220"/>
              <w:spacing w:after="0"/>
              <w:rPr>
                <w:sz w:val="20"/>
                <w:szCs w:val="20"/>
                <w:color w:val="auto"/>
              </w:rPr>
            </w:pPr>
            <w:r>
              <w:rPr>
                <w:rFonts w:ascii="Arial" w:cs="Arial" w:eastAsia="Arial" w:hAnsi="Arial"/>
                <w:sz w:val="18"/>
                <w:szCs w:val="18"/>
                <w:color w:val="auto"/>
              </w:rPr>
              <w:t>Holding Company</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8.01</w:t>
            </w:r>
          </w:p>
        </w:tc>
        <w:tc>
          <w:tcPr>
            <w:tcW w:w="768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8.02</w:t>
            </w:r>
          </w:p>
        </w:tc>
        <w:tc>
          <w:tcPr>
            <w:tcW w:w="7680" w:type="dxa"/>
            <w:vAlign w:val="bottom"/>
          </w:tcPr>
          <w:p>
            <w:pPr>
              <w:ind w:left="220"/>
              <w:spacing w:after="0"/>
              <w:rPr>
                <w:sz w:val="20"/>
                <w:szCs w:val="20"/>
                <w:color w:val="auto"/>
              </w:rPr>
            </w:pPr>
            <w:r>
              <w:rPr>
                <w:rFonts w:ascii="Arial" w:cs="Arial" w:eastAsia="Arial" w:hAnsi="Arial"/>
                <w:sz w:val="18"/>
                <w:szCs w:val="18"/>
                <w:color w:val="auto"/>
              </w:rPr>
              <w:t>Remedies upon Event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8.03</w:t>
            </w:r>
          </w:p>
        </w:tc>
        <w:tc>
          <w:tcPr>
            <w:tcW w:w="7680" w:type="dxa"/>
            <w:vAlign w:val="bottom"/>
          </w:tcPr>
          <w:p>
            <w:pPr>
              <w:ind w:left="220"/>
              <w:spacing w:after="0"/>
              <w:rPr>
                <w:sz w:val="20"/>
                <w:szCs w:val="20"/>
                <w:color w:val="auto"/>
              </w:rPr>
            </w:pPr>
            <w:r>
              <w:rPr>
                <w:rFonts w:ascii="Arial" w:cs="Arial" w:eastAsia="Arial" w:hAnsi="Arial"/>
                <w:sz w:val="18"/>
                <w:szCs w:val="18"/>
                <w:color w:val="auto"/>
              </w:rPr>
              <w:t>Application of Funds</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9.01</w:t>
            </w:r>
          </w:p>
        </w:tc>
        <w:tc>
          <w:tcPr>
            <w:tcW w:w="7680" w:type="dxa"/>
            <w:vAlign w:val="bottom"/>
          </w:tcPr>
          <w:p>
            <w:pPr>
              <w:ind w:left="220"/>
              <w:spacing w:after="0"/>
              <w:rPr>
                <w:sz w:val="20"/>
                <w:szCs w:val="20"/>
                <w:color w:val="auto"/>
              </w:rPr>
            </w:pPr>
            <w:r>
              <w:rPr>
                <w:rFonts w:ascii="Arial" w:cs="Arial" w:eastAsia="Arial" w:hAnsi="Arial"/>
                <w:sz w:val="18"/>
                <w:szCs w:val="18"/>
                <w:color w:val="auto"/>
              </w:rPr>
              <w:t>Appointment and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9.02</w:t>
            </w:r>
          </w:p>
        </w:tc>
        <w:tc>
          <w:tcPr>
            <w:tcW w:w="7680" w:type="dxa"/>
            <w:vAlign w:val="bottom"/>
          </w:tcPr>
          <w:p>
            <w:pPr>
              <w:ind w:left="220"/>
              <w:spacing w:after="0"/>
              <w:rPr>
                <w:sz w:val="20"/>
                <w:szCs w:val="20"/>
                <w:color w:val="auto"/>
              </w:rPr>
            </w:pPr>
            <w:r>
              <w:rPr>
                <w:rFonts w:ascii="Arial" w:cs="Arial" w:eastAsia="Arial" w:hAnsi="Arial"/>
                <w:sz w:val="18"/>
                <w:szCs w:val="18"/>
                <w:color w:val="auto"/>
              </w:rPr>
              <w:t>Rights as a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9.03</w:t>
            </w:r>
          </w:p>
        </w:tc>
        <w:tc>
          <w:tcPr>
            <w:tcW w:w="768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9.04</w:t>
            </w:r>
          </w:p>
        </w:tc>
        <w:tc>
          <w:tcPr>
            <w:tcW w:w="7680" w:type="dxa"/>
            <w:vAlign w:val="bottom"/>
          </w:tcPr>
          <w:p>
            <w:pPr>
              <w:ind w:left="220"/>
              <w:spacing w:after="0"/>
              <w:rPr>
                <w:sz w:val="20"/>
                <w:szCs w:val="20"/>
                <w:color w:val="auto"/>
              </w:rPr>
            </w:pPr>
            <w:r>
              <w:rPr>
                <w:rFonts w:ascii="Arial" w:cs="Arial" w:eastAsia="Arial" w:hAnsi="Arial"/>
                <w:sz w:val="18"/>
                <w:szCs w:val="18"/>
                <w:color w:val="auto"/>
              </w:rPr>
              <w:t>Reliance by Administrative Agent; Indemnification, Etc.</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9.05</w:t>
            </w:r>
          </w:p>
        </w:tc>
        <w:tc>
          <w:tcPr>
            <w:tcW w:w="7680" w:type="dxa"/>
            <w:vAlign w:val="bottom"/>
          </w:tcPr>
          <w:p>
            <w:pPr>
              <w:ind w:left="220"/>
              <w:spacing w:after="0"/>
              <w:rPr>
                <w:sz w:val="20"/>
                <w:szCs w:val="20"/>
                <w:color w:val="auto"/>
              </w:rPr>
            </w:pPr>
            <w:r>
              <w:rPr>
                <w:rFonts w:ascii="Arial" w:cs="Arial" w:eastAsia="Arial" w:hAnsi="Arial"/>
                <w:sz w:val="18"/>
                <w:szCs w:val="18"/>
                <w:color w:val="auto"/>
              </w:rPr>
              <w:t>Delegation of Duties</w:t>
            </w: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9.06</w:t>
            </w:r>
          </w:p>
        </w:tc>
        <w:tc>
          <w:tcPr>
            <w:tcW w:w="7680" w:type="dxa"/>
            <w:vAlign w:val="bottom"/>
          </w:tcPr>
          <w:p>
            <w:pPr>
              <w:ind w:left="220"/>
              <w:spacing w:after="0"/>
              <w:rPr>
                <w:sz w:val="20"/>
                <w:szCs w:val="20"/>
                <w:color w:val="auto"/>
              </w:rPr>
            </w:pPr>
            <w:r>
              <w:rPr>
                <w:rFonts w:ascii="Arial" w:cs="Arial" w:eastAsia="Arial" w:hAnsi="Arial"/>
                <w:sz w:val="18"/>
                <w:szCs w:val="18"/>
                <w:color w:val="auto"/>
              </w:rPr>
              <w:t>Resignation of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9.07</w:t>
            </w:r>
          </w:p>
        </w:tc>
        <w:tc>
          <w:tcPr>
            <w:tcW w:w="7680" w:type="dxa"/>
            <w:vAlign w:val="bottom"/>
          </w:tcPr>
          <w:p>
            <w:pPr>
              <w:ind w:left="220"/>
              <w:spacing w:after="0"/>
              <w:rPr>
                <w:sz w:val="20"/>
                <w:szCs w:val="20"/>
                <w:color w:val="auto"/>
              </w:rPr>
            </w:pPr>
            <w:r>
              <w:rPr>
                <w:rFonts w:ascii="Arial" w:cs="Arial" w:eastAsia="Arial" w:hAnsi="Arial"/>
                <w:sz w:val="18"/>
                <w:szCs w:val="18"/>
                <w:color w:val="auto"/>
              </w:rPr>
              <w:t>Non-Reliance on Administrative Agent and Other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9.08</w:t>
            </w:r>
          </w:p>
        </w:tc>
        <w:tc>
          <w:tcPr>
            <w:tcW w:w="7680" w:type="dxa"/>
            <w:vAlign w:val="bottom"/>
          </w:tcPr>
          <w:p>
            <w:pPr>
              <w:ind w:left="220"/>
              <w:spacing w:after="0"/>
              <w:rPr>
                <w:sz w:val="20"/>
                <w:szCs w:val="20"/>
                <w:color w:val="auto"/>
              </w:rPr>
            </w:pPr>
            <w:r>
              <w:rPr>
                <w:rFonts w:ascii="Arial" w:cs="Arial" w:eastAsia="Arial" w:hAnsi="Arial"/>
                <w:sz w:val="18"/>
                <w:szCs w:val="18"/>
                <w:color w:val="auto"/>
              </w:rPr>
              <w:t>No Other Duties,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9.09</w:t>
            </w:r>
          </w:p>
        </w:tc>
        <w:tc>
          <w:tcPr>
            <w:tcW w:w="7680" w:type="dxa"/>
            <w:vAlign w:val="bottom"/>
          </w:tcPr>
          <w:p>
            <w:pPr>
              <w:ind w:left="220"/>
              <w:spacing w:after="0"/>
              <w:rPr>
                <w:sz w:val="20"/>
                <w:szCs w:val="20"/>
                <w:color w:val="auto"/>
              </w:rPr>
            </w:pPr>
            <w:r>
              <w:rPr>
                <w:rFonts w:ascii="Arial" w:cs="Arial" w:eastAsia="Arial" w:hAnsi="Arial"/>
                <w:sz w:val="18"/>
                <w:szCs w:val="18"/>
                <w:color w:val="auto"/>
              </w:rPr>
              <w:t>Administrative Agent May File Proofs of Claim</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9.10</w:t>
            </w:r>
          </w:p>
        </w:tc>
        <w:tc>
          <w:tcPr>
            <w:tcW w:w="7680" w:type="dxa"/>
            <w:vAlign w:val="bottom"/>
          </w:tcPr>
          <w:p>
            <w:pPr>
              <w:ind w:left="220"/>
              <w:spacing w:after="0"/>
              <w:rPr>
                <w:sz w:val="20"/>
                <w:szCs w:val="20"/>
                <w:color w:val="auto"/>
              </w:rPr>
            </w:pPr>
            <w:r>
              <w:rPr>
                <w:rFonts w:ascii="Arial" w:cs="Arial" w:eastAsia="Arial" w:hAnsi="Arial"/>
                <w:sz w:val="18"/>
                <w:szCs w:val="18"/>
                <w:color w:val="auto"/>
              </w:rPr>
              <w:t>Certain ERISA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X CONTINUING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1160" w:type="dxa"/>
            <w:vAlign w:val="bottom"/>
          </w:tcPr>
          <w:p>
            <w:pPr>
              <w:spacing w:after="0"/>
              <w:rPr>
                <w:sz w:val="24"/>
                <w:szCs w:val="24"/>
                <w:color w:val="auto"/>
              </w:rPr>
            </w:pPr>
          </w:p>
        </w:tc>
        <w:tc>
          <w:tcPr>
            <w:tcW w:w="7680" w:type="dxa"/>
            <w:vAlign w:val="bottom"/>
          </w:tcPr>
          <w:p>
            <w:pPr>
              <w:ind w:left="4500"/>
              <w:spacing w:after="0"/>
              <w:rPr>
                <w:sz w:val="20"/>
                <w:szCs w:val="20"/>
                <w:color w:val="auto"/>
              </w:rPr>
            </w:pPr>
            <w:r>
              <w:rPr>
                <w:rFonts w:ascii="Arial" w:cs="Arial" w:eastAsia="Arial" w:hAnsi="Arial"/>
                <w:sz w:val="18"/>
                <w:szCs w:val="18"/>
                <w:color w:val="auto"/>
              </w:rPr>
              <w:t>ii</w:t>
            </w:r>
          </w:p>
        </w:tc>
        <w:tc>
          <w:tcPr>
            <w:tcW w:w="262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76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r>
      <w:tr>
        <w:trPr>
          <w:trHeight w:val="766"/>
        </w:trPr>
        <w:tc>
          <w:tcPr>
            <w:tcW w:w="1160" w:type="dxa"/>
            <w:vAlign w:val="bottom"/>
          </w:tcPr>
          <w:p>
            <w:pPr>
              <w:ind w:left="540"/>
              <w:spacing w:after="0"/>
              <w:rPr>
                <w:sz w:val="20"/>
                <w:szCs w:val="20"/>
                <w:color w:val="auto"/>
              </w:rPr>
            </w:pPr>
            <w:r>
              <w:rPr>
                <w:rFonts w:ascii="Arial" w:cs="Arial" w:eastAsia="Arial" w:hAnsi="Arial"/>
                <w:sz w:val="18"/>
                <w:szCs w:val="18"/>
                <w:color w:val="auto"/>
              </w:rPr>
              <w:t>10.01</w:t>
            </w:r>
          </w:p>
        </w:tc>
        <w:tc>
          <w:tcPr>
            <w:tcW w:w="7680" w:type="dxa"/>
            <w:vAlign w:val="bottom"/>
          </w:tcPr>
          <w:p>
            <w:pPr>
              <w:ind w:left="220"/>
              <w:spacing w:after="0"/>
              <w:rPr>
                <w:sz w:val="20"/>
                <w:szCs w:val="20"/>
                <w:color w:val="auto"/>
              </w:rPr>
            </w:pPr>
            <w:r>
              <w:rPr>
                <w:rFonts w:ascii="Arial" w:cs="Arial" w:eastAsia="Arial" w:hAnsi="Arial"/>
                <w:sz w:val="18"/>
                <w:szCs w:val="18"/>
                <w:color w:val="auto"/>
              </w:rPr>
              <w:t>Guarantee of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10.02</w:t>
            </w:r>
          </w:p>
        </w:tc>
        <w:tc>
          <w:tcPr>
            <w:tcW w:w="7680" w:type="dxa"/>
            <w:vAlign w:val="bottom"/>
          </w:tcPr>
          <w:p>
            <w:pPr>
              <w:ind w:left="220"/>
              <w:spacing w:after="0"/>
              <w:rPr>
                <w:sz w:val="20"/>
                <w:szCs w:val="20"/>
                <w:color w:val="auto"/>
              </w:rPr>
            </w:pPr>
            <w:r>
              <w:rPr>
                <w:rFonts w:ascii="Arial" w:cs="Arial" w:eastAsia="Arial" w:hAnsi="Arial"/>
                <w:sz w:val="18"/>
                <w:szCs w:val="18"/>
                <w:color w:val="auto"/>
              </w:rPr>
              <w:t>Limitation on Obligations Guaranteed</w:t>
            </w: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10.03</w:t>
            </w:r>
          </w:p>
        </w:tc>
        <w:tc>
          <w:tcPr>
            <w:tcW w:w="7680" w:type="dxa"/>
            <w:vAlign w:val="bottom"/>
          </w:tcPr>
          <w:p>
            <w:pPr>
              <w:ind w:left="220"/>
              <w:spacing w:after="0"/>
              <w:rPr>
                <w:sz w:val="20"/>
                <w:szCs w:val="20"/>
                <w:color w:val="auto"/>
              </w:rPr>
            </w:pPr>
            <w:r>
              <w:rPr>
                <w:rFonts w:ascii="Arial" w:cs="Arial" w:eastAsia="Arial" w:hAnsi="Arial"/>
                <w:sz w:val="18"/>
                <w:szCs w:val="18"/>
                <w:color w:val="auto"/>
              </w:rPr>
              <w:t>Nature of Guarantee; Continuing Guarantee; Waivers of Defenses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10.04</w:t>
            </w:r>
          </w:p>
        </w:tc>
        <w:tc>
          <w:tcPr>
            <w:tcW w:w="7680" w:type="dxa"/>
            <w:vAlign w:val="bottom"/>
          </w:tcPr>
          <w:p>
            <w:pPr>
              <w:ind w:left="220"/>
              <w:spacing w:after="0"/>
              <w:rPr>
                <w:sz w:val="20"/>
                <w:szCs w:val="20"/>
                <w:color w:val="auto"/>
              </w:rPr>
            </w:pPr>
            <w:r>
              <w:rPr>
                <w:rFonts w:ascii="Arial" w:cs="Arial" w:eastAsia="Arial" w:hAnsi="Arial"/>
                <w:sz w:val="18"/>
                <w:szCs w:val="18"/>
                <w:color w:val="auto"/>
              </w:rPr>
              <w:t>Rights of Reimbursement, Contribution and Subrogation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10.05</w:t>
            </w:r>
          </w:p>
        </w:tc>
        <w:tc>
          <w:tcPr>
            <w:tcW w:w="76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10.06</w:t>
            </w:r>
          </w:p>
        </w:tc>
        <w:tc>
          <w:tcPr>
            <w:tcW w:w="7680" w:type="dxa"/>
            <w:vAlign w:val="bottom"/>
          </w:tcPr>
          <w:p>
            <w:pPr>
              <w:ind w:left="220"/>
              <w:spacing w:after="0"/>
              <w:rPr>
                <w:sz w:val="20"/>
                <w:szCs w:val="20"/>
                <w:color w:val="auto"/>
              </w:rPr>
            </w:pPr>
            <w:r>
              <w:rPr>
                <w:rFonts w:ascii="Arial" w:cs="Arial" w:eastAsia="Arial" w:hAnsi="Arial"/>
                <w:sz w:val="18"/>
                <w:szCs w:val="18"/>
                <w:color w:val="auto"/>
              </w:rPr>
              <w:t>Subordination of Other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10.07</w:t>
            </w:r>
          </w:p>
        </w:tc>
        <w:tc>
          <w:tcPr>
            <w:tcW w:w="7680" w:type="dxa"/>
            <w:vAlign w:val="bottom"/>
          </w:tcPr>
          <w:p>
            <w:pPr>
              <w:ind w:left="220"/>
              <w:spacing w:after="0"/>
              <w:rPr>
                <w:sz w:val="20"/>
                <w:szCs w:val="20"/>
                <w:color w:val="auto"/>
              </w:rPr>
            </w:pPr>
            <w:r>
              <w:rPr>
                <w:rFonts w:ascii="Arial" w:cs="Arial" w:eastAsia="Arial" w:hAnsi="Arial"/>
                <w:sz w:val="18"/>
                <w:szCs w:val="18"/>
                <w:color w:val="auto"/>
              </w:rPr>
              <w:t>Financial Condition of Borrower and Guarantors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10.08</w:t>
            </w:r>
          </w:p>
        </w:tc>
        <w:tc>
          <w:tcPr>
            <w:tcW w:w="7680" w:type="dxa"/>
            <w:vAlign w:val="bottom"/>
          </w:tcPr>
          <w:p>
            <w:pPr>
              <w:ind w:left="220"/>
              <w:spacing w:after="0"/>
              <w:rPr>
                <w:sz w:val="20"/>
                <w:szCs w:val="20"/>
                <w:color w:val="auto"/>
              </w:rPr>
            </w:pPr>
            <w:r>
              <w:rPr>
                <w:rFonts w:ascii="Arial" w:cs="Arial" w:eastAsia="Arial" w:hAnsi="Arial"/>
                <w:sz w:val="18"/>
                <w:szCs w:val="18"/>
                <w:color w:val="auto"/>
              </w:rPr>
              <w:t>Bankruptcy, Etc.</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10.09</w:t>
            </w:r>
          </w:p>
        </w:tc>
        <w:tc>
          <w:tcPr>
            <w:tcW w:w="7680" w:type="dxa"/>
            <w:vAlign w:val="bottom"/>
          </w:tcPr>
          <w:p>
            <w:pPr>
              <w:ind w:left="220"/>
              <w:spacing w:after="0"/>
              <w:rPr>
                <w:sz w:val="20"/>
                <w:szCs w:val="20"/>
                <w:color w:val="auto"/>
              </w:rPr>
            </w:pPr>
            <w:r>
              <w:rPr>
                <w:rFonts w:ascii="Arial" w:cs="Arial" w:eastAsia="Arial" w:hAnsi="Arial"/>
                <w:sz w:val="18"/>
                <w:szCs w:val="18"/>
                <w:color w:val="auto"/>
              </w:rPr>
              <w:t>Duration of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10.10</w:t>
            </w:r>
          </w:p>
        </w:tc>
        <w:tc>
          <w:tcPr>
            <w:tcW w:w="768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11.01</w:t>
            </w:r>
          </w:p>
        </w:tc>
        <w:tc>
          <w:tcPr>
            <w:tcW w:w="7680" w:type="dxa"/>
            <w:vAlign w:val="bottom"/>
          </w:tcPr>
          <w:p>
            <w:pPr>
              <w:ind w:left="220"/>
              <w:spacing w:after="0"/>
              <w:rPr>
                <w:sz w:val="20"/>
                <w:szCs w:val="20"/>
                <w:color w:val="auto"/>
              </w:rPr>
            </w:pPr>
            <w:r>
              <w:rPr>
                <w:rFonts w:ascii="Arial" w:cs="Arial" w:eastAsia="Arial" w:hAnsi="Arial"/>
                <w:sz w:val="18"/>
                <w:szCs w:val="18"/>
                <w:color w:val="auto"/>
              </w:rPr>
              <w:t>Amendments, Etc.</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11.02</w:t>
            </w:r>
          </w:p>
        </w:tc>
        <w:tc>
          <w:tcPr>
            <w:tcW w:w="7680" w:type="dxa"/>
            <w:vAlign w:val="bottom"/>
          </w:tcPr>
          <w:p>
            <w:pPr>
              <w:ind w:left="220"/>
              <w:spacing w:after="0"/>
              <w:rPr>
                <w:sz w:val="20"/>
                <w:szCs w:val="20"/>
                <w:color w:val="auto"/>
              </w:rPr>
            </w:pPr>
            <w:r>
              <w:rPr>
                <w:rFonts w:ascii="Arial" w:cs="Arial" w:eastAsia="Arial" w:hAnsi="Arial"/>
                <w:sz w:val="18"/>
                <w:szCs w:val="18"/>
                <w:color w:val="auto"/>
              </w:rPr>
              <w:t>Notices; Effectiveness; Electronic Communications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11.03</w:t>
            </w:r>
          </w:p>
        </w:tc>
        <w:tc>
          <w:tcPr>
            <w:tcW w:w="7680" w:type="dxa"/>
            <w:vAlign w:val="bottom"/>
          </w:tcPr>
          <w:p>
            <w:pPr>
              <w:ind w:left="220"/>
              <w:spacing w:after="0"/>
              <w:rPr>
                <w:sz w:val="20"/>
                <w:szCs w:val="20"/>
                <w:color w:val="auto"/>
              </w:rPr>
            </w:pPr>
            <w:r>
              <w:rPr>
                <w:rFonts w:ascii="Arial" w:cs="Arial" w:eastAsia="Arial" w:hAnsi="Arial"/>
                <w:sz w:val="18"/>
                <w:szCs w:val="18"/>
                <w:color w:val="auto"/>
              </w:rPr>
              <w:t>No Waiver; Cumulative Remedies; Enforcement</w:t>
            </w:r>
          </w:p>
        </w:tc>
        <w:tc>
          <w:tcPr>
            <w:tcW w:w="2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11.04</w:t>
            </w:r>
          </w:p>
        </w:tc>
        <w:tc>
          <w:tcPr>
            <w:tcW w:w="7680" w:type="dxa"/>
            <w:vAlign w:val="bottom"/>
          </w:tcPr>
          <w:p>
            <w:pPr>
              <w:ind w:left="220"/>
              <w:spacing w:after="0"/>
              <w:rPr>
                <w:sz w:val="20"/>
                <w:szCs w:val="20"/>
                <w:color w:val="auto"/>
              </w:rPr>
            </w:pPr>
            <w:r>
              <w:rPr>
                <w:rFonts w:ascii="Arial" w:cs="Arial" w:eastAsia="Arial" w:hAnsi="Arial"/>
                <w:sz w:val="18"/>
                <w:szCs w:val="18"/>
                <w:color w:val="auto"/>
              </w:rPr>
              <w:t>Expenses; Indemnity; Damage Waiver</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11.05</w:t>
            </w:r>
          </w:p>
        </w:tc>
        <w:tc>
          <w:tcPr>
            <w:tcW w:w="7680" w:type="dxa"/>
            <w:vAlign w:val="bottom"/>
          </w:tcPr>
          <w:p>
            <w:pPr>
              <w:ind w:left="220"/>
              <w:spacing w:after="0"/>
              <w:rPr>
                <w:sz w:val="20"/>
                <w:szCs w:val="20"/>
                <w:color w:val="auto"/>
              </w:rPr>
            </w:pPr>
            <w:r>
              <w:rPr>
                <w:rFonts w:ascii="Arial" w:cs="Arial" w:eastAsia="Arial" w:hAnsi="Arial"/>
                <w:sz w:val="18"/>
                <w:szCs w:val="18"/>
                <w:color w:val="auto"/>
              </w:rPr>
              <w:t>Payments Set Aside</w:t>
            </w:r>
          </w:p>
        </w:tc>
        <w:tc>
          <w:tcPr>
            <w:tcW w:w="262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-9897745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-9897745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102" w:name="page103"/>
    <w:bookmarkEnd w:id="102"/>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11.06</w:t>
            </w:r>
          </w:p>
        </w:tc>
        <w:tc>
          <w:tcPr>
            <w:tcW w:w="784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2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11.07</w:t>
            </w:r>
          </w:p>
        </w:tc>
        <w:tc>
          <w:tcPr>
            <w:tcW w:w="7840" w:type="dxa"/>
            <w:vAlign w:val="bottom"/>
          </w:tcPr>
          <w:p>
            <w:pPr>
              <w:ind w:left="140"/>
              <w:spacing w:after="0"/>
              <w:rPr>
                <w:sz w:val="20"/>
                <w:szCs w:val="20"/>
                <w:color w:val="auto"/>
              </w:rPr>
            </w:pPr>
            <w:r>
              <w:rPr>
                <w:rFonts w:ascii="Arial" w:cs="Arial" w:eastAsia="Arial" w:hAnsi="Arial"/>
                <w:sz w:val="18"/>
                <w:szCs w:val="18"/>
                <w:color w:val="auto"/>
              </w:rPr>
              <w:t>Treatment of Certain Information; Confidentiality</w:t>
            </w:r>
          </w:p>
        </w:tc>
        <w:tc>
          <w:tcPr>
            <w:tcW w:w="2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11.08</w:t>
            </w:r>
          </w:p>
        </w:tc>
        <w:tc>
          <w:tcPr>
            <w:tcW w:w="7840" w:type="dxa"/>
            <w:vAlign w:val="bottom"/>
          </w:tcPr>
          <w:p>
            <w:pPr>
              <w:ind w:left="140"/>
              <w:spacing w:after="0"/>
              <w:rPr>
                <w:sz w:val="20"/>
                <w:szCs w:val="20"/>
                <w:color w:val="auto"/>
              </w:rPr>
            </w:pPr>
            <w:r>
              <w:rPr>
                <w:rFonts w:ascii="Arial" w:cs="Arial" w:eastAsia="Arial" w:hAnsi="Arial"/>
                <w:sz w:val="18"/>
                <w:szCs w:val="18"/>
                <w:color w:val="auto"/>
              </w:rPr>
              <w:t>Right of Setoff</w:t>
            </w: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11.09</w:t>
            </w:r>
          </w:p>
        </w:tc>
        <w:tc>
          <w:tcPr>
            <w:tcW w:w="7840" w:type="dxa"/>
            <w:vAlign w:val="bottom"/>
          </w:tcPr>
          <w:p>
            <w:pPr>
              <w:ind w:left="140"/>
              <w:spacing w:after="0"/>
              <w:rPr>
                <w:sz w:val="20"/>
                <w:szCs w:val="20"/>
                <w:color w:val="auto"/>
              </w:rPr>
            </w:pPr>
            <w:r>
              <w:rPr>
                <w:rFonts w:ascii="Arial" w:cs="Arial" w:eastAsia="Arial" w:hAnsi="Arial"/>
                <w:sz w:val="18"/>
                <w:szCs w:val="18"/>
                <w:color w:val="auto"/>
              </w:rPr>
              <w:t>Interest Rate Limitation</w:t>
            </w: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11.10</w:t>
            </w:r>
          </w:p>
        </w:tc>
        <w:tc>
          <w:tcPr>
            <w:tcW w:w="7840" w:type="dxa"/>
            <w:vAlign w:val="bottom"/>
          </w:tcPr>
          <w:p>
            <w:pPr>
              <w:ind w:left="140"/>
              <w:spacing w:after="0"/>
              <w:rPr>
                <w:sz w:val="20"/>
                <w:szCs w:val="20"/>
                <w:color w:val="auto"/>
              </w:rPr>
            </w:pPr>
            <w:r>
              <w:rPr>
                <w:rFonts w:ascii="Arial" w:cs="Arial" w:eastAsia="Arial" w:hAnsi="Arial"/>
                <w:sz w:val="18"/>
                <w:szCs w:val="18"/>
                <w:color w:val="auto"/>
              </w:rPr>
              <w:t>Counterparts; Integration; Effectiveness</w:t>
            </w:r>
          </w:p>
        </w:tc>
        <w:tc>
          <w:tcPr>
            <w:tcW w:w="2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11.11</w:t>
            </w:r>
          </w:p>
        </w:tc>
        <w:tc>
          <w:tcPr>
            <w:tcW w:w="784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2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11.12</w:t>
            </w:r>
          </w:p>
        </w:tc>
        <w:tc>
          <w:tcPr>
            <w:tcW w:w="78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11.13</w:t>
            </w:r>
          </w:p>
        </w:tc>
        <w:tc>
          <w:tcPr>
            <w:tcW w:w="7840" w:type="dxa"/>
            <w:vAlign w:val="bottom"/>
          </w:tcPr>
          <w:p>
            <w:pPr>
              <w:ind w:left="140"/>
              <w:spacing w:after="0"/>
              <w:rPr>
                <w:sz w:val="20"/>
                <w:szCs w:val="20"/>
                <w:color w:val="auto"/>
              </w:rPr>
            </w:pPr>
            <w:r>
              <w:rPr>
                <w:rFonts w:ascii="Arial" w:cs="Arial" w:eastAsia="Arial" w:hAnsi="Arial"/>
                <w:sz w:val="18"/>
                <w:szCs w:val="18"/>
                <w:color w:val="auto"/>
              </w:rPr>
              <w:t>Replacement of Lenders</w:t>
            </w:r>
          </w:p>
        </w:tc>
        <w:tc>
          <w:tcPr>
            <w:tcW w:w="2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11.14</w:t>
            </w:r>
          </w:p>
        </w:tc>
        <w:tc>
          <w:tcPr>
            <w:tcW w:w="7840" w:type="dxa"/>
            <w:vAlign w:val="bottom"/>
          </w:tcPr>
          <w:p>
            <w:pPr>
              <w:ind w:left="140"/>
              <w:spacing w:after="0"/>
              <w:rPr>
                <w:sz w:val="20"/>
                <w:szCs w:val="20"/>
                <w:color w:val="auto"/>
              </w:rPr>
            </w:pPr>
            <w:r>
              <w:rPr>
                <w:rFonts w:ascii="Arial" w:cs="Arial" w:eastAsia="Arial" w:hAnsi="Arial"/>
                <w:sz w:val="18"/>
                <w:szCs w:val="18"/>
                <w:color w:val="auto"/>
              </w:rPr>
              <w:t>Governing Law; Jurisdiction; Etc.</w:t>
            </w:r>
          </w:p>
        </w:tc>
        <w:tc>
          <w:tcPr>
            <w:tcW w:w="2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11.15</w:t>
            </w:r>
          </w:p>
        </w:tc>
        <w:tc>
          <w:tcPr>
            <w:tcW w:w="784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2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11.16</w:t>
            </w:r>
          </w:p>
        </w:tc>
        <w:tc>
          <w:tcPr>
            <w:tcW w:w="7840" w:type="dxa"/>
            <w:vAlign w:val="bottom"/>
          </w:tcPr>
          <w:p>
            <w:pPr>
              <w:ind w:left="140"/>
              <w:spacing w:after="0"/>
              <w:rPr>
                <w:sz w:val="20"/>
                <w:szCs w:val="20"/>
                <w:color w:val="auto"/>
              </w:rPr>
            </w:pPr>
            <w:r>
              <w:rPr>
                <w:rFonts w:ascii="Arial" w:cs="Arial" w:eastAsia="Arial" w:hAnsi="Arial"/>
                <w:sz w:val="18"/>
                <w:szCs w:val="18"/>
                <w:color w:val="auto"/>
              </w:rPr>
              <w:t>No Advisory or Fiduciary Responsibility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11.17</w:t>
            </w:r>
          </w:p>
        </w:tc>
        <w:tc>
          <w:tcPr>
            <w:tcW w:w="7840" w:type="dxa"/>
            <w:vAlign w:val="bottom"/>
          </w:tcPr>
          <w:p>
            <w:pPr>
              <w:ind w:left="1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11.18</w:t>
            </w:r>
          </w:p>
        </w:tc>
        <w:tc>
          <w:tcPr>
            <w:tcW w:w="784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2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11.19</w:t>
            </w:r>
          </w:p>
        </w:tc>
        <w:tc>
          <w:tcPr>
            <w:tcW w:w="784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240" w:type="dxa"/>
            <w:vAlign w:val="bottom"/>
          </w:tcPr>
          <w:p>
            <w:pPr>
              <w:ind w:left="540"/>
              <w:spacing w:after="0"/>
              <w:rPr>
                <w:sz w:val="20"/>
                <w:szCs w:val="20"/>
                <w:color w:val="auto"/>
              </w:rPr>
            </w:pPr>
            <w:r>
              <w:rPr>
                <w:rFonts w:ascii="Arial" w:cs="Arial" w:eastAsia="Arial" w:hAnsi="Arial"/>
                <w:sz w:val="18"/>
                <w:szCs w:val="18"/>
                <w:color w:val="auto"/>
              </w:rPr>
              <w:t>11.20</w:t>
            </w:r>
          </w:p>
        </w:tc>
        <w:tc>
          <w:tcPr>
            <w:tcW w:w="7840" w:type="dxa"/>
            <w:vAlign w:val="bottom"/>
          </w:tcPr>
          <w:p>
            <w:pPr>
              <w:ind w:left="1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78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32"/>
        </w:trPr>
        <w:tc>
          <w:tcPr>
            <w:tcW w:w="1240" w:type="dxa"/>
            <w:vAlign w:val="bottom"/>
          </w:tcPr>
          <w:p>
            <w:pPr>
              <w:spacing w:after="0"/>
              <w:rPr>
                <w:sz w:val="24"/>
                <w:szCs w:val="24"/>
                <w:color w:val="auto"/>
              </w:rPr>
            </w:pPr>
          </w:p>
        </w:tc>
        <w:tc>
          <w:tcPr>
            <w:tcW w:w="7840" w:type="dxa"/>
            <w:vAlign w:val="bottom"/>
          </w:tcPr>
          <w:p>
            <w:pPr>
              <w:ind w:left="4400"/>
              <w:spacing w:after="0"/>
              <w:rPr>
                <w:sz w:val="20"/>
                <w:szCs w:val="20"/>
                <w:color w:val="auto"/>
              </w:rPr>
            </w:pPr>
            <w:r>
              <w:rPr>
                <w:rFonts w:ascii="Arial" w:cs="Arial" w:eastAsia="Arial" w:hAnsi="Arial"/>
                <w:sz w:val="18"/>
                <w:szCs w:val="18"/>
                <w:color w:val="auto"/>
              </w:rPr>
              <w:t>iii</w:t>
            </w:r>
          </w:p>
        </w:tc>
        <w:tc>
          <w:tcPr>
            <w:tcW w:w="238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784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r>
      <w:tr>
        <w:trPr>
          <w:trHeight w:val="780"/>
        </w:trPr>
        <w:tc>
          <w:tcPr>
            <w:tcW w:w="1240" w:type="dxa"/>
            <w:vAlign w:val="bottom"/>
          </w:tcPr>
          <w:p>
            <w:pPr>
              <w:spacing w:after="0"/>
              <w:rPr>
                <w:sz w:val="20"/>
                <w:szCs w:val="20"/>
                <w:color w:val="auto"/>
              </w:rPr>
            </w:pPr>
            <w:r>
              <w:rPr>
                <w:rFonts w:ascii="Arial" w:cs="Arial" w:eastAsia="Arial" w:hAnsi="Arial"/>
                <w:sz w:val="18"/>
                <w:szCs w:val="18"/>
                <w:color w:val="auto"/>
              </w:rPr>
              <w:t>SCHEDULES</w:t>
            </w:r>
          </w:p>
        </w:tc>
        <w:tc>
          <w:tcPr>
            <w:tcW w:w="7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8"/>
        </w:trPr>
        <w:tc>
          <w:tcPr>
            <w:tcW w:w="1240" w:type="dxa"/>
            <w:vAlign w:val="bottom"/>
          </w:tcPr>
          <w:p>
            <w:pPr>
              <w:ind w:left="540"/>
              <w:spacing w:after="0"/>
              <w:rPr>
                <w:sz w:val="20"/>
                <w:szCs w:val="20"/>
                <w:color w:val="auto"/>
              </w:rPr>
            </w:pPr>
            <w:r>
              <w:rPr>
                <w:rFonts w:ascii="Arial" w:cs="Arial" w:eastAsia="Arial" w:hAnsi="Arial"/>
                <w:sz w:val="18"/>
                <w:szCs w:val="18"/>
                <w:color w:val="auto"/>
              </w:rPr>
              <w:t>1.01</w:t>
            </w:r>
          </w:p>
        </w:tc>
        <w:tc>
          <w:tcPr>
            <w:tcW w:w="7840" w:type="dxa"/>
            <w:vAlign w:val="bottom"/>
          </w:tcPr>
          <w:p>
            <w:pPr>
              <w:ind w:left="140"/>
              <w:spacing w:after="0"/>
              <w:rPr>
                <w:sz w:val="20"/>
                <w:szCs w:val="20"/>
                <w:color w:val="auto"/>
              </w:rPr>
            </w:pPr>
            <w:r>
              <w:rPr>
                <w:rFonts w:ascii="Arial" w:cs="Arial" w:eastAsia="Arial" w:hAnsi="Arial"/>
                <w:sz w:val="18"/>
                <w:szCs w:val="18"/>
                <w:color w:val="auto"/>
              </w:rPr>
              <w:t>Equity Investor Subsidiaries</w:t>
            </w:r>
          </w:p>
        </w:tc>
        <w:tc>
          <w:tcPr>
            <w:tcW w:w="2380" w:type="dxa"/>
            <w:vAlign w:val="bottom"/>
          </w:tcPr>
          <w:p>
            <w:pPr>
              <w:spacing w:after="0"/>
              <w:rPr>
                <w:sz w:val="24"/>
                <w:szCs w:val="24"/>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2.01</w:t>
            </w:r>
          </w:p>
        </w:tc>
        <w:tc>
          <w:tcPr>
            <w:tcW w:w="7840" w:type="dxa"/>
            <w:vAlign w:val="bottom"/>
          </w:tcPr>
          <w:p>
            <w:pPr>
              <w:ind w:left="140"/>
              <w:spacing w:after="0"/>
              <w:rPr>
                <w:sz w:val="20"/>
                <w:szCs w:val="20"/>
                <w:color w:val="auto"/>
              </w:rPr>
            </w:pPr>
            <w:r>
              <w:rPr>
                <w:rFonts w:ascii="Arial" w:cs="Arial" w:eastAsia="Arial" w:hAnsi="Arial"/>
                <w:sz w:val="18"/>
                <w:szCs w:val="18"/>
                <w:color w:val="auto"/>
              </w:rPr>
              <w:t>Commitments and Applicable Percentages</w:t>
            </w:r>
          </w:p>
        </w:tc>
        <w:tc>
          <w:tcPr>
            <w:tcW w:w="2380" w:type="dxa"/>
            <w:vAlign w:val="bottom"/>
          </w:tcPr>
          <w:p>
            <w:pPr>
              <w:spacing w:after="0"/>
              <w:rPr>
                <w:sz w:val="18"/>
                <w:szCs w:val="18"/>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5.03</w:t>
            </w:r>
          </w:p>
        </w:tc>
        <w:tc>
          <w:tcPr>
            <w:tcW w:w="7840" w:type="dxa"/>
            <w:vAlign w:val="bottom"/>
          </w:tcPr>
          <w:p>
            <w:pPr>
              <w:ind w:left="140"/>
              <w:spacing w:after="0"/>
              <w:rPr>
                <w:sz w:val="20"/>
                <w:szCs w:val="20"/>
                <w:color w:val="auto"/>
              </w:rPr>
            </w:pPr>
            <w:r>
              <w:rPr>
                <w:rFonts w:ascii="Arial" w:cs="Arial" w:eastAsia="Arial" w:hAnsi="Arial"/>
                <w:sz w:val="18"/>
                <w:szCs w:val="18"/>
                <w:color w:val="auto"/>
              </w:rPr>
              <w:t>Certain Authorizations</w:t>
            </w:r>
          </w:p>
        </w:tc>
        <w:tc>
          <w:tcPr>
            <w:tcW w:w="2380" w:type="dxa"/>
            <w:vAlign w:val="bottom"/>
          </w:tcPr>
          <w:p>
            <w:pPr>
              <w:spacing w:after="0"/>
              <w:rPr>
                <w:sz w:val="18"/>
                <w:szCs w:val="18"/>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5.06</w:t>
            </w:r>
          </w:p>
        </w:tc>
        <w:tc>
          <w:tcPr>
            <w:tcW w:w="784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380" w:type="dxa"/>
            <w:vAlign w:val="bottom"/>
          </w:tcPr>
          <w:p>
            <w:pPr>
              <w:spacing w:after="0"/>
              <w:rPr>
                <w:sz w:val="18"/>
                <w:szCs w:val="18"/>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5.13</w:t>
            </w:r>
          </w:p>
        </w:tc>
        <w:tc>
          <w:tcPr>
            <w:tcW w:w="7840" w:type="dxa"/>
            <w:vAlign w:val="bottom"/>
          </w:tcPr>
          <w:p>
            <w:pPr>
              <w:ind w:left="140"/>
              <w:spacing w:after="0"/>
              <w:rPr>
                <w:sz w:val="20"/>
                <w:szCs w:val="20"/>
                <w:color w:val="auto"/>
              </w:rPr>
            </w:pPr>
            <w:r>
              <w:rPr>
                <w:rFonts w:ascii="Arial" w:cs="Arial" w:eastAsia="Arial" w:hAnsi="Arial"/>
                <w:sz w:val="18"/>
                <w:szCs w:val="18"/>
                <w:color w:val="auto"/>
              </w:rPr>
              <w:t>Subsidiaries and Other Equity Investments; Loan Parties; Project Subsidiaries</w:t>
            </w:r>
          </w:p>
        </w:tc>
        <w:tc>
          <w:tcPr>
            <w:tcW w:w="2380" w:type="dxa"/>
            <w:vAlign w:val="bottom"/>
          </w:tcPr>
          <w:p>
            <w:pPr>
              <w:spacing w:after="0"/>
              <w:rPr>
                <w:sz w:val="18"/>
                <w:szCs w:val="18"/>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5.17(a)</w:t>
            </w:r>
          </w:p>
        </w:tc>
        <w:tc>
          <w:tcPr>
            <w:tcW w:w="7840" w:type="dxa"/>
            <w:vAlign w:val="bottom"/>
          </w:tcPr>
          <w:p>
            <w:pPr>
              <w:ind w:left="140"/>
              <w:spacing w:after="0"/>
              <w:rPr>
                <w:sz w:val="20"/>
                <w:szCs w:val="20"/>
                <w:color w:val="auto"/>
              </w:rPr>
            </w:pPr>
            <w:r>
              <w:rPr>
                <w:rFonts w:ascii="Arial" w:cs="Arial" w:eastAsia="Arial" w:hAnsi="Arial"/>
                <w:sz w:val="18"/>
                <w:szCs w:val="18"/>
                <w:color w:val="auto"/>
              </w:rPr>
              <w:t>Generation Portfolio Companies</w:t>
            </w:r>
          </w:p>
        </w:tc>
        <w:tc>
          <w:tcPr>
            <w:tcW w:w="2380" w:type="dxa"/>
            <w:vAlign w:val="bottom"/>
          </w:tcPr>
          <w:p>
            <w:pPr>
              <w:spacing w:after="0"/>
              <w:rPr>
                <w:sz w:val="18"/>
                <w:szCs w:val="18"/>
                <w:color w:val="auto"/>
              </w:rPr>
            </w:pPr>
          </w:p>
        </w:tc>
      </w:tr>
      <w:tr>
        <w:trPr>
          <w:trHeight w:val="216"/>
        </w:trPr>
        <w:tc>
          <w:tcPr>
            <w:tcW w:w="1240" w:type="dxa"/>
            <w:vAlign w:val="bottom"/>
          </w:tcPr>
          <w:p>
            <w:pPr>
              <w:ind w:left="540"/>
              <w:spacing w:after="0"/>
              <w:rPr>
                <w:sz w:val="20"/>
                <w:szCs w:val="20"/>
                <w:color w:val="auto"/>
              </w:rPr>
            </w:pPr>
            <w:r>
              <w:rPr>
                <w:rFonts w:ascii="Arial" w:cs="Arial" w:eastAsia="Arial" w:hAnsi="Arial"/>
                <w:sz w:val="18"/>
                <w:szCs w:val="18"/>
                <w:color w:val="auto"/>
              </w:rPr>
              <w:t>5.23</w:t>
            </w:r>
          </w:p>
        </w:tc>
        <w:tc>
          <w:tcPr>
            <w:tcW w:w="7840" w:type="dxa"/>
            <w:vAlign w:val="bottom"/>
          </w:tcPr>
          <w:p>
            <w:pPr>
              <w:ind w:left="140"/>
              <w:spacing w:after="0"/>
              <w:rPr>
                <w:sz w:val="20"/>
                <w:szCs w:val="20"/>
                <w:color w:val="auto"/>
              </w:rPr>
            </w:pPr>
            <w:r>
              <w:rPr>
                <w:rFonts w:ascii="Arial" w:cs="Arial" w:eastAsia="Arial" w:hAnsi="Arial"/>
                <w:sz w:val="18"/>
                <w:szCs w:val="18"/>
                <w:color w:val="auto"/>
              </w:rPr>
              <w:t>Contractual Obligations Limiting Restricted Payments</w:t>
            </w:r>
          </w:p>
        </w:tc>
        <w:tc>
          <w:tcPr>
            <w:tcW w:w="2380" w:type="dxa"/>
            <w:vAlign w:val="bottom"/>
          </w:tcPr>
          <w:p>
            <w:pPr>
              <w:spacing w:after="0"/>
              <w:rPr>
                <w:sz w:val="18"/>
                <w:szCs w:val="18"/>
                <w:color w:val="auto"/>
              </w:rPr>
            </w:pPr>
          </w:p>
        </w:tc>
      </w:tr>
      <w:tr>
        <w:trPr>
          <w:trHeight w:val="230"/>
        </w:trPr>
        <w:tc>
          <w:tcPr>
            <w:tcW w:w="1240" w:type="dxa"/>
            <w:vAlign w:val="bottom"/>
          </w:tcPr>
          <w:p>
            <w:pPr>
              <w:ind w:left="540"/>
              <w:spacing w:after="0"/>
              <w:rPr>
                <w:sz w:val="20"/>
                <w:szCs w:val="20"/>
                <w:color w:val="auto"/>
              </w:rPr>
            </w:pPr>
            <w:r>
              <w:rPr>
                <w:rFonts w:ascii="Arial" w:cs="Arial" w:eastAsia="Arial" w:hAnsi="Arial"/>
                <w:sz w:val="18"/>
                <w:szCs w:val="18"/>
                <w:color w:val="auto"/>
              </w:rPr>
              <w:t>11.02</w:t>
            </w:r>
          </w:p>
        </w:tc>
        <w:tc>
          <w:tcPr>
            <w:tcW w:w="7840" w:type="dxa"/>
            <w:vAlign w:val="bottom"/>
          </w:tcPr>
          <w:p>
            <w:pPr>
              <w:ind w:left="140"/>
              <w:spacing w:after="0"/>
              <w:rPr>
                <w:sz w:val="20"/>
                <w:szCs w:val="20"/>
                <w:color w:val="auto"/>
              </w:rPr>
            </w:pPr>
            <w:r>
              <w:rPr>
                <w:rFonts w:ascii="Arial" w:cs="Arial" w:eastAsia="Arial" w:hAnsi="Arial"/>
                <w:sz w:val="18"/>
                <w:szCs w:val="18"/>
                <w:color w:val="auto"/>
              </w:rPr>
              <w:t>Administrative Agent’s Office, Certain Addresses for Notices</w:t>
            </w:r>
          </w:p>
        </w:tc>
        <w:tc>
          <w:tcPr>
            <w:tcW w:w="2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Form of</w:t>
      </w:r>
    </w:p>
    <w:p>
      <w:pPr>
        <w:spacing w:after="0" w:line="225" w:lineRule="exact"/>
        <w:rPr>
          <w:sz w:val="20"/>
          <w:szCs w:val="20"/>
          <w:color w:val="auto"/>
        </w:rPr>
      </w:pPr>
    </w:p>
    <w:p>
      <w:pPr>
        <w:ind w:left="1380" w:hanging="832"/>
        <w:spacing w:after="0"/>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380" w:hanging="832"/>
        <w:spacing w:after="0"/>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380" w:hanging="832"/>
        <w:spacing w:after="0"/>
        <w:tabs>
          <w:tab w:leader="none" w:pos="1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6"/>
          <w:szCs w:val="16"/>
          <w:color w:val="auto"/>
        </w:rPr>
        <w:t>Assignment and Assumption</w:t>
      </w:r>
    </w:p>
    <w:p>
      <w:pPr>
        <w:spacing w:after="0" w:line="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6"/>
          <w:szCs w:val="16"/>
          <w:color w:val="auto"/>
        </w:rPr>
        <w:t>Administrative Questionnaire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364-DAY BRIDGE CREDIT AGREEMENT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364-DAY BRIDGE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August 31, 2018, among NRG Yield Operating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NRG Yield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each other Guarantor (as defined herein) from time to time party hereto,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ROYAL BANK OF CANADA, as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means the Purchase and Sale Agreement dated as of February 6, 2018, by and among the Buyer and the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the date on which the NRG Transaction is consummated.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LTM CAFD</w:t>
      </w:r>
      <w:r>
        <w:rPr>
          <w:rFonts w:ascii="Arial" w:cs="Arial" w:eastAsia="Arial" w:hAnsi="Arial"/>
          <w:sz w:val="18"/>
          <w:szCs w:val="18"/>
          <w:color w:val="auto"/>
        </w:rPr>
        <w:t xml:space="preserve">” </w:t>
      </w:r>
      <w:r>
        <w:rPr>
          <w:rFonts w:ascii="Arial" w:cs="Arial" w:eastAsia="Arial" w:hAnsi="Arial"/>
          <w:sz w:val="17"/>
          <w:szCs w:val="17"/>
          <w:color w:val="auto"/>
        </w:rPr>
        <w:t>means, as of any date of determination (for purposes of this definition, the “</w:t>
      </w:r>
      <w:r>
        <w:rPr>
          <w:rFonts w:ascii="Arial" w:cs="Arial" w:eastAsia="Arial" w:hAnsi="Arial"/>
          <w:sz w:val="17"/>
          <w:szCs w:val="17"/>
          <w:u w:val="single" w:color="auto"/>
          <w:color w:val="auto"/>
        </w:rPr>
        <w:t>Calculation Date</w:t>
      </w:r>
      <w:r>
        <w:rPr>
          <w:rFonts w:ascii="Arial" w:cs="Arial" w:eastAsia="Arial" w:hAnsi="Arial"/>
          <w:sz w:val="17"/>
          <w:szCs w:val="17"/>
          <w:color w:val="auto"/>
        </w:rPr>
        <w:t>”), the net income of the</w:t>
      </w:r>
      <w:r>
        <w:rPr>
          <w:rFonts w:ascii="Arial" w:cs="Arial" w:eastAsia="Arial" w:hAnsi="Arial"/>
          <w:sz w:val="18"/>
          <w:szCs w:val="18"/>
          <w:color w:val="auto"/>
        </w:rPr>
        <w:t xml:space="preserve"> Borrower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7" w:lineRule="exact"/>
        <w:rPr>
          <w:sz w:val="20"/>
          <w:szCs w:val="20"/>
          <w:color w:val="auto"/>
        </w:rPr>
      </w:pPr>
    </w:p>
    <w:p>
      <w:pPr>
        <w:ind w:left="1300" w:hanging="385"/>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6" w:lineRule="exact"/>
        <w:rPr>
          <w:rFonts w:ascii="Arial" w:cs="Arial" w:eastAsia="Arial" w:hAnsi="Arial"/>
          <w:sz w:val="17"/>
          <w:szCs w:val="17"/>
          <w:color w:val="auto"/>
        </w:rPr>
      </w:pPr>
    </w:p>
    <w:p>
      <w:pPr>
        <w:ind w:left="1340" w:hanging="425"/>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ectPr>
          <w:pgSz w:w="11900" w:h="16880" w:orient="portrait"/>
          <w:cols w:equalWidth="0" w:num="1">
            <w:col w:w="11460"/>
          </w:cols>
          <w:pgMar w:left="240" w:top="125" w:right="199" w:bottom="0" w:gutter="0" w:footer="0" w:header="0"/>
        </w:sectPr>
      </w:pPr>
    </w:p>
    <w:bookmarkStart w:id="103" w:name="page104"/>
    <w:bookmarkEnd w:id="103"/>
    <w:p>
      <w:pPr>
        <w:ind w:left="1300" w:hanging="385"/>
        <w:spacing w:after="0"/>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1340" w:hanging="425"/>
        <w:spacing w:after="0"/>
        <w:tabs>
          <w:tab w:leader="none" w:pos="13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19" w:lineRule="exact"/>
        <w:rPr>
          <w:rFonts w:ascii="Arial" w:cs="Arial" w:eastAsia="Arial" w:hAnsi="Arial"/>
          <w:sz w:val="18"/>
          <w:szCs w:val="18"/>
          <w:color w:val="auto"/>
        </w:rPr>
      </w:pPr>
    </w:p>
    <w:p>
      <w:pPr>
        <w:ind w:left="5660" w:right="600" w:hanging="4745"/>
        <w:spacing w:after="0" w:line="528" w:lineRule="auto"/>
        <w:tabs>
          <w:tab w:leader="none" w:pos="131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the Borrower that were added back to net income pursuant to clause (a) above; 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60" w:hanging="445"/>
        <w:spacing w:after="0"/>
        <w:tabs>
          <w:tab w:leader="none" w:pos="13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minus cash income tax payments made by the Borrower and its Subsidiaries that were added back to net income pursuant to clause</w:t>
      </w:r>
    </w:p>
    <w:p>
      <w:pPr>
        <w:spacing w:after="0" w:line="34" w:lineRule="exact"/>
        <w:rPr>
          <w:rFonts w:ascii="Arial" w:cs="Arial" w:eastAsia="Arial" w:hAnsi="Arial"/>
          <w:sz w:val="17"/>
          <w:szCs w:val="17"/>
          <w:color w:val="auto"/>
        </w:rPr>
      </w:pPr>
    </w:p>
    <w:p>
      <w:pPr>
        <w:ind w:left="720" w:hanging="258"/>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460" w:right="80" w:firstLine="455"/>
        <w:spacing w:after="0" w:line="277" w:lineRule="auto"/>
        <w:tabs>
          <w:tab w:leader="none" w:pos="130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Borrower’s Subsidiaries, to the extent not deducted in calculating net income during such four-quarter period;</w:t>
      </w:r>
    </w:p>
    <w:p>
      <w:pPr>
        <w:spacing w:after="0" w:line="176" w:lineRule="exact"/>
        <w:rPr>
          <w:rFonts w:ascii="Arial" w:cs="Arial" w:eastAsia="Arial" w:hAnsi="Arial"/>
          <w:sz w:val="18"/>
          <w:szCs w:val="18"/>
          <w:color w:val="auto"/>
        </w:rPr>
      </w:pPr>
    </w:p>
    <w:p>
      <w:pPr>
        <w:ind w:left="1360" w:hanging="445"/>
        <w:spacing w:after="0"/>
        <w:tabs>
          <w:tab w:leader="none" w:pos="13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6" w:lineRule="exact"/>
        <w:rPr>
          <w:rFonts w:ascii="Arial" w:cs="Arial" w:eastAsia="Arial" w:hAnsi="Arial"/>
          <w:sz w:val="17"/>
          <w:szCs w:val="17"/>
          <w:color w:val="auto"/>
        </w:rPr>
      </w:pPr>
    </w:p>
    <w:p>
      <w:pPr>
        <w:ind w:left="1320" w:hanging="405"/>
        <w:spacing w:after="0"/>
        <w:tabs>
          <w:tab w:leader="none" w:pos="13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460" w:right="100" w:firstLine="455"/>
        <w:spacing w:after="0" w:line="306" w:lineRule="auto"/>
        <w:tabs>
          <w:tab w:leader="none" w:pos="130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by this Agreement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60" w:lineRule="exact"/>
        <w:rPr>
          <w:rFonts w:ascii="Arial" w:cs="Arial" w:eastAsia="Arial" w:hAnsi="Arial"/>
          <w:sz w:val="16"/>
          <w:szCs w:val="16"/>
          <w:color w:val="auto"/>
        </w:rPr>
      </w:pPr>
    </w:p>
    <w:p>
      <w:pPr>
        <w:ind w:left="460" w:right="160" w:firstLine="455"/>
        <w:spacing w:after="0" w:line="298" w:lineRule="auto"/>
        <w:tabs>
          <w:tab w:leader="none" w:pos="135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by this Agreement, to the extent deducted in calculating net income during such four-quarter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-2611120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460" w:right="40" w:firstLine="455"/>
        <w:spacing w:after="0" w:line="276" w:lineRule="auto"/>
        <w:tabs>
          <w:tab w:leader="none" w:pos="129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Borrower or any of its Subsidiaries, including through mergers or consolidations, or any Person or any of its Subsidiaries acquired by the Borrower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of 1933, as amended, but including all Pro Forma Cost Savings) as if they had occurred on the first day of the four-quarter reference period;</w:t>
      </w:r>
    </w:p>
    <w:p>
      <w:pPr>
        <w:spacing w:after="0" w:line="178" w:lineRule="exact"/>
        <w:rPr>
          <w:rFonts w:ascii="Arial" w:cs="Arial" w:eastAsia="Arial" w:hAnsi="Arial"/>
          <w:sz w:val="17"/>
          <w:szCs w:val="17"/>
          <w:color w:val="auto"/>
        </w:rPr>
      </w:pPr>
    </w:p>
    <w:p>
      <w:pPr>
        <w:ind w:left="460" w:right="180" w:firstLine="455"/>
        <w:spacing w:after="0" w:line="268" w:lineRule="auto"/>
        <w:tabs>
          <w:tab w:leader="none" w:pos="130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18"/>
          <w:szCs w:val="18"/>
          <w:color w:val="auto"/>
        </w:rPr>
      </w:pPr>
    </w:p>
    <w:p>
      <w:pPr>
        <w:ind w:left="1340" w:hanging="425"/>
        <w:spacing w:after="0"/>
        <w:tabs>
          <w:tab w:leader="none" w:pos="1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4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6" w:lineRule="exact"/>
        <w:rPr>
          <w:rFonts w:ascii="Arial" w:cs="Arial" w:eastAsia="Arial" w:hAnsi="Arial"/>
          <w:sz w:val="16"/>
          <w:szCs w:val="16"/>
          <w:color w:val="auto"/>
        </w:rPr>
      </w:pPr>
    </w:p>
    <w:p>
      <w:pPr>
        <w:ind w:left="1300" w:hanging="385"/>
        <w:spacing w:after="0"/>
        <w:tabs>
          <w:tab w:leader="none" w:pos="13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Person that is not a Subsidiary on the Calculation Date will be deemed not to have been a Subsidiary at any time during such four-quarter</w:t>
      </w:r>
    </w:p>
    <w:p>
      <w:pPr>
        <w:spacing w:after="0" w:line="4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Royal Bank of Canada in its capacity as administrative agent under any of the Loan Documents, or any successor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w:t>
      </w:r>
      <w:r>
        <w:rPr>
          <w:rFonts w:ascii="Arial" w:cs="Arial" w:eastAsia="Arial" w:hAnsi="Arial"/>
          <w:sz w:val="17"/>
          <w:szCs w:val="17"/>
          <w:color w:val="auto"/>
        </w:rPr>
        <w:t>of any specified Person means any other Person directly or indirectly controlling or controlled by or under direct or indirect common control with such</w:t>
      </w:r>
      <w:r>
        <w:rPr>
          <w:rFonts w:ascii="Arial" w:cs="Arial" w:eastAsia="Arial" w:hAnsi="Arial"/>
          <w:sz w:val="18"/>
          <w:szCs w:val="18"/>
          <w:color w:val="auto"/>
        </w:rPr>
        <w:t xml:space="preserve"> </w:t>
      </w:r>
      <w:r>
        <w:rPr>
          <w:rFonts w:ascii="Arial" w:cs="Arial" w:eastAsia="Arial" w:hAnsi="Arial"/>
          <w:sz w:val="17"/>
          <w:szCs w:val="17"/>
          <w:color w:val="auto"/>
        </w:rPr>
        <w:t xml:space="preserve">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means each of (i) the Administrative Agent and (ii) any other Person appointed under the Loan Documents to serve in an agent or similar capacity.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as amended, and, to the extent applicable to the Borrower or any of its Subsidiaries, other similar legislation in any other jurisdiction.</w:t>
      </w:r>
    </w:p>
    <w:p>
      <w:pPr>
        <w:sectPr>
          <w:pgSz w:w="11900" w:h="16838" w:orient="portrait"/>
          <w:cols w:equalWidth="0" w:num="1">
            <w:col w:w="11420"/>
          </w:cols>
          <w:pgMar w:left="240" w:top="347" w:right="239" w:bottom="0" w:gutter="0" w:footer="0" w:header="0"/>
        </w:sectPr>
      </w:pPr>
    </w:p>
    <w:bookmarkStart w:id="104" w:name="page105"/>
    <w:bookmarkEnd w:id="104"/>
    <w:p>
      <w:pPr>
        <w:spacing w:after="0" w:line="5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a percentage per annum equal to 3.00% for Eurodollar Rate Loans and 2.00% for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Applicable Margin will increase by 0.25%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Effective Date, by an additional 0.25% on the 180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Effective Date and by an additional 0.50% on each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thereafter while any Loans remain outstanding.</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principal amount of all Loans then outstanding represented by such Lender’s Loans (or, if no Loans are then outstanding, the percentage (carried out to the ninth decimal place) of the aggregate Commitments represented by such Lender’s Commitment). The Applicable Percentage of each Lender as of the Effective Date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Merrill Lynch, Pierce, Fenner &amp; Smith Incorporated (or any other registered broker-dealer wholly-owned by Bank of America Corporation to which all or substantially all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Bank of America Corporation’s or any of its subsidiaries’ investment banking, commercial lending services or related businesses may be transferred following the date of this Agreement), Credit Suisse Securities (USA) LLC, RBC Capital Markets and Citibank, N.A.</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Yield Inc. and its Subsidiaries for the fiscal year ended December 31, 2017, and the related consolidated statements of income or operations, shareholders’ equity and cash flows for such fiscal year of the Borrower and its consolidated Subsidiaries, including the notes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the 110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Acquisition Closing Date.</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greatest of (a) the Prime Rate in effect on such day, (b) the Federal Funds Rate in effect on such day plus ½ of 1% and (c) the Eurodollar Rate for a one month Interest Period on such day (or if such day is not a Business Day, the immediately preceding Business Day) plus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Eurodollar Rate for any day shall be based on the LIBO Screen Rate (or if the LIBO Screen Rate is not available for such one month Interest Period, the Interpolated Rate) at approximately 11:00 a.m. London time on such day. Any change in the Base Rate due to a change in the Prime Rate, the Federal Funds Rate or the Eurodollar Rate shall be effective from and including the effective date of such change in the Prime Rate, the Federal Funds Rate or the Eurodollar Rate, respectively. If the Base Rate is being used as an alternative rate of interest pursuant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then the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w:t>
      </w:r>
    </w:p>
    <w:p>
      <w:pPr>
        <w:spacing w:after="0" w:line="3" w:lineRule="exact"/>
        <w:rPr>
          <w:sz w:val="20"/>
          <w:szCs w:val="20"/>
          <w:color w:val="auto"/>
        </w:rPr>
      </w:pPr>
    </w:p>
    <w:p>
      <w:pPr>
        <w:ind w:right="280" w:firstLine="8"/>
        <w:spacing w:after="0" w:line="261" w:lineRule="auto"/>
        <w:tabs>
          <w:tab w:leader="none" w:pos="245" w:val="left"/>
        </w:tabs>
        <w:numPr>
          <w:ilvl w:val="0"/>
          <w:numId w:val="132"/>
        </w:numPr>
        <w:rPr>
          <w:rFonts w:ascii="Arial" w:cs="Arial" w:eastAsia="Arial" w:hAnsi="Arial"/>
          <w:sz w:val="18"/>
          <w:szCs w:val="18"/>
          <w:u w:val="single" w:color="auto"/>
          <w:color w:val="auto"/>
        </w:rPr>
      </w:pPr>
      <w:r>
        <w:rPr>
          <w:rFonts w:ascii="Arial" w:cs="Arial" w:eastAsia="Arial" w:hAnsi="Arial"/>
          <w:sz w:val="18"/>
          <w:szCs w:val="18"/>
          <w:color w:val="auto"/>
        </w:rPr>
        <w:t>above. For the avoidance of doubt, if the Base Rate as so determined would be less than zero, such rate shall be deemed to be zero for purposes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xml:space="preserve">” </w:t>
      </w:r>
      <w:r>
        <w:rPr>
          <w:rFonts w:ascii="Arial" w:cs="Arial" w:eastAsia="Arial" w:hAnsi="Arial"/>
          <w:sz w:val="17"/>
          <w:szCs w:val="17"/>
          <w:color w:val="auto"/>
        </w:rPr>
        <w:t>has the meaning assigned to such term in Rule 13d-3 and Rule 13d-5 under the Exchange Act. The terms “Beneficially Owns” and</w:t>
      </w:r>
      <w:r>
        <w:rPr>
          <w:rFonts w:ascii="Arial" w:cs="Arial" w:eastAsia="Arial" w:hAnsi="Arial"/>
          <w:sz w:val="18"/>
          <w:szCs w:val="18"/>
          <w:color w:val="auto"/>
        </w:rPr>
        <w:t xml:space="preserve"> </w:t>
      </w:r>
      <w:r>
        <w:rPr>
          <w:rFonts w:ascii="Arial" w:cs="Arial" w:eastAsia="Arial" w:hAnsi="Arial"/>
          <w:sz w:val="17"/>
          <w:szCs w:val="17"/>
          <w:color w:val="auto"/>
        </w:rPr>
        <w:t>“Beneficially Owned” have a corresponding meaning.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w:t>
      </w:r>
      <w:r>
        <w:rPr>
          <w:rFonts w:ascii="Arial" w:cs="Arial" w:eastAsia="Arial" w:hAnsi="Arial"/>
          <w:sz w:val="17"/>
          <w:szCs w:val="17"/>
          <w:color w:val="auto"/>
        </w:rPr>
        <w:t>means:</w:t>
      </w:r>
    </w:p>
    <w:p>
      <w:pPr>
        <w:spacing w:after="0" w:line="231" w:lineRule="exact"/>
        <w:rPr>
          <w:sz w:val="20"/>
          <w:szCs w:val="20"/>
          <w:color w:val="auto"/>
        </w:rPr>
      </w:pPr>
    </w:p>
    <w:p>
      <w:pPr>
        <w:ind w:left="1300" w:hanging="385"/>
        <w:spacing w:after="0"/>
        <w:tabs>
          <w:tab w:leader="none" w:pos="1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1300" w:hanging="385"/>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340" w:hanging="425"/>
        <w:spacing w:after="0"/>
        <w:tabs>
          <w:tab w:leader="none" w:pos="1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ectPr>
          <w:pgSz w:w="11900" w:h="16888" w:orient="portrait"/>
          <w:cols w:equalWidth="0" w:num="1">
            <w:col w:w="11400"/>
          </w:cols>
          <w:pgMar w:left="240" w:top="125" w:right="259" w:bottom="0" w:gutter="0" w:footer="0" w:header="0"/>
        </w:sectPr>
      </w:pPr>
    </w:p>
    <w:bookmarkStart w:id="105" w:name="page106"/>
    <w:bookmarkEnd w:id="105"/>
    <w:p>
      <w:pPr>
        <w:ind w:left="1300" w:hanging="385"/>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one or more simultaneous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on which dealings in Dollar deposits are conducted by and between banks in the London interbank eurodollar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means GIP III Zephyr Acquisition Partners, L.P.</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w:t>
      </w:r>
      <w:r>
        <w:rPr>
          <w:rFonts w:ascii="Arial" w:cs="Arial" w:eastAsia="Arial" w:hAnsi="Arial"/>
          <w:sz w:val="17"/>
          <w:szCs w:val="17"/>
          <w:color w:val="auto"/>
        </w:rPr>
        <w:t>means: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385"/>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460" w:right="160" w:firstLine="455"/>
        <w:spacing w:after="0" w:line="268" w:lineRule="auto"/>
        <w:tabs>
          <w:tab w:leader="none" w:pos="13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5" w:lineRule="exact"/>
        <w:rPr>
          <w:rFonts w:ascii="Arial" w:cs="Arial" w:eastAsia="Arial" w:hAnsi="Arial"/>
          <w:sz w:val="18"/>
          <w:szCs w:val="18"/>
          <w:color w:val="auto"/>
        </w:rPr>
      </w:pPr>
    </w:p>
    <w:p>
      <w:pPr>
        <w:ind w:left="1340" w:hanging="425"/>
        <w:spacing w:after="0"/>
        <w:tabs>
          <w:tab w:leader="none" w:pos="1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248" w:lineRule="exact"/>
        <w:rPr>
          <w:rFonts w:ascii="Arial" w:cs="Arial" w:eastAsia="Arial" w:hAnsi="Arial"/>
          <w:sz w:val="16"/>
          <w:szCs w:val="16"/>
          <w:color w:val="auto"/>
        </w:rPr>
      </w:pPr>
    </w:p>
    <w:p>
      <w:pPr>
        <w:jc w:val="both"/>
        <w:ind w:left="460" w:right="200" w:firstLine="455"/>
        <w:spacing w:after="0" w:line="259" w:lineRule="auto"/>
        <w:tabs>
          <w:tab w:leader="none" w:pos="13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CERCLIS</w:t>
      </w:r>
      <w:r>
        <w:rPr>
          <w:rFonts w:ascii="Arial" w:cs="Arial" w:eastAsia="Arial" w:hAnsi="Arial"/>
          <w:sz w:val="18"/>
          <w:szCs w:val="18"/>
          <w:color w:val="auto"/>
        </w:rPr>
        <w:t>” means the Comprehensive Environmental Response, Compensation and Liability Information System maintained by the U.S. Environmental Protection Agency.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w:t>
      </w:r>
      <w:r>
        <w:rPr>
          <w:rFonts w:ascii="Arial" w:cs="Arial" w:eastAsia="Arial" w:hAnsi="Arial"/>
          <w:sz w:val="17"/>
          <w:szCs w:val="17"/>
          <w:color w:val="auto"/>
        </w:rPr>
        <w:t>the occurrence of any of the following:</w:t>
      </w:r>
    </w:p>
    <w:p>
      <w:pPr>
        <w:spacing w:after="0" w:line="231" w:lineRule="exact"/>
        <w:rPr>
          <w:sz w:val="20"/>
          <w:szCs w:val="20"/>
          <w:color w:val="auto"/>
        </w:rPr>
      </w:pPr>
    </w:p>
    <w:p>
      <w:pPr>
        <w:jc w:val="both"/>
        <w:ind w:left="460" w:firstLine="455"/>
        <w:spacing w:after="0" w:line="256" w:lineRule="auto"/>
        <w:tabs>
          <w:tab w:leader="none" w:pos="12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Borrower and its Subsidiaries taken as a whole to any “person” (as that term is used in Section 13(d) of the Exchange Act, but excluding any employee benefit plan of the Borrower or any of its Subsidiaries, and any person or entity acting in its capacity as trustee, agent or other fiduciary or administrator of such plan);</w:t>
      </w:r>
    </w:p>
    <w:p>
      <w:pPr>
        <w:spacing w:after="0" w:line="197" w:lineRule="exact"/>
        <w:rPr>
          <w:rFonts w:ascii="Arial" w:cs="Arial" w:eastAsia="Arial" w:hAnsi="Arial"/>
          <w:sz w:val="18"/>
          <w:szCs w:val="18"/>
          <w:color w:val="auto"/>
        </w:rPr>
      </w:pPr>
    </w:p>
    <w:p>
      <w:pPr>
        <w:ind w:left="1300" w:hanging="385"/>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Yield Inc., Holdings or the Borrower;</w:t>
      </w:r>
    </w:p>
    <w:p>
      <w:pPr>
        <w:spacing w:after="0" w:line="225" w:lineRule="exact"/>
        <w:rPr>
          <w:rFonts w:ascii="Arial" w:cs="Arial" w:eastAsia="Arial" w:hAnsi="Arial"/>
          <w:sz w:val="18"/>
          <w:szCs w:val="18"/>
          <w:color w:val="auto"/>
        </w:rPr>
      </w:pPr>
    </w:p>
    <w:p>
      <w:pPr>
        <w:ind w:left="460" w:right="220" w:firstLine="455"/>
        <w:spacing w:after="0" w:line="259" w:lineRule="auto"/>
        <w:tabs>
          <w:tab w:leader="none" w:pos="13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(i) prior to the consummation of the NRG Transaction, NRG Energy, Inc., (ii) upon and after the consummation of the NRG Transaction, the Sponsor or (iii) a corporation owned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directly or indirectly by the stockholders of Yield Inc. in substantially the same proportion as their ownership of stock of Yield Inc. prior to such transaction, becomes the Beneficial Owner, directly or indirectly, of more than 50% of the Voting Stock of Yield Inc., measured by voting power rather than number of shares; or</w:t>
      </w:r>
    </w:p>
    <w:p>
      <w:pPr>
        <w:spacing w:after="0" w:line="187" w:lineRule="exact"/>
        <w:rPr>
          <w:sz w:val="20"/>
          <w:szCs w:val="20"/>
          <w:color w:val="auto"/>
        </w:rPr>
      </w:pPr>
    </w:p>
    <w:p>
      <w:pPr>
        <w:ind w:left="460" w:right="500" w:firstLine="455"/>
        <w:spacing w:after="0" w:line="268" w:lineRule="auto"/>
        <w:tabs>
          <w:tab w:leader="none" w:pos="13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first day on which either (i) Yield Inc. ceases to be the sole managing member of Holdings or (ii) the Borrower ceases to be a Wholly Owned Subsidiary of Holdings;</w:t>
      </w:r>
    </w:p>
    <w:p>
      <w:pPr>
        <w:sectPr>
          <w:pgSz w:w="11900" w:h="16838" w:orient="portrait"/>
          <w:cols w:equalWidth="0" w:num="1">
            <w:col w:w="11420"/>
          </w:cols>
          <w:pgMar w:left="240" w:top="347" w:right="239" w:bottom="0" w:gutter="0" w:footer="0" w:header="0"/>
        </w:sectPr>
      </w:pPr>
    </w:p>
    <w:bookmarkStart w:id="106" w:name="page107"/>
    <w:bookmarkEnd w:id="106"/>
    <w:p>
      <w:pPr>
        <w:ind w:left="92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herein, in no event shall the NRG Transaction result in a Change of Control hereunder.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CIA</w:t>
      </w:r>
      <w:r>
        <w:rPr>
          <w:rFonts w:ascii="Arial" w:cs="Arial" w:eastAsia="Arial" w:hAnsi="Arial"/>
          <w:sz w:val="18"/>
          <w:szCs w:val="18"/>
          <w:color w:val="auto"/>
        </w:rPr>
        <w:t>” means the Consent and Indemnity Agreement dated as of February 6, 2018 among the Buyer, the Seller and Yield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make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be adjusted from time to time in accordance with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Parties</w:t>
      </w:r>
      <w:r>
        <w:rPr>
          <w:rFonts w:ascii="Arial" w:cs="Arial" w:eastAsia="Arial" w:hAnsi="Arial"/>
          <w:sz w:val="18"/>
          <w:szCs w:val="18"/>
          <w:color w:val="auto"/>
        </w:rPr>
        <w:t>” means each direct and indirect Subsidiary of the Borrower, other than any Project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indemnities and other contingent Obligations that pursuant to their express terms survive repayment in full of principal and interest on the Loans and termination of the Commitments under this Agreement.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Indentures</w:t>
      </w:r>
      <w:r>
        <w:rPr>
          <w:rFonts w:ascii="Arial" w:cs="Arial" w:eastAsia="Arial" w:hAnsi="Arial"/>
          <w:sz w:val="18"/>
          <w:szCs w:val="18"/>
          <w:color w:val="auto"/>
        </w:rPr>
        <w:t>” means the indentures governing the Existing Convertible Notes.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w:t>
      </w:r>
      <w:r>
        <w:rPr>
          <w:rFonts w:ascii="Arial" w:cs="Arial" w:eastAsia="Arial" w:hAnsi="Arial"/>
          <w:sz w:val="16"/>
          <w:szCs w:val="16"/>
          <w:color w:val="auto"/>
        </w:rPr>
        <w:t>means the Amended and Restated Credit Agreement, dated April, 25, 2014, among the Borrower, Holdings, each other guarantor from time</w:t>
      </w:r>
      <w:r>
        <w:rPr>
          <w:rFonts w:ascii="Arial" w:cs="Arial" w:eastAsia="Arial" w:hAnsi="Arial"/>
          <w:sz w:val="17"/>
          <w:szCs w:val="17"/>
          <w:color w:val="auto"/>
        </w:rPr>
        <w:t xml:space="preserve"> </w:t>
      </w:r>
      <w:r>
        <w:rPr>
          <w:rFonts w:ascii="Arial" w:cs="Arial" w:eastAsia="Arial" w:hAnsi="Arial"/>
          <w:sz w:val="16"/>
          <w:szCs w:val="16"/>
          <w:color w:val="auto"/>
        </w:rPr>
        <w:t>to time party thereto, each lender from time to time party thereto, JPMorgan Chase Bank, N.A., as the administrative agent, and JPMorgan Chase Bank, N.A., Royal Bank of Canada, Bank of America, N.A. and Barclays Bank PLC, as letter of credit issuers, as amended by the First Amendment to Amended &amp; Restated Credit Agreement, dated as of June 26, 2015, the Second Amendment to Amended &amp; Restated Credit Agreement, dated as of February 6, 2018, and the Third Amendment to Amended and Restated Credit Agreement and Administrative Agent Resignation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Appointment Agreement, dated as of April 30, 2018, and as the same may be further amended, restated, modified, renewed, refunded, replaced or refinanced from time to time.</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xml:space="preserve">” </w:t>
      </w:r>
      <w:r>
        <w:rPr>
          <w:rFonts w:ascii="Arial" w:cs="Arial" w:eastAsia="Arial" w:hAnsi="Arial"/>
          <w:sz w:val="17"/>
          <w:szCs w:val="17"/>
          <w:color w:val="auto"/>
        </w:rPr>
        <w:t>means (i) one or more debt facilities (including, without limitation, the Credit Agreement) or commercial paper facilities, in each case with</w:t>
      </w:r>
      <w:r>
        <w:rPr>
          <w:rFonts w:ascii="Arial" w:cs="Arial" w:eastAsia="Arial" w:hAnsi="Arial"/>
          <w:sz w:val="18"/>
          <w:szCs w:val="18"/>
          <w:color w:val="auto"/>
        </w:rPr>
        <w:t xml:space="preserve"> </w:t>
      </w:r>
      <w:r>
        <w:rPr>
          <w:rFonts w:ascii="Arial" w:cs="Arial" w:eastAsia="Arial" w:hAnsi="Arial"/>
          <w:sz w:val="17"/>
          <w:szCs w:val="17"/>
          <w:color w:val="auto"/>
        </w:rPr>
        <w:t>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Incurrence</w:t>
      </w:r>
      <w:r>
        <w:rPr>
          <w:rFonts w:ascii="Arial" w:cs="Arial" w:eastAsia="Arial" w:hAnsi="Arial"/>
          <w:sz w:val="16"/>
          <w:szCs w:val="16"/>
          <w:color w:val="auto"/>
        </w:rPr>
        <w:t>” means any incurrence of third-party debt for borrowed money by the Borrower or the Guarantors, whether pursuant to a public offering or in a Rule 144A or other private placement of debt securities (including debt securities convertible into equity securities) or incurrence of loans under any loan or credit facility, other than (a) debt under (i) the Existing Senior Notes, (ii) the Credit Agreement and (iii) the Existing Convertible Notes and intercompany loans in respect thereof (together with the Existing Senior Notes and the Credit Agreement, the “</w:t>
      </w:r>
      <w:r>
        <w:rPr>
          <w:rFonts w:ascii="Arial" w:cs="Arial" w:eastAsia="Arial" w:hAnsi="Arial"/>
          <w:sz w:val="16"/>
          <w:szCs w:val="16"/>
          <w:u w:val="single" w:color="auto"/>
          <w:color w:val="auto"/>
        </w:rPr>
        <w:t>Existing Debt</w:t>
      </w:r>
      <w:r>
        <w:rPr>
          <w:rFonts w:ascii="Arial" w:cs="Arial" w:eastAsia="Arial" w:hAnsi="Arial"/>
          <w:sz w:val="16"/>
          <w:szCs w:val="16"/>
          <w:color w:val="auto"/>
        </w:rPr>
        <w:t xml:space="preserve">”), and any extension or refinancing of the Credit Agreement or, to the extent any Existing Convertible Notes remain outstanding on the Existing Convertible Notes Termination Date, such Existing Convertible Notes and intercompany loans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with respect to any extension or refinancing of the Credit Agreement when any Loans are outstanding, the terms of such extension or refinancing shall be customary for revolving credit facilities of similarly rated and leveraged borrowers and shall be based on prevailing market terms, but in any event will not include any restrictions on the ability of the Borrower to prepay or repay any Loans and (ii) the respective aggregate principal amounts of such refinancing (or commitments thereunder) do not exceed the respective aggregate principal amounts (or commitments thereunder) of the applicable Existing Debt outstanding on the date of such refinancing (plus any accrued and unpaid interest and reasonable fees, premiums and expenses incurred in connection with such refinancing) (it being understood that, notwithstanding the foregoing, the aggregate outstanding principal amount and/or commitments with respect the Credit Agreement may be increased pursuant to Section 2.13 thereof (the amount of any such increase, the “</w:t>
      </w:r>
      <w:r>
        <w:rPr>
          <w:rFonts w:ascii="Arial" w:cs="Arial" w:eastAsia="Arial" w:hAnsi="Arial"/>
          <w:sz w:val="16"/>
          <w:szCs w:val="16"/>
          <w:u w:val="single" w:color="auto"/>
          <w:color w:val="auto"/>
        </w:rPr>
        <w:t>Existing Revolving Credit Agreement Upsize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(b) intercompany Indebtedness, (c) Capital Lease Obligations,</w:t>
      </w:r>
    </w:p>
    <w:p>
      <w:pPr>
        <w:spacing w:after="0" w:line="3"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purchase money indebtedness and equipment financings, (e) working capital facilities of foreign subsidiaries of the Borrower, (f) overdraft facilities,</w:t>
      </w:r>
    </w:p>
    <w:p>
      <w:pPr>
        <w:spacing w:after="0" w:line="20" w:lineRule="exact"/>
        <w:rPr>
          <w:rFonts w:ascii="Arial" w:cs="Arial" w:eastAsia="Arial" w:hAnsi="Arial"/>
          <w:sz w:val="17"/>
          <w:szCs w:val="17"/>
          <w:color w:val="auto"/>
        </w:rPr>
      </w:pPr>
    </w:p>
    <w:p>
      <w:pPr>
        <w:ind w:right="80" w:firstLine="8"/>
        <w:spacing w:after="0" w:line="253"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deferred purchase price obligations, (h) “Project Level Indebtedness,” (as defined in the Credit Agreement) and any refinancing or replacement thereof, and all guarantees and other types of credit support in respect thereof permitted under the Credit Agreement, (i) any back-leverage financing in respect of tax equity arrangements and all guarantees and other types of credit support required by or incurred in connection with any of the debt referenced in this clause (i), (j) Indebtedness to the extent incurred by the Borrower or the Guarantors to fund the acquisition of Carlsbad Energy Holdings LLC and (k) other Indebtedness in an aggregate principal amount not to exceed $100,000,000.</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ectPr>
          <w:pgSz w:w="11900" w:h="16838" w:orient="portrait"/>
          <w:cols w:equalWidth="0" w:num="1">
            <w:col w:w="11400"/>
          </w:cols>
          <w:pgMar w:left="240" w:top="125" w:right="259" w:bottom="0" w:gutter="0" w:footer="0" w:header="0"/>
        </w:sectPr>
      </w:pPr>
    </w:p>
    <w:bookmarkStart w:id="107" w:name="page108"/>
    <w:bookmarkEnd w:id="107"/>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(i) the Base Rate or the Eurodollar Rate (as applicable or, if neither is directly applicable,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relevant Applicable Margin,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(a) that has failed to timely fund any portion of the Loans required to be funded by it on the terms set forth herein for such payment, unless such Lender notifies the Administrative Agent and the Borrower in writing that such failure is the result of such Lender’s good faith reasonable determination that one or more conditions precedent to funding (which conditions precedent, together with the applicable default, if any, shall be specifically identified in such writing) has not been satisfied, (b) that has otherwise failed to timely pay over to the Administrative Agent or any other Lender any other amount required to be paid by it hereunder on the terms set forth herein for such payment, unless the subject of a good faith dispute, (c) that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reasonable determination that a condition precedent to funding (which condition precedent, together with the applicable default, if any, shall be specifically identified in such writing or public statement) cannot be satisfied), (d) that has failed, within two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(d) upon receipt of such written confirmation by the Administrative Agent and the Borrower), or (e)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Guaranteed Obligations</w:t>
      </w:r>
      <w:r>
        <w:rPr>
          <w:rFonts w:ascii="Arial" w:cs="Arial" w:eastAsia="Arial" w:hAnsi="Arial"/>
          <w:sz w:val="18"/>
          <w:szCs w:val="18"/>
          <w:color w:val="auto"/>
        </w:rPr>
        <w:t>” means and shall have occurred when all Guaranteed Obligations shall have been paid in full in cash and all other obligations under the Loan Documents shall have been performed (other than those constituting Contingent Obligations as to which no claim has been asserted).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CapEx Debt</w:t>
      </w:r>
      <w:r>
        <w:rPr>
          <w:rFonts w:ascii="Arial" w:cs="Arial" w:eastAsia="Arial" w:hAnsi="Arial"/>
          <w:sz w:val="18"/>
          <w:szCs w:val="18"/>
          <w:color w:val="auto"/>
        </w:rPr>
        <w:t>” means Indebtedness of the Borrower or any of its Subsidiaries incurred for the purpose of financing capital expenditures to the extent deemed reasonably necessary, as determined by the Borrower or any of its Subsidiaries, as applicable, in good faith and pursuant to prudent judgment, to comply with applicable Environmental Laws.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ind w:left="260" w:hanging="252"/>
        <w:spacing w:after="0"/>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violation of any Environmental Law, (b) the generation, use, handling, transportation, storage, treatment or disposal of any Hazardous Materials,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environment or (e) any contract, agreement or other consensual arrangement pursuant to which liability is assumed or imposed with respect to any of the foregoing.</w:t>
      </w:r>
    </w:p>
    <w:p>
      <w:pPr>
        <w:sectPr>
          <w:pgSz w:w="11900" w:h="16838" w:orient="portrait"/>
          <w:cols w:equalWidth="0" w:num="1">
            <w:col w:w="11420"/>
          </w:cols>
          <w:pgMar w:left="240" w:top="125" w:right="239" w:bottom="0" w:gutter="0" w:footer="0" w:header="0"/>
        </w:sectPr>
      </w:pPr>
    </w:p>
    <w:bookmarkStart w:id="108" w:name="page109"/>
    <w:bookmarkEnd w:id="108"/>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w:t>
      </w:r>
      <w:r>
        <w:rPr>
          <w:rFonts w:ascii="Arial" w:cs="Arial" w:eastAsia="Arial" w:hAnsi="Arial"/>
          <w:sz w:val="17"/>
          <w:szCs w:val="17"/>
          <w:color w:val="auto"/>
        </w:rPr>
        <w:t>means Capital Stock and all warrants, options or other rights to acquire Capital Stock (but excluding any debt security that is convertible into,</w:t>
      </w:r>
      <w:r>
        <w:rPr>
          <w:rFonts w:ascii="Arial" w:cs="Arial" w:eastAsia="Arial" w:hAnsi="Arial"/>
          <w:sz w:val="18"/>
          <w:szCs w:val="18"/>
          <w:color w:val="auto"/>
        </w:rPr>
        <w:t xml:space="preserve"> </w:t>
      </w:r>
      <w:r>
        <w:rPr>
          <w:rFonts w:ascii="Arial" w:cs="Arial" w:eastAsia="Arial" w:hAnsi="Arial"/>
          <w:sz w:val="17"/>
          <w:szCs w:val="17"/>
          <w:color w:val="auto"/>
        </w:rPr>
        <w:t>or exchangeable for, Capital Stock).</w:t>
      </w:r>
    </w:p>
    <w:p>
      <w:pPr>
        <w:spacing w:after="0" w:line="1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w:t>
      </w:r>
      <w:r>
        <w:rPr>
          <w:rFonts w:ascii="Arial" w:cs="Arial" w:eastAsia="Arial" w:hAnsi="Arial"/>
          <w:sz w:val="18"/>
          <w:szCs w:val="18"/>
          <w:color w:val="auto"/>
        </w:rPr>
        <w:t>” means (a) prior to the Acquisition Closing Date, NRG Energy, Inc., a Delaware corporation and (b) on or after the Acquisition Closing Date, the Sponsor.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 Subsidiary</w:t>
      </w:r>
      <w:r>
        <w:rPr>
          <w:rFonts w:ascii="Arial" w:cs="Arial" w:eastAsia="Arial" w:hAnsi="Arial"/>
          <w:sz w:val="18"/>
          <w:szCs w:val="18"/>
          <w:color w:val="auto"/>
        </w:rPr>
        <w:t>” means the entities listed on Schedule 1.01 and their respective Subsidiaries as of the Effective Date.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Issuance</w:t>
      </w:r>
      <w:r>
        <w:rPr>
          <w:rFonts w:ascii="Arial" w:cs="Arial" w:eastAsia="Arial" w:hAnsi="Arial"/>
          <w:sz w:val="16"/>
          <w:szCs w:val="16"/>
          <w:color w:val="auto"/>
        </w:rPr>
        <w:t>” means any issuance of equity or equity-linked securities by Yield Inc., whether pursuant to a public offering or in a Rule 144A or other private placement, the Net Cash Proceeds of which are contributed to the Borrower, other than (a) issuances of securities pursuant to employee and/or director stock plans or employee and/or director compensation plans, (b) the issuance of common stock, options, units and/or other equity interests of Yield Inc. to shareholders and/or employees of Yield Inc. or its Subsidiaries, (c) issuances to Holdings, the Borrower or any Subsidiary of the Borrower, (d) pursuant to dividend reinvestment programs, (e) issuances to the holders of the Existing Convertible Notes (or any convertible notes issued to refinance Existing Convertible Notes to the extent permitted hereunder) in connection with the conversion, settlement or extinguishment of such Existing Convertible Notes (or other convertible notes), (f) issuances to refinance any Existing Convertible Notes that remain outstanding on the Funding Commitment Termination Date and any intercompany loans in respect thereof, (g) securities or interests issued or transferred directly (and not constituting cash proceeds of any issuance of such securities or interests) as consideration in connection with any acquisition and (h) issuances to fund the acquisition of Carlsbad Energy Holdings LLC.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xml:space="preserve">” means, for any Interest Period with respect to a Eurodollar Rate Loan, the rate per annum equal to the LIBO Screen Rate, expressed on the basis of a year of 360 days, determined by the Administrative Agent at approximately 11:00 a.m. (London time), on the date that is two Business Days prior to the commencement of such Interest Period for a period equal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LIBO Screen Rate shall not be available at such time for such Interest Period, the Eurodollar Rate for such Interest Period shall be the Interpolated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rate is below zero, Eurodollar Rate will be deemed to be zero for purposes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the Eurodollar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225"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xml:space="preserve">” </w:t>
      </w:r>
      <w:r>
        <w:rPr>
          <w:rFonts w:ascii="Arial" w:cs="Arial" w:eastAsia="Arial" w:hAnsi="Arial"/>
          <w:sz w:val="17"/>
          <w:szCs w:val="17"/>
          <w:color w:val="auto"/>
        </w:rPr>
        <w:t>means the Amended and Restated Exchange Agreement, dated as of May 14, 2015 by and among NRG Energy, Inc., Yield Inc. and</w:t>
      </w:r>
      <w:r>
        <w:rPr>
          <w:rFonts w:ascii="Arial" w:cs="Arial" w:eastAsia="Arial" w:hAnsi="Arial"/>
          <w:sz w:val="18"/>
          <w:szCs w:val="18"/>
          <w:color w:val="auto"/>
        </w:rPr>
        <w:t xml:space="preserve"> </w:t>
      </w:r>
      <w:r>
        <w:rPr>
          <w:rFonts w:ascii="Arial" w:cs="Arial" w:eastAsia="Arial" w:hAnsi="Arial"/>
          <w:sz w:val="17"/>
          <w:szCs w:val="17"/>
          <w:color w:val="auto"/>
        </w:rPr>
        <w:t>Holdings and each of the other parties thereto from time to time, as amended, supplemented or otherwise modified from time to time, including by that certain Assignment and Assumption Agreement to be entered into in connection with the NRG Transaction.</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the Administrative Agent and such jurisdiction (other than any connection arising solely from executing, delivering, being a party to, engaging in any transactions pursuant to, performing its obligations under, receiving or perfecting a security interest under, receiving payments under, and/or enforcing, any Loan Document, or selling or assigning an interest in any Loan, Commitment or Loan Document), (b) any branch profits taxes imposed by the United States or any similar tax imposed by any other jurisdiction described in clause (a), (c) any backup withholding tax that is required by the Code to be withheld from amounts payable to a Lender that has failed to comply with clause (A)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(d) in the case of a Lender (other than an assignee pursuant to a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any United States federal withholding tax that (i) is required to be imposed on amounts payable to such Lender pursuant to the Laws in force at the time such Lender becomes a party hereto (or designates a new Lending Office) or (ii) in the case of a Foreign Lender, is attributable to such Foreign Lender’s failure or inability (other than as a result of a Change in Law) to comply with clause</w:t>
      </w:r>
    </w:p>
    <w:p>
      <w:pPr>
        <w:spacing w:after="0" w:line="4" w:lineRule="exact"/>
        <w:rPr>
          <w:sz w:val="20"/>
          <w:szCs w:val="20"/>
          <w:color w:val="auto"/>
        </w:rPr>
      </w:pPr>
    </w:p>
    <w:p>
      <w:pPr>
        <w:ind w:right="460" w:firstLine="8"/>
        <w:spacing w:after="0" w:line="290" w:lineRule="auto"/>
        <w:tabs>
          <w:tab w:leader="none" w:pos="2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3.01(e)(ii)</w:t>
      </w:r>
      <w:r>
        <w:rPr>
          <w:rFonts w:ascii="Arial" w:cs="Arial" w:eastAsia="Arial" w:hAnsi="Arial"/>
          <w:sz w:val="17"/>
          <w:szCs w:val="17"/>
          <w:color w:val="auto"/>
        </w:rPr>
        <w:t xml:space="preserve">, except to the extent that such Foreign Lender (or its assignor, if any) was entitled, at the time of designation of a new Lending Office (or assignment), to receive additional amounts with respect to such withholding tax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(e) any United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States federal withholding taxes imposed under FATCA and (f) any United States federal withholding tax that is required by the Code to be withheld from amounts payable to the Administrative Agent attributable to the Administrative Agent’s failure to comply with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(other than amounts payable to</w:t>
      </w:r>
    </w:p>
    <w:p>
      <w:pPr>
        <w:sectPr>
          <w:pgSz w:w="11900" w:h="16838" w:orient="portrait"/>
          <w:cols w:equalWidth="0" w:num="1">
            <w:col w:w="11420"/>
          </w:cols>
          <w:pgMar w:left="240" w:top="125" w:right="239" w:bottom="0" w:gutter="0" w:footer="0" w:header="0"/>
        </w:sectPr>
      </w:pPr>
    </w:p>
    <w:bookmarkStart w:id="109" w:name="page110"/>
    <w:bookmarkEnd w:id="109"/>
    <w:p>
      <w:pPr>
        <w:ind w:right="40"/>
        <w:spacing w:after="0" w:line="277" w:lineRule="auto"/>
        <w:rPr>
          <w:sz w:val="20"/>
          <w:szCs w:val="20"/>
          <w:color w:val="auto"/>
        </w:rPr>
      </w:pPr>
      <w:r>
        <w:rPr>
          <w:rFonts w:ascii="Arial" w:cs="Arial" w:eastAsia="Arial" w:hAnsi="Arial"/>
          <w:sz w:val="18"/>
          <w:szCs w:val="18"/>
          <w:color w:val="auto"/>
        </w:rPr>
        <w:t>the Administrative Agent that should reasonably be considered, as determined in good faith by the Borrower, as payments under Treas. Reg. 1.1441-1T(b)(2) (iv)(B)(2)(or any successor provision that is substantively comparable)).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Convertible Notes</w:t>
      </w:r>
      <w:r>
        <w:rPr>
          <w:rFonts w:ascii="Arial" w:cs="Arial" w:eastAsia="Arial" w:hAnsi="Arial"/>
          <w:sz w:val="18"/>
          <w:szCs w:val="18"/>
          <w:color w:val="auto"/>
        </w:rPr>
        <w:t>” means the convertible senior notes due 2019 issued by Yield Inc. in an aggregate principal amount of $345,000,000 and the convertible senior notes due 2020 issued by Yield Inc. in an aggregate principal amount of $350,000,000.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Convertible Notes 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Debt</w:t>
      </w:r>
      <w:r>
        <w:rPr>
          <w:rFonts w:ascii="Arial" w:cs="Arial" w:eastAsia="Arial" w:hAnsi="Arial"/>
          <w:sz w:val="18"/>
          <w:szCs w:val="18"/>
          <w:color w:val="auto"/>
        </w:rPr>
        <w:t>” has the meaning specified in the definition of “Debt Incurrence.”</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Liens</w:t>
      </w:r>
      <w:r>
        <w:rPr>
          <w:rFonts w:ascii="Arial" w:cs="Arial" w:eastAsia="Arial" w:hAnsi="Arial"/>
          <w:sz w:val="18"/>
          <w:szCs w:val="18"/>
          <w:color w:val="auto"/>
        </w:rPr>
        <w:t xml:space="preserve">” </w:t>
      </w:r>
      <w:r>
        <w:rPr>
          <w:rFonts w:ascii="Arial" w:cs="Arial" w:eastAsia="Arial" w:hAnsi="Arial"/>
          <w:sz w:val="17"/>
          <w:szCs w:val="17"/>
          <w:color w:val="auto"/>
        </w:rPr>
        <w:t>means Liens on the property or assets of the Borrower and/or any of its Subsidiaries existing on the Effective Date securing Indebtedness of the</w:t>
      </w:r>
      <w:r>
        <w:rPr>
          <w:rFonts w:ascii="Arial" w:cs="Arial" w:eastAsia="Arial" w:hAnsi="Arial"/>
          <w:sz w:val="18"/>
          <w:szCs w:val="18"/>
          <w:color w:val="auto"/>
        </w:rPr>
        <w:t xml:space="preserve"> </w:t>
      </w:r>
      <w:r>
        <w:rPr>
          <w:rFonts w:ascii="Arial" w:cs="Arial" w:eastAsia="Arial" w:hAnsi="Arial"/>
          <w:sz w:val="17"/>
          <w:szCs w:val="17"/>
          <w:color w:val="auto"/>
        </w:rPr>
        <w:t xml:space="preserve">Borrower or any of its Subsidiaries (other than Liens incurred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the senior notes due 2024 issued by the Borrower in an aggregate principal amount of $500,000,000 and the senior notes due 2026 issued by the Borrower in an aggregate principal amount of $350,000,000.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Credit Agreement Upsize</w:t>
      </w:r>
      <w:r>
        <w:rPr>
          <w:rFonts w:ascii="Arial" w:cs="Arial" w:eastAsia="Arial" w:hAnsi="Arial"/>
          <w:sz w:val="18"/>
          <w:szCs w:val="18"/>
          <w:color w:val="auto"/>
        </w:rPr>
        <w:t>” has the meaning specified in the definition of “Debt Incurrence.”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the aggregate amount of the Lenders’ Commitments at such time.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“Federal Funds Rate” means the rate for a federal funds transaction quoted at 11:00 a.m. on such day received by the Administrative Agent from a federal funds broker of recognized standing selected by it;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be less than zero, such rate shall be deemed to be zero for purposes of this Agreement.</w:t>
      </w:r>
    </w:p>
    <w:p>
      <w:pPr>
        <w:spacing w:after="0" w:line="2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Amended and Restated Fee Letter, dated February 26, 2018, by and among GIP III Zephyr Acquisition Partners, L.P., Bank of America, N.A., Merrill Lynch, Pierce, Fenner &amp; Smith Incorporated, Credit Suisse AG, Credit Suisse Securities (USA) LLC, Royal Bank of Canada, RBC Capital Markets and Citigroup Global Markets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 MBR Authorizations, Exemptions and Waivers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Change Offer</w:t>
      </w:r>
      <w:r>
        <w:rPr>
          <w:rFonts w:ascii="Arial" w:cs="Arial" w:eastAsia="Arial" w:hAnsi="Arial"/>
          <w:sz w:val="16"/>
          <w:szCs w:val="16"/>
          <w:color w:val="auto"/>
        </w:rPr>
        <w:t>” means an offer relating to any “Make-Whole Fundamental Change” as required by the terms of the Convertible Indentures.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Commitment Termination Date</w:t>
      </w:r>
      <w:r>
        <w:rPr>
          <w:rFonts w:ascii="Arial" w:cs="Arial" w:eastAsia="Arial" w:hAnsi="Arial"/>
          <w:sz w:val="18"/>
          <w:szCs w:val="18"/>
          <w:color w:val="auto"/>
        </w:rPr>
        <w:t>” means the 110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Effective Date.</w:t>
      </w:r>
    </w:p>
    <w:p>
      <w:pPr>
        <w:spacing w:after="0" w:line="16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operating lease would be re-characterized as a capital lease due to changes in the accounting treatment of such operating leases under GAAP since the Effective Date, then solely with respect to the accounting treatment of any such lease, GAAP shall be interpreted as it was in effect on the Effective Date.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Generation Portfolio Companies</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5.17(a)</w:t>
      </w:r>
      <w:r>
        <w:rPr>
          <w:rFonts w:ascii="Arial" w:cs="Arial" w:eastAsia="Arial" w:hAnsi="Arial"/>
          <w:sz w:val="18"/>
          <w:szCs w:val="18"/>
          <w:color w:val="auto"/>
        </w:rPr>
        <w:t xml:space="preserve"> and the owner of any other facility that either (a) generates electric energy and sells electric energy, capacity or ancillary services at wholesale or (b) generates thermal energy for sale (in the form of steam, hot water, chilled water, or other forms), in which the Borrower directly or indirectly owns, controls or holds the power to vote 10% or more of the outstanding voting securities in such owner or facility.</w:t>
      </w:r>
    </w:p>
    <w:p>
      <w:pPr>
        <w:sectPr>
          <w:pgSz w:w="11900" w:h="16838" w:orient="portrait"/>
          <w:cols w:equalWidth="0" w:num="1">
            <w:col w:w="11380"/>
          </w:cols>
          <w:pgMar w:left="240" w:top="125" w:right="279" w:bottom="0" w:gutter="0" w:footer="0" w:header="0"/>
        </w:sectPr>
      </w:pPr>
    </w:p>
    <w:bookmarkStart w:id="110" w:name="page111"/>
    <w:bookmarkEnd w:id="110"/>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w:t>
      </w:r>
      <w:r>
        <w:rPr>
          <w:rFonts w:ascii="Arial" w:cs="Arial" w:eastAsia="Arial" w:hAnsi="Arial"/>
          <w:sz w:val="17"/>
          <w:szCs w:val="17"/>
          <w:color w:val="auto"/>
        </w:rPr>
        <w:t>means a guarantee other than by endorsement of negotiable instruments for collection in the ordinary course of business, direct or indirect, in any</w:t>
      </w:r>
      <w:r>
        <w:rPr>
          <w:rFonts w:ascii="Arial" w:cs="Arial" w:eastAsia="Arial" w:hAnsi="Arial"/>
          <w:sz w:val="18"/>
          <w:szCs w:val="18"/>
          <w:color w:val="auto"/>
        </w:rPr>
        <w:t xml:space="preserve"> </w:t>
      </w:r>
      <w:r>
        <w:rPr>
          <w:rFonts w:ascii="Arial" w:cs="Arial" w:eastAsia="Arial" w:hAnsi="Arial"/>
          <w:sz w:val="17"/>
          <w:szCs w:val="17"/>
          <w:color w:val="auto"/>
        </w:rPr>
        <w:t xml:space="preserve">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standard contractual indemnities which do not relate to Indebtedness shall not be considered a Guarantee</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Holdings and each Subsidiary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Lenders.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31" w:lineRule="exact"/>
        <w:rPr>
          <w:sz w:val="20"/>
          <w:szCs w:val="20"/>
          <w:color w:val="auto"/>
        </w:rPr>
      </w:pPr>
    </w:p>
    <w:p>
      <w:pPr>
        <w:ind w:left="460" w:right="140" w:firstLine="455"/>
        <w:spacing w:after="0" w:line="268" w:lineRule="auto"/>
        <w:tabs>
          <w:tab w:leader="none" w:pos="12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85" w:lineRule="exact"/>
        <w:rPr>
          <w:rFonts w:ascii="Arial" w:cs="Arial" w:eastAsia="Arial" w:hAnsi="Arial"/>
          <w:sz w:val="18"/>
          <w:szCs w:val="18"/>
          <w:color w:val="auto"/>
        </w:rPr>
      </w:pPr>
    </w:p>
    <w:p>
      <w:pPr>
        <w:ind w:left="460" w:right="20" w:firstLine="455"/>
        <w:spacing w:after="0" w:line="255" w:lineRule="auto"/>
        <w:tabs>
          <w:tab w:leader="none" w:pos="130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w:t>
      </w:r>
      <w:r>
        <w:rPr>
          <w:rFonts w:ascii="Arial" w:cs="Arial" w:eastAsia="Arial" w:hAnsi="Arial"/>
          <w:sz w:val="17"/>
          <w:szCs w:val="17"/>
          <w:color w:val="auto"/>
        </w:rPr>
        <w:t>means, with respect to any specified Person, any indebtedness of such Person (excluding accrued expenses and trade payables, except as provided</w:t>
      </w:r>
      <w:r>
        <w:rPr>
          <w:rFonts w:ascii="Arial" w:cs="Arial" w:eastAsia="Arial" w:hAnsi="Arial"/>
          <w:sz w:val="18"/>
          <w:szCs w:val="18"/>
          <w:color w:val="auto"/>
        </w:rPr>
        <w:t xml:space="preserve"> </w:t>
      </w:r>
      <w:r>
        <w:rPr>
          <w:rFonts w:ascii="Arial" w:cs="Arial" w:eastAsia="Arial" w:hAnsi="Arial"/>
          <w:sz w:val="17"/>
          <w:szCs w:val="17"/>
          <w:color w:val="auto"/>
        </w:rPr>
        <w:t>in clause (e) below, and surety bonds), whether or not contingent:</w:t>
      </w:r>
    </w:p>
    <w:p>
      <w:pPr>
        <w:spacing w:after="0" w:line="180" w:lineRule="exact"/>
        <w:rPr>
          <w:sz w:val="20"/>
          <w:szCs w:val="20"/>
          <w:color w:val="auto"/>
        </w:rPr>
      </w:pPr>
    </w:p>
    <w:p>
      <w:pPr>
        <w:ind w:left="1300" w:hanging="385"/>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385"/>
        <w:spacing w:after="0"/>
        <w:tabs>
          <w:tab w:leader="none" w:pos="1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236" w:lineRule="exact"/>
        <w:rPr>
          <w:rFonts w:ascii="Arial" w:cs="Arial" w:eastAsia="Arial" w:hAnsi="Arial"/>
          <w:sz w:val="17"/>
          <w:szCs w:val="17"/>
          <w:color w:val="auto"/>
        </w:rPr>
      </w:pPr>
    </w:p>
    <w:p>
      <w:pPr>
        <w:ind w:left="1340" w:hanging="425"/>
        <w:spacing w:after="0"/>
        <w:tabs>
          <w:tab w:leader="none" w:pos="1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460" w:right="300" w:firstLine="455"/>
        <w:spacing w:after="0" w:line="268" w:lineRule="auto"/>
        <w:tabs>
          <w:tab w:leader="none" w:pos="13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85" w:lineRule="exact"/>
        <w:rPr>
          <w:rFonts w:ascii="Arial" w:cs="Arial" w:eastAsia="Arial" w:hAnsi="Arial"/>
          <w:sz w:val="18"/>
          <w:szCs w:val="18"/>
          <w:color w:val="auto"/>
        </w:rPr>
      </w:pPr>
    </w:p>
    <w:p>
      <w:pPr>
        <w:ind w:left="460" w:right="160" w:firstLine="455"/>
        <w:spacing w:after="0" w:line="298" w:lineRule="auto"/>
        <w:tabs>
          <w:tab w:leader="none" w:pos="131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5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Interest Period for a Eurodollar Rate Loan exceeds three months, the respective dates that fall every three months after</w:t>
      </w:r>
    </w:p>
    <w:p>
      <w:pPr>
        <w:sectPr>
          <w:pgSz w:w="11900" w:h="16838" w:orient="portrait"/>
          <w:cols w:equalWidth="0" w:num="1">
            <w:col w:w="11400"/>
          </w:cols>
          <w:pgMar w:left="240" w:top="125" w:right="259" w:bottom="0" w:gutter="0" w:footer="0" w:header="0"/>
        </w:sectPr>
      </w:pPr>
    </w:p>
    <w:bookmarkStart w:id="111" w:name="page112"/>
    <w:bookmarkEnd w:id="111"/>
    <w:p>
      <w:pPr>
        <w:ind w:right="440"/>
        <w:spacing w:after="0" w:line="277" w:lineRule="auto"/>
        <w:rPr>
          <w:sz w:val="20"/>
          <w:szCs w:val="20"/>
          <w:color w:val="auto"/>
        </w:rPr>
      </w:pPr>
      <w:r>
        <w:rPr>
          <w:rFonts w:ascii="Arial" w:cs="Arial" w:eastAsia="Arial" w:hAnsi="Arial"/>
          <w:sz w:val="18"/>
          <w:szCs w:val="18"/>
          <w:color w:val="auto"/>
        </w:rPr>
        <w:t>the beginning of such Interest Period shall also be Interest Payment Dates; and (b) as to any Base Rate Loan, the last Business Day of each March, June, September and December and the Maturity Date in respect thereof.</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(or twelve months or shorter, if available to all applicable Lenders), as selected by the Borrower in its Committed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6" w:lineRule="exact"/>
        <w:rPr>
          <w:sz w:val="20"/>
          <w:szCs w:val="20"/>
          <w:color w:val="auto"/>
        </w:rPr>
      </w:pPr>
    </w:p>
    <w:p>
      <w:pPr>
        <w:ind w:left="660" w:right="140" w:hanging="652"/>
        <w:spacing w:after="0" w:line="308" w:lineRule="auto"/>
        <w:tabs>
          <w:tab w:leader="none" w:pos="65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hanging="652"/>
        <w:spacing w:after="0" w:line="342" w:lineRule="auto"/>
        <w:tabs>
          <w:tab w:leader="none" w:pos="66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applicable to such Loan.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such Interest Period; and (b) the LIBO Screen Rate for the shortest period (for which the LIBO Screen Rate is available for the applicable currency) that exceeds such Interest Period, in each case, at such time.</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intellectual property, whether arising under United States, multinational or foreign laws or otherwise, including copyrights, patents, trademarks and trade secrets.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Screen Rate</w:t>
      </w:r>
      <w:r>
        <w:rPr>
          <w:rFonts w:ascii="Arial" w:cs="Arial" w:eastAsia="Arial" w:hAnsi="Arial"/>
          <w:sz w:val="16"/>
          <w:szCs w:val="16"/>
          <w:color w:val="auto"/>
        </w:rPr>
        <w:t xml:space="preserve">” means, for any day and time, with respect to any Eurodollar Rate Loans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 Screen Rate as so determined would be less than zero, such rate shall be deemed to zero for the purposes of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w:t>
      </w:r>
      <w:r>
        <w:rPr>
          <w:rFonts w:ascii="Arial" w:cs="Arial" w:eastAsia="Arial" w:hAnsi="Arial"/>
          <w:sz w:val="17"/>
          <w:szCs w:val="17"/>
          <w:color w:val="auto"/>
        </w:rPr>
        <w:t>means, with respect to any asset: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right="520" w:firstLine="455"/>
        <w:spacing w:after="0" w:line="268" w:lineRule="auto"/>
        <w:tabs>
          <w:tab w:leader="none" w:pos="129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85" w:lineRule="exact"/>
        <w:rPr>
          <w:rFonts w:ascii="Arial" w:cs="Arial" w:eastAsia="Arial" w:hAnsi="Arial"/>
          <w:sz w:val="18"/>
          <w:szCs w:val="18"/>
          <w:color w:val="auto"/>
        </w:rPr>
      </w:pPr>
    </w:p>
    <w:p>
      <w:pPr>
        <w:ind w:left="460" w:right="520" w:firstLine="455"/>
        <w:spacing w:after="0" w:line="268" w:lineRule="auto"/>
        <w:tabs>
          <w:tab w:leader="none" w:pos="13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85" w:lineRule="exact"/>
        <w:rPr>
          <w:rFonts w:ascii="Arial" w:cs="Arial" w:eastAsia="Arial" w:hAnsi="Arial"/>
          <w:sz w:val="18"/>
          <w:szCs w:val="18"/>
          <w:color w:val="auto"/>
        </w:rPr>
      </w:pPr>
    </w:p>
    <w:p>
      <w:pPr>
        <w:ind w:left="460" w:right="120" w:firstLine="455"/>
        <w:spacing w:after="0" w:line="268" w:lineRule="auto"/>
        <w:tabs>
          <w:tab w:leader="none" w:pos="13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and (c) the Fee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the Guarantors.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Company Group Party</w:t>
      </w:r>
      <w:r>
        <w:rPr>
          <w:rFonts w:ascii="Arial" w:cs="Arial" w:eastAsia="Arial" w:hAnsi="Arial"/>
          <w:sz w:val="18"/>
          <w:szCs w:val="18"/>
          <w:color w:val="auto"/>
        </w:rPr>
        <w:t>” means as of any date, any Company Group Party that would be a “significant subsidiary” as defined in Article 1, Rule 1-02 of Regulation S-X, as such Regulation is in effect on the Effective Date.</w:t>
      </w:r>
    </w:p>
    <w:p>
      <w:pPr>
        <w:sectPr>
          <w:pgSz w:w="11900" w:h="16838" w:orient="portrait"/>
          <w:cols w:equalWidth="0" w:num="1">
            <w:col w:w="11420"/>
          </w:cols>
          <w:pgMar w:left="240" w:top="125" w:right="239" w:bottom="0" w:gutter="0" w:footer="0" w:header="0"/>
        </w:sectPr>
      </w:pPr>
    </w:p>
    <w:bookmarkStart w:id="112" w:name="page113"/>
    <w:bookmarkEnd w:id="112"/>
    <w:p>
      <w:pPr>
        <w:spacing w:after="0" w:line="13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xml:space="preserve">” </w:t>
      </w:r>
      <w:r>
        <w:rPr>
          <w:rFonts w:ascii="Arial" w:cs="Arial" w:eastAsia="Arial" w:hAnsi="Arial"/>
          <w:sz w:val="17"/>
          <w:szCs w:val="17"/>
          <w:color w:val="auto"/>
        </w:rPr>
        <w:t>means, as of any date, any series of Indebtedness with an aggregate principal amount outstanding in excess of the greater of (i) 1.5% of</w:t>
      </w:r>
      <w:r>
        <w:rPr>
          <w:rFonts w:ascii="Arial" w:cs="Arial" w:eastAsia="Arial" w:hAnsi="Arial"/>
          <w:sz w:val="18"/>
          <w:szCs w:val="18"/>
          <w:color w:val="auto"/>
        </w:rPr>
        <w:t xml:space="preserve"> </w:t>
      </w:r>
      <w:r>
        <w:rPr>
          <w:rFonts w:ascii="Arial" w:cs="Arial" w:eastAsia="Arial" w:hAnsi="Arial"/>
          <w:sz w:val="17"/>
          <w:szCs w:val="17"/>
          <w:color w:val="auto"/>
        </w:rPr>
        <w:t>Total Assets, as of such date, and (ii) $100.0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Subsidiaries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w:t>
      </w:r>
      <w:r>
        <w:rPr>
          <w:rFonts w:ascii="Arial" w:cs="Arial" w:eastAsia="Arial" w:hAnsi="Arial"/>
          <w:sz w:val="18"/>
          <w:szCs w:val="18"/>
          <w:color w:val="auto"/>
        </w:rPr>
        <w:t>.</w:t>
      </w:r>
    </w:p>
    <w:p>
      <w:pPr>
        <w:spacing w:after="0" w:line="22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the date that is 364 days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in its sole discretion may extend (a “</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w:t>
      </w:r>
      <w:r>
        <w:rPr>
          <w:rFonts w:ascii="Arial" w:cs="Arial" w:eastAsia="Arial" w:hAnsi="Arial"/>
          <w:sz w:val="16"/>
          <w:szCs w:val="16"/>
          <w:color w:val="auto"/>
        </w:rPr>
        <w:t>”) up to one-third (1/3</w:t>
      </w:r>
      <w:r>
        <w:rPr>
          <w:rFonts w:ascii="Arial" w:cs="Arial" w:eastAsia="Arial" w:hAnsi="Arial"/>
          <w:sz w:val="20"/>
          <w:szCs w:val="20"/>
          <w:color w:val="auto"/>
          <w:vertAlign w:val="superscript"/>
        </w:rPr>
        <w:t>rd</w:t>
      </w:r>
      <w:r>
        <w:rPr>
          <w:rFonts w:ascii="Arial" w:cs="Arial" w:eastAsia="Arial" w:hAnsi="Arial"/>
          <w:sz w:val="16"/>
          <w:szCs w:val="16"/>
          <w:color w:val="auto"/>
        </w:rPr>
        <w:t>) of the aggregate principal amount of the Loans that are outstanding on the date that is 60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minimum of $300,000,000 principal amount of the Loans remains outstanding) for an additional 90-day period beyond the Maturity Date in accordance with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such date is not a Business Day, the Maturity Date shall be the next preceding Business Day.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 Extension</w:t>
      </w:r>
      <w:r>
        <w:rPr>
          <w:rFonts w:ascii="Arial" w:cs="Arial" w:eastAsia="Arial" w:hAnsi="Arial"/>
          <w:sz w:val="18"/>
          <w:szCs w:val="18"/>
          <w:color w:val="auto"/>
        </w:rPr>
        <w:t>” has the meaning specified in the definition of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Borrower makes or is obligated to make contributions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 during the preceding five plan years has made or been obligated to make contributions or with respect to which the Borrower has current or contingent liability as a result of being considered a single employer with any ERISA Affiliate.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CapEx Debt</w:t>
      </w:r>
      <w:r>
        <w:rPr>
          <w:rFonts w:ascii="Arial" w:cs="Arial" w:eastAsia="Arial" w:hAnsi="Arial"/>
          <w:sz w:val="18"/>
          <w:szCs w:val="18"/>
          <w:color w:val="auto"/>
        </w:rPr>
        <w:t>” means Indebtedness of the Borrower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shall mean: (a) with respect to a sale or other disposition of any assets of the Borrower or any of the Guarantors, the excess, if any, of</w:t>
      </w:r>
    </w:p>
    <w:p>
      <w:pPr>
        <w:spacing w:after="0" w:line="46" w:lineRule="exact"/>
        <w:rPr>
          <w:sz w:val="20"/>
          <w:szCs w:val="20"/>
          <w:color w:val="auto"/>
        </w:rPr>
      </w:pPr>
    </w:p>
    <w:p>
      <w:pPr>
        <w:ind w:right="20" w:firstLine="8"/>
        <w:spacing w:after="0" w:line="285" w:lineRule="auto"/>
        <w:tabs>
          <w:tab w:leader="none" w:pos="21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cash received in connection therewith (including any cash received by way of deferred payment pursuant to, or by monetization of, a note receivable or otherwise, but only as and when so received) over (ii) the sum of (A) payments made to retire any debt that is secured by such asset and that is required to be repaid in connection with the sale thereof (other than the Loans), (B) the reasonable expenses incurred by the Borrower or any of the Guarantors in connection therewith, (C) taxes reasonably estimated to be payable in connection with such transaction, (D) the amount of reserves established by the Borrower or any of its subsidiaries in good faith and pursuant to commercially reasonable practices for adjustment in respect of the sale price of such asset or assets in accordance with applicable generally accepted accounting principles;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such reserves exceeds the amounts charged against such reserve, then such excess, upon the determination thereof, shall then constitute Net Cash Proceeds and (E) the pro rata portion of the cash received in connection therewith attributable to minority interests and not available for distribution to or for the account of the Borrower or any of the Guarantors as a result thereof; (b) with respect to the Qualifying Term Loan Facility or any Debt Incurrence, the excess, if any, of (i) cash received by the Borrower or any of the Guarantors in connection with such issuance over (ii) the sum of the underwriting discounts and commissions and other reasonable expenses incurred by the Borrower or any of its subsidiaries in connection with such issuance or incurrence; and (c) with respect to any Equity Issuance, the excess of (i) the cash received in connection with such issuance over (ii) the fees, underwriting discounts and commissions, taxes and other reasonable expenses incurred by the Borrower or any of its subsidiaries in connection with such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 Sales Authorizations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 Transaction</w:t>
      </w:r>
      <w:r>
        <w:rPr>
          <w:rFonts w:ascii="Arial" w:cs="Arial" w:eastAsia="Arial" w:hAnsi="Arial"/>
          <w:sz w:val="18"/>
          <w:szCs w:val="18"/>
          <w:color w:val="auto"/>
        </w:rPr>
        <w:t xml:space="preserve">” </w:t>
      </w:r>
      <w:r>
        <w:rPr>
          <w:rFonts w:ascii="Arial" w:cs="Arial" w:eastAsia="Arial" w:hAnsi="Arial"/>
          <w:sz w:val="17"/>
          <w:szCs w:val="17"/>
          <w:color w:val="auto"/>
        </w:rPr>
        <w:t>means the acquisition by the Sponsor of NRG Energy, Inc.’s full ownership interest in Yield, Inc. and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w:t>
      </w:r>
      <w:r>
        <w:rPr>
          <w:rFonts w:ascii="Arial" w:cs="Arial" w:eastAsia="Arial" w:hAnsi="Arial"/>
          <w:sz w:val="17"/>
          <w:szCs w:val="17"/>
          <w:color w:val="auto"/>
        </w:rPr>
        <w:t>means any principal, interest, penalties, fees, indemnifications, reimbursements, damages and other liabilities payable under the documentation</w:t>
      </w:r>
      <w:r>
        <w:rPr>
          <w:rFonts w:ascii="Arial" w:cs="Arial" w:eastAsia="Arial" w:hAnsi="Arial"/>
          <w:sz w:val="18"/>
          <w:szCs w:val="18"/>
          <w:color w:val="auto"/>
        </w:rPr>
        <w:t xml:space="preserve"> </w:t>
      </w:r>
      <w:r>
        <w:rPr>
          <w:rFonts w:ascii="Arial" w:cs="Arial" w:eastAsia="Arial" w:hAnsi="Arial"/>
          <w:sz w:val="17"/>
          <w:szCs w:val="17"/>
          <w:color w:val="auto"/>
        </w:rPr>
        <w:t>governing any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w:t>
      </w:r>
    </w:p>
    <w:p>
      <w:pPr>
        <w:sectPr>
          <w:pgSz w:w="11900" w:h="16975" w:orient="portrait"/>
          <w:cols w:equalWidth="0" w:num="1">
            <w:col w:w="11400"/>
          </w:cols>
          <w:pgMar w:left="240" w:top="125" w:right="259" w:bottom="0" w:gutter="0" w:footer="0" w:header="0"/>
        </w:sectPr>
      </w:pPr>
    </w:p>
    <w:bookmarkStart w:id="113" w:name="page114"/>
    <w:bookmarkEnd w:id="113"/>
    <w:p>
      <w:pPr>
        <w:ind w:right="480"/>
        <w:spacing w:after="0" w:line="277" w:lineRule="auto"/>
        <w:rPr>
          <w:sz w:val="20"/>
          <w:szCs w:val="20"/>
          <w:color w:val="auto"/>
        </w:rPr>
      </w:pPr>
      <w:r>
        <w:rPr>
          <w:rFonts w:ascii="Arial" w:cs="Arial" w:eastAsia="Arial" w:hAnsi="Arial"/>
          <w:sz w:val="18"/>
          <w:szCs w:val="18"/>
          <w:color w:val="auto"/>
        </w:rPr>
        <w:t>enforcement or registration of, from the receipt or perfection of a security interest under, or otherwise with respect to, this Agreement or any other Loan Document.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(in each case, determined without duplication) the aggregate outstanding principal amount of Loans after giving effect to any borrowings and prepayments or repayments occurring on such date.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4.01(h)</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PGC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5.17(e)</w:t>
      </w:r>
      <w:r>
        <w:rPr>
          <w:rFonts w:ascii="Arial" w:cs="Arial" w:eastAsia="Arial" w:hAnsi="Arial"/>
          <w:sz w:val="18"/>
          <w:szCs w:val="18"/>
          <w:color w:val="auto"/>
        </w:rPr>
        <w:t>.</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Property</w:t>
      </w:r>
      <w:r>
        <w:rPr>
          <w:rFonts w:ascii="Arial" w:cs="Arial" w:eastAsia="Arial" w:hAnsi="Arial"/>
          <w:sz w:val="16"/>
          <w:szCs w:val="16"/>
          <w:color w:val="auto"/>
        </w:rPr>
        <w:t>” means any building, structure or other facility, and all related property, plant or equipment or other long-term assets used or useful in the ownership, development, construction or operation of such building, structure or other facility owned or leased by the Borrower or any Guarantor and having a net book value in excess of 2.0% of Total Assets, except any such building, structure or other facility (or related property, plant or equipment) that in the opinion of the Board of Directors is not of material importance to the business conducted by the Borrower and its consolidated Subsidiaries, taken as a whole.</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Cost Savings</w:t>
      </w:r>
      <w:r>
        <w:rPr>
          <w:rFonts w:ascii="Arial" w:cs="Arial" w:eastAsia="Arial" w:hAnsi="Arial"/>
          <w:sz w:val="18"/>
          <w:szCs w:val="18"/>
          <w:color w:val="auto"/>
        </w:rPr>
        <w:t>” means, without duplication, with respect to any period, reductions in costs and related adjustments that have been actually realized or are projected by the Borrower’s Chief Financial Officer in good faith to result from reasonably identifiable and factually supportable actions or events, but only to the extent such reductions in costs and related adjustments are so projected by the Borrower to be realized prior to the end of the consecutive four-quarter period commencing after the transaction giving rise to such calculation.</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Debt</w:t>
      </w:r>
      <w:r>
        <w:rPr>
          <w:rFonts w:ascii="Arial" w:cs="Arial" w:eastAsia="Arial" w:hAnsi="Arial"/>
          <w:sz w:val="18"/>
          <w:szCs w:val="18"/>
          <w:color w:val="auto"/>
        </w:rPr>
        <w:t xml:space="preserve">” means Indebtedness of one or more Project Subsidiaries incurred for the purpose of holding, leasing, developing, constructing or acquiring energy generating, transmission or distribution assets, or assets related thereto, or any other power or energy facility or any assets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is not liable with respect to such Indebtedness except to the extent of a non-recourse pledge of equity interests in one or more Project Subsidiaries.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Subsidiary</w:t>
      </w:r>
      <w:r>
        <w:rPr>
          <w:rFonts w:ascii="Arial" w:cs="Arial" w:eastAsia="Arial" w:hAnsi="Arial"/>
          <w:sz w:val="18"/>
          <w:szCs w:val="18"/>
          <w:color w:val="auto"/>
        </w:rPr>
        <w:t xml:space="preserve">” means (a) each entity listed on Part (e)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(b) any Subsidiary of the Borrower held for the purpose of holding, leasing, developing, constructing or acquiring energy generating, transmission or distribution assets, or assets related thereto, or any other power or energy facility or any assets related thereto, and any Subsidiary of the Borrower whose assets consist primarily of Equity Interests in one or more other Project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Subsidiary will cease to be a Project Subsidiary if it Guarantees any Indebtedness of the Borrower other than obligations of the Borrower related to Project Debt of one or more Project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Term Loan Facility</w:t>
      </w:r>
      <w:r>
        <w:rPr>
          <w:rFonts w:ascii="Arial" w:cs="Arial" w:eastAsia="Arial" w:hAnsi="Arial"/>
          <w:sz w:val="17"/>
          <w:szCs w:val="17"/>
          <w:color w:val="auto"/>
        </w:rPr>
        <w:t>” shall mean a term loan facility entered into by the Borrower for the purpose of replacing this Facility or refinancing the Loans, in each case, that is subject to conditions precedent to effectiveness of the obligations of the lenders thereunder to make available loans under such term loan facility and limitations on assignments prior to the Funding Commitment Termination Date that are no less favorable to the Borrower than the conditions set forth herein for such similar provisions, as determined by the Buyer or the Borrower.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RBC</w:t>
      </w:r>
      <w:r>
        <w:rPr>
          <w:rFonts w:ascii="Arial" w:cs="Arial" w:eastAsia="Arial" w:hAnsi="Arial"/>
          <w:sz w:val="18"/>
          <w:szCs w:val="18"/>
          <w:color w:val="auto"/>
        </w:rPr>
        <w:t>” means Royal Bank of Canada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T</w:t>
      </w:r>
      <w:r>
        <w:rPr>
          <w:rFonts w:ascii="Arial" w:cs="Arial" w:eastAsia="Arial" w:hAnsi="Arial"/>
          <w:sz w:val="16"/>
          <w:szCs w:val="16"/>
          <w:color w:val="auto"/>
        </w:rPr>
        <w:t>” means Regulation T of the Board of Governors as in effect from time to time and all official rulings and interpretations thereunder or thereof.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U</w:t>
      </w:r>
      <w:r>
        <w:rPr>
          <w:rFonts w:ascii="Arial" w:cs="Arial" w:eastAsia="Arial" w:hAnsi="Arial"/>
          <w:sz w:val="16"/>
          <w:szCs w:val="16"/>
          <w:color w:val="auto"/>
        </w:rPr>
        <w:t>” means Regulation U of the Board of Governors as in effect from time to time and all official rulings and interpretations thereunder or thereof.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X</w:t>
      </w:r>
      <w:r>
        <w:rPr>
          <w:rFonts w:ascii="Arial" w:cs="Arial" w:eastAsia="Arial" w:hAnsi="Arial"/>
          <w:sz w:val="16"/>
          <w:szCs w:val="16"/>
          <w:color w:val="auto"/>
        </w:rPr>
        <w:t>” means Regulation X of the Board of Governors as in effect from time to time and all official rulings and interpretations thereunder or thereof.</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Liens</w:t>
      </w:r>
      <w:r>
        <w:rPr>
          <w:rFonts w:ascii="Arial" w:cs="Arial" w:eastAsia="Arial" w:hAnsi="Arial"/>
          <w:sz w:val="18"/>
          <w:szCs w:val="18"/>
          <w:color w:val="auto"/>
        </w:rPr>
        <w:t xml:space="preserve">” means Liens granted in connection with amending, extending, modifying, renewing, replacing, refunding or refinancing in whole or in part any Indebtedness secured by Liens described in clauses (b) through (j)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Refinancing Liens do not (a) 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sum of the (a) Total Outstandings and (b) aggregate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Commitment of, and the portion of the Total Outstandings held or deemed held by, any Defaulting Lender shall be excluded for purposes of making a determination of Required Lenders.</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of comprehensive Sanctions (at the time of this Agreement, Crimea, Cuba, Iran, North Korea, Sudan and Syria).</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the United Kingdom.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means NRG Energy, Inc. and NRG Repowering Holdings LLC.</w:t>
      </w:r>
    </w:p>
    <w:p>
      <w:pPr>
        <w:sectPr>
          <w:pgSz w:w="11900" w:h="16838" w:orient="portrait"/>
          <w:cols w:equalWidth="0" w:num="1">
            <w:col w:w="11400"/>
          </w:cols>
          <w:pgMar w:left="240" w:top="125" w:right="259" w:bottom="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February 6, 2018.</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South Trent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Acquisition Agreement Representations</w:t>
      </w:r>
      <w:r>
        <w:rPr>
          <w:rFonts w:ascii="Arial" w:cs="Arial" w:eastAsia="Arial" w:hAnsi="Arial"/>
          <w:sz w:val="16"/>
          <w:szCs w:val="16"/>
          <w:color w:val="auto"/>
        </w:rPr>
        <w:t>” means the representations made by, or with respect to, Zephyr Renewables LLC and its Subsidiaries in the Acquisition Agreement as are material to the interests of the Lenders, but only to the extent that the Buyer has the right (taking into account any applicable notice or cure periods) to terminate its obligations under the Acquisition Agreement or to decline to consummate the Acquisition (in each case in accordance with the terms thereof) as a result of the breach of such representations and warranties in the Acquisition Agreement.</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of the Loan Parties set forth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5.02(b)(i)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w:t>
      </w:r>
      <w:r>
        <w:rPr>
          <w:rFonts w:ascii="Arial" w:cs="Arial" w:eastAsia="Arial" w:hAnsi="Arial"/>
          <w:sz w:val="18"/>
          <w:szCs w:val="18"/>
          <w:color w:val="auto"/>
        </w:rPr>
        <w:t xml:space="preserve"> (solely with respect to the last sentence thereof) and </w:t>
      </w:r>
      <w:r>
        <w:rPr>
          <w:rFonts w:ascii="Arial" w:cs="Arial" w:eastAsia="Arial" w:hAnsi="Arial"/>
          <w:sz w:val="18"/>
          <w:szCs w:val="18"/>
          <w:u w:val="single" w:color="auto"/>
          <w:color w:val="auto"/>
        </w:rPr>
        <w:t>5.24</w:t>
      </w:r>
      <w:r>
        <w:rPr>
          <w:rFonts w:ascii="Arial" w:cs="Arial" w:eastAsia="Arial" w:hAnsi="Arial"/>
          <w:sz w:val="18"/>
          <w:szCs w:val="18"/>
          <w:color w:val="auto"/>
        </w:rPr>
        <w: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any Affiliate of the Sponsor that is not a portfolio company.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documentation governing such Indebtedness as of the date of the first date it was incurred in compliance with this Agreement, and will not include any contingent obligations to repay, redeem or repurchase any such interest or principal prior to the date originally scheduled for the payment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31" w:lineRule="exact"/>
        <w:rPr>
          <w:sz w:val="20"/>
          <w:szCs w:val="20"/>
          <w:color w:val="auto"/>
        </w:rPr>
      </w:pPr>
    </w:p>
    <w:p>
      <w:pPr>
        <w:ind w:left="460" w:right="160" w:firstLine="455"/>
        <w:spacing w:after="0" w:line="298" w:lineRule="auto"/>
        <w:tabs>
          <w:tab w:leader="none" w:pos="129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6" w:lineRule="exact"/>
        <w:rPr>
          <w:rFonts w:ascii="Arial" w:cs="Arial" w:eastAsia="Arial" w:hAnsi="Arial"/>
          <w:sz w:val="16"/>
          <w:szCs w:val="16"/>
          <w:color w:val="auto"/>
        </w:rPr>
      </w:pPr>
    </w:p>
    <w:p>
      <w:pPr>
        <w:ind w:left="460" w:right="200" w:firstLine="455"/>
        <w:spacing w:after="0" w:line="298" w:lineRule="auto"/>
        <w:tabs>
          <w:tab w:leader="none" w:pos="130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57" w:lineRule="exact"/>
        <w:rPr>
          <w:sz w:val="20"/>
          <w:szCs w:val="20"/>
          <w:color w:val="auto"/>
        </w:rPr>
      </w:pPr>
    </w:p>
    <w:p>
      <w:pPr>
        <w:ind w:right="100" w:firstLine="454"/>
        <w:spacing w:after="0" w:line="277" w:lineRule="auto"/>
        <w:rPr>
          <w:sz w:val="20"/>
          <w:szCs w:val="20"/>
          <w:color w:val="auto"/>
        </w:rPr>
      </w:pPr>
      <w:r>
        <w:rPr>
          <w:rFonts w:ascii="Arial" w:cs="Arial" w:eastAsia="Arial" w:hAnsi="Arial"/>
          <w:sz w:val="18"/>
          <w:szCs w:val="18"/>
          <w:color w:val="auto"/>
        </w:rPr>
        <w:t>Unless otherwise specified, all references herein to a “Subsidiary” or to “Subsidiaries” shall refer to a Subsidiary or Subsidiaries of Holdings and shall exclude all Equity Investor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Guarantee</w:t>
      </w:r>
      <w:r>
        <w:rPr>
          <w:rFonts w:ascii="Arial" w:cs="Arial" w:eastAsia="Arial" w:hAnsi="Arial"/>
          <w:sz w:val="18"/>
          <w:szCs w:val="18"/>
          <w:color w:val="auto"/>
        </w:rPr>
        <w:t>” means the Guarantee by each Subsidiary Guarantor of the Borrower’s obligations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w:t>
      </w:r>
    </w:p>
    <w:p>
      <w:pPr>
        <w:spacing w:after="0" w:line="231" w:lineRule="exact"/>
        <w:rPr>
          <w:sz w:val="20"/>
          <w:szCs w:val="20"/>
          <w:color w:val="auto"/>
        </w:rPr>
      </w:pPr>
    </w:p>
    <w:p>
      <w:pPr>
        <w:ind w:left="460" w:right="440" w:firstLine="455"/>
        <w:spacing w:after="0" w:line="268" w:lineRule="auto"/>
        <w:tabs>
          <w:tab w:leader="none" w:pos="129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Borrower’s Wholly Owned Subsidiaries that Guarantees this Agreement on the Effective Date pursuant to the Guaranty under Article X, until such time as it is released pursuant to the provisions hereof; and</w:t>
      </w:r>
    </w:p>
    <w:p>
      <w:pPr>
        <w:spacing w:after="0" w:line="185" w:lineRule="exact"/>
        <w:rPr>
          <w:rFonts w:ascii="Arial" w:cs="Arial" w:eastAsia="Arial" w:hAnsi="Arial"/>
          <w:sz w:val="18"/>
          <w:szCs w:val="18"/>
          <w:color w:val="auto"/>
        </w:rPr>
      </w:pPr>
    </w:p>
    <w:p>
      <w:pPr>
        <w:ind w:left="460" w:right="500" w:firstLine="455"/>
        <w:spacing w:after="0" w:line="268" w:lineRule="auto"/>
        <w:tabs>
          <w:tab w:leader="none" w:pos="130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other Subsidiary that executes documentation evidencing a Subsidiary Guarantee in accordance with the provisions hereof, and their respective successors and assigns.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Equity Financing</w:t>
      </w:r>
      <w:r>
        <w:rPr>
          <w:rFonts w:ascii="Arial" w:cs="Arial" w:eastAsia="Arial" w:hAnsi="Arial"/>
          <w:sz w:val="17"/>
          <w:szCs w:val="17"/>
          <w:color w:val="auto"/>
        </w:rPr>
        <w:t>” means a tax equity financing entered into solely in connection with the acquisition, expansion, upgrade or refurbishment (or refinancing of any of the foregoing or of any Indebtedness incurred in connection therewith) of or by a Project Subsidiary (and/or a Company Group Party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Thermal Utilities</w:t>
      </w:r>
      <w:r>
        <w:rPr>
          <w:rFonts w:ascii="Arial" w:cs="Arial" w:eastAsia="Arial" w:hAnsi="Arial"/>
          <w:sz w:val="17"/>
          <w:szCs w:val="17"/>
          <w:color w:val="auto"/>
        </w:rPr>
        <w:t>” means Generation Portfolio Companies, Project Subsidiaries, or Company Group Parties that are regulated as public utilities by state public utility commissions, but only with regard to their production and sale of thermal energy in the form of steam and chilled water.</w:t>
      </w:r>
    </w:p>
    <w:p>
      <w:pPr>
        <w:sectPr>
          <w:pgSz w:w="11900" w:h="16838" w:orient="portrait"/>
          <w:cols w:equalWidth="0" w:num="1">
            <w:col w:w="11400"/>
          </w:cols>
          <w:pgMar w:left="240" w:top="125" w:right="259" w:bottom="0" w:gutter="0" w:footer="0" w:header="0"/>
        </w:sectPr>
      </w:pPr>
    </w:p>
    <w:bookmarkStart w:id="116" w:name="page117"/>
    <w:bookmarkEnd w:id="116"/>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of determination, the total consolidated assets of the Borrower and its Subsidiaries, determined on a consolidated basis in accordance with GAAP, as shown on the most recent publicly available balance sheet of the Borrower as of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(without duplication) the aggregate Outstanding Amount of all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Inc</w:t>
      </w:r>
      <w:r>
        <w:rPr>
          <w:rFonts w:ascii="Arial" w:cs="Arial" w:eastAsia="Arial" w:hAnsi="Arial"/>
          <w:sz w:val="18"/>
          <w:szCs w:val="18"/>
          <w:i w:val="1"/>
          <w:iCs w:val="1"/>
          <w:color w:val="auto"/>
        </w:rPr>
        <w:t>.</w:t>
      </w:r>
      <w:r>
        <w:rPr>
          <w:rFonts w:ascii="Arial" w:cs="Arial" w:eastAsia="Arial" w:hAnsi="Arial"/>
          <w:sz w:val="18"/>
          <w:szCs w:val="18"/>
          <w:color w:val="auto"/>
        </w:rPr>
        <w:t>” means NRG Yield, Inc.</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ind w:right="200" w:firstLine="1305"/>
        <w:spacing w:after="0" w:line="255" w:lineRule="auto"/>
        <w:tabs>
          <w:tab w:leader="none" w:pos="19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ind w:right="20" w:firstLine="1305"/>
        <w:spacing w:after="0" w:line="277" w:lineRule="auto"/>
        <w:tabs>
          <w:tab w:leader="none" w:pos="20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305"/>
        <w:spacing w:after="0" w:line="277" w:lineRule="auto"/>
        <w:tabs>
          <w:tab w:leader="none" w:pos="19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firstLine="1305"/>
        <w:spacing w:after="0" w:line="255" w:lineRule="auto"/>
        <w:tabs>
          <w:tab w:leader="none" w:pos="20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disposition, consolidation, assignment, sale or transfer, or similar term, as applicable, to, of or with a separate Person. Any division of a limited liability company shall constitute a separate Person hereunder (and each division of any limited liability company that is a Subsidiary, Company Group Party, Loan Party or any other like term shall also constitute such a Person or entity).</w:t>
      </w:r>
    </w:p>
    <w:p>
      <w:pPr>
        <w:spacing w:after="0" w:line="19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the Borrower, Holdings or any Subsidiary thereof at “fair value”, as defined therein.</w:t>
      </w:r>
    </w:p>
    <w:p>
      <w:pPr>
        <w:spacing w:after="0" w:line="189" w:lineRule="exact"/>
        <w:rPr>
          <w:sz w:val="20"/>
          <w:szCs w:val="20"/>
          <w:color w:val="auto"/>
        </w:rPr>
      </w:pPr>
    </w:p>
    <w:p>
      <w:pPr>
        <w:ind w:right="80" w:firstLine="1305"/>
        <w:spacing w:after="0" w:line="259" w:lineRule="auto"/>
        <w:tabs>
          <w:tab w:leader="none" w:pos="200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requirement set forth in any Loan Document, and either the Borrower or the Required Lenders shall so request, the Administrative Agent, the Lenders and the Borrower shall negotiate in good faith to amend such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0" w:gutter="0" w:footer="0" w:header="0"/>
          <w:type w:val="continuous"/>
        </w:sectPr>
      </w:pPr>
    </w:p>
    <w:bookmarkStart w:id="117" w:name="page118"/>
    <w:bookmarkEnd w:id="117"/>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 amended, (i) such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47" w:lineRule="exact"/>
        <w:rPr>
          <w:sz w:val="20"/>
          <w:szCs w:val="20"/>
          <w:color w:val="auto"/>
        </w:rPr>
      </w:pPr>
    </w:p>
    <w:p>
      <w:pPr>
        <w:ind w:right="20" w:firstLine="1305"/>
        <w:spacing w:after="0" w:line="257" w:lineRule="auto"/>
        <w:tabs>
          <w:tab w:leader="none" w:pos="199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Holdings and its Subsidiaries or to the determination of any amount for the Borrower and its Subsidiaries or Holdings and its Subsidiaries on a consolidated basis or any similar reference shall, in each case, be deemed to include each variable interest entity that the Borrower or Holdings is required to consolidate pursuant to FASB Interpretation No. 46 — Consolidation of Variable Interest Entities: an interpretation of ARB No. 51 (January 2003) as if such variable interest entity were a Subsidiary as defined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jc w:val="right"/>
              <w:ind w:right="630"/>
              <w:spacing w:after="0"/>
              <w:rPr>
                <w:sz w:val="20"/>
                <w:szCs w:val="20"/>
                <w:color w:val="auto"/>
              </w:rPr>
            </w:pPr>
            <w:r>
              <w:rPr>
                <w:rFonts w:ascii="Arial" w:cs="Arial" w:eastAsia="Arial" w:hAnsi="Arial"/>
                <w:sz w:val="18"/>
                <w:szCs w:val="18"/>
                <w:color w:val="auto"/>
              </w:rPr>
              <w:t>1.04</w:t>
            </w:r>
          </w:p>
        </w:tc>
        <w:tc>
          <w:tcPr>
            <w:tcW w:w="9360" w:type="dxa"/>
            <w:vAlign w:val="bottom"/>
            <w:gridSpan w:val="9"/>
          </w:tcPr>
          <w:p>
            <w:pPr>
              <w:spacing w:after="0"/>
              <w:rPr>
                <w:sz w:val="20"/>
                <w:szCs w:val="20"/>
                <w:color w:val="auto"/>
              </w:rPr>
            </w:pPr>
            <w:r>
              <w:rPr>
                <w:rFonts w:ascii="Arial" w:cs="Arial" w:eastAsia="Arial" w:hAnsi="Arial"/>
                <w:sz w:val="18"/>
                <w:szCs w:val="18"/>
                <w:color w:val="auto"/>
                <w:w w:val="93"/>
              </w:rPr>
              <w:t>Times of Day. Unless otherwise specified, all references herein to times of day shall be references to Eastern time (daylight or</w:t>
            </w:r>
          </w:p>
        </w:tc>
      </w:tr>
      <w:tr>
        <w:trPr>
          <w:trHeight w:val="237"/>
        </w:trPr>
        <w:tc>
          <w:tcPr>
            <w:tcW w:w="2020" w:type="dxa"/>
            <w:vAlign w:val="bottom"/>
          </w:tcPr>
          <w:p>
            <w:pPr>
              <w:jc w:val="right"/>
              <w:ind w:right="190"/>
              <w:spacing w:after="0"/>
              <w:rPr>
                <w:sz w:val="20"/>
                <w:szCs w:val="20"/>
                <w:color w:val="auto"/>
              </w:rPr>
            </w:pPr>
            <w:r>
              <w:rPr>
                <w:rFonts w:ascii="Arial" w:cs="Arial" w:eastAsia="Arial" w:hAnsi="Arial"/>
                <w:sz w:val="18"/>
                <w:szCs w:val="18"/>
                <w:color w:val="auto"/>
                <w:w w:val="87"/>
              </w:rPr>
              <w:t>standard, as applicable).</w:t>
            </w:r>
          </w:p>
        </w:tc>
        <w:tc>
          <w:tcPr>
            <w:tcW w:w="98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2"/>
        </w:trPr>
        <w:tc>
          <w:tcPr>
            <w:tcW w:w="2020" w:type="dxa"/>
            <w:vAlign w:val="bottom"/>
          </w:tcPr>
          <w:p>
            <w:pPr>
              <w:jc w:val="right"/>
              <w:ind w:right="630"/>
              <w:spacing w:after="0"/>
              <w:rPr>
                <w:sz w:val="20"/>
                <w:szCs w:val="20"/>
                <w:color w:val="auto"/>
              </w:rPr>
            </w:pPr>
            <w:r>
              <w:rPr>
                <w:rFonts w:ascii="Arial" w:cs="Arial" w:eastAsia="Arial" w:hAnsi="Arial"/>
                <w:sz w:val="18"/>
                <w:szCs w:val="18"/>
                <w:color w:val="auto"/>
              </w:rPr>
              <w:t>1.05</w:t>
            </w:r>
          </w:p>
        </w:tc>
        <w:tc>
          <w:tcPr>
            <w:tcW w:w="9360" w:type="dxa"/>
            <w:vAlign w:val="bottom"/>
            <w:gridSpan w:val="9"/>
          </w:tcPr>
          <w:p>
            <w:pPr>
              <w:spacing w:after="0"/>
              <w:rPr>
                <w:sz w:val="20"/>
                <w:szCs w:val="20"/>
                <w:color w:val="auto"/>
              </w:rPr>
            </w:pPr>
            <w:r>
              <w:rPr>
                <w:rFonts w:ascii="Arial" w:cs="Arial" w:eastAsia="Arial" w:hAnsi="Arial"/>
                <w:sz w:val="18"/>
                <w:szCs w:val="18"/>
                <w:color w:val="auto"/>
                <w:w w:val="92"/>
              </w:rPr>
              <w:t>Currency Equivalents Generally. Any amount specified in this Agreement (other than in Articles II, IX and X) or any of the other</w:t>
            </w:r>
          </w:p>
        </w:tc>
      </w:tr>
      <w:tr>
        <w:trPr>
          <w:trHeight w:val="20"/>
        </w:trPr>
        <w:tc>
          <w:tcPr>
            <w:tcW w:w="2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the “</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COMMITMENTS AND CREDIT EXTENSIONS</w:t>
      </w:r>
    </w:p>
    <w:p>
      <w:pPr>
        <w:spacing w:after="0" w:line="21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The Borrowings</w:t>
      </w:r>
      <w:r>
        <w:rPr>
          <w:rFonts w:ascii="Arial" w:cs="Arial" w:eastAsia="Arial" w:hAnsi="Arial"/>
          <w:sz w:val="16"/>
          <w:szCs w:val="16"/>
          <w:color w:val="auto"/>
        </w:rPr>
        <w:t>. Subject to the terms and conditions set forth herein, each Lender severally agrees to make loans in Dollars (each such loan, a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to the Borrower from time to time but on no more than three (3) occasions,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Borrowing, the Total Outstandings shall not exceed the Lenders’ aggregate Commitments at such time. Within the limits of each Lender’s Commitment, and subject to the 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prepay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Loans may be Base Rate Loans or Eurodollar Rate Loans, as further provided herein. Each Borrowing shall be made on a pro rata basis as among the Commitments then in effect, considered collectively. Any amount borrowed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repaid or prepaid may not be re-borrowed.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 xml:space="preserve">. (a) Each Borrowing, each conversion of Loans from one Type to the other, and each continuation of Eurodollar Rate Loans shall be made upon the Borrower’s notice (which notice may,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hereof, be revoked by the Borrower)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one Business Day prior to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$1,000,000 or a whole multiple of $1,000,000 in excess thereof. Each Borrowing of or conversion to Base Rate Loans shall be in a principal amount of $500,000 or a whole multiple of $100,000 in excess thereof. Each Committed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w:t>
      </w:r>
    </w:p>
    <w:p>
      <w:pPr>
        <w:spacing w:after="0" w:line="4" w:lineRule="exact"/>
        <w:rPr>
          <w:sz w:val="20"/>
          <w:szCs w:val="20"/>
          <w:color w:val="auto"/>
        </w:rPr>
      </w:pPr>
    </w:p>
    <w:p>
      <w:pPr>
        <w:ind w:right="180" w:firstLine="8"/>
        <w:spacing w:after="0" w:line="271" w:lineRule="auto"/>
        <w:tabs>
          <w:tab w:leader="none" w:pos="2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applicable, the duration of the applicable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78" w:lineRule="exact"/>
        <w:rPr>
          <w:rFonts w:ascii="Arial" w:cs="Arial" w:eastAsia="Arial" w:hAnsi="Arial"/>
          <w:sz w:val="17"/>
          <w:szCs w:val="17"/>
          <w:color w:val="auto"/>
        </w:rPr>
      </w:pPr>
    </w:p>
    <w:p>
      <w:pPr>
        <w:ind w:right="40" w:firstLine="1305"/>
        <w:spacing w:after="0" w:line="270" w:lineRule="auto"/>
        <w:tabs>
          <w:tab w:leader="none" w:pos="200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of its Applicable Percentage in respect of the applicable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Borrowing, each Lender shall make the amount of its Loan available to the Administrative Agent in immediately available funds at the Administrative Agent’s Office not later than 12:00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RBC with the amount of such funds or (ii) wire transfer of such funds, in each case in accordance with instructions provided to (and reasonably acceptable to) the Administrative Agent by the Borrower.</w:t>
      </w:r>
    </w:p>
    <w:p>
      <w:pPr>
        <w:spacing w:after="0" w:line="181" w:lineRule="exact"/>
        <w:rPr>
          <w:rFonts w:ascii="Arial" w:cs="Arial" w:eastAsia="Arial" w:hAnsi="Arial"/>
          <w:sz w:val="17"/>
          <w:szCs w:val="17"/>
          <w:color w:val="auto"/>
        </w:rPr>
      </w:pPr>
    </w:p>
    <w:p>
      <w:pPr>
        <w:ind w:right="300" w:firstLine="1305"/>
        <w:spacing w:after="0" w:line="277" w:lineRule="auto"/>
        <w:tabs>
          <w:tab w:leader="none" w:pos="199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572" w:gutter="0" w:footer="0" w:header="0"/>
        </w:sectPr>
      </w:pPr>
    </w:p>
    <w:bookmarkStart w:id="118" w:name="page119"/>
    <w:bookmarkEnd w:id="118"/>
    <w:p>
      <w:pPr>
        <w:ind w:right="300"/>
        <w:spacing w:after="0" w:line="277" w:lineRule="auto"/>
        <w:rPr>
          <w:sz w:val="20"/>
          <w:szCs w:val="20"/>
          <w:color w:val="auto"/>
        </w:rPr>
      </w:pPr>
      <w:r>
        <w:rPr>
          <w:rFonts w:ascii="Arial" w:cs="Arial" w:eastAsia="Arial" w:hAnsi="Arial"/>
          <w:sz w:val="18"/>
          <w:szCs w:val="18"/>
          <w:color w:val="auto"/>
        </w:rPr>
        <w:t>During the existence of an Event of Default, no Loans may be requested as, converted to or continued as Eurodollar Rate Loans without the consent of the Required Lenders.</w:t>
      </w:r>
    </w:p>
    <w:p>
      <w:pPr>
        <w:spacing w:after="0" w:line="170" w:lineRule="exact"/>
        <w:rPr>
          <w:sz w:val="20"/>
          <w:szCs w:val="20"/>
          <w:color w:val="auto"/>
        </w:rPr>
      </w:pPr>
    </w:p>
    <w:p>
      <w:pPr>
        <w:ind w:right="40" w:firstLine="1305"/>
        <w:spacing w:after="0" w:line="259" w:lineRule="auto"/>
        <w:tabs>
          <w:tab w:leader="none" w:pos="20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the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240" w:firstLine="1305"/>
        <w:spacing w:after="0" w:line="277" w:lineRule="auto"/>
        <w:tabs>
          <w:tab w:leader="none" w:pos="199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Prepayments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(which notice,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terminate Commitments in whole or in part or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11:00 a.m. (A) two Business Days prior to any termination of Commitments, (B) three Business Days prior to any date of prepayment of Eurodollar Rate Loans and (C) one Business Day prior to any date of prepayment of Base Rate Loans; (ii) any prepayment of Eurodollar Rate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termination or prepayment and the Type(s) of Loans to be prepaid and, if Eurodollar Rate Loans are to be prepaid, the Interest Period(s) of such Loans. The Administrative Agent will promptly notify each applicable Lender of its receipt of each such notice, and of the amount of such Lender’s ratable portion of such termination or prepayment (based on such Lender’s Applicable Percentage). Terminations of Commitments and prepayments of Loans shall be made on a pro rata basis. If such notice is given by the Borrower, the Borrower shall make such prepayment (if applicable)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and prepayment of Loans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any prepayment of a Base Rate Loan shall be accompanied by all accrued interest on the amount prepaid if such prepayment is accompanied by a termination of the Commitments. All payments made pursuant to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shall be applied on a pro rata basis to each Lender holding Loans.</w:t>
      </w:r>
    </w:p>
    <w:p>
      <w:pPr>
        <w:spacing w:after="0" w:line="170" w:lineRule="exact"/>
        <w:rPr>
          <w:sz w:val="20"/>
          <w:szCs w:val="20"/>
          <w:color w:val="auto"/>
        </w:rPr>
      </w:pPr>
    </w:p>
    <w:p>
      <w:pPr>
        <w:ind w:left="2000" w:hanging="695"/>
        <w:spacing w:after="0"/>
        <w:tabs>
          <w:tab w:leader="none" w:pos="2000"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(1) </w:t>
      </w:r>
      <w:r>
        <w:rPr>
          <w:rFonts w:ascii="Arial" w:cs="Arial" w:eastAsia="Arial" w:hAnsi="Arial"/>
          <w:sz w:val="16"/>
          <w:szCs w:val="16"/>
          <w:i w:val="1"/>
          <w:iCs w:val="1"/>
          <w:u w:val="single" w:color="auto"/>
          <w:color w:val="auto"/>
        </w:rPr>
        <w:t>Loans</w:t>
      </w:r>
      <w:r>
        <w:rPr>
          <w:rFonts w:ascii="Arial" w:cs="Arial" w:eastAsia="Arial" w:hAnsi="Arial"/>
          <w:sz w:val="16"/>
          <w:szCs w:val="16"/>
          <w:color w:val="auto"/>
        </w:rPr>
        <w:t>. Following the Effective Date, the Loans, to the extent borrowed will be required to be prepaid within three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Business Days following the receipt of the applicable proceeds, in an aggregate amount equal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right="20" w:firstLine="1294"/>
        <w:spacing w:after="0" w:line="277" w:lineRule="auto"/>
        <w:tabs>
          <w:tab w:leader="none" w:pos="27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100% of the Net Cash Proceeds actually received by the Borrower or any of the Guarantors from the borrowing of loans under a Qualifying Term Loan Facility or from any Debt Incurrence;</w:t>
      </w:r>
    </w:p>
    <w:p>
      <w:pPr>
        <w:spacing w:after="0" w:line="170" w:lineRule="exact"/>
        <w:rPr>
          <w:rFonts w:ascii="Arial" w:cs="Arial" w:eastAsia="Arial" w:hAnsi="Arial"/>
          <w:sz w:val="18"/>
          <w:szCs w:val="18"/>
          <w:color w:val="auto"/>
        </w:rPr>
      </w:pPr>
    </w:p>
    <w:p>
      <w:pPr>
        <w:ind w:left="2740" w:hanging="706"/>
        <w:spacing w:after="0"/>
        <w:tabs>
          <w:tab w:leader="none" w:pos="2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100% of the Net Cash Proceeds actually received by the Borrower from an Equity Issuance;</w:t>
      </w:r>
    </w:p>
    <w:p>
      <w:pPr>
        <w:spacing w:after="0" w:line="225" w:lineRule="exact"/>
        <w:rPr>
          <w:rFonts w:ascii="Arial" w:cs="Arial" w:eastAsia="Arial" w:hAnsi="Arial"/>
          <w:sz w:val="18"/>
          <w:szCs w:val="18"/>
          <w:color w:val="auto"/>
        </w:rPr>
      </w:pPr>
    </w:p>
    <w:p>
      <w:pPr>
        <w:ind w:left="740" w:right="160" w:firstLine="1294"/>
        <w:spacing w:after="0" w:line="290" w:lineRule="auto"/>
        <w:tabs>
          <w:tab w:leader="none" w:pos="275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100% of the Net Cash Proceeds in excess of $10,000,000 for any individual transaction (and in excess of $50,000,000 in the aggregate) actually received by the Borrower or any of the Guarantors from non-ordinary course sale or other disposition of any property or assets of the Borrower or any of the Guarantors (including insurance and condemnation proceeds and proceeds from the sale or issuance of any Equity Interest, in each case to third parties, by any Guarantors) other than Net Cash Proceeds (i) of sales or other dispositions of inventory in the ordinary course of business, (ii) of sales, contributions or other dispositions of property or assets to Project Subsidiaries (including any distributed cash in connection with such sale, contribution or disposition), (iii) of intercompany transfers, and (iv) that are reinvested (or committed to be reinvested) in the business of the Borrower or any of its Subsidiaries (or used to replace damaged or destroyed assets) within nine months after receipt of such Net Cash Proceeds or, if so committed within such period, reinvested within 180 days thereafter;</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Net Cash Proceeds determined in accordance with the preceding clauses (i) through (iii) are in excess of the then outstanding Loans (or no Loans are then outstanding), the outstanding Commitments will be reduced on a pro rata basis by an amount equal to such excess amount within three (3) business days of the Borrower’s receipt thereof.</w:t>
      </w:r>
    </w:p>
    <w:p>
      <w:pPr>
        <w:spacing w:after="0" w:line="181" w:lineRule="exact"/>
        <w:rPr>
          <w:sz w:val="20"/>
          <w:szCs w:val="20"/>
          <w:color w:val="auto"/>
        </w:rPr>
      </w:pPr>
    </w:p>
    <w:p>
      <w:pPr>
        <w:ind w:right="40" w:firstLine="8"/>
        <w:spacing w:after="0" w:line="264"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7"/>
          <w:szCs w:val="17"/>
          <w:color w:val="auto"/>
        </w:rPr>
        <w:t>After the Effective Date, Commitments will be permanently reduced, in whole or in part, (a) on the Business Day immediately following the</w:t>
      </w:r>
      <w:r>
        <w:rPr>
          <w:rFonts w:ascii="Arial" w:cs="Arial" w:eastAsia="Arial" w:hAnsi="Arial"/>
          <w:sz w:val="18"/>
          <w:szCs w:val="18"/>
          <w:i w:val="1"/>
          <w:iCs w:val="1"/>
          <w:color w:val="auto"/>
        </w:rPr>
        <w:t xml:space="preserve"> </w:t>
      </w:r>
      <w:r>
        <w:rPr>
          <w:rFonts w:ascii="Arial" w:cs="Arial" w:eastAsia="Arial" w:hAnsi="Arial"/>
          <w:sz w:val="17"/>
          <w:szCs w:val="17"/>
          <w:color w:val="auto"/>
        </w:rPr>
        <w:t>day on which Yield Inc. shall have satisfied all of its obligations under the Convertible Indentures to (i) repurchase all Existing Convertible Notes required to be purchased by it in connection with any Fundamental Change Offer and (ii) settle all Existing Convertible Notes that are converted (whether into cash, equity interests of Yield Inc. or a combination thereof) in connection with the Acquisition or any related “fundamental change” or “make-whole fundamental change” as such terms are used in the Convertible Indentures (such business day, the “</w:t>
      </w:r>
      <w:r>
        <w:rPr>
          <w:rFonts w:ascii="Arial" w:cs="Arial" w:eastAsia="Arial" w:hAnsi="Arial"/>
          <w:sz w:val="17"/>
          <w:szCs w:val="17"/>
          <w:u w:val="single" w:color="auto"/>
          <w:color w:val="auto"/>
        </w:rPr>
        <w:t>Existing Convertible Notes Termination Date</w:t>
      </w:r>
      <w:r>
        <w:rPr>
          <w:rFonts w:ascii="Arial" w:cs="Arial" w:eastAsia="Arial" w:hAnsi="Arial"/>
          <w:sz w:val="17"/>
          <w:szCs w:val="17"/>
          <w:color w:val="auto"/>
        </w:rPr>
        <w:t xml:space="preserve">”), in an amount equal to the aggregate principal amount of Existing Convertible Notes that remain outstanding as of the Existing Convertible Notes Termination Date and (b) in an amount equal to the aggregate principal amount of any series of the Existing Senior Notes for which a successful waiver with respect to such series of Existing Senior Notes of the “Change of Control Offer” requirements have been obtained pursuant to any consent solicitation consummated after the Acquisition Closing Date (such reduction to occur automatically upon the execution of the supplemental indenture to the indenture governing such series of Existing Senior Notes reflecting the terms of such consent solicitation), it being understood that any such consent solicitation shall be at the sole discretion and option of Yield Inc. and Yield Inc. shall not be obligated to commence any such consent solicitation. On the first </w:t>
      </w:r>
      <w:r>
        <w:rPr>
          <w:rFonts w:ascii="Arial" w:cs="Arial" w:eastAsia="Arial" w:hAnsi="Arial"/>
          <w:sz w:val="18"/>
          <w:szCs w:val="18"/>
          <w:color w:val="auto"/>
        </w:rPr>
        <w:t>Business Day following the Funding Commitment Termination Date, all unused</w:t>
      </w:r>
      <w:r>
        <w:rPr>
          <w:rFonts w:ascii="Arial" w:cs="Arial" w:eastAsia="Arial" w:hAnsi="Arial"/>
          <w:sz w:val="17"/>
          <w:szCs w:val="17"/>
          <w:color w:val="auto"/>
        </w:rPr>
        <w:t xml:space="preserve"> </w:t>
      </w:r>
      <w:r>
        <w:rPr>
          <w:rFonts w:ascii="Arial" w:cs="Arial" w:eastAsia="Arial" w:hAnsi="Arial"/>
          <w:sz w:val="18"/>
          <w:szCs w:val="18"/>
          <w:color w:val="auto"/>
        </w:rPr>
        <w:t>Commitments shall terminate.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Repayment of Loans</w:t>
      </w:r>
      <w:r>
        <w:rPr>
          <w:rFonts w:ascii="Arial" w:cs="Arial" w:eastAsia="Arial" w:hAnsi="Arial"/>
          <w:sz w:val="18"/>
          <w:szCs w:val="18"/>
          <w:color w:val="auto"/>
        </w:rPr>
        <w:t>. The Borrower shall repay to the Lenders on the Maturity Date the aggregate principal amount of all Loans outstanding on such date.</w:t>
      </w:r>
    </w:p>
    <w:p>
      <w:pPr>
        <w:sectPr>
          <w:pgSz w:w="11900" w:h="16838" w:orient="portrait"/>
          <w:cols w:equalWidth="0" w:num="1">
            <w:col w:w="11420"/>
          </w:cols>
          <w:pgMar w:left="240" w:top="125" w:right="239" w:bottom="0" w:gutter="0" w:footer="0" w:header="0"/>
        </w:sectPr>
      </w:pPr>
    </w:p>
    <w:bookmarkStart w:id="119" w:name="page120"/>
    <w:bookmarkEnd w:id="119"/>
    <w:p>
      <w:pPr>
        <w:ind w:right="100" w:firstLine="648"/>
        <w:spacing w:after="0" w:line="259"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Subject to the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7" w:lineRule="exact"/>
        <w:rPr>
          <w:sz w:val="20"/>
          <w:szCs w:val="20"/>
          <w:color w:val="auto"/>
        </w:rPr>
      </w:pPr>
    </w:p>
    <w:p>
      <w:pPr>
        <w:ind w:right="20" w:firstLine="1305"/>
        <w:spacing w:after="0" w:line="342" w:lineRule="auto"/>
        <w:tabs>
          <w:tab w:leader="none" w:pos="200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 While any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8.01(e)</w:t>
      </w:r>
      <w:r>
        <w:rPr>
          <w:rFonts w:ascii="Arial" w:cs="Arial" w:eastAsia="Arial" w:hAnsi="Arial"/>
          <w:sz w:val="16"/>
          <w:szCs w:val="16"/>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23" w:lineRule="exact"/>
        <w:rPr>
          <w:rFonts w:ascii="Arial" w:cs="Arial" w:eastAsia="Arial" w:hAnsi="Arial"/>
          <w:sz w:val="16"/>
          <w:szCs w:val="16"/>
          <w:color w:val="auto"/>
        </w:rPr>
      </w:pPr>
    </w:p>
    <w:p>
      <w:pPr>
        <w:ind w:left="2740" w:hanging="706"/>
        <w:spacing w:after="0"/>
        <w:tabs>
          <w:tab w:leader="none" w:pos="27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210" w:lineRule="exact"/>
        <w:rPr>
          <w:rFonts w:ascii="Arial" w:cs="Arial" w:eastAsia="Arial" w:hAnsi="Arial"/>
          <w:sz w:val="16"/>
          <w:szCs w:val="16"/>
          <w:color w:val="auto"/>
        </w:rPr>
      </w:pPr>
    </w:p>
    <w:p>
      <w:pPr>
        <w:ind w:right="60" w:firstLine="1305"/>
        <w:spacing w:after="0" w:line="264" w:lineRule="auto"/>
        <w:tabs>
          <w:tab w:leader="none" w:pos="199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right="140" w:firstLine="1305"/>
        <w:spacing w:after="0" w:line="264" w:lineRule="auto"/>
        <w:tabs>
          <w:tab w:leader="none" w:pos="199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Extension Fee</w:t>
      </w:r>
      <w:r>
        <w:rPr>
          <w:rFonts w:ascii="Arial" w:cs="Arial" w:eastAsia="Arial" w:hAnsi="Arial"/>
          <w:sz w:val="18"/>
          <w:szCs w:val="18"/>
          <w:color w:val="auto"/>
        </w:rPr>
        <w:t xml:space="preserve">. The Borrower will pay to the Administrative Agent for the account of the Lenders an extension fee in an aggregate amount equal to 0.50% of the aggregate principal amount of the Loans subject to a Maturity Date Extension as set forth in </w:t>
      </w:r>
      <w:r>
        <w:rPr>
          <w:rFonts w:ascii="Arial" w:cs="Arial" w:eastAsia="Arial" w:hAnsi="Arial"/>
          <w:sz w:val="18"/>
          <w:szCs w:val="18"/>
          <w:u w:val="single" w:color="auto"/>
          <w:color w:val="auto"/>
        </w:rPr>
        <w:t>Section 2.12</w:t>
      </w:r>
      <w:r>
        <w:rPr>
          <w:rFonts w:ascii="Arial" w:cs="Arial" w:eastAsia="Arial" w:hAnsi="Arial"/>
          <w:sz w:val="18"/>
          <w:szCs w:val="18"/>
          <w:color w:val="auto"/>
        </w:rPr>
        <w:t>, which fee shall be earned, due and payable on the Extension Date.</w:t>
      </w:r>
    </w:p>
    <w:p>
      <w:pPr>
        <w:spacing w:after="0" w:line="181" w:lineRule="exact"/>
        <w:rPr>
          <w:rFonts w:ascii="Arial" w:cs="Arial" w:eastAsia="Arial" w:hAnsi="Arial"/>
          <w:sz w:val="18"/>
          <w:szCs w:val="18"/>
          <w:color w:val="auto"/>
        </w:rPr>
      </w:pPr>
    </w:p>
    <w:p>
      <w:pPr>
        <w:ind w:right="140" w:firstLine="1305"/>
        <w:spacing w:after="0" w:line="342" w:lineRule="auto"/>
        <w:tabs>
          <w:tab w:leader="none" w:pos="2001"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Duration Fee</w:t>
      </w:r>
      <w:r>
        <w:rPr>
          <w:rFonts w:ascii="Arial" w:cs="Arial" w:eastAsia="Arial" w:hAnsi="Arial"/>
          <w:sz w:val="16"/>
          <w:szCs w:val="16"/>
          <w:color w:val="auto"/>
        </w:rPr>
        <w:t>. The Borrower will pay to the Administrative Agent for the account of each Lender on each of the dates set forth below a Duration Fee equal to the applicable percentage set forth below of the aggregate principal amount of such Lender’s Loans outstanding on such date:</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 days after Effective Date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days after Effective Date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271 days after Effective Date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1305"/>
        <w:spacing w:after="0" w:line="264" w:lineRule="auto"/>
        <w:tabs>
          <w:tab w:leader="none" w:pos="199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applicable Lenders and Arrangers and the Administrative Agent for their own respective accounts fees in the amounts and at the times specified in the Fee Letter. Such fees shall be fully earned when paid and shall not be refundable for any reason whatsoever, except as expressly set forth in the Fee Letter.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computations of interest for Base Rate Loans when the Base Rate is determined by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2.09(a)</w:t>
      </w:r>
      <w:r>
        <w:rPr>
          <w:rFonts w:ascii="Arial" w:cs="Arial" w:eastAsia="Arial" w:hAnsi="Arial"/>
          <w:sz w:val="18"/>
          <w:szCs w:val="18"/>
          <w:color w:val="auto"/>
        </w:rPr>
        <w:t>, bear interest for one day. Each determination by the Administrative Agent of an interest rate or fee hereunder shall be prima facie evidence thereof for all purposes.</w:t>
      </w:r>
    </w:p>
    <w:p>
      <w:pPr>
        <w:spacing w:after="0" w:line="18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u w:val="single" w:color="auto"/>
          <w:color w:val="auto"/>
        </w:rPr>
        <w:t>Evidence of Debt</w:t>
      </w:r>
      <w:r>
        <w:rPr>
          <w:rFonts w:ascii="Arial" w:cs="Arial" w:eastAsia="Arial" w:hAnsi="Arial"/>
          <w:sz w:val="16"/>
          <w:szCs w:val="16"/>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respect of the Facility.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6" w:lineRule="exact"/>
        <w:rPr>
          <w:sz w:val="20"/>
          <w:szCs w:val="20"/>
          <w:color w:val="auto"/>
        </w:rPr>
      </w:pPr>
    </w:p>
    <w:p>
      <w:pPr>
        <w:ind w:right="20" w:firstLine="1305"/>
        <w:spacing w:after="0" w:line="279" w:lineRule="auto"/>
        <w:tabs>
          <w:tab w:leader="none" w:pos="195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120" w:name="page121"/>
    <w:bookmarkEnd w:id="120"/>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u w:val="single" w:color="auto"/>
          <w:color w:val="auto"/>
        </w:rPr>
        <w:t>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9" w:lineRule="exact"/>
        <w:rPr>
          <w:sz w:val="20"/>
          <w:szCs w:val="20"/>
          <w:color w:val="auto"/>
        </w:rPr>
      </w:pPr>
    </w:p>
    <w:p>
      <w:pPr>
        <w:ind w:left="740" w:right="20" w:firstLine="1294"/>
        <w:spacing w:after="0" w:line="271" w:lineRule="auto"/>
        <w:tabs>
          <w:tab w:leader="none" w:pos="2715"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prima facie evidence thereof.</w:t>
      </w:r>
    </w:p>
    <w:p>
      <w:pPr>
        <w:spacing w:after="0" w:line="170" w:lineRule="exact"/>
        <w:rPr>
          <w:sz w:val="20"/>
          <w:szCs w:val="20"/>
          <w:color w:val="auto"/>
        </w:rPr>
      </w:pPr>
    </w:p>
    <w:p>
      <w:pPr>
        <w:ind w:right="160" w:firstLine="1305"/>
        <w:spacing w:after="0" w:line="279" w:lineRule="auto"/>
        <w:tabs>
          <w:tab w:leader="none" w:pos="1955"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500" w:firstLine="1305"/>
        <w:spacing w:after="0" w:line="277" w:lineRule="auto"/>
        <w:tabs>
          <w:tab w:leader="none" w:pos="195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failure of any Lender to make any Loan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81" w:lineRule="exact"/>
        <w:rPr>
          <w:sz w:val="20"/>
          <w:szCs w:val="20"/>
          <w:color w:val="auto"/>
        </w:rPr>
      </w:pPr>
    </w:p>
    <w:p>
      <w:pPr>
        <w:ind w:firstLine="1305"/>
        <w:spacing w:after="0" w:line="259" w:lineRule="auto"/>
        <w:tabs>
          <w:tab w:leader="none" w:pos="195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will not be liable for increased costs under </w:t>
      </w:r>
      <w:r>
        <w:rPr>
          <w:rFonts w:ascii="Arial" w:cs="Arial" w:eastAsia="Arial" w:hAnsi="Arial"/>
          <w:sz w:val="18"/>
          <w:szCs w:val="18"/>
          <w:u w:val="single" w:color="auto"/>
          <w:color w:val="auto"/>
        </w:rPr>
        <w:t>Sections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of this Agreement as a result of any Lender changing the place from, or the manner in which, it obtains funds.</w:t>
      </w:r>
    </w:p>
    <w:p>
      <w:pPr>
        <w:spacing w:after="0" w:line="186" w:lineRule="exact"/>
        <w:rPr>
          <w:rFonts w:ascii="Arial" w:cs="Arial" w:eastAsia="Arial" w:hAnsi="Arial"/>
          <w:sz w:val="18"/>
          <w:szCs w:val="18"/>
          <w:color w:val="auto"/>
        </w:rPr>
      </w:pPr>
    </w:p>
    <w:p>
      <w:pPr>
        <w:ind w:right="420" w:firstLine="1305"/>
        <w:spacing w:after="0" w:line="302" w:lineRule="auto"/>
        <w:tabs>
          <w:tab w:leader="none" w:pos="1949"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 payment of principal then due hereunder, ratably among the parties entitled thereto in accordance with the amounts of principal then due to such parties.</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shall, by exercising any right of setoff or counterclaim or otherwise, obtain payment in respect of (a) Obligations in respect of the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Facility due and payable to all Lenders hereunder and under the other Loan Documents at such time) of payments on account of the Obligations in respect of the Facility due and payable to all Lenders hereunder and under the other Loan Documents at such time obtained by all the Lenders at such time or (b) Obligations in respect of the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Facility owing (but not due and payable) to all Lenders hereunder and under the other Loan Documents at such time) of payment on account of the Obligations in respect of the Facility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in respect of the Facility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5" w:lineRule="exact"/>
        <w:rPr>
          <w:sz w:val="20"/>
          <w:szCs w:val="20"/>
          <w:color w:val="auto"/>
        </w:rPr>
      </w:pPr>
    </w:p>
    <w:p>
      <w:pPr>
        <w:ind w:left="740" w:right="440" w:firstLine="1294"/>
        <w:spacing w:after="0" w:line="308" w:lineRule="auto"/>
        <w:tabs>
          <w:tab w:leader="none" w:pos="27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any such participations are purchased and all or any portion of the payment giving rise thereto is recovered, such participations shall be rescinded and the purchase price restored to the extent of such recovery, without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40" w:right="40" w:firstLine="1294"/>
        <w:spacing w:after="0" w:line="264" w:lineRule="auto"/>
        <w:tabs>
          <w:tab w:leader="none" w:pos="27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to any assignee or participant; and</w:t>
      </w:r>
    </w:p>
    <w:p>
      <w:pPr>
        <w:sectPr>
          <w:pgSz w:w="11900" w:h="16918" w:orient="portrait"/>
          <w:cols w:equalWidth="0" w:num="1">
            <w:col w:w="11420"/>
          </w:cols>
          <w:pgMar w:left="240" w:top="125" w:right="239" w:bottom="0" w:gutter="0" w:footer="0" w:header="0"/>
        </w:sectPr>
      </w:pPr>
    </w:p>
    <w:bookmarkStart w:id="121" w:name="page122"/>
    <w:bookmarkEnd w:id="121"/>
    <w:p>
      <w:pPr>
        <w:ind w:left="740" w:right="280" w:firstLine="1294"/>
        <w:spacing w:after="0" w:line="264" w:lineRule="auto"/>
        <w:tabs>
          <w:tab w:leader="none" w:pos="27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this Section will not apply to payments made under </w:t>
      </w:r>
      <w:r>
        <w:rPr>
          <w:rFonts w:ascii="Arial" w:cs="Arial" w:eastAsia="Arial" w:hAnsi="Arial"/>
          <w:sz w:val="18"/>
          <w:szCs w:val="18"/>
          <w:u w:val="single" w:color="auto"/>
          <w:color w:val="auto"/>
        </w:rPr>
        <w:t>Sections 2.06</w:t>
      </w:r>
      <w:r>
        <w:rPr>
          <w:rFonts w:ascii="Arial" w:cs="Arial" w:eastAsia="Arial" w:hAnsi="Arial"/>
          <w:sz w:val="18"/>
          <w:szCs w:val="18"/>
          <w:color w:val="auto"/>
        </w:rPr>
        <w:t xml:space="preserve">, 2.11,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3.06,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w:t>
      </w:r>
      <w:r>
        <w:rPr>
          <w:rFonts w:ascii="Arial" w:cs="Arial" w:eastAsia="Arial" w:hAnsi="Arial"/>
          <w:sz w:val="18"/>
          <w:szCs w:val="18"/>
          <w:color w:val="auto"/>
        </w:rPr>
        <w:t>, 11.13, and pursuant to any other terms or conditions in any Loan Document expressly providing for payments to specific Lenders, Agents or other Persons.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right="80" w:firstLine="1305"/>
        <w:spacing w:after="0" w:line="277" w:lineRule="auto"/>
        <w:tabs>
          <w:tab w:leader="none" w:pos="194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left="740" w:right="20" w:firstLine="1294"/>
        <w:spacing w:after="0" w:line="277" w:lineRule="auto"/>
        <w:tabs>
          <w:tab w:leader="none" w:pos="2706"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definitions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40" w:right="20" w:firstLine="1294"/>
        <w:spacing w:after="0" w:line="287" w:lineRule="auto"/>
        <w:tabs>
          <w:tab w:leader="none" w:pos="2715"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as the Borrower may request (so long as no Default or Event of Default exists), to the funding of any Loan in respect of which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Lender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to such Defaulting Lender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right="80"/>
        <w:spacing w:after="0" w:line="272" w:lineRule="auto"/>
        <w:rPr>
          <w:sz w:val="20"/>
          <w:szCs w:val="20"/>
          <w:color w:val="auto"/>
        </w:rPr>
      </w:pPr>
      <w:r>
        <w:rPr>
          <w:rFonts w:ascii="Arial" w:cs="Arial" w:eastAsia="Arial" w:hAnsi="Arial"/>
          <w:sz w:val="17"/>
          <w:szCs w:val="17"/>
          <w:color w:val="auto"/>
        </w:rPr>
        <w:t xml:space="preserve">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under the Facility pro rata in accordance with the Commitments under the Facility.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78" w:lineRule="exact"/>
        <w:rPr>
          <w:sz w:val="20"/>
          <w:szCs w:val="20"/>
          <w:color w:val="auto"/>
        </w:rPr>
      </w:pPr>
    </w:p>
    <w:p>
      <w:pPr>
        <w:ind w:left="2720" w:hanging="686"/>
        <w:spacing w:after="0"/>
        <w:tabs>
          <w:tab w:leader="none" w:pos="272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1301"/>
        <w:spacing w:after="0" w:line="264" w:lineRule="auto"/>
        <w:tabs>
          <w:tab w:leader="none" w:pos="3265" w:val="left"/>
        </w:tabs>
        <w:numPr>
          <w:ilvl w:val="2"/>
          <w:numId w:val="173"/>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2.06(b)</w:t>
      </w:r>
      <w:r>
        <w:rPr>
          <w:rFonts w:ascii="Arial" w:cs="Arial" w:eastAsia="Arial" w:hAnsi="Arial"/>
          <w:sz w:val="18"/>
          <w:szCs w:val="18"/>
          <w:color w:val="auto"/>
        </w:rPr>
        <w:t xml:space="preserve"> for any period during which such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ind w:firstLine="1305"/>
        <w:spacing w:after="0" w:line="271" w:lineRule="auto"/>
        <w:tabs>
          <w:tab w:leader="none" w:pos="1952"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7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Maturity Date Extensions</w:t>
      </w:r>
      <w:r>
        <w:rPr>
          <w:rFonts w:ascii="Arial" w:cs="Arial" w:eastAsia="Arial" w:hAnsi="Arial"/>
          <w:sz w:val="18"/>
          <w:szCs w:val="18"/>
          <w:color w:val="auto"/>
        </w:rPr>
        <w:t>. The Borrower may effect a Maturity Date Extension with respect to one-third (1/3</w:t>
      </w:r>
      <w:r>
        <w:rPr>
          <w:rFonts w:ascii="Arial" w:cs="Arial" w:eastAsia="Arial" w:hAnsi="Arial"/>
          <w:sz w:val="23"/>
          <w:szCs w:val="23"/>
          <w:color w:val="auto"/>
          <w:vertAlign w:val="superscript"/>
        </w:rPr>
        <w:t>rd</w:t>
      </w:r>
      <w:r>
        <w:rPr>
          <w:rFonts w:ascii="Arial" w:cs="Arial" w:eastAsia="Arial" w:hAnsi="Arial"/>
          <w:sz w:val="18"/>
          <w:szCs w:val="18"/>
          <w:color w:val="auto"/>
        </w:rPr>
        <w:t>) of the Loans that are outstanding on the date that is 60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minimum of $300,000,000 aggregate principal amount of Loans remains outstanding) for an additional 90) day period by providing notice of such request to the Administrative Agent not more than 60 and not less than 30 days prior to the original Maturity Date (the “</w:t>
      </w:r>
      <w:r>
        <w:rPr>
          <w:rFonts w:ascii="Arial" w:cs="Arial" w:eastAsia="Arial" w:hAnsi="Arial"/>
          <w:sz w:val="18"/>
          <w:szCs w:val="18"/>
          <w:u w:val="single" w:color="auto"/>
          <w:color w:val="auto"/>
        </w:rPr>
        <w:t>Extension Date</w:t>
      </w:r>
      <w:r>
        <w:rPr>
          <w:rFonts w:ascii="Arial" w:cs="Arial" w:eastAsia="Arial" w:hAnsi="Arial"/>
          <w:sz w:val="18"/>
          <w:szCs w:val="18"/>
          <w:color w:val="auto"/>
        </w:rPr>
        <w:t>”). The Maturity Date Extension will not be effective unless:</w:t>
      </w:r>
    </w:p>
    <w:p>
      <w:pPr>
        <w:spacing w:after="0" w:line="202" w:lineRule="exact"/>
        <w:rPr>
          <w:sz w:val="20"/>
          <w:szCs w:val="20"/>
          <w:color w:val="auto"/>
        </w:rPr>
      </w:pPr>
    </w:p>
    <w:p>
      <w:pPr>
        <w:jc w:val="both"/>
        <w:ind w:right="20" w:firstLine="1305"/>
        <w:spacing w:after="0" w:line="259" w:lineRule="auto"/>
        <w:tabs>
          <w:tab w:leader="none" w:pos="1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Loan Parties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Extension, except to the extent that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with respect to the fiscal year ended December 31, 2018.</w:t>
      </w:r>
    </w:p>
    <w:p>
      <w:pPr>
        <w:sectPr>
          <w:pgSz w:w="11900" w:h="16838" w:orient="portrait"/>
          <w:cols w:equalWidth="0" w:num="1">
            <w:col w:w="11400"/>
          </w:cols>
          <w:pgMar w:left="240" w:top="341" w:right="259" w:bottom="0" w:gutter="0" w:footer="0" w:header="0"/>
        </w:sectPr>
      </w:pPr>
    </w:p>
    <w:bookmarkStart w:id="122" w:name="page123"/>
    <w:bookmarkEnd w:id="122"/>
    <w:p>
      <w:pPr>
        <w:spacing w:after="0" w:line="95" w:lineRule="exact"/>
        <w:rPr>
          <w:sz w:val="20"/>
          <w:szCs w:val="20"/>
          <w:color w:val="auto"/>
        </w:rPr>
      </w:pPr>
    </w:p>
    <w:p>
      <w:pPr>
        <w:ind w:left="1960" w:hanging="655"/>
        <w:spacing w:after="0"/>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Extension.</w:t>
      </w:r>
    </w:p>
    <w:p>
      <w:pPr>
        <w:spacing w:after="0" w:line="225" w:lineRule="exact"/>
        <w:rPr>
          <w:rFonts w:ascii="Arial" w:cs="Arial" w:eastAsia="Arial" w:hAnsi="Arial"/>
          <w:sz w:val="18"/>
          <w:szCs w:val="18"/>
          <w:color w:val="auto"/>
        </w:rPr>
      </w:pPr>
    </w:p>
    <w:p>
      <w:pPr>
        <w:ind w:right="100" w:firstLine="1305"/>
        <w:spacing w:after="0" w:line="342" w:lineRule="auto"/>
        <w:tabs>
          <w:tab w:leader="none" w:pos="195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fees required to be paid to the Administrative Agent, the Lenders and the Arrangers on or before the Maturity Date (including the Extension Fee) shall have been paid and the Borrower shall have delivered an officer’s certificate confirming satisfaction of clauses (a) and (b) above.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(i)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to withhold or deduct any Tax, such Tax shall be withheld or deducted in accordance with such Laws as determined by the Borrower, such other Loan Party or the Administrative Agent, as the case may be, upon the basis of the information and documentation to be delivered pursuant to subsection (e) below.</w:t>
      </w:r>
    </w:p>
    <w:p>
      <w:pPr>
        <w:spacing w:after="0" w:line="193" w:lineRule="exact"/>
        <w:rPr>
          <w:sz w:val="20"/>
          <w:szCs w:val="20"/>
          <w:color w:val="auto"/>
        </w:rPr>
      </w:pPr>
    </w:p>
    <w:p>
      <w:pPr>
        <w:jc w:val="both"/>
        <w:ind w:left="740" w:right="200" w:firstLine="1294"/>
        <w:spacing w:after="0" w:line="288" w:lineRule="auto"/>
        <w:tabs>
          <w:tab w:leader="none" w:pos="2715" w:val="left"/>
        </w:tabs>
        <w:numPr>
          <w:ilvl w:val="2"/>
          <w:numId w:val="177"/>
        </w:numPr>
        <w:rPr>
          <w:rFonts w:ascii="Arial" w:cs="Arial" w:eastAsia="Arial" w:hAnsi="Arial"/>
          <w:sz w:val="16"/>
          <w:szCs w:val="16"/>
          <w:color w:val="auto"/>
        </w:rPr>
      </w:pPr>
      <w:r>
        <w:rPr>
          <w:rFonts w:ascii="Arial" w:cs="Arial" w:eastAsia="Arial" w:hAnsi="Arial"/>
          <w:sz w:val="16"/>
          <w:szCs w:val="16"/>
          <w:color w:val="auto"/>
        </w:rPr>
        <w:t>If the Borrower, any other Loan Party or the Administrative Agent shall be required by applicable Law to withhold or deduct any Taxes, including United States Federal withholding Taxes, from any payment under any Loan Document, then (A) it shall withhold or make such deductions as are determined by it to be required based upon the information and documentation received pursuant to subsection</w:t>
      </w:r>
    </w:p>
    <w:p>
      <w:pPr>
        <w:ind w:left="740" w:right="20" w:hanging="3"/>
        <w:spacing w:after="0" w:line="271" w:lineRule="auto"/>
        <w:tabs>
          <w:tab w:leader="none" w:pos="98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below, (B) it shall timely pay the full amount withheld or deducted to the relevant 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firstLine="1305"/>
        <w:spacing w:after="0" w:line="277" w:lineRule="auto"/>
        <w:tabs>
          <w:tab w:leader="none" w:pos="1952"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any Other Taxes to the relevant Governmental Authority in accordance with applicable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6" w:lineRule="auto"/>
        <w:tabs>
          <w:tab w:leader="none" w:pos="1955"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Without limiting the provisions of subsection (a) or (b) above, the Loan Parties shall, and do hereby, jointly indemnify the Administrative Agent and each Lender, and shall make payment in respect thereof within 10 days after written demand therefor, for the full amount of any Indemnified Taxes and Other Taxes (including Indemnified Taxes and Other Taxes imposed or asserted on or attributable to amounts payable under this Section) withheld or deducted by the Borrower, any other Loan Party or the Administrative Agent or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 Parties reasonably believe that such Taxes were not correctly or legally asserted, the Administrative Agent or such Lender will use reasonable efforts to cooperate with the Loan Parties to obtain a refund of such Taxes so long as such efforts would not, in the sole good faith determination of the Administrative Agent or such Lender, as applicable, result in any additional costs, expenses or risks or be otherwise disadvantageous to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Loan Parties shall not be required to compensate the Administrative Agent or any Lender pursuant to this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for any interest and penalties that would not have arisen but for the failure of the Administrative Agent or such Lender, as applicable, to furnish written notice of the applicable claim for Indemnified Taxes or Other Taxes within 180 days after the date the Administrative Agent or such Lender first receives written notice thereof. A certificate as to the amount of any such payment or liability delivered to the Borrower or any other Loan Party by a Lender (with a copy to the Administrative Agent), or by the Administrative Agent on its own behalf or on behalf of a Lender shall be conclusive absent manifest error.</w:t>
      </w:r>
    </w:p>
    <w:p>
      <w:pPr>
        <w:spacing w:after="0" w:line="171" w:lineRule="exact"/>
        <w:rPr>
          <w:rFonts w:ascii="Arial" w:cs="Arial" w:eastAsia="Arial" w:hAnsi="Arial"/>
          <w:sz w:val="16"/>
          <w:szCs w:val="16"/>
          <w:color w:val="auto"/>
        </w:rPr>
      </w:pPr>
    </w:p>
    <w:p>
      <w:pPr>
        <w:ind w:left="740" w:right="20" w:firstLine="1294"/>
        <w:spacing w:after="0" w:line="270" w:lineRule="auto"/>
        <w:tabs>
          <w:tab w:leader="none" w:pos="271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subsection (a), (b) or (c)(i) above, each Lender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 asserted against the Administrative Agent by any Governmental Authority as a result of the failure by such Lender to deliver, or as a result of the inaccuracy, inadequacy or deficiency of, any documentation required to be delivered by such Lender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Obligations in respect of the Facility.</w:t>
      </w:r>
    </w:p>
    <w:p>
      <w:pPr>
        <w:spacing w:after="0" w:line="177" w:lineRule="exact"/>
        <w:rPr>
          <w:rFonts w:ascii="Arial" w:cs="Arial" w:eastAsia="Arial" w:hAnsi="Arial"/>
          <w:sz w:val="17"/>
          <w:szCs w:val="17"/>
          <w:color w:val="auto"/>
        </w:rPr>
      </w:pPr>
    </w:p>
    <w:p>
      <w:pPr>
        <w:ind w:right="240" w:firstLine="1305"/>
        <w:spacing w:after="0" w:line="279" w:lineRule="auto"/>
        <w:tabs>
          <w:tab w:leader="none" w:pos="1952"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Laws to report such payment or other evidence of such payment reasonably satisfactory to the Borrower or the Administrative Agent, as the case may be.</w:t>
      </w:r>
    </w:p>
    <w:p>
      <w:pPr>
        <w:spacing w:after="0" w:line="248" w:lineRule="exact"/>
        <w:rPr>
          <w:sz w:val="20"/>
          <w:szCs w:val="20"/>
          <w:color w:val="auto"/>
        </w:rPr>
      </w:pPr>
    </w:p>
    <w:p>
      <w:pPr>
        <w:ind w:right="60" w:firstLine="1305"/>
        <w:spacing w:after="0" w:line="290" w:lineRule="auto"/>
        <w:tabs>
          <w:tab w:leader="none" w:pos="195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Status of Lenders; Tax Documentation</w:t>
      </w:r>
      <w:r>
        <w:rPr>
          <w:rFonts w:ascii="Arial" w:cs="Arial" w:eastAsia="Arial" w:hAnsi="Arial"/>
          <w:sz w:val="16"/>
          <w:szCs w:val="16"/>
          <w:color w:val="auto"/>
        </w:rPr>
        <w:t xml:space="preserve">. (i) Each Lender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it pursuant to the Loan Documents or otherwise to establish such Lender’s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3.01(e)(ii)(B)(I)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3.01(e)</w:t>
      </w:r>
    </w:p>
    <w:p>
      <w:pPr>
        <w:sectPr>
          <w:pgSz w:w="11900" w:h="16933" w:orient="portrait"/>
          <w:cols w:equalWidth="0" w:num="1">
            <w:col w:w="11400"/>
          </w:cols>
          <w:pgMar w:left="240" w:top="125" w:right="259" w:bottom="0" w:gutter="0" w:footer="0" w:header="0"/>
        </w:sectPr>
      </w:pPr>
    </w:p>
    <w:bookmarkStart w:id="123" w:name="page124"/>
    <w:bookmarkEnd w:id="123"/>
    <w:p>
      <w:pPr>
        <w:spacing w:after="0" w:line="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(ii)(B)(II)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3.01(e)(ii)(B)(III)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3.01(e)(ii)(B)(IV)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3.01(e)(iv)</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2720" w:hanging="686"/>
        <w:spacing w:after="0"/>
        <w:tabs>
          <w:tab w:leader="none" w:pos="2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ind w:left="1300" w:right="80" w:firstLine="1301"/>
        <w:spacing w:after="0" w:line="257" w:lineRule="auto"/>
        <w:tabs>
          <w:tab w:leader="none" w:pos="326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it becomes a party to this Agreement, two accurate and complete originally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188" w:lineRule="exact"/>
        <w:rPr>
          <w:rFonts w:ascii="Arial" w:cs="Arial" w:eastAsia="Arial" w:hAnsi="Arial"/>
          <w:sz w:val="18"/>
          <w:szCs w:val="18"/>
          <w:color w:val="auto"/>
        </w:rPr>
      </w:pPr>
    </w:p>
    <w:p>
      <w:pPr>
        <w:ind w:left="1300" w:firstLine="1301"/>
        <w:spacing w:after="0" w:line="257" w:lineRule="auto"/>
        <w:tabs>
          <w:tab w:leader="none" w:pos="325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United States federal withholding tax with respect to payments hereunder or under any other Loan Document shall 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8" w:lineRule="exact"/>
        <w:rPr>
          <w:rFonts w:ascii="Arial" w:cs="Arial" w:eastAsia="Arial" w:hAnsi="Arial"/>
          <w:sz w:val="18"/>
          <w:szCs w:val="18"/>
          <w:color w:val="auto"/>
        </w:rPr>
      </w:pPr>
    </w:p>
    <w:p>
      <w:pPr>
        <w:ind w:left="1960" w:right="200" w:firstLine="1289"/>
        <w:spacing w:after="0" w:line="308" w:lineRule="auto"/>
        <w:tabs>
          <w:tab w:leader="none" w:pos="3909" w:val="left"/>
        </w:tabs>
        <w:numPr>
          <w:ilvl w:val="2"/>
          <w:numId w:val="181"/>
        </w:numPr>
        <w:rPr>
          <w:rFonts w:ascii="Arial" w:cs="Arial" w:eastAsia="Arial" w:hAnsi="Arial"/>
          <w:sz w:val="17"/>
          <w:szCs w:val="17"/>
          <w:color w:val="auto"/>
        </w:rPr>
      </w:pPr>
      <w:r>
        <w:rPr>
          <w:rFonts w:ascii="Arial" w:cs="Arial" w:eastAsia="Arial" w:hAnsi="Arial"/>
          <w:sz w:val="17"/>
          <w:szCs w:val="17"/>
          <w:color w:val="auto"/>
        </w:rPr>
        <w:t>two accurate and complete originally executed copies of Internal Revenue Service Form W-8BEN (or successor form) claiming eligibility for benefits of an income tax treaty to which the United States is a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hanging="651"/>
        <w:spacing w:after="0"/>
        <w:tabs>
          <w:tab w:leader="none" w:pos="3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two accurate and complete originally executed copies of Internal Revenue Service Form W-8ECI or W-</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8EXP (or successor form),</w:t>
      </w:r>
    </w:p>
    <w:p>
      <w:pPr>
        <w:spacing w:after="0" w:line="211" w:lineRule="exact"/>
        <w:rPr>
          <w:sz w:val="20"/>
          <w:szCs w:val="20"/>
          <w:color w:val="auto"/>
        </w:rPr>
      </w:pPr>
    </w:p>
    <w:p>
      <w:pPr>
        <w:ind w:left="1960" w:right="220" w:firstLine="1289"/>
        <w:spacing w:after="0" w:line="277" w:lineRule="auto"/>
        <w:tabs>
          <w:tab w:leader="none" w:pos="389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two accurate and complete originally executed copies of Internal Revenue Service Form W-8IMY (or successor form) and all required supporting documentation,</w:t>
      </w:r>
    </w:p>
    <w:p>
      <w:pPr>
        <w:spacing w:after="0" w:line="170" w:lineRule="exact"/>
        <w:rPr>
          <w:sz w:val="20"/>
          <w:szCs w:val="20"/>
          <w:color w:val="auto"/>
        </w:rPr>
      </w:pPr>
    </w:p>
    <w:p>
      <w:pPr>
        <w:ind w:left="1960" w:right="20" w:firstLine="1296"/>
        <w:spacing w:after="0" w:line="276"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Code, (x) a certificate to the effect that such Foreign Lender is not (A) a “bank” within the meaning of section 881(c)(3)(A) of the Code, (B) a “10-percent shareholder” of the Borrower within the meaning of section 881(c)(3)(B) of the Code, or (C) a “controlled foreign corporation” described in section 881(c)(3)(C) of the Code and (y) two accurate and complete originally executed copies of Internal Revenue Service Form W-8BEN (or successor form), or</w:t>
      </w:r>
    </w:p>
    <w:p>
      <w:pPr>
        <w:spacing w:after="0" w:line="173" w:lineRule="exact"/>
        <w:rPr>
          <w:sz w:val="20"/>
          <w:szCs w:val="20"/>
          <w:color w:val="auto"/>
        </w:rPr>
      </w:pPr>
    </w:p>
    <w:p>
      <w:pPr>
        <w:ind w:left="1960" w:firstLine="1289"/>
        <w:spacing w:after="0" w:line="259" w:lineRule="auto"/>
        <w:tabs>
          <w:tab w:leader="none" w:pos="392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86" w:lineRule="exact"/>
        <w:rPr>
          <w:rFonts w:ascii="Arial" w:cs="Arial" w:eastAsia="Arial" w:hAnsi="Arial"/>
          <w:sz w:val="18"/>
          <w:szCs w:val="18"/>
          <w:color w:val="auto"/>
        </w:rPr>
      </w:pPr>
    </w:p>
    <w:p>
      <w:pPr>
        <w:ind w:left="2720" w:hanging="686"/>
        <w:spacing w:after="0"/>
        <w:tabs>
          <w:tab w:leader="none" w:pos="2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Lender shall promptly (A) update any form or certification previously delivered pursuant to this</w:t>
      </w:r>
    </w:p>
    <w:p>
      <w:pPr>
        <w:spacing w:after="0" w:line="23" w:lineRule="exact"/>
        <w:rPr>
          <w:sz w:val="20"/>
          <w:szCs w:val="20"/>
          <w:color w:val="auto"/>
        </w:rPr>
      </w:pPr>
    </w:p>
    <w:p>
      <w:pPr>
        <w:ind w:left="740" w:right="80"/>
        <w:spacing w:after="0" w:line="253" w:lineRule="auto"/>
        <w:rPr>
          <w:sz w:val="20"/>
          <w:szCs w:val="20"/>
          <w:color w:val="auto"/>
        </w:rPr>
      </w:pP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that expires or becomes obsolete or inaccurate in any respect or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91" w:lineRule="exact"/>
        <w:rPr>
          <w:sz w:val="20"/>
          <w:szCs w:val="20"/>
          <w:color w:val="auto"/>
        </w:rPr>
      </w:pPr>
    </w:p>
    <w:p>
      <w:pPr>
        <w:ind w:left="740" w:right="80" w:firstLine="1294"/>
        <w:spacing w:after="0" w:line="274" w:lineRule="auto"/>
        <w:tabs>
          <w:tab w:leader="none" w:pos="270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w:t>
      </w:r>
    </w:p>
    <w:p>
      <w:pPr>
        <w:ind w:left="740" w:right="40"/>
        <w:spacing w:after="0" w:line="252" w:lineRule="auto"/>
        <w:rPr>
          <w:rFonts w:ascii="Arial" w:cs="Arial" w:eastAsia="Arial" w:hAnsi="Arial"/>
          <w:sz w:val="17"/>
          <w:szCs w:val="17"/>
          <w:color w:val="auto"/>
        </w:rPr>
      </w:pPr>
      <w:r>
        <w:rPr>
          <w:rFonts w:ascii="Arial" w:cs="Arial" w:eastAsia="Arial" w:hAnsi="Arial"/>
          <w:sz w:val="18"/>
          <w:szCs w:val="18"/>
          <w:color w:val="auto"/>
        </w:rPr>
        <w:t>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Solely for purposes of this </w:t>
      </w:r>
      <w:r>
        <w:rPr>
          <w:rFonts w:ascii="Arial" w:cs="Arial" w:eastAsia="Arial" w:hAnsi="Arial"/>
          <w:sz w:val="18"/>
          <w:szCs w:val="18"/>
          <w:u w:val="single" w:color="auto"/>
          <w:color w:val="auto"/>
        </w:rPr>
        <w:t>Section 3.01(e)(iv)</w:t>
      </w:r>
      <w:r>
        <w:rPr>
          <w:rFonts w:ascii="Arial" w:cs="Arial" w:eastAsia="Arial" w:hAnsi="Arial"/>
          <w:sz w:val="18"/>
          <w:szCs w:val="18"/>
          <w:color w:val="auto"/>
        </w:rPr>
        <w:t>, “FATCA” shall include any amendments made to FATCA after the date of this Agreement.</w:t>
      </w:r>
    </w:p>
    <w:p>
      <w:pPr>
        <w:spacing w:after="0" w:line="225" w:lineRule="exact"/>
        <w:rPr>
          <w:sz w:val="20"/>
          <w:szCs w:val="20"/>
          <w:color w:val="auto"/>
        </w:rPr>
      </w:pPr>
    </w:p>
    <w:p>
      <w:pPr>
        <w:ind w:right="60" w:firstLine="1305"/>
        <w:spacing w:after="0" w:line="287" w:lineRule="auto"/>
        <w:tabs>
          <w:tab w:leader="none" w:pos="1949"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exercised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(including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 Notwithstanding anything to the contrary in this</w:t>
      </w:r>
    </w:p>
    <w:p>
      <w:pPr>
        <w:sectPr>
          <w:pgSz w:w="11900" w:h="16930" w:orient="portrait"/>
          <w:cols w:equalWidth="0" w:num="1">
            <w:col w:w="11420"/>
          </w:cols>
          <w:pgMar w:left="240" w:top="125" w:right="239" w:bottom="0" w:gutter="0" w:footer="0" w:header="0"/>
        </w:sectPr>
      </w:pPr>
    </w:p>
    <w:bookmarkStart w:id="124" w:name="page125"/>
    <w:bookmarkEnd w:id="124"/>
    <w:p>
      <w:pPr>
        <w:spacing w:after="0" w:line="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in no event will the Administrative Agent or any Lender be required to pay any amount to the Borrower pursuant to this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the payment of which would place the Administrative Agent or such Lender, as the case may be, in a less favorable net after-Tax position than it would have been in if the Tax 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171" w:lineRule="exact"/>
        <w:rPr>
          <w:sz w:val="20"/>
          <w:szCs w:val="20"/>
          <w:color w:val="auto"/>
        </w:rPr>
      </w:pPr>
    </w:p>
    <w:p>
      <w:pPr>
        <w:ind w:right="160" w:firstLine="1305"/>
        <w:spacing w:after="0" w:line="290" w:lineRule="auto"/>
        <w:tabs>
          <w:tab w:leader="none" w:pos="196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Status of Administrative Agent; Tax Documentation</w:t>
      </w:r>
      <w:r>
        <w:rPr>
          <w:rFonts w:ascii="Arial" w:cs="Arial" w:eastAsia="Arial" w:hAnsi="Arial"/>
          <w:sz w:val="16"/>
          <w:szCs w:val="16"/>
          <w:color w:val="auto"/>
        </w:rPr>
        <w:t>. RBC, as the Administrative Agent, and, if legally entitled to do so, any successor or supplemental Administrative Agent that is not a United States person under Section 7701(a)(30) of the Code and which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 to the Administrative Agent without deduction or withholding of any Taxes imposed by the United States.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 asserted in writing that it is unlawful, for any Lender or its applicable Lending Office to make, maintain or fund Eurodollar Rate Loans, or to determine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charge interest rates based upon the Eurodollar Rate, or any Governmental Authority has imposed material restrictions on the authority of such Lender to purchase or sell, or to take deposits of, Dollars in the London interbank market, then, on written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written notice, the Borrower shall, upon demand from such Lender (with a copy to the Administrative Agent) convert all Eurodollar Rate Loans of such Lender to Base Rate Loans, either on the last day of the Interest Period therefor, if such Lender may lawfully continue to maintain such Eurodollar Rate Loans to such day, or immediately, if such Lender may not lawfully continue to maintain such Eurodollar Rate Loans. Upon any such conversion, the Borrower shall also pay accrued interest on the amount so prepaid or converted.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If in connection with any request for a Eurodollar Rate Loan or a conversion to or continuation thereof,</w:t>
      </w:r>
    </w:p>
    <w:p>
      <w:pPr>
        <w:spacing w:after="0" w:line="23" w:lineRule="exact"/>
        <w:rPr>
          <w:sz w:val="20"/>
          <w:szCs w:val="20"/>
          <w:color w:val="auto"/>
        </w:rPr>
      </w:pPr>
    </w:p>
    <w:p>
      <w:pPr>
        <w:ind w:firstLine="8"/>
        <w:spacing w:after="0" w:line="267" w:lineRule="auto"/>
        <w:tabs>
          <w:tab w:leader="none" w:pos="24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(in each case with respect to clause (a)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in writing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Notwithstanding the foregoing, if the Administrative Agent has made the determination described in clause (a)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such rate or any Governmental Authority has imposed material restrictions on the authority of such Lender to do any of the foregoing and provides the Administrative Agent and the Borrower written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paragraph shall affect any right that the Borrower may otherwise have to revoke any pending request for a Borrowing of, conversion to or continuation of Eurodollar Rate Loans (to the extent of the affected Eurodollar Rate Loans or Interest Periods), or convert such request into a request for a Borrowing of Base Rate Loans in the amount specified therein, in each case in accordance with and subject to the terms of this Agreement, it being understood and agreed that the Administrative Agent may not establish an alternative interest rate pursuant to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in respect of Base Rate Loans, or Eurodollar Rate Loans to be converted into Base Rate Loans pursuant to the last sentence of the preceding paragraph of this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addition, if </w:t>
      </w:r>
      <w:r>
        <w:rPr>
          <w:rFonts w:ascii="Arial" w:cs="Arial" w:eastAsia="Arial" w:hAnsi="Arial"/>
          <w:sz w:val="15"/>
          <w:szCs w:val="15"/>
          <w:color w:val="auto"/>
        </w:rPr>
        <w:t>at any time the Administrative Agent determines (which determination shall be conclusive absent manifest error) that (i) the</w:t>
      </w:r>
      <w:r>
        <w:rPr>
          <w:rFonts w:ascii="Arial" w:cs="Arial" w:eastAsia="Arial" w:hAnsi="Arial"/>
          <w:sz w:val="16"/>
          <w:szCs w:val="16"/>
          <w:color w:val="auto"/>
        </w:rPr>
        <w:t xml:space="preserve"> </w:t>
      </w:r>
      <w:r>
        <w:rPr>
          <w:rFonts w:ascii="Arial" w:cs="Arial" w:eastAsia="Arial" w:hAnsi="Arial"/>
          <w:sz w:val="15"/>
          <w:szCs w:val="15"/>
          <w:color w:val="auto"/>
        </w:rPr>
        <w:t xml:space="preserve">circumstances set forth in clause (a) of the first sentence of this Section have arisen and such circumstances are unlikely to be temporary </w:t>
      </w:r>
      <w:r>
        <w:rPr>
          <w:rFonts w:ascii="Arial" w:cs="Arial" w:eastAsia="Arial" w:hAnsi="Arial"/>
          <w:sz w:val="16"/>
          <w:szCs w:val="16"/>
          <w:color w:val="auto"/>
        </w:rPr>
        <w:t>or (ii) the circumstances</w:t>
      </w:r>
      <w:r>
        <w:rPr>
          <w:rFonts w:ascii="Arial" w:cs="Arial" w:eastAsia="Arial" w:hAnsi="Arial"/>
          <w:sz w:val="15"/>
          <w:szCs w:val="15"/>
          <w:color w:val="auto"/>
        </w:rPr>
        <w:t xml:space="preserve"> </w:t>
      </w:r>
      <w:r>
        <w:rPr>
          <w:rFonts w:ascii="Arial" w:cs="Arial" w:eastAsia="Arial" w:hAnsi="Arial"/>
          <w:sz w:val="16"/>
          <w:szCs w:val="16"/>
          <w:color w:val="auto"/>
        </w:rPr>
        <w:t xml:space="preserve">set forth in clause (a) of the first sentence of this Section have not arisen but the supervisor for the administrator of LIBOR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Notwithstanding anything to the contrary in </w:t>
      </w:r>
      <w:r>
        <w:rPr>
          <w:rFonts w:ascii="Arial" w:cs="Arial" w:eastAsia="Arial" w:hAnsi="Arial"/>
          <w:sz w:val="16"/>
          <w:szCs w:val="16"/>
          <w:u w:val="single" w:color="auto"/>
          <w:color w:val="auto"/>
        </w:rPr>
        <w:t>Section 11.01</w:t>
      </w:r>
      <w:r>
        <w:rPr>
          <w:rFonts w:ascii="Arial" w:cs="Arial" w:eastAsia="Arial" w:hAnsi="Arial"/>
          <w:sz w:val="16"/>
          <w:szCs w:val="16"/>
          <w:color w:val="auto"/>
        </w:rPr>
        <w:t>,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w:t>
      </w:r>
    </w:p>
    <w:p>
      <w:pPr>
        <w:sectPr>
          <w:pgSz w:w="11900" w:h="16926" w:orient="portrait"/>
          <w:cols w:equalWidth="0" w:num="1">
            <w:col w:w="11420"/>
          </w:cols>
          <w:pgMar w:left="240" w:top="125" w:right="239" w:bottom="0" w:gutter="0" w:footer="0" w:header="0"/>
        </w:sectPr>
      </w:pPr>
    </w:p>
    <w:bookmarkStart w:id="125" w:name="page126"/>
    <w:bookmarkEnd w:id="125"/>
    <w:p>
      <w:pPr>
        <w:ind w:right="200"/>
        <w:spacing w:after="0" w:line="286" w:lineRule="auto"/>
        <w:rPr>
          <w:sz w:val="20"/>
          <w:szCs w:val="20"/>
          <w:color w:val="auto"/>
        </w:rPr>
      </w:pPr>
      <w:r>
        <w:rPr>
          <w:rFonts w:ascii="Arial" w:cs="Arial" w:eastAsia="Arial" w:hAnsi="Arial"/>
          <w:sz w:val="17"/>
          <w:szCs w:val="17"/>
          <w:color w:val="auto"/>
        </w:rPr>
        <w:t xml:space="preserve">of interest shall be determined in accordance with this paragraph, (x) any request to convert any Loan to, or continue any Loan as, a Eurodollar Rate Loan shall be ineffective, and (y) if any Committed Loan Notice requests a Eurodollar Rate Loan, such Loan shall be made as a Base Rate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alternate rate of interest shall be less than zero, such rate shall be deemed to be zero for the purposes of this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Costs; Reserves on Eurodollar Rate Loans</w:t>
      </w:r>
      <w:r>
        <w:rPr>
          <w:rFonts w:ascii="Arial" w:cs="Arial" w:eastAsia="Arial" w:hAnsi="Arial"/>
          <w:sz w:val="16"/>
          <w:szCs w:val="16"/>
          <w:color w:val="auto"/>
        </w:rPr>
        <w:t>. (a)</w:t>
      </w:r>
      <w:r>
        <w:rPr>
          <w:rFonts w:ascii="Arial" w:cs="Arial" w:eastAsia="Arial" w:hAnsi="Arial"/>
          <w:sz w:val="16"/>
          <w:szCs w:val="16"/>
          <w:u w:val="single" w:color="auto"/>
          <w:color w:val="auto"/>
        </w:rPr>
        <w:t xml:space="preserve"> Increased Costs Generally</w:t>
      </w:r>
      <w:r>
        <w:rPr>
          <w:rFonts w:ascii="Arial" w:cs="Arial" w:eastAsia="Arial" w:hAnsi="Arial"/>
          <w:sz w:val="16"/>
          <w:szCs w:val="16"/>
          <w:color w:val="auto"/>
        </w:rPr>
        <w:t>. If any Change in Law shall:</w:t>
      </w:r>
    </w:p>
    <w:p>
      <w:pPr>
        <w:spacing w:after="0" w:line="225" w:lineRule="exact"/>
        <w:rPr>
          <w:sz w:val="20"/>
          <w:szCs w:val="20"/>
          <w:color w:val="auto"/>
        </w:rPr>
      </w:pPr>
    </w:p>
    <w:p>
      <w:pPr>
        <w:jc w:val="both"/>
        <w:ind w:left="740" w:right="820" w:firstLine="1294"/>
        <w:spacing w:after="0" w:line="264" w:lineRule="auto"/>
        <w:tabs>
          <w:tab w:leader="none" w:pos="270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40" w:right="20" w:firstLine="1294"/>
        <w:spacing w:after="0" w:line="277" w:lineRule="auto"/>
        <w:tabs>
          <w:tab w:leader="none" w:pos="27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any Lender to any Tax of any kind whatsoever with respect to this Agreement or any Eurodollar Rate Loan made by it, or change the basis of taxation of payments to such Lender in respect thereof (except for Indemnified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w:t>
      </w:r>
    </w:p>
    <w:p>
      <w:pPr>
        <w:spacing w:after="0" w:line="225" w:lineRule="exact"/>
        <w:rPr>
          <w:sz w:val="20"/>
          <w:szCs w:val="20"/>
          <w:color w:val="auto"/>
        </w:rPr>
      </w:pPr>
    </w:p>
    <w:p>
      <w:pPr>
        <w:ind w:left="740" w:right="80" w:firstLine="1294"/>
        <w:spacing w:after="0" w:line="277" w:lineRule="auto"/>
        <w:tabs>
          <w:tab w:leader="none" w:pos="272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continuing, converting to or maintaining any Eurodollar Rate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7" w:lineRule="exact"/>
        <w:rPr>
          <w:sz w:val="20"/>
          <w:szCs w:val="20"/>
          <w:color w:val="auto"/>
        </w:rPr>
      </w:pPr>
    </w:p>
    <w:p>
      <w:pPr>
        <w:ind w:firstLine="1305"/>
        <w:spacing w:after="0" w:line="255" w:lineRule="auto"/>
        <w:tabs>
          <w:tab w:leader="none" w:pos="195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89" w:lineRule="exact"/>
        <w:rPr>
          <w:rFonts w:ascii="Arial" w:cs="Arial" w:eastAsia="Arial" w:hAnsi="Arial"/>
          <w:sz w:val="18"/>
          <w:szCs w:val="18"/>
          <w:color w:val="auto"/>
        </w:rPr>
      </w:pPr>
    </w:p>
    <w:p>
      <w:pPr>
        <w:ind w:right="320" w:firstLine="1305"/>
        <w:spacing w:after="0" w:line="279" w:lineRule="auto"/>
        <w:tabs>
          <w:tab w:leader="none" w:pos="1955"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setting forth the amount or amounts necessary to compensate such Lender or its holding company, as the case may be, and describing in reasonable detail the calculation thereof, and providing reasonable documentation to support the request as specified in subsection (a), (b) or (e) of this Section and delivered to the Borrower shall be conclusive absent manifest error. The Borrower shall pay such Lender the amount shown as due on any such certificate within 30 days after receipt thereof.</w:t>
      </w:r>
    </w:p>
    <w:p>
      <w:pPr>
        <w:spacing w:after="0" w:line="171" w:lineRule="exact"/>
        <w:rPr>
          <w:rFonts w:ascii="Arial" w:cs="Arial" w:eastAsia="Arial" w:hAnsi="Arial"/>
          <w:sz w:val="17"/>
          <w:szCs w:val="17"/>
          <w:color w:val="auto"/>
        </w:rPr>
      </w:pPr>
    </w:p>
    <w:p>
      <w:pPr>
        <w:ind w:firstLine="1305"/>
        <w:spacing w:after="0" w:line="273" w:lineRule="auto"/>
        <w:tabs>
          <w:tab w:leader="none" w:pos="1952"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rFonts w:ascii="Arial" w:cs="Arial" w:eastAsia="Arial" w:hAnsi="Arial"/>
          <w:sz w:val="17"/>
          <w:szCs w:val="17"/>
          <w:color w:val="auto"/>
        </w:rPr>
      </w:pPr>
    </w:p>
    <w:p>
      <w:pPr>
        <w:ind w:right="120" w:firstLine="1305"/>
        <w:spacing w:after="0" w:line="277" w:lineRule="auto"/>
        <w:tabs>
          <w:tab w:leader="none" w:pos="195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as long as such Lender shall be required to maintain reserves with respect to liabilities or assets consisting of or including Eurocurrency funds or deposits (currently known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30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Upon written demand of any Lender (with a copy to the Administrative Agent) from time to time, the Borrower shall promptly compensate such Lender for and hold such Lender harmless from any loss, cost or expense incurred by it as a result of:</w:t>
      </w:r>
    </w:p>
    <w:p>
      <w:pPr>
        <w:spacing w:after="0" w:line="147" w:lineRule="exact"/>
        <w:rPr>
          <w:sz w:val="20"/>
          <w:szCs w:val="20"/>
          <w:color w:val="auto"/>
        </w:rPr>
      </w:pPr>
    </w:p>
    <w:p>
      <w:pPr>
        <w:ind w:right="100" w:firstLine="1305"/>
        <w:spacing w:after="0" w:line="277" w:lineRule="auto"/>
        <w:tabs>
          <w:tab w:leader="none" w:pos="194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400" w:firstLine="1305"/>
        <w:spacing w:after="0" w:line="277" w:lineRule="auto"/>
        <w:tabs>
          <w:tab w:leader="none" w:pos="19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right="80" w:firstLine="1305"/>
        <w:spacing w:after="0" w:line="277" w:lineRule="auto"/>
        <w:tabs>
          <w:tab w:leader="none" w:pos="19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ectPr>
          <w:pgSz w:w="11900" w:h="16838" w:orient="portrait"/>
          <w:cols w:equalWidth="0" w:num="1">
            <w:col w:w="11420"/>
          </w:cols>
          <w:pgMar w:left="240" w:top="125" w:right="239" w:bottom="0" w:gutter="0" w:footer="0" w:header="0"/>
        </w:sectPr>
      </w:pPr>
    </w:p>
    <w:bookmarkStart w:id="126" w:name="page127"/>
    <w:bookmarkEnd w:id="126"/>
    <w:p>
      <w:pPr>
        <w:ind w:right="240"/>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xml:space="preserve">. (a)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written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shall use reasonable efforts (which shall not require such Lender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Loans hereunder or assigning its rights and obligations hereunder to another of its offices, branches or affiliates, if, in the judgment of such Lender, such change or other measure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as the case may be, in the future, or eliminate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1" w:lineRule="exact"/>
        <w:rPr>
          <w:sz w:val="20"/>
          <w:szCs w:val="20"/>
          <w:color w:val="auto"/>
        </w:rPr>
      </w:pPr>
    </w:p>
    <w:p>
      <w:pPr>
        <w:ind w:right="440" w:firstLine="1305"/>
        <w:spacing w:after="0" w:line="264" w:lineRule="auto"/>
        <w:tabs>
          <w:tab w:leader="none" w:pos="1952"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Loan Parties’ obligations and all of the Lenders’ and Administrative Agent’s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any assignment of rights by (or the replacement of) a Lender and resignation of the Administrative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 TO CREDIT EXTENSIONS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xml:space="preserve">. The effectiveness of this Agreement and the obligation of each Lender to make its initial Credit Extension hereunder is subject to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following conditions precedent, in addition to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81" w:lineRule="exact"/>
        <w:rPr>
          <w:sz w:val="20"/>
          <w:szCs w:val="20"/>
          <w:color w:val="auto"/>
        </w:rPr>
      </w:pPr>
    </w:p>
    <w:p>
      <w:pPr>
        <w:ind w:right="60" w:firstLine="1305"/>
        <w:spacing w:after="0" w:line="277" w:lineRule="auto"/>
        <w:tabs>
          <w:tab w:leader="none" w:pos="19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Since the Effective Date (for this clause (a), as defined in the Acquisition Agreement as in effect on the Signing Date), no Material Adverse Effect (as defined in the Acquisition Agreement as in effect on the Signing Date) has occurred.</w:t>
      </w:r>
    </w:p>
    <w:p>
      <w:pPr>
        <w:spacing w:after="0" w:line="170" w:lineRule="exact"/>
        <w:rPr>
          <w:rFonts w:ascii="Arial" w:cs="Arial" w:eastAsia="Arial" w:hAnsi="Arial"/>
          <w:sz w:val="18"/>
          <w:szCs w:val="18"/>
          <w:color w:val="auto"/>
        </w:rPr>
      </w:pPr>
    </w:p>
    <w:p>
      <w:pPr>
        <w:ind w:right="20" w:firstLine="1305"/>
        <w:spacing w:after="0" w:line="284" w:lineRule="auto"/>
        <w:tabs>
          <w:tab w:leader="none" w:pos="195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Acquisition shall have been consummated, or shall be consummated substantially simultaneously with the effectiveness of this Agreement, in all material respects in accordance with the terms of the Acquisition Agreement, after giving effect to any modifications, amendments, supplements, consents, waivers or requests, other than those modifications, amendments, supplements, consents, waivers or requests (including the effects of any such requests) of the Acquisition Agreement or the CIA by the Buyer that are materially adverse to the interests of the Lenders (it being understood that any modification, amendment, supplement, consent, waiver or request by the Buyer to the definition of Material Adverse Effect or the “Xerox” protections of the Lenders set forth in Section G.5(g), Section G.5(h)(iii)-(v), the second sentence of Section M.8, the exception to Section M.9, Section M.12,</w:t>
      </w:r>
    </w:p>
    <w:p>
      <w:pPr>
        <w:spacing w:after="0" w:line="4"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Section M.13(d), Section M.14 and Section M.15 of the CIA shall be deemed to be materially adverse to the interests of the Lenders), unless consented to in writing by the Arrangers (such consent not to be unreasonably withheld or delayed).</w:t>
      </w:r>
    </w:p>
    <w:p>
      <w:pPr>
        <w:spacing w:after="0" w:line="183" w:lineRule="exact"/>
        <w:rPr>
          <w:rFonts w:ascii="Arial" w:cs="Arial" w:eastAsia="Arial" w:hAnsi="Arial"/>
          <w:sz w:val="16"/>
          <w:szCs w:val="16"/>
          <w:color w:val="auto"/>
        </w:rPr>
      </w:pPr>
    </w:p>
    <w:p>
      <w:pPr>
        <w:ind w:right="80" w:firstLine="1305"/>
        <w:spacing w:after="0" w:line="257"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Arrangers shall have received (i) audited consolidated balance sheets of Yield Inc and its subsidiaries as at the end of, and related consolidated statement of income, statement of members’ equity and statement of cash flows of Yield Inc and its Subsidiaries for, the fiscal years ended December 31, 2015 and December 31, 2016, and December 31, 2017 and (ii) an unaudited consolidated balance sheet of Yield Inc and its subsidiaries as at the end of the most recent fiscal quarter (other than the fourth fiscal quarter of any fiscal year) that has been completed prior to the Acquisition Closing Date and that has ended at least 45 days before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Acquisition Closing Date, and the related consolidated statement of income, statement of members’ equity and statement of cash flows of for the most recent three, six or nine month, as applicable, period (other than the fourth fiscal quarter period of any fiscal year) that has been completed prior to the Acquisition Closing Date and that has ended at least 45 days before the Acquisition Closing Date (in the case of this clause (ii), without the requirement to include footnote disclosure) (it being understood and agreed that the audited financial statements referred to in clause (a) above for the fiscal years ended, December 31, 2015, December 31, 2016 and December 31, 2017 and of the unaudited financial statements referred to in clause (b) above as of, and, for the six month period ended June 30, 2018 have been delivered to the Arrangers prior to the date hereof).</w:t>
      </w:r>
    </w:p>
    <w:p>
      <w:pPr>
        <w:spacing w:after="0" w:line="178" w:lineRule="exact"/>
        <w:rPr>
          <w:sz w:val="20"/>
          <w:szCs w:val="20"/>
          <w:color w:val="auto"/>
        </w:rPr>
      </w:pPr>
    </w:p>
    <w:p>
      <w:pPr>
        <w:ind w:firstLine="1305"/>
        <w:spacing w:after="0" w:line="272" w:lineRule="auto"/>
        <w:tabs>
          <w:tab w:leader="none" w:pos="195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Specified Acquisition Agreement Representations shall be true and correct in all material respects (where not already qualified by materiality, otherwise in all respects), but only to the extent that the Sponsor has the right (taking into account any applicable cure provisions) to terminate its obligations under the Acquisition Agreement or to decline to consummate the Acquisition as a result of a breach of such representations and warranties in the Acquisition Agreement, and the Specified Representations shall be true and correct in all material respects (where not already qualified by materiality, otherwise in all respects). In the case of any Specified Acquisition Agreement Representations or Specified Representation which expressly relates to a given date or period, such representation and warranty shall be true and correct in all material respects (where not already qualified by materiality, otherwise in all respects) as of such respective date or respective period, as the case may be.</w:t>
      </w:r>
    </w:p>
    <w:p>
      <w:pPr>
        <w:spacing w:after="0" w:line="177" w:lineRule="exact"/>
        <w:rPr>
          <w:rFonts w:ascii="Arial" w:cs="Arial" w:eastAsia="Arial" w:hAnsi="Arial"/>
          <w:sz w:val="17"/>
          <w:szCs w:val="17"/>
          <w:color w:val="auto"/>
        </w:rPr>
      </w:pPr>
    </w:p>
    <w:p>
      <w:pPr>
        <w:ind w:right="80" w:firstLine="1305"/>
        <w:spacing w:after="0" w:line="342" w:lineRule="auto"/>
        <w:tabs>
          <w:tab w:leader="none" w:pos="195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w:t>
      </w:r>
    </w:p>
    <w:p>
      <w:pPr>
        <w:sectPr>
          <w:pgSz w:w="11900" w:h="16838" w:orient="portrait"/>
          <w:cols w:equalWidth="0" w:num="1">
            <w:col w:w="11420"/>
          </w:cols>
          <w:pgMar w:left="240" w:top="125" w:right="239" w:bottom="0" w:gutter="0" w:footer="0" w:header="0"/>
        </w:sectPr>
      </w:pPr>
    </w:p>
    <w:bookmarkStart w:id="127" w:name="page128"/>
    <w:bookmarkEnd w:id="127"/>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Loan Party, each dated the Effective Date (or, in the case of certificates of governmental officials, a recent date before the Effective Date) and each in form and substance reasonably satisfactory to the Administrative Agent and each of the Lenders:</w:t>
      </w:r>
    </w:p>
    <w:p>
      <w:pPr>
        <w:spacing w:after="0" w:line="170" w:lineRule="exact"/>
        <w:rPr>
          <w:sz w:val="20"/>
          <w:szCs w:val="20"/>
          <w:color w:val="auto"/>
        </w:rPr>
      </w:pPr>
    </w:p>
    <w:p>
      <w:pPr>
        <w:ind w:left="2700" w:hanging="666"/>
        <w:spacing w:after="0"/>
        <w:tabs>
          <w:tab w:leader="none" w:pos="2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25" w:lineRule="exact"/>
        <w:rPr>
          <w:rFonts w:ascii="Arial" w:cs="Arial" w:eastAsia="Arial" w:hAnsi="Arial"/>
          <w:sz w:val="18"/>
          <w:szCs w:val="18"/>
          <w:color w:val="auto"/>
        </w:rPr>
      </w:pPr>
    </w:p>
    <w:p>
      <w:pPr>
        <w:ind w:left="2720" w:hanging="686"/>
        <w:spacing w:after="0"/>
        <w:tabs>
          <w:tab w:leader="none" w:pos="2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740" w:right="80" w:firstLine="1294"/>
        <w:spacing w:after="0" w:line="272" w:lineRule="auto"/>
        <w:tabs>
          <w:tab w:leader="none" w:pos="272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 a certificate of the secretary or assistant secretary of each Loan Party dated the Effective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as of a recent date, from such Secretary of State, (II) that attached thereto is a true and complete copy of resolutions duly authorizing the execution, delivery and performance 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right="140" w:firstLine="1294"/>
        <w:spacing w:after="0" w:line="277" w:lineRule="auto"/>
        <w:tabs>
          <w:tab w:leader="none" w:pos="2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favorable opinion of Baker Botts L.L.P., counsel to the Loan Parties, addressed to the Administrative Agent and each Lender, in form and substance reasonably satisfactory to the Administrative Agent;</w:t>
      </w:r>
    </w:p>
    <w:p>
      <w:pPr>
        <w:spacing w:after="0" w:line="170" w:lineRule="exact"/>
        <w:rPr>
          <w:rFonts w:ascii="Arial" w:cs="Arial" w:eastAsia="Arial" w:hAnsi="Arial"/>
          <w:sz w:val="18"/>
          <w:szCs w:val="18"/>
          <w:color w:val="auto"/>
        </w:rPr>
      </w:pPr>
    </w:p>
    <w:p>
      <w:pPr>
        <w:ind w:left="2680" w:hanging="646"/>
        <w:spacing w:after="0"/>
        <w:tabs>
          <w:tab w:leader="none" w:pos="2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the conditions specified in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Section 4.01(d) (with respect to the Specified Representations only)</w:t>
      </w:r>
      <w:r>
        <w:rPr>
          <w:rFonts w:ascii="Arial" w:cs="Arial" w:eastAsia="Arial" w:hAnsi="Arial"/>
          <w:sz w:val="18"/>
          <w:szCs w:val="18"/>
          <w:color w:val="auto"/>
        </w:rPr>
        <w:t xml:space="preserve"> have been satisfied; and</w:t>
      </w:r>
    </w:p>
    <w:p>
      <w:pPr>
        <w:spacing w:after="0" w:line="211" w:lineRule="exact"/>
        <w:rPr>
          <w:sz w:val="20"/>
          <w:szCs w:val="20"/>
          <w:color w:val="auto"/>
        </w:rPr>
      </w:pPr>
    </w:p>
    <w:p>
      <w:pPr>
        <w:ind w:left="740" w:right="20" w:firstLine="1294"/>
        <w:spacing w:after="0" w:line="277" w:lineRule="auto"/>
        <w:tabs>
          <w:tab w:leader="none" w:pos="270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certificates attesting to the Solvency of the Loan Parties, taken as a whole after giving effect to the Acquisition, from the chief financial officer of Holdings.</w:t>
      </w:r>
    </w:p>
    <w:p>
      <w:pPr>
        <w:spacing w:after="0" w:line="170" w:lineRule="exact"/>
        <w:rPr>
          <w:rFonts w:ascii="Arial" w:cs="Arial" w:eastAsia="Arial" w:hAnsi="Arial"/>
          <w:sz w:val="18"/>
          <w:szCs w:val="18"/>
          <w:color w:val="auto"/>
        </w:rPr>
      </w:pPr>
    </w:p>
    <w:p>
      <w:pPr>
        <w:ind w:right="100" w:firstLine="1305"/>
        <w:spacing w:after="0" w:line="308" w:lineRule="auto"/>
        <w:tabs>
          <w:tab w:leader="none" w:pos="194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 All fees required to be paid to the Administrative Agent and the Arrangers on or before the Effective Date shall have been paid and (ii) all fees required to be paid to the Lenders on or before the Effective Date, including pursuant to the Fee Letter, shall have been paid.</w:t>
      </w:r>
    </w:p>
    <w:p>
      <w:pPr>
        <w:spacing w:after="0" w:line="146" w:lineRule="exact"/>
        <w:rPr>
          <w:rFonts w:ascii="Arial" w:cs="Arial" w:eastAsia="Arial" w:hAnsi="Arial"/>
          <w:sz w:val="17"/>
          <w:szCs w:val="17"/>
          <w:color w:val="auto"/>
        </w:rPr>
      </w:pPr>
    </w:p>
    <w:p>
      <w:pPr>
        <w:ind w:right="300" w:firstLine="1305"/>
        <w:spacing w:after="0" w:line="277" w:lineRule="auto"/>
        <w:tabs>
          <w:tab w:leader="none" w:pos="19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have paid all reasonable and documented fees, charges and disbursements of counsel to the Administrative Agent directly to such counsel to the extent invoiced within two Business Days prior to the Effective Date.</w:t>
      </w:r>
    </w:p>
    <w:p>
      <w:pPr>
        <w:spacing w:after="0" w:line="170" w:lineRule="exact"/>
        <w:rPr>
          <w:rFonts w:ascii="Arial" w:cs="Arial" w:eastAsia="Arial" w:hAnsi="Arial"/>
          <w:sz w:val="18"/>
          <w:szCs w:val="18"/>
          <w:color w:val="auto"/>
        </w:rPr>
      </w:pPr>
    </w:p>
    <w:p>
      <w:pPr>
        <w:ind w:firstLine="1305"/>
        <w:spacing w:after="0" w:line="276" w:lineRule="auto"/>
        <w:tabs>
          <w:tab w:leader="none" w:pos="195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At least three (3) Business Days prior to the Effective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if the Borrower qualifies as a “legal entity customer” under the Beneficial Ownership Regulation, a Beneficial Ownership Certification in relation to the Borrower, that has been requested at least ten (10) days prior to the Effective Date.</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Without limiting the generality of the provisions of clause (f)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 The obligation of each Lender to honor any Committed Loan Notice (other than a Committed Loan Notice requesting only a conversion of Loans to the other Type, or a continuation of Eurodollar Rate Loans) is subject to the receipt by the Administrative Agent of a Committed Loan Notice in accordance with the requirements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Loan Parties represents and warrants to the Administrative Agent and the Lenders that: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NRG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9"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The execution, delivery and performance by each Loan Party of each Loan Document to which such Person is or is to be a party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w:t>
      </w:r>
    </w:p>
    <w:p>
      <w:pPr>
        <w:spacing w:after="0" w:line="2" w:lineRule="exact"/>
        <w:rPr>
          <w:sz w:val="20"/>
          <w:szCs w:val="20"/>
          <w:color w:val="auto"/>
        </w:rPr>
      </w:pPr>
    </w:p>
    <w:p>
      <w:pPr>
        <w:ind w:right="140" w:firstLine="8"/>
        <w:spacing w:after="0" w:line="261" w:lineRule="auto"/>
        <w:tabs>
          <w:tab w:leader="none" w:pos="3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result in the creation or imposition of any Lien upon or with respect to any property or assets now owned or hereafter acquired by such Person or any of its Subsidiaries, or (iv) violate any material Law.</w:t>
      </w:r>
    </w:p>
    <w:p>
      <w:pPr>
        <w:spacing w:after="0" w:line="18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No approval, consent, exemption, authorization, or other action by, or notice to, or filing with, any Governmental Authority or any other Person is necessary or required in connection with (a) the execution, delivery or performance by, or enforcement</w:t>
      </w:r>
    </w:p>
    <w:p>
      <w:pPr>
        <w:sectPr>
          <w:pgSz w:w="11900" w:h="16975" w:orient="portrait"/>
          <w:cols w:equalWidth="0" w:num="1">
            <w:col w:w="11400"/>
          </w:cols>
          <w:pgMar w:left="240" w:top="125" w:right="259" w:bottom="0" w:gutter="0" w:footer="0" w:header="0"/>
        </w:sectPr>
      </w:pPr>
    </w:p>
    <w:bookmarkStart w:id="128" w:name="page129"/>
    <w:bookmarkEnd w:id="128"/>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against, any Loan Party of this Agreement or any other Loan Document or for the consummation of the NRG Transaction or (b) the exercise by the Administrative Agent or any Lender of its rights under the Loan Documents, except for (i) the authorizations, approvals, actions, notices and filings listed on Schedule 5.03, which will be sought, (ii) any immaterial actions, consents, approvals, registrations or filings, and (iii) approvals, consents, exemptions, authorizations, or other actions by, or notices to, or filings with, FERC or state regulatory authorities under the FPA or state laws respecting the rates of, or the financial or organizational regulation of, public utilities that may be required in connection with the exercise of certain remedies allowed under the Loan Documents.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or thereof may be limited by (a) 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181" w:lineRule="exact"/>
        <w:rPr>
          <w:sz w:val="20"/>
          <w:szCs w:val="20"/>
          <w:color w:val="auto"/>
        </w:rPr>
      </w:pPr>
    </w:p>
    <w:p>
      <w:pPr>
        <w:jc w:val="both"/>
        <w:ind w:right="280" w:firstLine="648"/>
        <w:spacing w:after="0" w:line="279"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(a) The Audited Financial Statements (i) were prepared in accordance with GAAP consistently applied throughout the period covered thereby, except as otherwise expressly noted therein; and (ii) fairly present, in all material respects, the financial condition of Yield Inc. and its Subsidiaries as of the date thereof and their results of operations for the period covered thereby in accordance with GAAP consistently applied throughout the period covered thereby, except as otherwise expressly noted therein.</w:t>
      </w:r>
    </w:p>
    <w:p>
      <w:pPr>
        <w:spacing w:after="0" w:line="171" w:lineRule="exact"/>
        <w:rPr>
          <w:sz w:val="20"/>
          <w:szCs w:val="20"/>
          <w:color w:val="auto"/>
        </w:rPr>
      </w:pPr>
    </w:p>
    <w:p>
      <w:pPr>
        <w:ind w:right="40" w:firstLine="1305"/>
        <w:spacing w:after="0" w:line="276" w:lineRule="auto"/>
        <w:tabs>
          <w:tab w:leader="none" w:pos="195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unaudited consolidated balance sheets of Yield Inc. and its Subsidiaries as of June 30, 2018,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Yield Inc. and its Subsidiaries as of the date thereof and their results of operations for the period covered thereby, subject, in the case of clauses (i) and (ii), to the absence of footnotes and to normal year-end audit adjustments.</w:t>
      </w:r>
    </w:p>
    <w:p>
      <w:pPr>
        <w:spacing w:after="0" w:line="172" w:lineRule="exact"/>
        <w:rPr>
          <w:rFonts w:ascii="Arial" w:cs="Arial" w:eastAsia="Arial" w:hAnsi="Arial"/>
          <w:sz w:val="17"/>
          <w:szCs w:val="17"/>
          <w:color w:val="auto"/>
        </w:rPr>
      </w:pPr>
    </w:p>
    <w:p>
      <w:pPr>
        <w:ind w:right="760" w:firstLine="1305"/>
        <w:spacing w:after="0" w:line="277" w:lineRule="auto"/>
        <w:tabs>
          <w:tab w:leader="none" w:pos="19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NRG Transaction or</w:t>
      </w:r>
    </w:p>
    <w:p>
      <w:pPr>
        <w:ind w:right="160" w:firstLine="8"/>
        <w:spacing w:after="0" w:line="255"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or in SEC filings made prior to the Effective Date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either individually or in the aggregate, if there is a reasonable possibility of an adverse determination and if determined adversely, could reasonably be expected to have a Material Adverse Effect.</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has occurred and is continuing or would result from the consummation of the NRG Transaction.</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ind w:right="940" w:firstLine="1305"/>
        <w:spacing w:after="0" w:line="277" w:lineRule="auto"/>
        <w:tabs>
          <w:tab w:leader="none" w:pos="194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Loan Party and their respective Subsidiaries is in compliance in all material respects with the requirements of all Environmental Laws and all orders, writs,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6" w:lineRule="exact"/>
        <w:rPr>
          <w:sz w:val="20"/>
          <w:szCs w:val="20"/>
          <w:color w:val="auto"/>
        </w:rPr>
      </w:pPr>
    </w:p>
    <w:p>
      <w:pPr>
        <w:ind w:right="80" w:firstLine="1305"/>
        <w:spacing w:after="0" w:line="259" w:lineRule="auto"/>
        <w:tabs>
          <w:tab w:leader="none" w:pos="195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86" w:lineRule="exact"/>
        <w:rPr>
          <w:rFonts w:ascii="Arial" w:cs="Arial" w:eastAsia="Arial" w:hAnsi="Arial"/>
          <w:sz w:val="18"/>
          <w:szCs w:val="18"/>
          <w:color w:val="auto"/>
        </w:rPr>
      </w:pPr>
    </w:p>
    <w:p>
      <w:pPr>
        <w:ind w:right="100" w:firstLine="1305"/>
        <w:spacing w:after="0" w:line="285" w:lineRule="auto"/>
        <w:tabs>
          <w:tab w:leader="none" w:pos="1955"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w:t>
      </w:r>
    </w:p>
    <w:p>
      <w:pPr>
        <w:spacing w:after="0" w:line="2" w:lineRule="exact"/>
        <w:rPr>
          <w:rFonts w:ascii="Arial" w:cs="Arial" w:eastAsia="Arial" w:hAnsi="Arial"/>
          <w:sz w:val="16"/>
          <w:szCs w:val="16"/>
          <w:color w:val="auto"/>
        </w:rPr>
      </w:pPr>
    </w:p>
    <w:p>
      <w:pPr>
        <w:ind w:right="40" w:firstLine="8"/>
        <w:spacing w:after="0" w:line="254" w:lineRule="auto"/>
        <w:tabs>
          <w:tab w:leader="none" w:pos="3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189" w:lineRule="exact"/>
        <w:rPr>
          <w:rFonts w:ascii="Arial" w:cs="Arial" w:eastAsia="Arial" w:hAnsi="Arial"/>
          <w:sz w:val="18"/>
          <w:szCs w:val="18"/>
          <w:color w:val="auto"/>
        </w:rPr>
      </w:pPr>
    </w:p>
    <w:p>
      <w:pPr>
        <w:ind w:right="40" w:firstLine="1305"/>
        <w:spacing w:after="0" w:line="342" w:lineRule="auto"/>
        <w:tabs>
          <w:tab w:leader="none" w:pos="195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w:t>
      </w:r>
    </w:p>
    <w:p>
      <w:pPr>
        <w:sectPr>
          <w:pgSz w:w="11900" w:h="16975" w:orient="portrait"/>
          <w:cols w:equalWidth="0" w:num="1">
            <w:col w:w="11400"/>
          </w:cols>
          <w:pgMar w:left="240" w:top="125" w:right="259" w:bottom="0" w:gutter="0" w:footer="0" w:header="0"/>
        </w:sectPr>
      </w:pPr>
    </w:p>
    <w:bookmarkStart w:id="129" w:name="page130"/>
    <w:bookmarkEnd w:id="129"/>
    <w:p>
      <w:pPr>
        <w:ind w:right="20"/>
        <w:spacing w:after="0" w:line="276" w:lineRule="auto"/>
        <w:rPr>
          <w:sz w:val="20"/>
          <w:szCs w:val="20"/>
          <w:color w:val="auto"/>
        </w:rPr>
      </w:pPr>
      <w:r>
        <w:rPr>
          <w:rFonts w:ascii="Arial" w:cs="Arial" w:eastAsia="Arial" w:hAnsi="Arial"/>
          <w:sz w:val="17"/>
          <w:szCs w:val="17"/>
          <w:color w:val="auto"/>
        </w:rPr>
        <w:t>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73" w:lineRule="exact"/>
        <w:rPr>
          <w:sz w:val="20"/>
          <w:szCs w:val="20"/>
          <w:color w:val="auto"/>
        </w:rPr>
      </w:pPr>
    </w:p>
    <w:p>
      <w:pPr>
        <w:jc w:val="both"/>
        <w:ind w:firstLine="1305"/>
        <w:spacing w:after="0" w:line="279" w:lineRule="auto"/>
        <w:tabs>
          <w:tab w:leader="none" w:pos="195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Notwithstanding anything set forth in this Agreement or any other Loan Document to the contrary, the representations and warranties set forth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are the sole representations and warranties in any Loan Document with respect to environmental matters, including those relating to Environmental Laws or Hazardous Materials.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Insurance</w:t>
      </w:r>
      <w:r>
        <w:rPr>
          <w:rFonts w:ascii="Arial" w:cs="Arial" w:eastAsia="Arial" w:hAnsi="Arial"/>
          <w:sz w:val="17"/>
          <w:szCs w:val="17"/>
          <w:color w:val="auto"/>
        </w:rPr>
        <w:t>.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either individually or in the aggregate,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ERISA Compliance</w:t>
      </w:r>
      <w:r>
        <w:rPr>
          <w:rFonts w:ascii="Arial" w:cs="Arial" w:eastAsia="Arial" w:hAnsi="Arial"/>
          <w:sz w:val="17"/>
          <w:szCs w:val="17"/>
          <w:color w:val="auto"/>
        </w:rPr>
        <w:t>. (a)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 such qualification; and (iii) the Borrower and each ERISA Affiliate have made all required contributions to each Plan subject to Section 412 of the Code.</w:t>
      </w:r>
    </w:p>
    <w:p>
      <w:pPr>
        <w:spacing w:after="0" w:line="173" w:lineRule="exact"/>
        <w:rPr>
          <w:sz w:val="20"/>
          <w:szCs w:val="20"/>
          <w:color w:val="auto"/>
        </w:rPr>
      </w:pPr>
    </w:p>
    <w:p>
      <w:pPr>
        <w:ind w:right="80" w:firstLine="1305"/>
        <w:spacing w:after="0" w:line="312" w:lineRule="auto"/>
        <w:tabs>
          <w:tab w:leader="none" w:pos="195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46" w:lineRule="exact"/>
        <w:rPr>
          <w:rFonts w:ascii="Arial" w:cs="Arial" w:eastAsia="Arial" w:hAnsi="Arial"/>
          <w:sz w:val="16"/>
          <w:szCs w:val="16"/>
          <w:color w:val="auto"/>
        </w:rPr>
      </w:pPr>
    </w:p>
    <w:p>
      <w:pPr>
        <w:ind w:right="100" w:firstLine="1305"/>
        <w:spacing w:after="0" w:line="297" w:lineRule="auto"/>
        <w:tabs>
          <w:tab w:leader="none" w:pos="195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Affiliate has engaged in a transaction that could reasonably be expected to be subject to Section 4069 or 4212(c) of ERISA.</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Subsidiaries; Equity Interests; Loan Parties; Project Subsidiaries</w:t>
      </w:r>
      <w:r>
        <w:rPr>
          <w:rFonts w:ascii="Arial" w:cs="Arial" w:eastAsia="Arial" w:hAnsi="Arial"/>
          <w:sz w:val="16"/>
          <w:szCs w:val="16"/>
          <w:color w:val="auto"/>
        </w:rPr>
        <w:t xml:space="preserve">. As of the Effective Date, no Loan Party has any Subsidiaries other than those specifically disclosed in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free and clear of all Liens except Permitted Liens and Liens for taxes not yet due or which are being contested in good faith and by appropriate proceedings diligently conducted, if adequate reserves with respect thereto are maintained on the books of the applicable Person in accordance with GAAP. As of the Effective Date, no Loan Party has any equity investments in any other Person other than those specifically disclosed in Part (b) of </w:t>
      </w:r>
      <w:r>
        <w:rPr>
          <w:rFonts w:ascii="Arial" w:cs="Arial" w:eastAsia="Arial" w:hAnsi="Arial"/>
          <w:sz w:val="16"/>
          <w:szCs w:val="16"/>
          <w:u w:val="single" w:color="auto"/>
          <w:color w:val="auto"/>
        </w:rPr>
        <w:t>Schedule 5.13</w:t>
      </w:r>
      <w:r>
        <w:rPr>
          <w:rFonts w:ascii="Arial" w:cs="Arial" w:eastAsia="Arial" w:hAnsi="Arial"/>
          <w:sz w:val="16"/>
          <w:szCs w:val="16"/>
          <w:color w:val="auto"/>
        </w:rPr>
        <w:t>. All of the outstanding Equity Interests in the Borrower have been validly issued, are fully paid and are owned by Holdings in the amounts specified on</w:t>
      </w:r>
    </w:p>
    <w:p>
      <w:pPr>
        <w:spacing w:after="0" w:line="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(other than Permitted Liens and Liens for taxes not yet due or which are being contested in good faith and by appropriate proceedings diligently conducted, if adequate reserves with respect thereto are maintained on the books of the applicable Person in accordance with GAAP). Set forth on Part (d)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Effective Date its jurisdiction of its incorporation, the address of its principal place of business and its U.S. taxpayer identification number. Set forth on Part (e)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Project Subsidiary as of the Effective Date. Set forth on Part (f)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Company Group Party that is not a Loan Party as of the Effective Date.</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Margin Regulations; Investment Company Act</w:t>
      </w:r>
      <w:r>
        <w:rPr>
          <w:rFonts w:ascii="Arial" w:cs="Arial" w:eastAsia="Arial" w:hAnsi="Arial"/>
          <w:sz w:val="17"/>
          <w:szCs w:val="17"/>
          <w:color w:val="auto"/>
        </w:rPr>
        <w:t>. (a) None of the Loan Parties is engaged and will not engage, principally or as one of its important activities, in the business of purchasing or carrying margin stock (within the meaning of Regulation U issued by the FRB), or extending credit for the purpose of purchasing or carrying margin stock. 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73" w:lineRule="exact"/>
        <w:rPr>
          <w:sz w:val="20"/>
          <w:szCs w:val="20"/>
          <w:color w:val="auto"/>
        </w:rPr>
      </w:pPr>
    </w:p>
    <w:p>
      <w:pPr>
        <w:ind w:right="280" w:firstLine="1305"/>
        <w:spacing w:after="0" w:line="277" w:lineRule="auto"/>
        <w:tabs>
          <w:tab w:leader="none" w:pos="19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None of the Loan Parties, or any of the Loan Parties’ Subsidiaries is or is required to be registered as an “investment company” under the Investment Company Act of 1940.</w:t>
      </w:r>
    </w:p>
    <w:p>
      <w:pPr>
        <w:sectPr>
          <w:pgSz w:w="11900" w:h="16838" w:orient="portrait"/>
          <w:cols w:equalWidth="0" w:num="1">
            <w:col w:w="11420"/>
          </w:cols>
          <w:pgMar w:left="240" w:top="125" w:right="239" w:bottom="0" w:gutter="0" w:footer="0" w:header="0"/>
        </w:sectPr>
      </w:pPr>
    </w:p>
    <w:bookmarkStart w:id="130" w:name="page131"/>
    <w:bookmarkEnd w:id="130"/>
    <w:p>
      <w:pPr>
        <w:spacing w:after="0" w:line="1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this Agreement nor any other document, certificate or written statement, in each case concerning any Loan Party or any Subsidiary thereof (expressly excluding projections and other forward-looking statements and, to the extent not prepared by the Borrower or its Subsidiaries, general market data and information of a general economic or industry specific nature), furnished to the Administrative Agent by or on behalf of any Loan Party in connection herewith contains, as of the date prepared and taken as a whole, any untrue statement of a material fact or omits to state any material fact necessary in order to make the statements contained herein and therein not materially misleading, in light of the circumstances under which they were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such other document, certificate or statement constitutes a forecast or projection, the Loan Parties represent only that they acted 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good faith and utilized assumptions believed by them to be reasonable at the time made and furnished (it being understood that forecasts and projections are subject to significant contingencies and assumptions, many of which are beyond the control of the Loan Parties and their respective Subsidiaries, and that no assurance can be given that the projections or forecasts will be realized).</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Energy Regulatory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the Generation Portfolio Companies meets the requirements for, and has been determined by FERC to be, either an “Exempt Wholesale Generator” within the meaning of PUHCA or its generating facility meets the requirement of a Qualifying Facility under PURPA. The Loan Parties, the Company Group Parties and the Generation Portfolio Companies are not subject to or are exempt from regulation under PUHCA (other than, with respect to the Generation Portfolio Companies, maintaining status as a Qualifying Facility under PURPA or an Exempt Wholesale Generator within the meaning of PUHCA).</w:t>
      </w:r>
    </w:p>
    <w:p>
      <w:pPr>
        <w:spacing w:after="0" w:line="188" w:lineRule="exact"/>
        <w:rPr>
          <w:rFonts w:ascii="Arial" w:cs="Arial" w:eastAsia="Arial" w:hAnsi="Arial"/>
          <w:sz w:val="18"/>
          <w:szCs w:val="18"/>
          <w:color w:val="auto"/>
        </w:rPr>
      </w:pPr>
    </w:p>
    <w:p>
      <w:pPr>
        <w:ind w:right="60" w:firstLine="1305"/>
        <w:spacing w:after="0" w:line="287" w:lineRule="auto"/>
        <w:tabs>
          <w:tab w:leader="none" w:pos="195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of (i) the Generation Portfolio Companies that are a “public utility” within the meaning of the FPA and not otherwise exempt from regulation under Sections 205 and 206 of the FPA (“</w:t>
      </w:r>
      <w:r>
        <w:rPr>
          <w:rFonts w:ascii="Arial" w:cs="Arial" w:eastAsia="Arial" w:hAnsi="Arial"/>
          <w:sz w:val="16"/>
          <w:szCs w:val="16"/>
          <w:u w:val="single" w:color="auto"/>
          <w:color w:val="auto"/>
        </w:rPr>
        <w:t>FPA-Jurisdictional Generation Portfolio Companies</w:t>
      </w:r>
      <w:r>
        <w:rPr>
          <w:rFonts w:ascii="Arial" w:cs="Arial" w:eastAsia="Arial" w:hAnsi="Arial"/>
          <w:sz w:val="16"/>
          <w:szCs w:val="16"/>
          <w:color w:val="auto"/>
        </w:rPr>
        <w:t>”)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“FPA MBR Authorizations, Exemptions and Waivers”). As of the Effective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172" w:lineRule="exact"/>
        <w:rPr>
          <w:rFonts w:ascii="Arial" w:cs="Arial" w:eastAsia="Arial" w:hAnsi="Arial"/>
          <w:sz w:val="16"/>
          <w:szCs w:val="16"/>
          <w:color w:val="auto"/>
        </w:rPr>
      </w:pPr>
    </w:p>
    <w:p>
      <w:pPr>
        <w:ind w:right="480" w:firstLine="1305"/>
        <w:spacing w:after="0" w:line="312" w:lineRule="auto"/>
        <w:tabs>
          <w:tab w:leader="none" w:pos="195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of the Generation Portfolio Companies that are not a FPA-Jurisdictional Generation Portfolio Company (“</w:t>
      </w:r>
      <w:r>
        <w:rPr>
          <w:rFonts w:ascii="Arial" w:cs="Arial" w:eastAsia="Arial" w:hAnsi="Arial"/>
          <w:sz w:val="16"/>
          <w:szCs w:val="16"/>
          <w:u w:val="single" w:color="auto"/>
          <w:color w:val="auto"/>
        </w:rPr>
        <w:t>Non-FPA-Jurisdictional Generation Portfolio Companies</w:t>
      </w:r>
      <w:r>
        <w:rPr>
          <w:rFonts w:ascii="Arial" w:cs="Arial" w:eastAsia="Arial" w:hAnsi="Arial"/>
          <w:sz w:val="16"/>
          <w:szCs w:val="16"/>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16"/>
          <w:szCs w:val="16"/>
          <w:u w:val="single" w:color="auto"/>
          <w:color w:val="auto"/>
        </w:rPr>
        <w:t>Non-FPA Sales Authorizations</w:t>
      </w:r>
      <w:r>
        <w:rPr>
          <w:rFonts w:ascii="Arial" w:cs="Arial" w:eastAsia="Arial" w:hAnsi="Arial"/>
          <w:sz w:val="16"/>
          <w:szCs w:val="16"/>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Thermal Utilities are subject to state public utility commission regulation with respect to rates or financial organization.</w:t>
      </w:r>
    </w:p>
    <w:p>
      <w:pPr>
        <w:spacing w:after="0" w:line="236" w:lineRule="exact"/>
        <w:rPr>
          <w:rFonts w:ascii="Arial" w:cs="Arial" w:eastAsia="Arial" w:hAnsi="Arial"/>
          <w:sz w:val="17"/>
          <w:szCs w:val="17"/>
          <w:color w:val="auto"/>
        </w:rPr>
      </w:pPr>
    </w:p>
    <w:p>
      <w:pPr>
        <w:ind w:right="120" w:firstLine="1305"/>
        <w:spacing w:after="0" w:line="255" w:lineRule="auto"/>
        <w:tabs>
          <w:tab w:leader="none" w:pos="19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Loan Party, Company Group Party or Project Subsidiary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93" w:lineRule="exact"/>
        <w:rPr>
          <w:rFonts w:ascii="Arial" w:cs="Arial" w:eastAsia="Arial" w:hAnsi="Arial"/>
          <w:sz w:val="18"/>
          <w:szCs w:val="18"/>
          <w:color w:val="auto"/>
        </w:rPr>
      </w:pPr>
    </w:p>
    <w:p>
      <w:pPr>
        <w:ind w:firstLine="1305"/>
        <w:spacing w:after="0" w:line="272" w:lineRule="auto"/>
        <w:tabs>
          <w:tab w:leader="none" w:pos="194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remedies allowed under the Loan Documents may subject the Administrative Agent, the Lenders and their “affiliates” (as that term is defined in PUHCA) to regulation under the FPA, PUHCA or state laws respecting the rates of, or the financial or organizational regulation of, public utilities.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Loan Parties or any of their respective Subsidiaries is not infringing upon any IP Rights owned by any other Person, except where such infringement could reasonably be expected to have a Material Adverse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As of the Effective Date, the Loan Parties and their Subsidiaries taken as a whole are Solvent.</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Casualty, Etc</w:t>
      </w:r>
      <w:r>
        <w:rPr>
          <w:rFonts w:ascii="Arial" w:cs="Arial" w:eastAsia="Arial" w:hAnsi="Arial"/>
          <w:sz w:val="16"/>
          <w:szCs w:val="16"/>
          <w:color w:val="auto"/>
        </w:rPr>
        <w:t>. Neither the businesses nor the properties of any Loan Party or any of their respective Subsidiaries are affected by any fire, explosion, accident, strike, lockout or other labor dispute, drought, storm, hail, earthquake, embargo, act of God or of the public enemy or other casualty</w:t>
      </w:r>
    </w:p>
    <w:p>
      <w:pPr>
        <w:sectPr>
          <w:pgSz w:w="11900" w:h="16975" w:orient="portrait"/>
          <w:cols w:equalWidth="0" w:num="1">
            <w:col w:w="11420"/>
          </w:cols>
          <w:pgMar w:left="240" w:top="125" w:right="239" w:bottom="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t>(whether or not covered by insurance) that, either individually or in the aggregate, could reasonably be expected to have a Material Adverse Effect.</w:t>
      </w:r>
    </w:p>
    <w:p>
      <w:pPr>
        <w:spacing w:after="0" w:line="237"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Labor Matters</w:t>
      </w:r>
      <w:r>
        <w:rPr>
          <w:rFonts w:ascii="Arial" w:cs="Arial" w:eastAsia="Arial" w:hAnsi="Arial"/>
          <w:sz w:val="16"/>
          <w:szCs w:val="16"/>
          <w:color w:val="auto"/>
        </w:rPr>
        <w:t>.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Borrower has implemented and maintains in effect policies and procedures designed to ensure compliance by the Borrower, its Subsidiaries and their respective directors, officers and employees with Anti-Corruption Laws and applicable Sanctions. The Borrower and its Subsidiaries and, to the knowledge of the Borrower, their respective officers, directors and employees, are not Sanctioned Persons. No Borrowing will be used, directly or, to the knowledge of the Borrower, indirectly, in violation of Anti-Corruption Laws or applicable Sanctions.</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As of the Effective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hereof and set forth on </w:t>
      </w:r>
      <w:r>
        <w:rPr>
          <w:rFonts w:ascii="Arial" w:cs="Arial" w:eastAsia="Arial" w:hAnsi="Arial"/>
          <w:sz w:val="18"/>
          <w:szCs w:val="18"/>
          <w:u w:val="single" w:color="auto"/>
          <w:color w:val="auto"/>
        </w:rPr>
        <w:t>Schedule 5.23</w:t>
      </w:r>
      <w:r>
        <w:rPr>
          <w:rFonts w:ascii="Arial" w:cs="Arial" w:eastAsia="Arial" w:hAnsi="Arial"/>
          <w:sz w:val="18"/>
          <w:szCs w:val="18"/>
          <w:color w:val="auto"/>
        </w:rPr>
        <w:t>.</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PATRIOT Act, Etc.</w:t>
      </w:r>
      <w:r>
        <w:rPr>
          <w:rFonts w:ascii="Arial" w:cs="Arial" w:eastAsia="Arial" w:hAnsi="Arial"/>
          <w:sz w:val="17"/>
          <w:szCs w:val="17"/>
          <w:color w:val="auto"/>
        </w:rPr>
        <w:t xml:space="preserve">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any of the foreign assets control regulations of the United States Treasury Department (31 C.F. R., Subtitle B, Chapter V, as amended), any Sanctions or any other applicable anti-corruption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in each case, other than Contingent Obligations as to which no claim has been made, each of Holdings and the Borrower shall, and shall (except in the case of the covenants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01 and </w:t>
      </w:r>
      <w:r>
        <w:rPr>
          <w:rFonts w:ascii="Arial" w:cs="Arial" w:eastAsia="Arial" w:hAnsi="Arial"/>
          <w:sz w:val="18"/>
          <w:szCs w:val="18"/>
          <w:u w:val="single" w:color="auto"/>
          <w:color w:val="auto"/>
        </w:rPr>
        <w:t>6.02</w:t>
      </w:r>
      <w:r>
        <w:rPr>
          <w:rFonts w:ascii="Arial" w:cs="Arial" w:eastAsia="Arial" w:hAnsi="Arial"/>
          <w:sz w:val="18"/>
          <w:szCs w:val="18"/>
          <w:color w:val="auto"/>
        </w:rPr>
        <w:t>) cause each Company Group Party 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7" w:lineRule="auto"/>
        <w:tabs>
          <w:tab w:leader="none" w:pos="194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Deliver to the Administrative Agent and each Lender, in form reasonably satisfactory to the Administrative Agent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740" w:right="720" w:firstLine="1294"/>
        <w:spacing w:after="0" w:line="277" w:lineRule="auto"/>
        <w:tabs>
          <w:tab w:leader="none" w:pos="270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Borrower were required to file such reports; and;</w:t>
      </w:r>
    </w:p>
    <w:p>
      <w:pPr>
        <w:spacing w:after="0" w:line="170" w:lineRule="exact"/>
        <w:rPr>
          <w:rFonts w:ascii="Arial" w:cs="Arial" w:eastAsia="Arial" w:hAnsi="Arial"/>
          <w:sz w:val="18"/>
          <w:szCs w:val="18"/>
          <w:color w:val="auto"/>
        </w:rPr>
      </w:pPr>
    </w:p>
    <w:p>
      <w:pPr>
        <w:ind w:left="2720" w:hanging="686"/>
        <w:spacing w:after="0"/>
        <w:tabs>
          <w:tab w:leader="none" w:pos="27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Borrower were required to file</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such reports.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4" w:lineRule="auto"/>
        <w:tabs>
          <w:tab w:leader="none" w:pos="19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Borrower’s consolidated financial statements by the Borrower’s independent registered public accounting firm.</w:t>
      </w:r>
    </w:p>
    <w:p>
      <w:pPr>
        <w:spacing w:after="0" w:line="181" w:lineRule="exact"/>
        <w:rPr>
          <w:rFonts w:ascii="Arial" w:cs="Arial" w:eastAsia="Arial" w:hAnsi="Arial"/>
          <w:sz w:val="18"/>
          <w:szCs w:val="18"/>
          <w:color w:val="auto"/>
        </w:rPr>
      </w:pPr>
    </w:p>
    <w:p>
      <w:pPr>
        <w:ind w:right="60" w:firstLine="1305"/>
        <w:spacing w:after="0" w:line="276" w:lineRule="auto"/>
        <w:tabs>
          <w:tab w:leader="none" w:pos="195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If the Borrower is no longer subject to the periodic reporting requirements of the Exchange Act for any reason, the Borrower shall nevertheless continue filing the reports specified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with the SEC within the time periods specified above unless the SEC will not accept such a filing. The Borrower agrees that it will not take any action for the purpose of causing the SEC not to accept any such filings. If, notwithstanding the foregoing, the SEC will not accept the Borrower’s filings for any reason, the Borrower will post the reports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on the website of Yield Inc. within the time periods that would apply if the Borrower were required to file those reports with the SEC.</w:t>
      </w:r>
    </w:p>
    <w:p>
      <w:pPr>
        <w:spacing w:after="0" w:line="172" w:lineRule="exact"/>
        <w:rPr>
          <w:rFonts w:ascii="Arial" w:cs="Arial" w:eastAsia="Arial" w:hAnsi="Arial"/>
          <w:sz w:val="17"/>
          <w:szCs w:val="17"/>
          <w:color w:val="auto"/>
        </w:rPr>
      </w:pPr>
    </w:p>
    <w:p>
      <w:pPr>
        <w:ind w:right="140" w:firstLine="1305"/>
        <w:spacing w:after="0" w:line="286" w:lineRule="auto"/>
        <w:tabs>
          <w:tab w:leader="none" w:pos="195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So long as Holdings continues to own, directly or indirectly, all of the Equity Interests of the Borrower, Holdings may elect to prepare and file and furnish the quarterly, annual and current reports and consolidated financial statements referred to above in respect of Holdings and such reports and consolidated financial statements will be deemed to satisfy the obligations of the Borrower under this reporting covenant.</w:t>
      </w:r>
    </w:p>
    <w:p>
      <w:pPr>
        <w:spacing w:after="0" w:line="166"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Deliver to the Administrative Agent, in form reasonably satisfactory to the Administrative Agent:</w:t>
      </w:r>
    </w:p>
    <w:p>
      <w:pPr>
        <w:spacing w:after="0" w:line="225" w:lineRule="exact"/>
        <w:rPr>
          <w:sz w:val="20"/>
          <w:szCs w:val="20"/>
          <w:color w:val="auto"/>
        </w:rPr>
      </w:pPr>
    </w:p>
    <w:p>
      <w:pPr>
        <w:ind w:firstLine="1305"/>
        <w:spacing w:after="0" w:line="264" w:lineRule="auto"/>
        <w:tabs>
          <w:tab w:leader="none" w:pos="194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(b) (commencing with the delivery of the financial statements for the fiscal quarter ended September 30, 2018), a duly completed Compliance Certificate signed by the chief executive officer, chief financial officer, treasurer or controller of Yield Inc. or Holdings;</w:t>
      </w:r>
    </w:p>
    <w:p>
      <w:pPr>
        <w:spacing w:after="0" w:line="181"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promptly after a Responsible Officer becoming aware thereof, notice of the existence of any Default and the actions the Borrower is taking or proposes to take with respect thereto;</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ectPr>
          <w:pgSz w:w="11900" w:h="16838" w:orient="portrait"/>
          <w:cols w:equalWidth="0" w:num="1">
            <w:col w:w="11400"/>
          </w:cols>
          <w:pgMar w:left="240" w:top="125" w:right="259" w:bottom="0" w:gutter="0" w:footer="0" w:header="0"/>
        </w:sectPr>
      </w:pPr>
    </w:p>
    <w:bookmarkStart w:id="132" w:name="page133"/>
    <w:bookmarkEnd w:id="132"/>
    <w:p>
      <w:pPr>
        <w:spacing w:after="0" w:line="11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Any 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may be delivered electronically (including by having been publicly filed with the SEC) and if so delivered, shall be deemed to have been delivered on the date (i) on which Yield Inc. posts such documents, or provides a link thereto on Yield Inc.’s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materials and/or information provided by or on behalf of the Loan Parties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w:t>
      </w:r>
    </w:p>
    <w:p>
      <w:pPr>
        <w:spacing w:after="0" w:line="3" w:lineRule="exact"/>
        <w:rPr>
          <w:sz w:val="20"/>
          <w:szCs w:val="20"/>
          <w:color w:val="auto"/>
        </w:rPr>
      </w:pPr>
    </w:p>
    <w:p>
      <w:pPr>
        <w:ind w:right="60" w:firstLine="8"/>
        <w:spacing w:after="0" w:line="268" w:lineRule="auto"/>
        <w:tabs>
          <w:tab w:leader="none" w:pos="25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Pay, prior to delinquency, all Taxes, assessments and governmental levies except such as are contested in good faith and by appropriate proceedings or where the failure to effect such payment could not reasonably be expected to result in a Material Adverse Effect.</w:t>
      </w:r>
    </w:p>
    <w:p>
      <w:pPr>
        <w:spacing w:after="0" w:line="12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6.04 </w:t>
      </w: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(a) 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preserve, renew and maintain in full force and effect its legal existence and good standing under the Laws of the jurisdiction of its organization;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Loan Parties shall not be required to preserve the corporate, partnership or other existence of Holdings or any Company Group Party, if (i) the Borrower shall determine that the preservation thereof is no longer desirable in the conduct of the business of the Borrower, Holdings and its Subsidiaries, taken as a whole, and that the loss thereof is not reasonably expected to have a Material Adverse Effect or (ii) if a Company Group Party is to be dissolved, such Company Group Party has no assets; and (b) 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7"/>
          <w:szCs w:val="17"/>
          <w:u w:val="single" w:color="auto"/>
          <w:color w:val="auto"/>
        </w:rPr>
        <w:t>Additional Guarantees</w:t>
      </w:r>
      <w:r>
        <w:rPr>
          <w:rFonts w:ascii="Arial" w:cs="Arial" w:eastAsia="Arial" w:hAnsi="Arial"/>
          <w:sz w:val="17"/>
          <w:szCs w:val="17"/>
          <w:color w:val="auto"/>
        </w:rPr>
        <w:t>. If,</w:t>
      </w:r>
    </w:p>
    <w:p>
      <w:pPr>
        <w:spacing w:after="0" w:line="225" w:lineRule="exact"/>
        <w:rPr>
          <w:sz w:val="20"/>
          <w:szCs w:val="20"/>
          <w:color w:val="auto"/>
        </w:rPr>
      </w:pPr>
    </w:p>
    <w:p>
      <w:pPr>
        <w:ind w:left="460" w:right="340" w:firstLine="455"/>
        <w:spacing w:after="0" w:line="277" w:lineRule="auto"/>
        <w:tabs>
          <w:tab w:leader="none" w:pos="12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or any of its Subsidiaries acquires or creates another Wholly Owned Subsidiary after the Effective Date and such Wholly Owned Subsidiary Guarantees any Obligations of the Borrower under the Credit Agreement, or</w:t>
      </w:r>
    </w:p>
    <w:p>
      <w:pPr>
        <w:spacing w:after="0" w:line="170" w:lineRule="exact"/>
        <w:rPr>
          <w:rFonts w:ascii="Arial" w:cs="Arial" w:eastAsia="Arial" w:hAnsi="Arial"/>
          <w:sz w:val="18"/>
          <w:szCs w:val="18"/>
          <w:color w:val="auto"/>
        </w:rPr>
      </w:pPr>
    </w:p>
    <w:p>
      <w:pPr>
        <w:ind w:left="460" w:right="640" w:firstLine="455"/>
        <w:spacing w:after="0" w:line="277" w:lineRule="auto"/>
        <w:tabs>
          <w:tab w:leader="none" w:pos="129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Wholly Owned Subsidiary of the Borrower that does not currently Guarantee any Obligations of the Borrower under the Credit Agreement subsequently Guarantees any Obligations of the Borrower under the Credit Agreement, or</w:t>
      </w:r>
    </w:p>
    <w:p>
      <w:pPr>
        <w:spacing w:after="0" w:line="170" w:lineRule="exact"/>
        <w:rPr>
          <w:rFonts w:ascii="Arial" w:cs="Arial" w:eastAsia="Arial" w:hAnsi="Arial"/>
          <w:sz w:val="18"/>
          <w:szCs w:val="18"/>
          <w:color w:val="auto"/>
        </w:rPr>
      </w:pPr>
    </w:p>
    <w:p>
      <w:pPr>
        <w:ind w:left="460" w:right="440" w:firstLine="455"/>
        <w:spacing w:after="0" w:line="264" w:lineRule="auto"/>
        <w:tabs>
          <w:tab w:leader="none" w:pos="130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there is no Indebtedness of the Borrower outstanding under the Credit Agreement at that time, any Wholly Owned Subsidiary of the Borrower (including any newly acquired or created Wholly Owned Subsidiary) Guarantees any Obligations with respect to any other Material Indebtedness of the Borrower,</w:t>
      </w:r>
    </w:p>
    <w:p>
      <w:pPr>
        <w:spacing w:after="0" w:line="181" w:lineRule="exact"/>
        <w:rPr>
          <w:sz w:val="20"/>
          <w:szCs w:val="20"/>
          <w:color w:val="auto"/>
        </w:rPr>
      </w:pPr>
    </w:p>
    <w:p>
      <w:pPr>
        <w:ind w:left="400"/>
        <w:spacing w:after="0" w:line="302" w:lineRule="auto"/>
        <w:rPr>
          <w:sz w:val="20"/>
          <w:szCs w:val="20"/>
          <w:color w:val="auto"/>
        </w:rPr>
      </w:pPr>
      <w:r>
        <w:rPr>
          <w:rFonts w:ascii="Arial" w:cs="Arial" w:eastAsia="Arial" w:hAnsi="Arial"/>
          <w:sz w:val="16"/>
          <w:szCs w:val="16"/>
          <w:color w:val="auto"/>
        </w:rPr>
        <w:t>then such newly acquired or created Wholly Owned Subsidiary or Wholly Owned Subsidiary that subsequently fully and unconditionally Guarantees obligations under the Credit Agreement or other Material Indebtedness of the Borrower, as the case may be, will become a Guarantor hereunder and execute documentation evidencing such Guaranty and deliver an opinion of counsel satisfactory to the Administrative Agent within 60 Business Days of the date on which it was acquired or created or guaranteed other Material Indebtedness of the Borrower, as the case may be.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all Loans in connection with the NRG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hereunder shall remain unpaid or unsatisfied, in each case, other than Contingent Obligations as to which no claim has been made, the Borrower shall not, nor shall it permit, solely in the case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any Company Group Party, and solely in the case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7.03, Holdings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-38100</wp:posOffset>
            </wp:positionV>
            <wp:extent cx="2286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Liens</w:t>
      </w:r>
      <w:r>
        <w:rPr>
          <w:rFonts w:ascii="Arial" w:cs="Arial" w:eastAsia="Arial" w:hAnsi="Arial"/>
          <w:sz w:val="16"/>
          <w:szCs w:val="16"/>
          <w:color w:val="auto"/>
        </w:rPr>
        <w:t>. Create or permit to exist any Lien upon any Principal Property owned by the Borrower or any Subsidiary Guarantor or upon any Equity Interests issued by, or Indebtedness of, any direct or indirect Subsidiary of the Borrower to secure any Indebtedness of the Borrower or any Subsidiary Guarantor without providing for the Obligations under this Agreement to be equally and ratably secured with (or prior to) any and all such Indebtedness and</w:t>
      </w:r>
    </w:p>
    <w:p>
      <w:pPr>
        <w:sectPr>
          <w:pgSz w:w="11900" w:h="16952" w:orient="portrait"/>
          <w:cols w:equalWidth="0" w:num="1">
            <w:col w:w="11400"/>
          </w:cols>
          <w:pgMar w:left="240" w:top="125" w:right="259" w:bottom="0" w:gutter="0" w:footer="0" w:header="0"/>
        </w:sectPr>
      </w:pPr>
    </w:p>
    <w:bookmarkStart w:id="133" w:name="page134"/>
    <w:bookmarkEnd w:id="133"/>
    <w:p>
      <w:pPr>
        <w:ind w:right="560"/>
        <w:spacing w:after="0" w:line="277" w:lineRule="auto"/>
        <w:rPr>
          <w:sz w:val="20"/>
          <w:szCs w:val="20"/>
          <w:color w:val="auto"/>
        </w:rPr>
      </w:pPr>
      <w:r>
        <w:rPr>
          <w:rFonts w:ascii="Arial" w:cs="Arial" w:eastAsia="Arial" w:hAnsi="Arial"/>
          <w:sz w:val="18"/>
          <w:szCs w:val="18"/>
          <w:color w:val="auto"/>
        </w:rPr>
        <w:t xml:space="preserve">any other Indebtedness similarly entitled to be equally and ratably secured, for so long as such Indebtedness is so secured;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restriction will not apply to, or prevent the creation or existence of ((a) through (m) below, the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70" w:lineRule="exact"/>
        <w:rPr>
          <w:sz w:val="20"/>
          <w:szCs w:val="20"/>
          <w:color w:val="auto"/>
        </w:rPr>
      </w:pPr>
    </w:p>
    <w:p>
      <w:pPr>
        <w:ind w:left="460" w:right="380" w:firstLine="455"/>
        <w:spacing w:after="0" w:line="308" w:lineRule="auto"/>
        <w:tabs>
          <w:tab w:leader="none" w:pos="128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securing Indebtedness of the Borrower or any Subsidiary Guarantor under one or more Credit Facilities in an aggregate principal amount pursuant to this clause (a), measured as of the date of creation of any such Lien and the date of incurrence of any such</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Indebtedness, not exceeding the greatest of (a) 20% of Total Assets, (b) $1.0 billion and (c) 2.5 times Adjusted LTM CAFD;</w:t>
      </w:r>
    </w:p>
    <w:p>
      <w:pPr>
        <w:spacing w:after="0" w:line="225" w:lineRule="exact"/>
        <w:rPr>
          <w:sz w:val="20"/>
          <w:szCs w:val="20"/>
          <w:color w:val="auto"/>
        </w:rPr>
      </w:pPr>
    </w:p>
    <w:p>
      <w:pPr>
        <w:ind w:left="1300" w:hanging="385"/>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460" w:firstLine="455"/>
        <w:spacing w:after="0" w:line="273" w:lineRule="auto"/>
        <w:tabs>
          <w:tab w:leader="none" w:pos="130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Liens securing Indebtedness of any Person that (a) is acquired by the Borrower or any of its Subsidiaries after the Effective Date, (b) is merged or amalgamated with or into the Borrower or any of its Subsidiaries after the Effective Date or (c) becomes consolidated in the financial statements of the Borrower or any of its Subsidiaries after the Effective Date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contemplated by this clause (c),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Borrower or any of its Subsidiaries;</w:t>
      </w:r>
    </w:p>
    <w:p>
      <w:pPr>
        <w:spacing w:after="0" w:line="178" w:lineRule="exact"/>
        <w:rPr>
          <w:rFonts w:ascii="Arial" w:cs="Arial" w:eastAsia="Arial" w:hAnsi="Arial"/>
          <w:sz w:val="17"/>
          <w:szCs w:val="17"/>
          <w:color w:val="auto"/>
        </w:rPr>
      </w:pPr>
    </w:p>
    <w:p>
      <w:pPr>
        <w:ind w:left="460" w:right="20" w:firstLine="455"/>
        <w:spacing w:after="0" w:line="276" w:lineRule="auto"/>
        <w:tabs>
          <w:tab w:leader="none" w:pos="129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Liens securing Indebtedness of the Borrower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72" w:lineRule="exact"/>
        <w:rPr>
          <w:rFonts w:ascii="Arial" w:cs="Arial" w:eastAsia="Arial" w:hAnsi="Arial"/>
          <w:sz w:val="17"/>
          <w:szCs w:val="17"/>
          <w:color w:val="auto"/>
        </w:rPr>
      </w:pPr>
    </w:p>
    <w:p>
      <w:pPr>
        <w:ind w:left="1300" w:hanging="385"/>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in favor of the Borrower or any of its Subsidiaries;</w:t>
      </w:r>
    </w:p>
    <w:p>
      <w:pPr>
        <w:spacing w:after="0" w:line="225" w:lineRule="exact"/>
        <w:rPr>
          <w:rFonts w:ascii="Arial" w:cs="Arial" w:eastAsia="Arial" w:hAnsi="Arial"/>
          <w:sz w:val="18"/>
          <w:szCs w:val="18"/>
          <w:color w:val="auto"/>
        </w:rPr>
      </w:pPr>
    </w:p>
    <w:p>
      <w:pPr>
        <w:ind w:left="460" w:right="240" w:firstLine="455"/>
        <w:spacing w:after="0" w:line="277" w:lineRule="auto"/>
        <w:tabs>
          <w:tab w:leader="none" w:pos="129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agreements were not entered into for speculative purposes (as determined by the Borrower in its reasonable discretion acting in good faith);</w:t>
      </w:r>
    </w:p>
    <w:p>
      <w:pPr>
        <w:spacing w:after="0" w:line="170" w:lineRule="exact"/>
        <w:rPr>
          <w:rFonts w:ascii="Arial" w:cs="Arial" w:eastAsia="Arial" w:hAnsi="Arial"/>
          <w:sz w:val="18"/>
          <w:szCs w:val="18"/>
          <w:color w:val="auto"/>
        </w:rPr>
      </w:pPr>
    </w:p>
    <w:p>
      <w:pPr>
        <w:ind w:left="1320" w:hanging="405"/>
        <w:spacing w:after="0"/>
        <w:tabs>
          <w:tab w:leader="none" w:pos="13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relating to current or future escrow arrangements securing Indebtedness of the Borrower or any Subsidiary Guarantor;</w:t>
      </w:r>
    </w:p>
    <w:p>
      <w:pPr>
        <w:spacing w:after="0" w:line="225" w:lineRule="exact"/>
        <w:rPr>
          <w:rFonts w:ascii="Arial" w:cs="Arial" w:eastAsia="Arial" w:hAnsi="Arial"/>
          <w:sz w:val="18"/>
          <w:szCs w:val="18"/>
          <w:color w:val="auto"/>
        </w:rPr>
      </w:pPr>
    </w:p>
    <w:p>
      <w:pPr>
        <w:ind w:left="460" w:right="480" w:firstLine="455"/>
        <w:spacing w:after="0" w:line="277" w:lineRule="auto"/>
        <w:tabs>
          <w:tab w:leader="none" w:pos="129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460" w:right="480" w:firstLine="455"/>
        <w:spacing w:after="0" w:line="277" w:lineRule="auto"/>
        <w:tabs>
          <w:tab w:leader="none" w:pos="131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Borrower or any Subsidiary Guarantor, including rights of offset and set-off;</w:t>
      </w:r>
    </w:p>
    <w:p>
      <w:pPr>
        <w:spacing w:after="0" w:line="170" w:lineRule="exact"/>
        <w:rPr>
          <w:rFonts w:ascii="Arial" w:cs="Arial" w:eastAsia="Arial" w:hAnsi="Arial"/>
          <w:sz w:val="18"/>
          <w:szCs w:val="18"/>
          <w:color w:val="auto"/>
        </w:rPr>
      </w:pPr>
    </w:p>
    <w:p>
      <w:pPr>
        <w:ind w:left="1300" w:hanging="385"/>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Liens on the stock or assets of Project Subsidiaries securing Project Debt or Tax Equity Financing of one or more Project Subsidiaries;</w:t>
      </w:r>
    </w:p>
    <w:p>
      <w:pPr>
        <w:spacing w:after="0" w:line="248" w:lineRule="exact"/>
        <w:rPr>
          <w:rFonts w:ascii="Arial" w:cs="Arial" w:eastAsia="Arial" w:hAnsi="Arial"/>
          <w:sz w:val="16"/>
          <w:szCs w:val="16"/>
          <w:color w:val="auto"/>
        </w:rPr>
      </w:pPr>
    </w:p>
    <w:p>
      <w:pPr>
        <w:ind w:left="460" w:right="140" w:firstLine="455"/>
        <w:spacing w:after="0" w:line="277" w:lineRule="auto"/>
        <w:tabs>
          <w:tab w:leader="none" w:pos="131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that within 180 days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from the date the related Indebtedness was incurred, such cash or cash equivalents are used to (a) fund the acquisition (or a 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81" w:lineRule="exact"/>
        <w:rPr>
          <w:sz w:val="20"/>
          <w:szCs w:val="20"/>
          <w:color w:val="auto"/>
        </w:rPr>
      </w:pPr>
    </w:p>
    <w:p>
      <w:pPr>
        <w:ind w:left="460" w:right="500" w:firstLine="455"/>
        <w:spacing w:after="0" w:line="264" w:lineRule="auto"/>
        <w:tabs>
          <w:tab w:leader="none" w:pos="12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(a) through (m) above, securing Indebtedness of the Borrower or any Subsidiary Guarantor having an aggregate principal amount, measured as of the date of creation of any such Lien and the date of incurrence of any such Indebtedness, not to exceed the greater of (i) 1.5% of Total Assets and (ii) $100.0 million.</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Liens securing Indebtedness under the Credit Agreement existing on the Effective Date will be deemed to have been incurred on such date in reliance on the exception provided by clause (a) above. For purposes of determining compliance with this </w:t>
      </w:r>
      <w:r>
        <w:rPr>
          <w:rFonts w:ascii="Arial" w:cs="Arial" w:eastAsia="Arial" w:hAnsi="Arial"/>
          <w:sz w:val="17"/>
          <w:szCs w:val="17"/>
          <w:u w:val="single" w:color="auto"/>
          <w:color w:val="auto"/>
        </w:rPr>
        <w:t>Section 7.01</w:t>
      </w:r>
      <w:r>
        <w:rPr>
          <w:rFonts w:ascii="Arial" w:cs="Arial" w:eastAsia="Arial" w:hAnsi="Arial"/>
          <w:sz w:val="17"/>
          <w:szCs w:val="17"/>
          <w:color w:val="auto"/>
        </w:rPr>
        <w:t>, in the event that a proposed Lien meets the criteria of more than one of the categories of Liens described in clauses (a) through (m) above, the Borrower will be permitted to classify such Lien on the date of its incurrence, or later reclassify all or a portion of such Lien, in any manner that complies with this covenant.</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If the Borrower or any Subsidiary Guarantor proposes to create or permit to exist any Lien upon any Principal Property owned by the Borrower or any Subsidiary Guarantor or upon any Equity Interests or Indebtedness of any direct or indirect Subsidiary of the Borrower to secure any Indebtedness, other than as permitted by clauses (a) through (m) of the previous paragraph, the Borrower will give prior written notice thereof to the Administrative Agent, who will give notice to the Lenders, and the Borrower will further agree, prior to or simultaneously with the creation of such Lien, effectively to secure all Obligations under this Agreement equally and ratably with (or prior to) such other Indebtedness, for so long as such other Indebtedness is so secured.</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Neither the Borrower nor Holdings shall, directly or indirectly: (1) consolidate or merge with or into another Person (whether or not Holdings or the Borrower is the surviving Person); or (2) sell, assign, transfer, convey or otherwise dispose of all or substantially all of the properties or assets of Holdings or Holdings and its Subsidiaries taken as a whole or the Borrower or the Borrower and its Subsidiaries taken as a whole, in one or more related transactions, to another Person; unless:</w:t>
      </w:r>
    </w:p>
    <w:p>
      <w:pPr>
        <w:sectPr>
          <w:pgSz w:w="11900" w:h="16838" w:orient="portrait"/>
          <w:cols w:equalWidth="0" w:num="1">
            <w:col w:w="11400"/>
          </w:cols>
          <w:pgMar w:left="240" w:top="125" w:right="259" w:bottom="0" w:gutter="0" w:footer="0" w:header="0"/>
        </w:sectPr>
      </w:pPr>
    </w:p>
    <w:bookmarkStart w:id="134" w:name="page135"/>
    <w:bookmarkEnd w:id="134"/>
    <w:p>
      <w:pPr>
        <w:spacing w:after="0" w:line="79" w:lineRule="exact"/>
        <w:rPr>
          <w:sz w:val="20"/>
          <w:szCs w:val="20"/>
          <w:color w:val="auto"/>
        </w:rPr>
      </w:pPr>
    </w:p>
    <w:p>
      <w:pPr>
        <w:ind w:left="460" w:right="60" w:firstLine="455"/>
        <w:spacing w:after="0" w:line="259" w:lineRule="auto"/>
        <w:tabs>
          <w:tab w:leader="none" w:pos="128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either: (a) Holdings or the Borrower, as the case may be, is the surviving Person; or (b) the Person formed by or surviving any such consolidation or merger (if other than Holdings or the Borrower,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spacing w:after="0" w:line="186" w:lineRule="exact"/>
        <w:rPr>
          <w:rFonts w:ascii="Arial" w:cs="Arial" w:eastAsia="Arial" w:hAnsi="Arial"/>
          <w:sz w:val="18"/>
          <w:szCs w:val="18"/>
          <w:color w:val="auto"/>
        </w:rPr>
      </w:pPr>
    </w:p>
    <w:p>
      <w:pPr>
        <w:ind w:left="460" w:right="360" w:firstLine="455"/>
        <w:spacing w:after="0" w:line="264" w:lineRule="auto"/>
        <w:tabs>
          <w:tab w:leader="none" w:pos="129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Holdings or the Borrower, as the case may be) or the Person to which such sale, assignment, transfer, conveyance or other disposition has been made assumes all the Obligations of Holdings or the Borrower, as the case may be, in respect of the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documents and agreements reasonably satisfactory to the Administrative Agent; and</w:t>
      </w:r>
    </w:p>
    <w:p>
      <w:pPr>
        <w:spacing w:after="0" w:line="225" w:lineRule="exact"/>
        <w:rPr>
          <w:sz w:val="20"/>
          <w:szCs w:val="20"/>
          <w:color w:val="auto"/>
        </w:rPr>
      </w:pPr>
    </w:p>
    <w:p>
      <w:pPr>
        <w:ind w:left="1300" w:hanging="385"/>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addition, neither Holdings nor the Borrower may, directly or indirectly, lease all or substantially all of its and its respective Subsidiaries’ properties or assets, in one or more related transactions, to any other Person.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covenant will not apply to (1) a merger of Holdings or the Borrower, as the case may be, with an Affiliate solely for the purpose of reforming Holdings or the Borrower, as the case may be, in another jurisdiction or forming a direct or indirect holding company of the Borrower that is a Wholly Owned Subsidiary of Holdings; and (2) any sale, transfer, assignment, conveyance, lease or other disposition of assets between or among Holdings, the Borrower and their respective Subsidiaries, including by way of merger or consolidation.</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Holding Company</w:t>
      </w:r>
      <w:r>
        <w:rPr>
          <w:rFonts w:ascii="Arial" w:cs="Arial" w:eastAsia="Arial" w:hAnsi="Arial"/>
          <w:sz w:val="18"/>
          <w:szCs w:val="18"/>
          <w:color w:val="auto"/>
        </w:rPr>
        <w:t>. Holdings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300" w:hanging="385"/>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ownership of debt or equity interests in the Borrower;</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participating in tax, accounting and other administrative activities as the parent of a consolidated group of companies, including the</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ind w:left="1300" w:hanging="385"/>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the Borrower or any Subsidiary of the Borrower;</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460" w:right="40" w:firstLine="455"/>
        <w:spacing w:after="0" w:line="264" w:lineRule="auto"/>
        <w:tabs>
          <w:tab w:leader="none" w:pos="129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Yield Inc., the Borrower or any Subsidiary of the Borrower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1320" w:hanging="405"/>
        <w:spacing w:after="0"/>
        <w:tabs>
          <w:tab w:leader="none" w:pos="13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(a) through (g)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 AND REMEDIES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5" w:lineRule="exact"/>
        <w:rPr>
          <w:sz w:val="20"/>
          <w:szCs w:val="20"/>
          <w:color w:val="auto"/>
        </w:rPr>
      </w:pPr>
    </w:p>
    <w:p>
      <w:pPr>
        <w:ind w:right="300" w:firstLine="1305"/>
        <w:spacing w:after="0" w:line="286" w:lineRule="auto"/>
        <w:tabs>
          <w:tab w:leader="none" w:pos="1942"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The Borrower or any other Loan Party fails to (i) pay when and as required to be paid herein, any amount of principal of any Loan, or (ii) pay within five (5) Business Days after the same becomes due any interest on any Loan or any fee due hereunder, or (iii) pay within five (5) Business Days after the same becomes due, any other amount payable hereunder or under any other Loan Document; or</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observe any other covenant or agreement (not specified in</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above) contained in any Loan Document on its part to be performed or observed and such failure continues for 60 days after written notice by the Administrative Agent or any Lender to the Borrower; or</w:t>
      </w:r>
    </w:p>
    <w:p>
      <w:pPr>
        <w:spacing w:after="0" w:line="184" w:lineRule="exact"/>
        <w:rPr>
          <w:sz w:val="20"/>
          <w:szCs w:val="20"/>
          <w:color w:val="auto"/>
        </w:rPr>
      </w:pPr>
    </w:p>
    <w:p>
      <w:pPr>
        <w:ind w:right="300" w:firstLine="1305"/>
        <w:spacing w:after="0" w:line="264" w:lineRule="auto"/>
        <w:tabs>
          <w:tab w:leader="none" w:pos="1955"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Any Loan Party defaults under any mortgage, indenture or instrument under which there may be issued or by which there may be secured or evidenced any Indebtedness for money borrowed (or the payment of which is guaranteed by any Loan Party) whether such Indebtedness or guarantee now exists, or is created after the Effective Date, if that default:</w:t>
      </w:r>
    </w:p>
    <w:p>
      <w:pPr>
        <w:spacing w:after="0" w:line="181" w:lineRule="exact"/>
        <w:rPr>
          <w:rFonts w:ascii="Arial" w:cs="Arial" w:eastAsia="Arial" w:hAnsi="Arial"/>
          <w:sz w:val="18"/>
          <w:szCs w:val="18"/>
          <w:color w:val="auto"/>
        </w:rPr>
      </w:pPr>
    </w:p>
    <w:p>
      <w:pPr>
        <w:ind w:left="920" w:right="20" w:firstLine="384"/>
        <w:spacing w:after="0" w:line="277" w:lineRule="auto"/>
        <w:tabs>
          <w:tab w:leader="none" w:pos="165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u w:val="single" w:color="auto"/>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 (ii) $100.0 million;</w:t>
      </w:r>
    </w:p>
    <w:p>
      <w:pPr>
        <w:sectPr>
          <w:pgSz w:w="11900" w:h="16918" w:orient="portrait"/>
          <w:cols w:equalWidth="0" w:num="1">
            <w:col w:w="11400"/>
          </w:cols>
          <w:pgMar w:left="240" w:top="125" w:right="259" w:bottom="0" w:gutter="0" w:footer="0" w:header="0"/>
        </w:sectPr>
      </w:pPr>
    </w:p>
    <w:bookmarkStart w:id="135" w:name="page136"/>
    <w:bookmarkEnd w:id="135"/>
    <w:p>
      <w:pPr>
        <w:spacing w:after="0" w:line="90"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(c) shall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to a Person that is not an Affiliate of the Borrower; or</w:t>
      </w:r>
    </w:p>
    <w:p>
      <w:pPr>
        <w:spacing w:after="0" w:line="170" w:lineRule="exact"/>
        <w:rPr>
          <w:sz w:val="20"/>
          <w:szCs w:val="20"/>
          <w:color w:val="auto"/>
        </w:rPr>
      </w:pPr>
    </w:p>
    <w:p>
      <w:pPr>
        <w:ind w:firstLine="1305"/>
        <w:spacing w:after="0" w:line="254" w:lineRule="auto"/>
        <w:tabs>
          <w:tab w:leader="none" w:pos="1952"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Holdings, the Borrower, any Material Company Group Party, any group of Company Group Parties that, taken together, would constitute a Material Company Group Party, or any Material Project Company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92" w:lineRule="exact"/>
        <w:rPr>
          <w:rFonts w:ascii="Arial" w:cs="Arial" w:eastAsia="Arial" w:hAnsi="Arial"/>
          <w:sz w:val="18"/>
          <w:szCs w:val="18"/>
          <w:color w:val="auto"/>
        </w:rPr>
      </w:pPr>
    </w:p>
    <w:p>
      <w:pPr>
        <w:ind w:right="400" w:firstLine="1305"/>
        <w:spacing w:after="0" w:line="308" w:lineRule="auto"/>
        <w:tabs>
          <w:tab w:leader="none" w:pos="1955"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Holdings, the Borrower, any Material Company Group Party, any group of Company Group Parties that, taken together, would constitute a Material Company Group Party, or any Material Project Company becomes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or</w:t>
      </w:r>
    </w:p>
    <w:p>
      <w:pPr>
        <w:spacing w:after="0" w:line="181" w:lineRule="exact"/>
        <w:rPr>
          <w:sz w:val="20"/>
          <w:szCs w:val="20"/>
          <w:color w:val="auto"/>
        </w:rPr>
      </w:pPr>
    </w:p>
    <w:p>
      <w:pPr>
        <w:jc w:val="both"/>
        <w:ind w:right="20" w:firstLine="1305"/>
        <w:spacing w:after="0" w:line="259" w:lineRule="auto"/>
        <w:tabs>
          <w:tab w:leader="none" w:pos="194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One or more judgments for the payment of money in an aggregate amount in excess of the greater of (i) 1.5% of Total Assets and (ii) $100.0 million (excluding therefrom any amount reasonably expected to be covered by insurance) shall be rendered against any Loan Party or any combination thereof and the same shall not have been paid, discharged or stayed for a period of 60 days after such judgment became final and non-appealable; or</w:t>
      </w:r>
    </w:p>
    <w:p>
      <w:pPr>
        <w:spacing w:after="0" w:line="186" w:lineRule="exact"/>
        <w:rPr>
          <w:rFonts w:ascii="Arial" w:cs="Arial" w:eastAsia="Arial" w:hAnsi="Arial"/>
          <w:sz w:val="18"/>
          <w:szCs w:val="18"/>
          <w:color w:val="auto"/>
        </w:rPr>
      </w:pPr>
    </w:p>
    <w:p>
      <w:pPr>
        <w:ind w:firstLine="1305"/>
        <w:spacing w:after="0" w:line="255" w:lineRule="auto"/>
        <w:tabs>
          <w:tab w:leader="none" w:pos="196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the satisfaction in full of all the Obligations in respect of the Facility (other than Contingent Obligations as to which no claim has been made), ceases to be in full force and effect; or any Loan Party or any Affiliate thereof that is the Equity Investor or a Subsidiary of the Equity Investor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 in each case subject to the occurrence of, and in no event on or prior to, the Funding Commitment Termination Date:</w:t>
      </w:r>
    </w:p>
    <w:p>
      <w:pPr>
        <w:spacing w:after="0" w:line="181" w:lineRule="exact"/>
        <w:rPr>
          <w:sz w:val="20"/>
          <w:szCs w:val="20"/>
          <w:color w:val="auto"/>
        </w:rPr>
      </w:pPr>
    </w:p>
    <w:p>
      <w:pPr>
        <w:ind w:left="1940" w:hanging="635"/>
        <w:spacing w:after="0"/>
        <w:tabs>
          <w:tab w:leader="none" w:pos="19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to be terminated, whereupon such commitments and obligation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terminated; and</w:t>
      </w:r>
    </w:p>
    <w:p>
      <w:pPr>
        <w:spacing w:after="0" w:line="211" w:lineRule="exact"/>
        <w:rPr>
          <w:sz w:val="20"/>
          <w:szCs w:val="20"/>
          <w:color w:val="auto"/>
        </w:rPr>
      </w:pPr>
    </w:p>
    <w:p>
      <w:pPr>
        <w:ind w:right="20" w:firstLine="1305"/>
        <w:spacing w:after="0" w:line="264" w:lineRule="auto"/>
        <w:tabs>
          <w:tab w:leader="none" w:pos="19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 Event of Default set forth in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with respect to any Loan Party under the Bankruptcy Code, on the Business Day following the Funding Commitment Termination Date, the obligation of each Lender to make Loans shall automatically terminate and the unpaid principal amount of all outstanding Loans and all interest and other amounts as aforesaid shall automatically become due and payable, in each case without further act of the Administrative Agent or any Lender. Notwithstanding the foregoing, default interest will continue to accrue if applicable.</w:t>
      </w:r>
    </w:p>
    <w:p>
      <w:pPr>
        <w:spacing w:after="0" w:line="1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any other Loan Document (or after the Loans have automatically become immediately due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payable), any amounts received on account of the Obligations in respect of the Facility shall be applied by the Administrative Agent in the following order:</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such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such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6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such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such Obligations constituting unpaid principal of the Loans ratably among the Lenders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ectPr>
          <w:pgSz w:w="11900" w:h="16929" w:orient="portrait"/>
          <w:cols w:equalWidth="0" w:num="1">
            <w:col w:w="11380"/>
          </w:cols>
          <w:pgMar w:left="240" w:top="341" w:right="279" w:bottom="0" w:gutter="0" w:footer="0" w:header="0"/>
        </w:sectPr>
      </w:pPr>
    </w:p>
    <w:bookmarkStart w:id="136" w:name="page137"/>
    <w:bookmarkEnd w:id="136"/>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such Obligations have been indefeasibly paid in full, to the Borrower or as otherwise required by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ADMINISTRATIVE AGENT</w:t>
      </w:r>
    </w:p>
    <w:p>
      <w:pPr>
        <w:spacing w:after="0" w:line="21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the Lenders hereby irrevocably appoints RBC to act on its behalf as the Administrative Agent hereunder and under the other Loan Documents and authorizes the Administrative Agent to take such actions on its behalf and to exercise such powers, rights and remedies as are delegated to the Administrative Agent by the terms hereof or thereof, together with such actions, powers, rights and remedies as are reasonably incidental thereto. The provisions of this Article are solely for the benefit of the Administrative Agent and the Lenders, and neither the Borrower nor any other Loan Party shall have rights as a third party beneficiary of any of such provisions. Each Lender, whether or not a party hereto, will be deemed, by its acceptance of the benefits of the Guarantees provided under the Loan Documents, to have agreed to the provisions of this Article.</w:t>
      </w:r>
    </w:p>
    <w:p>
      <w:pPr>
        <w:spacing w:after="0" w:line="16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Borrower or any of its Subsidiaries or other Affiliate thereof as if such Person were not the Administrative Agent hereunder and without any duty to account therefor to the Lenders.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The Administrative Agent shall not have any duties or obligations except those expressly set forth herein and in the other Loan Documents.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 the Administrative Agent:</w:t>
      </w:r>
    </w:p>
    <w:p>
      <w:pPr>
        <w:spacing w:after="0" w:line="171" w:lineRule="exact"/>
        <w:rPr>
          <w:sz w:val="20"/>
          <w:szCs w:val="20"/>
          <w:color w:val="auto"/>
        </w:rPr>
      </w:pPr>
    </w:p>
    <w:p>
      <w:pPr>
        <w:ind w:right="120" w:firstLine="1305"/>
        <w:spacing w:after="0" w:line="273" w:lineRule="auto"/>
        <w:tabs>
          <w:tab w:leader="none" w:pos="194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78" w:lineRule="exact"/>
        <w:rPr>
          <w:rFonts w:ascii="Arial" w:cs="Arial" w:eastAsia="Arial" w:hAnsi="Arial"/>
          <w:sz w:val="17"/>
          <w:szCs w:val="17"/>
          <w:color w:val="auto"/>
        </w:rPr>
      </w:pPr>
    </w:p>
    <w:p>
      <w:pPr>
        <w:ind w:firstLine="1305"/>
        <w:spacing w:after="0" w:line="253" w:lineRule="auto"/>
        <w:tabs>
          <w:tab w:leader="none" w:pos="19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unless the Administrative Agent receives an indemnification satisfactory to it from the Lenders with respect to such action or that is contrary to any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194" w:lineRule="exact"/>
        <w:rPr>
          <w:rFonts w:ascii="Arial" w:cs="Arial" w:eastAsia="Arial" w:hAnsi="Arial"/>
          <w:sz w:val="18"/>
          <w:szCs w:val="18"/>
          <w:color w:val="auto"/>
        </w:rPr>
      </w:pPr>
    </w:p>
    <w:p>
      <w:pPr>
        <w:ind w:right="200" w:firstLine="1305"/>
        <w:spacing w:after="0" w:line="264" w:lineRule="auto"/>
        <w:tabs>
          <w:tab w:leader="none" w:pos="19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ind w:right="380" w:firstLine="1305"/>
        <w:spacing w:after="0" w:line="312" w:lineRule="auto"/>
        <w:tabs>
          <w:tab w:leader="none" w:pos="195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60" w:firstLine="1305"/>
        <w:spacing w:after="0" w:line="277" w:lineRule="auto"/>
        <w:tabs>
          <w:tab w:leader="none" w:pos="19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shall be deemed not to have knowledge of any Default unless and until notice describing such Default is given to the Administrative Agent by the Borrower or a Lender;</w:t>
      </w:r>
    </w:p>
    <w:p>
      <w:pPr>
        <w:spacing w:after="0" w:line="170" w:lineRule="exact"/>
        <w:rPr>
          <w:rFonts w:ascii="Arial" w:cs="Arial" w:eastAsia="Arial" w:hAnsi="Arial"/>
          <w:sz w:val="18"/>
          <w:szCs w:val="18"/>
          <w:color w:val="auto"/>
        </w:rPr>
      </w:pPr>
    </w:p>
    <w:p>
      <w:pPr>
        <w:ind w:right="20" w:firstLine="1305"/>
        <w:spacing w:after="0" w:line="289" w:lineRule="auto"/>
        <w:tabs>
          <w:tab w:leader="none" w:pos="194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 Notwithstanding anything herein to the contrary, the Administrative Agent shall not be liable for, or be responsible for any loss, cost or expense suffered by the Borrower, any Subsidiary or any Lender as a result of, any determination of the Total Outstandings, any of the component amounts thereof or any portion thereof attributable to each Lender in the absence of its own gross negligence or willful misconduct (such absence to be presumed unless otherwise determined by a court of competent jurisdiction by a final and nonappealable judgment); and</w:t>
      </w:r>
    </w:p>
    <w:p>
      <w:pPr>
        <w:spacing w:after="0" w:line="166" w:lineRule="exact"/>
        <w:rPr>
          <w:rFonts w:ascii="Arial" w:cs="Arial" w:eastAsia="Arial" w:hAnsi="Arial"/>
          <w:sz w:val="16"/>
          <w:szCs w:val="16"/>
          <w:color w:val="auto"/>
        </w:rPr>
      </w:pPr>
    </w:p>
    <w:p>
      <w:pPr>
        <w:ind w:right="20" w:firstLine="1305"/>
        <w:spacing w:after="0" w:line="277" w:lineRule="auto"/>
        <w:tabs>
          <w:tab w:leader="none" w:pos="19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shall not be required by any provision in this Agreement or any Loan Document to account to any Lender for any sum or the profit element of any sum received by the Administrative Agent for its own account.</w:t>
      </w:r>
    </w:p>
    <w:p>
      <w:pPr>
        <w:sectPr>
          <w:pgSz w:w="11900" w:h="16929" w:orient="portrait"/>
          <w:cols w:equalWidth="0" w:num="1">
            <w:col w:w="11420"/>
          </w:cols>
          <w:pgMar w:left="240" w:top="341" w:right="239" w:bottom="0" w:gutter="0" w:footer="0" w:header="0"/>
        </w:sectPr>
      </w:pPr>
    </w:p>
    <w:bookmarkStart w:id="137" w:name="page138"/>
    <w:bookmarkEnd w:id="137"/>
    <w:p>
      <w:pPr>
        <w:spacing w:after="0" w:line="1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9.04 </w:t>
      </w:r>
      <w:r>
        <w:rPr>
          <w:rFonts w:ascii="Arial" w:cs="Arial" w:eastAsia="Arial" w:hAnsi="Arial"/>
          <w:sz w:val="16"/>
          <w:szCs w:val="16"/>
          <w:u w:val="single" w:color="auto"/>
          <w:color w:val="auto"/>
        </w:rPr>
        <w:t>Reliance by Administrative Agent; Indemnification, Etc</w:t>
      </w:r>
      <w:r>
        <w:rPr>
          <w:rFonts w:ascii="Arial" w:cs="Arial" w:eastAsia="Arial" w:hAnsi="Arial"/>
          <w:sz w:val="16"/>
          <w:szCs w:val="16"/>
          <w:color w:val="auto"/>
        </w:rPr>
        <w:t>. The Administrative Agent shall not incur any liability (i) for any action taken or omitted to be taken by it in reliance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(ii) in the absence of its own gross negligence or willful misconduct (such absence to be presumed unless otherwise determined by a court of competent jurisdiction by a final and nonappealable judgment).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(ii) may rely on the Register to the extent set forth in </w:t>
      </w:r>
      <w:r>
        <w:rPr>
          <w:rFonts w:ascii="Arial" w:cs="Arial" w:eastAsia="Arial" w:hAnsi="Arial"/>
          <w:sz w:val="18"/>
          <w:szCs w:val="18"/>
          <w:u w:val="single" w:color="auto"/>
          <w:color w:val="auto"/>
        </w:rPr>
        <w:t>Section 11.06(c)</w:t>
      </w:r>
      <w:r>
        <w:rPr>
          <w:rFonts w:ascii="Arial" w:cs="Arial" w:eastAsia="Arial" w:hAnsi="Arial"/>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Resignation of Administrative Agent</w:t>
      </w:r>
      <w:r>
        <w:rPr>
          <w:rFonts w:ascii="Arial" w:cs="Arial" w:eastAsia="Arial" w:hAnsi="Arial"/>
          <w:sz w:val="17"/>
          <w:szCs w:val="17"/>
          <w:color w:val="auto"/>
        </w:rPr>
        <w:t xml:space="preserve">. The Administrative Agent may at any time give notice of its resignation to the Lenders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predecessor unless otherwise agreed between the Borrower and such successor. After the retiring Administrative Agent’s resignation hereunder and under the other Loan Documents, the provisions of this Article IX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w:t>
      </w:r>
      <w:r>
        <w:rPr>
          <w:rFonts w:ascii="Arial" w:cs="Arial" w:eastAsia="Arial" w:hAnsi="Arial"/>
          <w:sz w:val="15"/>
          <w:szCs w:val="15"/>
          <w:color w:val="auto"/>
        </w:rPr>
        <w:t>as well as all exculpatory, reimbursement and indemnification provisions set forth in</w:t>
      </w:r>
      <w:r>
        <w:rPr>
          <w:rFonts w:ascii="Arial" w:cs="Arial" w:eastAsia="Arial" w:hAnsi="Arial"/>
          <w:sz w:val="16"/>
          <w:szCs w:val="16"/>
          <w:color w:val="auto"/>
        </w:rPr>
        <w:t xml:space="preserve"> </w:t>
      </w:r>
      <w:r>
        <w:rPr>
          <w:rFonts w:ascii="Arial" w:cs="Arial" w:eastAsia="Arial" w:hAnsi="Arial"/>
          <w:sz w:val="15"/>
          <w:szCs w:val="15"/>
          <w:color w:val="auto"/>
        </w:rPr>
        <w:t xml:space="preserve">any other Loan Document </w:t>
      </w:r>
      <w:r>
        <w:rPr>
          <w:rFonts w:ascii="Arial" w:cs="Arial" w:eastAsia="Arial" w:hAnsi="Arial"/>
          <w:sz w:val="16"/>
          <w:szCs w:val="16"/>
          <w:color w:val="auto"/>
        </w:rPr>
        <w:t>shall continue in effect for the benefit of such retiring Administrative Agent, its sub-agents and their respective Related Parties in</w:t>
      </w:r>
      <w:r>
        <w:rPr>
          <w:rFonts w:ascii="Arial" w:cs="Arial" w:eastAsia="Arial" w:hAnsi="Arial"/>
          <w:sz w:val="15"/>
          <w:szCs w:val="15"/>
          <w:color w:val="auto"/>
        </w:rPr>
        <w:t xml:space="preserve"> </w:t>
      </w:r>
      <w:r>
        <w:rPr>
          <w:rFonts w:ascii="Arial" w:cs="Arial" w:eastAsia="Arial" w:hAnsi="Arial"/>
          <w:sz w:val="16"/>
          <w:szCs w:val="16"/>
          <w:color w:val="auto"/>
        </w:rPr>
        <w:t>respect of any actions taken or omitted to be taken by any of them while the retiring Administrative Agent was acting as Administrative Agent.</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Each Lender and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Arrangers listed on the cover page hereof or elsewhere herein shall have any powers, duties or responsibilities under this Agreement or any of the other Loan Documents, except in its capacity, as applicable, as the Administrative Agent or a Lender hereunder.</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proceeding under any Debtor Relief Law or any other judicial proceeding relative to any Loan Party, the Administrative Agent (irrespective of whether the principal of any Loan shall then be due and payable as</w:t>
      </w:r>
    </w:p>
    <w:p>
      <w:pPr>
        <w:sectPr>
          <w:pgSz w:w="11900" w:h="16975" w:orient="portrait"/>
          <w:cols w:equalWidth="0" w:num="1">
            <w:col w:w="11420"/>
          </w:cols>
          <w:pgMar w:left="240" w:top="341" w:right="239" w:bottom="0" w:gutter="0" w:footer="0" w:header="0"/>
        </w:sectPr>
      </w:pPr>
    </w:p>
    <w:bookmarkStart w:id="138" w:name="page139"/>
    <w:bookmarkEnd w:id="138"/>
    <w:p>
      <w:pPr>
        <w:ind w:right="100"/>
        <w:spacing w:after="0" w:line="277" w:lineRule="auto"/>
        <w:rPr>
          <w:sz w:val="20"/>
          <w:szCs w:val="20"/>
          <w:color w:val="auto"/>
        </w:rPr>
      </w:pPr>
      <w:r>
        <w:rPr>
          <w:rFonts w:ascii="Arial" w:cs="Arial" w:eastAsia="Arial" w:hAnsi="Arial"/>
          <w:sz w:val="18"/>
          <w:szCs w:val="18"/>
          <w:color w:val="auto"/>
        </w:rPr>
        <w:t>herein expressed or by declaration or otherwise and irrespective of whether the Administrative Agent shall have made any demand on the Borrower) shall be entitled and empowered, by intervention in such proceeding or otherwise</w:t>
      </w:r>
    </w:p>
    <w:p>
      <w:pPr>
        <w:spacing w:after="0" w:line="170" w:lineRule="exact"/>
        <w:rPr>
          <w:sz w:val="20"/>
          <w:szCs w:val="20"/>
          <w:color w:val="auto"/>
        </w:rPr>
      </w:pPr>
    </w:p>
    <w:p>
      <w:pPr>
        <w:jc w:val="both"/>
        <w:ind w:firstLine="1305"/>
        <w:spacing w:after="0" w:line="257" w:lineRule="auto"/>
        <w:tabs>
          <w:tab w:leader="none" w:pos="194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in respect of the Facility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its agents and counsel, and any other amounts due the Administrative Agent under </w:t>
      </w:r>
      <w:r>
        <w:rPr>
          <w:rFonts w:ascii="Arial" w:cs="Arial" w:eastAsia="Arial" w:hAnsi="Arial"/>
          <w:sz w:val="18"/>
          <w:szCs w:val="18"/>
          <w:u w:val="single" w:color="auto"/>
          <w:color w:val="auto"/>
        </w:rPr>
        <w:t>Sections 2.06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in respect of the Facility or the rights of any Lender to authorize the Administrative Agent to vote in respect of the claim of any Lender or in any such proceeding. The Administrative Agent (upon the instruction of the Required Lenders) is authorized to credit bid any Obligation held by any Lender on a pro rata basis in a proceeding under any Debtor Relief Law without the prior consent of such Lender.</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spacing w:after="0" w:line="187" w:lineRule="exact"/>
        <w:rPr>
          <w:sz w:val="20"/>
          <w:szCs w:val="20"/>
          <w:color w:val="auto"/>
        </w:rPr>
      </w:pPr>
    </w:p>
    <w:p>
      <w:pPr>
        <w:ind w:left="740" w:right="100" w:firstLine="1294"/>
        <w:spacing w:after="0" w:line="277" w:lineRule="auto"/>
        <w:tabs>
          <w:tab w:leader="none" w:pos="270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170" w:lineRule="exact"/>
        <w:rPr>
          <w:rFonts w:ascii="Arial" w:cs="Arial" w:eastAsia="Arial" w:hAnsi="Arial"/>
          <w:sz w:val="18"/>
          <w:szCs w:val="18"/>
          <w:color w:val="auto"/>
        </w:rPr>
      </w:pPr>
    </w:p>
    <w:p>
      <w:pPr>
        <w:ind w:left="740" w:right="60" w:firstLine="1294"/>
        <w:spacing w:after="0" w:line="255" w:lineRule="auto"/>
        <w:tabs>
          <w:tab w:leader="none" w:pos="271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ind w:left="740" w:right="80" w:firstLine="1294"/>
        <w:spacing w:after="0" w:line="293" w:lineRule="auto"/>
        <w:tabs>
          <w:tab w:leader="none" w:pos="272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right="160" w:firstLine="1294"/>
        <w:spacing w:after="0" w:line="277" w:lineRule="auto"/>
        <w:tabs>
          <w:tab w:leader="none" w:pos="2701" w:val="left"/>
        </w:tabs>
        <w:numPr>
          <w:ilvl w:val="2"/>
          <w:numId w:val="23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240" w:firstLine="1305"/>
        <w:spacing w:after="0" w:line="291" w:lineRule="auto"/>
        <w:tabs>
          <w:tab w:leader="none" w:pos="195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right="60" w:firstLine="8"/>
        <w:spacing w:after="0" w:line="255" w:lineRule="auto"/>
        <w:tabs>
          <w:tab w:leader="none" w:pos="2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w:t>
      </w:r>
    </w:p>
    <w:p>
      <w:pPr>
        <w:spacing w:after="0" w:line="190" w:lineRule="exact"/>
        <w:rPr>
          <w:rFonts w:ascii="Arial" w:cs="Arial" w:eastAsia="Arial" w:hAnsi="Arial"/>
          <w:sz w:val="18"/>
          <w:szCs w:val="18"/>
          <w:color w:val="auto"/>
        </w:rPr>
      </w:pPr>
    </w:p>
    <w:p>
      <w:pPr>
        <w:ind w:left="740" w:right="480" w:firstLine="1294"/>
        <w:spacing w:after="0" w:line="264" w:lineRule="auto"/>
        <w:tabs>
          <w:tab w:leader="none" w:pos="2706" w:val="left"/>
        </w:tabs>
        <w:numPr>
          <w:ilvl w:val="2"/>
          <w:numId w:val="237"/>
        </w:numPr>
        <w:rPr>
          <w:rFonts w:ascii="Arial" w:cs="Arial" w:eastAsia="Arial" w:hAnsi="Arial"/>
          <w:sz w:val="18"/>
          <w:szCs w:val="18"/>
          <w:color w:val="auto"/>
        </w:rPr>
      </w:pPr>
      <w:r>
        <w:rPr>
          <w:rFonts w:ascii="Arial" w:cs="Arial" w:eastAsia="Arial" w:hAnsi="Arial"/>
          <w:sz w:val="18"/>
          <w:szCs w:val="18"/>
          <w:color w:val="auto"/>
        </w:rPr>
        <w:t>none of the Administrative Agent or any of its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ind w:left="740" w:right="40" w:firstLine="1294"/>
        <w:spacing w:after="0" w:line="302" w:lineRule="auto"/>
        <w:tabs>
          <w:tab w:leader="none" w:pos="2715"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ectPr>
          <w:pgSz w:w="11900" w:h="16838" w:orient="portrait"/>
          <w:cols w:equalWidth="0" w:num="1">
            <w:col w:w="11400"/>
          </w:cols>
          <w:pgMar w:left="240" w:top="125" w:right="259" w:bottom="0" w:gutter="0" w:footer="0" w:header="0"/>
        </w:sectPr>
      </w:pPr>
    </w:p>
    <w:bookmarkStart w:id="139" w:name="page140"/>
    <w:bookmarkEnd w:id="139"/>
    <w:p>
      <w:pPr>
        <w:ind w:left="740" w:right="180" w:firstLine="1294"/>
        <w:spacing w:after="0" w:line="312" w:lineRule="auto"/>
        <w:tabs>
          <w:tab w:leader="none" w:pos="2725"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ind w:left="740" w:right="220" w:firstLine="1294"/>
        <w:spacing w:after="0" w:line="259" w:lineRule="auto"/>
        <w:tabs>
          <w:tab w:leader="none" w:pos="270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740" w:right="540" w:firstLine="1294"/>
        <w:spacing w:after="0" w:line="308" w:lineRule="auto"/>
        <w:tabs>
          <w:tab w:leader="none" w:pos="2692" w:val="left"/>
        </w:tabs>
        <w:numPr>
          <w:ilvl w:val="1"/>
          <w:numId w:val="238"/>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the Administrative Agent or any its respective Affiliates for investment advice (as opposed to other services) in connection with the Loans, the Commitments or this Agreement.</w:t>
      </w:r>
    </w:p>
    <w:p>
      <w:pPr>
        <w:spacing w:after="0" w:line="146" w:lineRule="exact"/>
        <w:rPr>
          <w:rFonts w:ascii="Arial" w:cs="Arial" w:eastAsia="Arial" w:hAnsi="Arial"/>
          <w:sz w:val="17"/>
          <w:szCs w:val="17"/>
          <w:color w:val="auto"/>
        </w:rPr>
      </w:pPr>
    </w:p>
    <w:p>
      <w:pPr>
        <w:jc w:val="both"/>
        <w:ind w:right="180" w:firstLine="1305"/>
        <w:spacing w:after="0" w:line="264" w:lineRule="auto"/>
        <w:tabs>
          <w:tab w:leader="none" w:pos="19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Administrative Agent hereby informs each Lender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CONTINUING GUARANTY</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Guarantee of Obligations</w:t>
      </w:r>
      <w:r>
        <w:rPr>
          <w:rFonts w:ascii="Arial" w:cs="Arial" w:eastAsia="Arial" w:hAnsi="Arial"/>
          <w:sz w:val="17"/>
          <w:szCs w:val="17"/>
          <w:color w:val="auto"/>
        </w:rPr>
        <w:t>. Each of the Guarantors hereby, jointly and severally, absolutely, unconditionally and irrevocably, guarantees, as primary obligor and not merely as surety, to the Administrative Agent, for the benefit of the Lenders and their respective successors, indorsees, transferees and assigns, the prompt and complete payment and performance by each other Guarantor and the Borrower when due (whether at the stated maturity, by acceleration or otherwise) of the Obligations hereunder and under any other Loan Document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Each Guarantor shall be liable under its guarantee set forth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without any limitation as to amount, for all present and future Guaranteed Obligations, including specifically all future increases in the outstanding amount of the Loans or other Guaranteed Obligations and other future increases in the Guaranteed Obligations, whether or not any such increase is committed, contemplated or provided for by the Loan Documents on the Effective Date. Without limiting the generality of the foregoing, each Guarantor’s liability shall extend to all Guaranteed Obligations (including, without limitation, interest, fees, costs and expenses) that would be owed by any other obligor on the Guaranteed Obligations but for the fact that they are unenforceable or not allowable due to the existence of a proceeding under any Debtor Relief Law involving such other obligor because it is the intention of the Guarantors and the Lenders that the Lenders which are guaranteed by the Guarantors pursuant hereto should be determined without regard to any rule of law or order which may relieve the Borrower or any Guarantor of any portion of such Guaranteed Obligations.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Limitation on Obligations Guaranteed</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71" w:lineRule="auto"/>
        <w:tabs>
          <w:tab w:leader="none" w:pos="194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hereof, the right of recovery against each Guarantor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exceed $1.00 less than the lowest amount which would render such Guarantor’s obligations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Guaranteed Obligations of each Guarantor in respect of the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at any time shall be limited to the maximum amount as will result in the Guaranteed Obligations of such Guarantor with respect thereto hereof not constituting a fraudulent transfer or conveyance after giving full effect to the liability under such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its related contribution rights but before taking into account any liabilities under any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guarantee by such Guarantor. For purposes of the foregoing, all guarantees of such Guarantor other than the guarantee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will be deemed to be enforceable and payable after the guaranty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fullest extent permitted by applicable law, this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shall be for the benefit solely of creditors and representatives of creditors of each Guarantor and not for the benefit of such Guarantor or the holders of any Equity Interest in such Guarantor.</w:t>
      </w:r>
    </w:p>
    <w:p>
      <w:pPr>
        <w:spacing w:after="0" w:line="187" w:lineRule="exact"/>
        <w:rPr>
          <w:sz w:val="20"/>
          <w:szCs w:val="20"/>
          <w:color w:val="auto"/>
        </w:rPr>
      </w:pPr>
    </w:p>
    <w:p>
      <w:pPr>
        <w:jc w:val="both"/>
        <w:ind w:right="100" w:firstLine="1305"/>
        <w:spacing w:after="0" w:line="264" w:lineRule="auto"/>
        <w:tabs>
          <w:tab w:leader="none" w:pos="19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Each Guarantor agrees that Guaranteed Obligations may at any time and from time to time be incurred or permitted in an amount exceeding the maximum liability of such Guarantor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without impairing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affecting the rights and remedies of any Lender hereunder.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u w:val="single" w:color="auto"/>
          <w:color w:val="auto"/>
        </w:rPr>
        <w:t>Nature of Guarantee; Continuing Guarantee; Waivers of Defenses Etc.</w:t>
      </w:r>
    </w:p>
    <w:p>
      <w:pPr>
        <w:spacing w:after="0" w:line="225" w:lineRule="exact"/>
        <w:rPr>
          <w:sz w:val="20"/>
          <w:szCs w:val="20"/>
          <w:color w:val="auto"/>
        </w:rPr>
      </w:pPr>
    </w:p>
    <w:p>
      <w:pPr>
        <w:ind w:right="100" w:firstLine="1305"/>
        <w:spacing w:after="0" w:line="255" w:lineRule="auto"/>
        <w:tabs>
          <w:tab w:leader="none" w:pos="19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Each Guarantor understands and agrees that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construed 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Guaranteed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Guaranteed Obligations).</w:t>
      </w:r>
    </w:p>
    <w:p>
      <w:pPr>
        <w:sectPr>
          <w:pgSz w:w="11900" w:h="16838" w:orient="portrait"/>
          <w:cols w:equalWidth="0" w:num="1">
            <w:col w:w="11420"/>
          </w:cols>
          <w:pgMar w:left="240" w:top="125" w:right="239" w:bottom="0" w:gutter="0" w:footer="0" w:header="0"/>
        </w:sectPr>
      </w:pPr>
    </w:p>
    <w:bookmarkStart w:id="140" w:name="page141"/>
    <w:bookmarkEnd w:id="140"/>
    <w:p>
      <w:pPr>
        <w:ind w:firstLine="1305"/>
        <w:spacing w:after="0" w:line="289" w:lineRule="auto"/>
        <w:tabs>
          <w:tab w:leader="none" w:pos="19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Guarantor agrees that the Guaranteed Obligations of each Guarantor hereunder are independent of the Guaranteed Obligations of each other Guarantor and of any other guarantee of the Guaranteed Obligations and when making any demand hereunder or otherwise pursuing its rights and remedies hereunder against any Guarantor, any Lender may, but shall be under no obligation to, make a similar demand on or otherwise pursue such rights and remedies as it may have against the Borrower, any other Guarantor or any other Person or against any other guarantee for the Guaranteed Obligations or any right of offset with respect thereto, and any failure by any Lender to make any such demand, to pursue such other rights or remedies or to collect any payments from the Borrower, any other Guarantor or any other Person or to realize upon any such guarantee or to exercise any such right of offset, or any release of the Borrower, any other Guarantor or any other Person or any such guarantee or right of offset, shall not relieve any Guarantor of any obligation or liability hereunder, and shall not impair or affect the rights and remedies, whether express, implied or available as a matter of law, of any Lender against any Guarantor. For the purposes hereof “demand” shall include the commencement and continuance of any legal proceedings.</w:t>
      </w:r>
    </w:p>
    <w:p>
      <w:pPr>
        <w:spacing w:after="0" w:line="166" w:lineRule="exact"/>
        <w:rPr>
          <w:rFonts w:ascii="Arial" w:cs="Arial" w:eastAsia="Arial" w:hAnsi="Arial"/>
          <w:sz w:val="16"/>
          <w:szCs w:val="16"/>
          <w:color w:val="auto"/>
        </w:rPr>
      </w:pPr>
    </w:p>
    <w:p>
      <w:pPr>
        <w:ind w:right="40" w:firstLine="1305"/>
        <w:spacing w:after="0" w:line="257" w:lineRule="auto"/>
        <w:tabs>
          <w:tab w:leader="none" w:pos="19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payment made by the Borrower, any of the Guarantors, any other guarantor or any other Person or received or collected by any Lender from the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remain liable for the Guaranteed Obligations until the Discharge of the Guaranteed Obligations.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259" w:lineRule="auto"/>
        <w:tabs>
          <w:tab w:leader="none" w:pos="194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each Guarantor agrees that its obligations under and in respect of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any security interest securing the Guaranteed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86" w:lineRule="exact"/>
        <w:rPr>
          <w:rFonts w:ascii="Arial" w:cs="Arial" w:eastAsia="Arial" w:hAnsi="Arial"/>
          <w:sz w:val="18"/>
          <w:szCs w:val="18"/>
          <w:color w:val="auto"/>
        </w:rPr>
      </w:pPr>
    </w:p>
    <w:p>
      <w:pPr>
        <w:ind w:left="740" w:right="120" w:firstLine="1294"/>
        <w:spacing w:after="0" w:line="277" w:lineRule="auto"/>
        <w:tabs>
          <w:tab w:leader="none" w:pos="270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validity or enforceability of this Agreement or any other Loan Document, any of the Guaranteed Obligations or any guarantee or right of offset with respect thereto at any time or from time to time held by any Lender;</w:t>
      </w:r>
    </w:p>
    <w:p>
      <w:pPr>
        <w:spacing w:after="0" w:line="170" w:lineRule="exact"/>
        <w:rPr>
          <w:rFonts w:ascii="Arial" w:cs="Arial" w:eastAsia="Arial" w:hAnsi="Arial"/>
          <w:sz w:val="18"/>
          <w:szCs w:val="18"/>
          <w:color w:val="auto"/>
        </w:rPr>
      </w:pPr>
    </w:p>
    <w:p>
      <w:pPr>
        <w:ind w:left="740" w:right="780" w:firstLine="1294"/>
        <w:spacing w:after="0" w:line="308" w:lineRule="auto"/>
        <w:tabs>
          <w:tab w:leader="none" w:pos="2715"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any renewal, extension or acceleration of, or any increase in the amount of the Guaranteed Obligations, or any amendment, supplement, modification or waiver of, or any consent to departure from, the Loan Documents;</w:t>
      </w:r>
    </w:p>
    <w:p>
      <w:pPr>
        <w:spacing w:after="0" w:line="146" w:lineRule="exact"/>
        <w:rPr>
          <w:rFonts w:ascii="Arial" w:cs="Arial" w:eastAsia="Arial" w:hAnsi="Arial"/>
          <w:sz w:val="17"/>
          <w:szCs w:val="17"/>
          <w:color w:val="auto"/>
        </w:rPr>
      </w:pPr>
    </w:p>
    <w:p>
      <w:pPr>
        <w:jc w:val="both"/>
        <w:ind w:left="740" w:firstLine="1294"/>
        <w:spacing w:after="0" w:line="279" w:lineRule="auto"/>
        <w:tabs>
          <w:tab w:leader="none" w:pos="2725"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740" w:right="280" w:firstLine="1294"/>
        <w:spacing w:after="0" w:line="277" w:lineRule="auto"/>
        <w:tabs>
          <w:tab w:leader="none" w:pos="270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change, reorganization or termination of the corporate structure or existence of the Borrower or any Guarantor or any of their Subsidiaries and any corresponding restructuring of the Guaranteed Obligations;</w:t>
      </w:r>
    </w:p>
    <w:p>
      <w:pPr>
        <w:spacing w:after="0" w:line="170" w:lineRule="exact"/>
        <w:rPr>
          <w:rFonts w:ascii="Arial" w:cs="Arial" w:eastAsia="Arial" w:hAnsi="Arial"/>
          <w:sz w:val="18"/>
          <w:szCs w:val="18"/>
          <w:color w:val="auto"/>
        </w:rPr>
      </w:pPr>
    </w:p>
    <w:p>
      <w:pPr>
        <w:jc w:val="both"/>
        <w:ind w:left="740" w:right="240" w:firstLine="1294"/>
        <w:spacing w:after="0" w:line="264" w:lineRule="auto"/>
        <w:tabs>
          <w:tab w:leader="none" w:pos="269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settlement, compromise, release, or discharge of, or acceptance or refusal of any offer of payment or performance with respect to, or any substitution for, the Guaranteed Obligations, or any subordination of the Guaranteed Obligations to any other obligations; and</w:t>
      </w:r>
    </w:p>
    <w:p>
      <w:pPr>
        <w:spacing w:after="0" w:line="181" w:lineRule="exact"/>
        <w:rPr>
          <w:rFonts w:ascii="Arial" w:cs="Arial" w:eastAsia="Arial" w:hAnsi="Arial"/>
          <w:sz w:val="18"/>
          <w:szCs w:val="18"/>
          <w:color w:val="auto"/>
        </w:rPr>
      </w:pPr>
    </w:p>
    <w:p>
      <w:pPr>
        <w:ind w:left="740" w:right="20" w:firstLine="1294"/>
        <w:spacing w:after="0" w:line="302" w:lineRule="auto"/>
        <w:tabs>
          <w:tab w:leader="none" w:pos="270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 xml:space="preserve">any other circumstance whatsoever which may or might in any manner or to any extent vary the risk of any Guarantor as an obligor in respect of the Obligations in respect of the Facility or which constitutes, or might be construed to constitute, an equitable or legal discharge of the Borrower or any Guarantor for the Guaranteed Obligations, or of such Guarantor under the guarantee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of any security interest granted by any Guarantor, whether in a proceeding under any Debtor Relief Law or in any other instance.</w:t>
      </w:r>
    </w:p>
    <w:p>
      <w:pPr>
        <w:spacing w:after="0" w:line="154" w:lineRule="exact"/>
        <w:rPr>
          <w:rFonts w:ascii="Arial" w:cs="Arial" w:eastAsia="Arial" w:hAnsi="Arial"/>
          <w:sz w:val="16"/>
          <w:szCs w:val="16"/>
          <w:color w:val="auto"/>
        </w:rPr>
      </w:pPr>
    </w:p>
    <w:p>
      <w:pPr>
        <w:jc w:val="both"/>
        <w:ind w:right="20" w:firstLine="1305"/>
        <w:spacing w:after="0" w:line="259" w:lineRule="auto"/>
        <w:tabs>
          <w:tab w:leader="none" w:pos="196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Lender, including, without limitation, failure of consideration, breach of warranty, statute of frauds, statute of limitations, accord and satisfaction and usury, other than payment in full in cash of all Guaranteed Obligations and a termination of all Commitments.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Rights of Reimbursement, Contribution and Subrogation</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case any payment is made on account of the Guaranteed Obligations by any Guarantor or is received or collected on account of the Guaranteed Obligations from any Guarantor or its property:</w:t>
      </w:r>
    </w:p>
    <w:p>
      <w:pPr>
        <w:spacing w:after="0" w:line="170" w:lineRule="exact"/>
        <w:rPr>
          <w:sz w:val="20"/>
          <w:szCs w:val="20"/>
          <w:color w:val="auto"/>
        </w:rPr>
      </w:pPr>
    </w:p>
    <w:p>
      <w:pPr>
        <w:ind w:right="100" w:firstLine="1305"/>
        <w:spacing w:after="0" w:line="289" w:lineRule="auto"/>
        <w:tabs>
          <w:tab w:leader="none" w:pos="194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If such payment is made by a Guarantor or the Borrower or from its property in respect of the Guaranteed Obligations of another Guarantor, such Guarantor shall be entitled, subject to and upon (but not before) the Discharge of the Guaranteed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will be deemed to be enforceable and payable after the guaranty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w:t>
      </w:r>
    </w:p>
    <w:p>
      <w:pPr>
        <w:spacing w:after="0" w:line="166" w:lineRule="exact"/>
        <w:rPr>
          <w:rFonts w:ascii="Arial" w:cs="Arial" w:eastAsia="Arial" w:hAnsi="Arial"/>
          <w:sz w:val="16"/>
          <w:szCs w:val="16"/>
          <w:color w:val="auto"/>
        </w:rPr>
      </w:pPr>
    </w:p>
    <w:p>
      <w:pPr>
        <w:ind w:right="240" w:firstLine="1305"/>
        <w:spacing w:after="0" w:line="312" w:lineRule="auto"/>
        <w:tabs>
          <w:tab w:leader="none" w:pos="195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right of subrogation of any Guarantor or the Borrower shall be enforceable solely after the Discharge of the Guaranteed Obligations and solely against the Guarantors or the Borrower, and not against the Lender, and neither the Administrative Agent nor any other Lender shall have any duty whatsoever to warrant, ensure or protect any such right of subrogation for any purpose related to any such right of subrogation.</w:t>
      </w:r>
    </w:p>
    <w:p>
      <w:pPr>
        <w:sectPr>
          <w:pgSz w:w="11900" w:h="16838" w:orient="portrait"/>
          <w:cols w:equalWidth="0" w:num="1">
            <w:col w:w="11420"/>
          </w:cols>
          <w:pgMar w:left="240" w:top="125" w:right="239" w:bottom="0" w:gutter="0" w:footer="0" w:header="0"/>
        </w:sectPr>
      </w:pPr>
    </w:p>
    <w:bookmarkStart w:id="141" w:name="page142"/>
    <w:bookmarkEnd w:id="141"/>
    <w:p>
      <w:pPr>
        <w:ind w:right="20" w:firstLine="1305"/>
        <w:spacing w:after="0" w:line="270" w:lineRule="auto"/>
        <w:tabs>
          <w:tab w:leader="none" w:pos="19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All rights and claims arising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or based upon or relating to any other right of reimbursement, indemnification, contribution or subrogation that may at any time arise or exist in favor of any Guarantor or the Borrower as to any payment on account of the Guaranteed Obligations, in each case made by it or received or collected from its property, shall be fully subordinated to the Guaranteed Obligations in all respects prior to the Discharge of the Guaranteed Obligations. Until the Discharge of the Guaranteed Obligations, no Guarantor may demand or receive any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Guaranteed Obligations. If any such payment or distribution is received by any Guarantor, it shall be held by such Guarantor in trust, as trustee of an express trust for the benefit of the Lenders, and shall forthwith be transferred and delivered by such Guarantor to the Administrative Agent, in the exact form received and, if necessary, duly endorsed.</w:t>
      </w:r>
    </w:p>
    <w:p>
      <w:pPr>
        <w:spacing w:after="0" w:line="177" w:lineRule="exact"/>
        <w:rPr>
          <w:rFonts w:ascii="Arial" w:cs="Arial" w:eastAsia="Arial" w:hAnsi="Arial"/>
          <w:sz w:val="17"/>
          <w:szCs w:val="17"/>
          <w:color w:val="auto"/>
        </w:rPr>
      </w:pPr>
    </w:p>
    <w:p>
      <w:pPr>
        <w:ind w:right="20" w:firstLine="1305"/>
        <w:spacing w:after="0" w:line="312" w:lineRule="auto"/>
        <w:tabs>
          <w:tab w:leader="none" w:pos="195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obligations of the Guarantors under this Agreement and the other Loan Documents, including their liability for the Guaranteed Obligations, are not contingent upon the validity, legality, enforceability, collectability or sufficiency of any right of reimbursement, contribution or subrogation arising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otherwise. The invalidity, insufficiency, unenforceability or uncollectability of any such right shall not in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respect diminish, affect or impair any such obligation or any other claim, interest, right or remedy at any time held by any Lender against any Guarantor or its property. The Lenders make no representations or warranties in respect of any such right and shall have no duty to assure, protect, enforce or ensure any such right or otherwise relating to any such right.</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in immediately available funds at the Administrative Agent’s Office.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Subordination of Other Obligations</w:t>
      </w:r>
      <w:r>
        <w:rPr>
          <w:rFonts w:ascii="Arial" w:cs="Arial" w:eastAsia="Arial" w:hAnsi="Arial"/>
          <w:sz w:val="18"/>
          <w:szCs w:val="18"/>
          <w:color w:val="auto"/>
        </w:rPr>
        <w:t>. Any Indebtedness of the Borrower or any Guarantor now or hereafter held by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whether as original creditor, assignee, or by way of subrogation, restitution or otherwise, is hereby subordinated in right of payment to the Guaranteed Obligations, and any such Indebtedness collected or received by the Obligee Guarantor after an Event of Default has occurred and is continuing shall be held in trust for the Administrative Agent on behalf of the Lenders and shall forthwith be paid over to the Administrative Agent for the benefit of the Lenders to be credited and applied against the Guaranteed Obligations but without affecting, impairing or limiting in any manner the liability of the Obligee Guarantor under any other provision hereof.</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Financial Condition of Borrower and Guarantors</w:t>
      </w:r>
      <w:r>
        <w:rPr>
          <w:rFonts w:ascii="Arial" w:cs="Arial" w:eastAsia="Arial" w:hAnsi="Arial"/>
          <w:sz w:val="18"/>
          <w:szCs w:val="18"/>
          <w:color w:val="auto"/>
        </w:rPr>
        <w:t>. Any Credit Extension may be made to the Borrower or continued from time to time without notice to or authorization from any Guarantor regardless of the financial or other condition of Borrower or any Guarantor at the time of any such grant or continuation. No Lender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and each Guarantor assumes responsibility for being and keeping informed of the financial condition of Borrower and each other Guarantor and of all circumstances bearing upon the risk of nonpayment of the Guaranteed Obligations. Each Guarantor hereby waives and relinquishes any duty on the part of any Lender to disclose any matter, fact or thing relating to the business, operations or conditions of the Borrower or any other Guarantor now known or hereafter known by any Lender.</w:t>
      </w:r>
    </w:p>
    <w:p>
      <w:pPr>
        <w:spacing w:after="0" w:line="19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Guaranteed Obligations accruing or arising after the date on which such case or proceeding is commenced.</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Duration of Guaranty</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remain in full force and effect until the Discharge of the Guaranteed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Reinstatement</w:t>
      </w:r>
      <w:r>
        <w:rPr>
          <w:rFonts w:ascii="Arial" w:cs="Arial" w:eastAsia="Arial" w:hAnsi="Arial"/>
          <w:sz w:val="16"/>
          <w:szCs w:val="16"/>
          <w:color w:val="auto"/>
        </w:rPr>
        <w:t>. If at any time payment of any of the Guaranteed Obligations or any portion thereof is rescinded, disgorged or must otherwise be restored or returned by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Lender repays, restores, or returns, in whole or in part, any payment or property previously paid or transferred to the Lender in full or partial satisfaction of any Guaranteed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6"/>
          <w:szCs w:val="16"/>
          <w:u w:val="single" w:color="auto"/>
          <w:color w:val="auto"/>
        </w:rPr>
        <w:t>Voidable Transfer</w:t>
      </w:r>
      <w:r>
        <w:rPr>
          <w:rFonts w:ascii="Arial" w:cs="Arial" w:eastAsia="Arial" w:hAnsi="Arial"/>
          <w:sz w:val="16"/>
          <w:szCs w:val="16"/>
          <w:color w:val="auto"/>
        </w:rPr>
        <w:t>”), or because such Lender elects to do so on the reasonable advice of its counsel in connection with an assertion that the payment, transfer or incurrence is a Voidable Transfer, then, as to any such Voidable Transfer and as to all reasonable costs, expenses and attorney’s fees of the Lender related thereto, the liability of each Guarantor hereunder will automatically and immediately be revived, reinstated, and restored and will exist as though the Voidable Transfer had never been made.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waiver or consent shall:</w:t>
      </w:r>
    </w:p>
    <w:p>
      <w:pPr>
        <w:sectPr>
          <w:pgSz w:w="11900" w:h="16838" w:orient="portrait"/>
          <w:cols w:equalWidth="0" w:num="1">
            <w:col w:w="11420"/>
          </w:cols>
          <w:pgMar w:left="240" w:top="125" w:right="239" w:bottom="0" w:gutter="0" w:footer="0" w:header="0"/>
        </w:sectPr>
      </w:pPr>
    </w:p>
    <w:bookmarkStart w:id="142" w:name="page143"/>
    <w:bookmarkEnd w:id="142"/>
    <w:p>
      <w:pPr>
        <w:ind w:right="40" w:firstLine="1305"/>
        <w:spacing w:after="0" w:line="277" w:lineRule="auto"/>
        <w:tabs>
          <w:tab w:leader="none" w:pos="194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solely in the case of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without the written consent of each Lender party hereto at the time of such Credit Extension;</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220" w:firstLine="1305"/>
        <w:spacing w:after="0" w:line="264" w:lineRule="auto"/>
        <w:tabs>
          <w:tab w:leader="none" w:pos="19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or payments of increased costs or indemnities) of principal, interest, fees or other amounts due to the Lenders (or any of them) hereunder or under such other Loan Document without the written consent of each Lender directly entitled to such payment;</w:t>
      </w:r>
    </w:p>
    <w:p>
      <w:pPr>
        <w:spacing w:after="0" w:line="181"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(subject to clause (iii)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directly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 to pay interest, or any other Obligations, at the Default Rate;</w:t>
      </w:r>
    </w:p>
    <w:p>
      <w:pPr>
        <w:spacing w:after="0" w:line="186"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or (ii)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in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manner that would alter the pro rata sharing of payments required thereby without the written consent of each Lender directly adversely affected thereby;</w:t>
      </w:r>
    </w:p>
    <w:p>
      <w:pPr>
        <w:spacing w:after="0" w:line="248" w:lineRule="exact"/>
        <w:rPr>
          <w:sz w:val="20"/>
          <w:szCs w:val="20"/>
          <w:color w:val="auto"/>
        </w:rPr>
      </w:pPr>
    </w:p>
    <w:p>
      <w:pPr>
        <w:ind w:right="300" w:firstLine="1305"/>
        <w:spacing w:after="0" w:line="312" w:lineRule="auto"/>
        <w:tabs>
          <w:tab w:leader="none" w:pos="194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change any provision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or clause (x) of the first sentence of </w:t>
      </w:r>
      <w:r>
        <w:rPr>
          <w:rFonts w:ascii="Arial" w:cs="Arial" w:eastAsia="Arial" w:hAnsi="Arial"/>
          <w:sz w:val="16"/>
          <w:szCs w:val="16"/>
          <w:u w:val="single" w:color="auto"/>
          <w:color w:val="auto"/>
        </w:rPr>
        <w:t>Section 11.06(a)</w:t>
      </w:r>
      <w:r>
        <w:rPr>
          <w:rFonts w:ascii="Arial" w:cs="Arial" w:eastAsia="Arial" w:hAnsi="Arial"/>
          <w:sz w:val="16"/>
          <w:szCs w:val="16"/>
          <w:color w:val="auto"/>
        </w:rPr>
        <w:t xml:space="preserve"> without the written consent of each Lender; or</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Guaranty without the written consent of each Lender;</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Commitment of such Lender may not be increased or extended without the consent of such Lender, (b) no amendment, waiver or consent hereunder shall reduce the principal of, or the rate of interest specified herein on, any Loan payable hereunder or under any other Loan Document without the written consent of such Lender directly entitled to such amount and (c) 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the Borrower may replace such non-consenting Lender in accordance with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Notwithstanding anything to the contrary in this Agreement or any other Loan Document (including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only the consent of the Administrative Agent and the Borrower shall be required to amend this Agreement to reflect an alternate rate of interest as to which the Required Lenders shall not have objected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9" w:lineRule="auto"/>
        <w:tabs>
          <w:tab w:leader="none" w:pos="1942"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740" w:right="720" w:firstLine="1294"/>
        <w:spacing w:after="0" w:line="277" w:lineRule="auto"/>
        <w:tabs>
          <w:tab w:leader="none" w:pos="270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if to the Loan Parties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40" w:right="720" w:firstLine="1294"/>
        <w:spacing w:after="0" w:line="277" w:lineRule="auto"/>
        <w:tabs>
          <w:tab w:leader="none" w:pos="271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to any Lender, to the address, telecopier number, electronic mail address or telephone number specified in its Administrative Questionnaire.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ectPr>
          <w:pgSz w:w="11900" w:h="16838" w:orient="portrait"/>
          <w:cols w:equalWidth="0" w:num="1">
            <w:col w:w="11420"/>
          </w:cols>
          <w:pgMar w:left="240" w:top="125" w:right="239" w:bottom="0" w:gutter="0" w:footer="0" w:header="0"/>
        </w:sectPr>
      </w:pPr>
    </w:p>
    <w:bookmarkStart w:id="143" w:name="page144"/>
    <w:bookmarkEnd w:id="143"/>
    <w:p>
      <w:pPr>
        <w:spacing w:after="0" w:line="36" w:lineRule="exact"/>
        <w:rPr>
          <w:sz w:val="20"/>
          <w:szCs w:val="20"/>
          <w:color w:val="auto"/>
        </w:rPr>
      </w:pPr>
    </w:p>
    <w:p>
      <w:pPr>
        <w:ind w:right="20" w:firstLine="1305"/>
        <w:spacing w:after="0" w:line="255" w:lineRule="auto"/>
        <w:tabs>
          <w:tab w:leader="none" w:pos="195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ind w:right="300" w:firstLine="1305"/>
        <w:spacing w:after="0" w:line="264" w:lineRule="auto"/>
        <w:tabs>
          <w:tab w:leader="none" w:pos="1955"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ERRORS IN OR OMISSIONS FROM THE BORROWER MATERIALS. NO WARRANTY OF ANY KIND, EXPRESS, IMPLIED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STATUTORY, INCLUDING ANY WARRANTY OF MERCHANTABILITY, FITNESS FOR A PARTICULAR PURPOSE, NON-INFRINGEMENT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THIRD PARTY RIGHTS OR FREEDOM FROM VIRUSES OR OTHER CODE DEFECTS, IS MADE BY ANY AGENT PARTY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THE BORROWER MATERIALS OR THE PLATFORM. In no event shall the Administrative Agent or any of its Related Parties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any Loan Party, any Lender, or any other Person for losses, claims, damages, liabilities or expenses of any kind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tort, contract or otherwise) arising out of the Borrower’s or the Administrative Agent’s transmission of Borrower Materials through the Internet, except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losses, claims, damages, liabilities or expenses are determined by a court of competent jurisdiction by a final and nonappealable judgment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Agent Party have any liability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Party, any Lender, or any other Person for indirect, special, incidental, consequential or punitive damages (as opposed to direct or actual damages).</w:t>
      </w:r>
    </w:p>
    <w:p>
      <w:pPr>
        <w:spacing w:after="0" w:line="234" w:lineRule="exact"/>
        <w:rPr>
          <w:sz w:val="20"/>
          <w:szCs w:val="20"/>
          <w:color w:val="auto"/>
        </w:rPr>
      </w:pPr>
    </w:p>
    <w:p>
      <w:pPr>
        <w:jc w:val="both"/>
        <w:ind w:right="200" w:firstLine="1305"/>
        <w:spacing w:after="0" w:line="285" w:lineRule="auto"/>
        <w:tabs>
          <w:tab w:leader="none" w:pos="1952"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Loan Parties and the Administrative Agent may change its address, telecopier or telephone number for notices and other communications hereunder by notice to the other parties hereto. Each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2"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8" w:lineRule="exact"/>
        <w:rPr>
          <w:rFonts w:ascii="Arial" w:cs="Arial" w:eastAsia="Arial" w:hAnsi="Arial"/>
          <w:sz w:val="16"/>
          <w:szCs w:val="16"/>
          <w:color w:val="auto"/>
        </w:rPr>
      </w:pPr>
    </w:p>
    <w:p>
      <w:pPr>
        <w:ind w:right="20" w:firstLine="1305"/>
        <w:spacing w:after="0" w:line="255" w:lineRule="auto"/>
        <w:tabs>
          <w:tab w:leader="none" w:pos="195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 No failure by any Lender or the Administrative Agent to exercise, and no delay by any such Person in exercising, any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2.10</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144" w:name="page145"/>
    <w:bookmarkEnd w:id="144"/>
    <w:p>
      <w:pPr>
        <w:spacing w:after="0" w:line="106" w:lineRule="exact"/>
        <w:rPr>
          <w:sz w:val="20"/>
          <w:szCs w:val="20"/>
          <w:color w:val="auto"/>
        </w:rPr>
      </w:pPr>
    </w:p>
    <w:p>
      <w:pPr>
        <w:ind w:right="60" w:firstLine="1305"/>
        <w:spacing w:after="0" w:line="268" w:lineRule="auto"/>
        <w:tabs>
          <w:tab w:leader="none" w:pos="1942"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Arrangers, the Administrative Agent and their respective Affiliates (including the reasonable and documented or invoiced fees and expenses of one counsel per relevant jurisdiction for the Arrangers and the Administrative Agent and one local counsel per relevant jurisdiction (which may include a single counsel acting in multiple jurisdictions) and one special counsel, including special regulatory counsel, per relevant jurisdiction), in connection with the Facility and the contemplated use of proceeds thereof and the preparation, negotiation, execution, delivery and administration of this Agreement and the other Loan Documents and any amendments, modifications or waivers of the provisions hereof or thereof (whether or not the NRG Transactions or the other transactions contemplated hereby or thereby shall be consummated) and any ancillary documents in connection therewith and (ii) all out-of-pocket expenses incurred by the Administrative Agent or any Lender (including the fees and expenses of any counsel for the Administrative Agent or any Lender), in connection with the enforcement or protection of its rights (A) in connection with this Agreement and the other Loan Documents and the NRG Transactions, including its rights under this Section and (B) in connection with Loans made hereunder, including all such out-of-pocket expenses incurred during any workout, restructuring or negotiations in respect of such Loans. The Borrower acknowledges that the Administrative Agent or the Arrangers may receive a benefit, including without limitation, a discount, credit or other accommodation, from counsel based on the fees such counsel may receive on account of their relationship with the Administrative Agent or the Arrangers.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4" w:lineRule="auto"/>
        <w:tabs>
          <w:tab w:leader="none" w:pos="1952"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Arrangers, the Administrative Agent (and any sub-agent thereof),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joint or several, (including the fees and expenses of one counsel and local and special counsel for the Indemnitees (except to the extent that an Indemnitee shall have 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6"/>
          <w:szCs w:val="16"/>
          <w:u w:val="single" w:color="auto"/>
          <w:color w:val="auto"/>
        </w:rPr>
        <w:t>Sections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which shall be governed by the relevant terms and conditions set forth therein)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NRG Transactions and the other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 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(x) result from a claim brought by one Indemnitee against another Indemnitee (other than claims 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396" w:lineRule="exact"/>
        <w:rPr>
          <w:rFonts w:ascii="Arial" w:cs="Arial" w:eastAsia="Arial" w:hAnsi="Arial"/>
          <w:sz w:val="16"/>
          <w:szCs w:val="16"/>
          <w:color w:val="auto"/>
        </w:rPr>
      </w:pPr>
    </w:p>
    <w:p>
      <w:pPr>
        <w:ind w:right="120" w:firstLine="1305"/>
        <w:spacing w:after="0" w:line="297" w:lineRule="auto"/>
        <w:tabs>
          <w:tab w:leader="none" w:pos="195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at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against the Administrative 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 </w:t>
      </w:r>
      <w:r>
        <w:rPr>
          <w:rFonts w:ascii="Arial" w:cs="Arial" w:eastAsia="Arial" w:hAnsi="Arial"/>
          <w:sz w:val="18"/>
          <w:szCs w:val="18"/>
          <w:u w:val="single" w:color="auto"/>
          <w:color w:val="auto"/>
        </w:rPr>
        <w:t>Section 2.09(d)</w:t>
      </w:r>
      <w:r>
        <w:rPr>
          <w:rFonts w:ascii="Arial" w:cs="Arial" w:eastAsia="Arial" w:hAnsi="Arial"/>
          <w:sz w:val="18"/>
          <w:szCs w:val="18"/>
          <w:color w:val="auto"/>
        </w:rPr>
        <w:t>.</w:t>
      </w:r>
    </w:p>
    <w:p>
      <w:pPr>
        <w:spacing w:after="0" w:line="181" w:lineRule="exact"/>
        <w:rPr>
          <w:sz w:val="20"/>
          <w:szCs w:val="20"/>
          <w:color w:val="auto"/>
        </w:rPr>
      </w:pPr>
    </w:p>
    <w:p>
      <w:pPr>
        <w:ind w:firstLine="1305"/>
        <w:spacing w:after="0" w:line="253" w:lineRule="auto"/>
        <w:tabs>
          <w:tab w:leader="none" w:pos="195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NRG Transactions or the other transactions contemplated hereby or thereby, any Loan or the use of the proceeds thereof. No Indemnitee shall be liable for any damages (whether direct or indirect, in contract or tort or otherwise)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right="40" w:firstLine="1305"/>
        <w:spacing w:after="0" w:line="342" w:lineRule="auto"/>
        <w:tabs>
          <w:tab w:leader="none" w:pos="1949"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replacement of any Lender, the termination of the Aggregate Commitments and the repayment, satisfaction or discharge of all the other Obligations in respect of the Facility.</w:t>
      </w:r>
    </w:p>
    <w:p>
      <w:pPr>
        <w:spacing w:after="0" w:line="12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11.05 </w:t>
      </w:r>
      <w:r>
        <w:rPr>
          <w:rFonts w:ascii="Arial" w:cs="Arial" w:eastAsia="Arial" w:hAnsi="Arial"/>
          <w:sz w:val="16"/>
          <w:szCs w:val="16"/>
          <w:u w:val="single" w:color="auto"/>
          <w:color w:val="auto"/>
        </w:rPr>
        <w:t>Payments Set Aside</w:t>
      </w:r>
      <w:r>
        <w:rPr>
          <w:rFonts w:ascii="Arial" w:cs="Arial" w:eastAsia="Arial" w:hAnsi="Arial"/>
          <w:sz w:val="16"/>
          <w:szCs w:val="16"/>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Lender in its discretion) to be repaid to a trustee, receiver or any other party, in connection with any proceeding under any Debtor Relief Law or</w:t>
      </w:r>
    </w:p>
    <w:p>
      <w:pPr>
        <w:sectPr>
          <w:pgSz w:w="11900" w:h="16945" w:orient="portrait"/>
          <w:cols w:equalWidth="0" w:num="1">
            <w:col w:w="11420"/>
          </w:cols>
          <w:pgMar w:left="240" w:top="341" w:right="239" w:bottom="0" w:gutter="0" w:footer="0" w:header="0"/>
        </w:sectPr>
      </w:pPr>
    </w:p>
    <w:bookmarkStart w:id="145" w:name="page146"/>
    <w:bookmarkEnd w:id="145"/>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in respect of the Facility and the termination of this Agreement.</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 xml:space="preserve">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Section 11.06(f)</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w:t>
      </w:r>
    </w:p>
    <w:p>
      <w:pPr>
        <w:spacing w:after="0" w:line="5" w:lineRule="exact"/>
        <w:rPr>
          <w:sz w:val="20"/>
          <w:szCs w:val="20"/>
          <w:color w:val="auto"/>
        </w:rPr>
      </w:pPr>
    </w:p>
    <w:p>
      <w:pPr>
        <w:ind w:right="420" w:firstLine="8"/>
        <w:spacing w:after="0" w:line="261" w:lineRule="auto"/>
        <w:tabs>
          <w:tab w:leader="none" w:pos="2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of this Section and, to the extent expressly contemplated hereby, the Indemnitees and the Related Parties of each of the Administrative Agent and the Lenders) any legal or equitable right, remedy or claim under or by reason of this Agreement.</w:t>
      </w:r>
    </w:p>
    <w:p>
      <w:pPr>
        <w:spacing w:after="0" w:line="183" w:lineRule="exact"/>
        <w:rPr>
          <w:rFonts w:ascii="Arial" w:cs="Arial" w:eastAsia="Arial" w:hAnsi="Arial"/>
          <w:sz w:val="18"/>
          <w:szCs w:val="18"/>
          <w:color w:val="auto"/>
        </w:rPr>
      </w:pPr>
    </w:p>
    <w:p>
      <w:pPr>
        <w:ind w:right="40" w:firstLine="1305"/>
        <w:spacing w:after="0" w:line="264" w:lineRule="auto"/>
        <w:tabs>
          <w:tab w:leader="none" w:pos="1952" w:val="left"/>
        </w:tabs>
        <w:numPr>
          <w:ilvl w:val="2"/>
          <w:numId w:val="25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Loans (but not its Commitments)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1" w:lineRule="exact"/>
        <w:rPr>
          <w:rFonts w:ascii="Arial" w:cs="Arial" w:eastAsia="Arial" w:hAnsi="Arial"/>
          <w:sz w:val="18"/>
          <w:szCs w:val="18"/>
          <w:color w:val="auto"/>
        </w:rPr>
      </w:pPr>
    </w:p>
    <w:p>
      <w:pPr>
        <w:ind w:left="2700" w:hanging="666"/>
        <w:spacing w:after="0"/>
        <w:tabs>
          <w:tab w:leader="none" w:pos="2700" w:val="left"/>
        </w:tabs>
        <w:numPr>
          <w:ilvl w:val="3"/>
          <w:numId w:val="25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firstLine="1301"/>
        <w:spacing w:after="0" w:line="342" w:lineRule="auto"/>
        <w:tabs>
          <w:tab w:leader="none" w:pos="3265" w:val="left"/>
        </w:tabs>
        <w:numPr>
          <w:ilvl w:val="4"/>
          <w:numId w:val="257"/>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Loans at the time owing to it or in the case of an assignment to a Lender, an Affiliate of a Lender or an Approved Fund, no minimum amount need be assigned; and</w:t>
      </w:r>
    </w:p>
    <w:p>
      <w:pPr>
        <w:spacing w:after="0" w:line="123" w:lineRule="exact"/>
        <w:rPr>
          <w:rFonts w:ascii="Arial" w:cs="Arial" w:eastAsia="Arial" w:hAnsi="Arial"/>
          <w:sz w:val="16"/>
          <w:szCs w:val="16"/>
          <w:color w:val="auto"/>
        </w:rPr>
      </w:pPr>
    </w:p>
    <w:p>
      <w:pPr>
        <w:ind w:left="1300" w:right="40" w:firstLine="1301"/>
        <w:spacing w:after="0" w:line="271" w:lineRule="auto"/>
        <w:tabs>
          <w:tab w:leader="none" w:pos="3255" w:val="left"/>
        </w:tabs>
        <w:numPr>
          <w:ilvl w:val="4"/>
          <w:numId w:val="257"/>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any Loans 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8" w:lineRule="exact"/>
        <w:rPr>
          <w:rFonts w:ascii="Arial" w:cs="Arial" w:eastAsia="Arial" w:hAnsi="Arial"/>
          <w:sz w:val="17"/>
          <w:szCs w:val="17"/>
          <w:color w:val="auto"/>
        </w:rPr>
      </w:pPr>
    </w:p>
    <w:p>
      <w:pPr>
        <w:ind w:left="740" w:right="520" w:firstLine="1294"/>
        <w:spacing w:after="0" w:line="277" w:lineRule="auto"/>
        <w:tabs>
          <w:tab w:leader="none" w:pos="2715" w:val="left"/>
        </w:tabs>
        <w:numPr>
          <w:ilvl w:val="3"/>
          <w:numId w:val="25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assigned;</w:t>
      </w:r>
    </w:p>
    <w:p>
      <w:pPr>
        <w:spacing w:after="0" w:line="170" w:lineRule="exact"/>
        <w:rPr>
          <w:rFonts w:ascii="Arial" w:cs="Arial" w:eastAsia="Arial" w:hAnsi="Arial"/>
          <w:sz w:val="18"/>
          <w:szCs w:val="18"/>
          <w:color w:val="auto"/>
        </w:rPr>
      </w:pPr>
    </w:p>
    <w:p>
      <w:pPr>
        <w:ind w:left="2720" w:hanging="686"/>
        <w:spacing w:after="0"/>
        <w:tabs>
          <w:tab w:leader="none" w:pos="2720" w:val="left"/>
        </w:tabs>
        <w:numPr>
          <w:ilvl w:val="3"/>
          <w:numId w:val="257"/>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w:t>
      </w:r>
    </w:p>
    <w:p>
      <w:pPr>
        <w:spacing w:after="0" w:line="46" w:lineRule="exact"/>
        <w:rPr>
          <w:rFonts w:ascii="Arial" w:cs="Arial" w:eastAsia="Arial" w:hAnsi="Arial"/>
          <w:sz w:val="16"/>
          <w:szCs w:val="16"/>
          <w:color w:val="auto"/>
        </w:rPr>
      </w:pPr>
    </w:p>
    <w:p>
      <w:pPr>
        <w:ind w:left="1020" w:hanging="283"/>
        <w:spacing w:after="0"/>
        <w:tabs>
          <w:tab w:leader="none" w:pos="10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of this Section and, in addition: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w:t>
      </w:r>
    </w:p>
    <w:p>
      <w:pPr>
        <w:spacing w:after="0" w:line="46" w:lineRule="exact"/>
        <w:rPr>
          <w:rFonts w:ascii="Arial" w:cs="Arial" w:eastAsia="Arial" w:hAnsi="Arial"/>
          <w:sz w:val="16"/>
          <w:szCs w:val="16"/>
          <w:color w:val="auto"/>
        </w:rPr>
      </w:pPr>
    </w:p>
    <w:p>
      <w:pPr>
        <w:ind w:left="1300" w:right="40" w:firstLine="5"/>
        <w:spacing w:after="0" w:line="302" w:lineRule="auto"/>
        <w:tabs>
          <w:tab w:leader="none" w:pos="155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155" w:lineRule="exact"/>
        <w:rPr>
          <w:rFonts w:ascii="Arial" w:cs="Arial" w:eastAsia="Arial" w:hAnsi="Arial"/>
          <w:sz w:val="16"/>
          <w:szCs w:val="16"/>
          <w:color w:val="auto"/>
        </w:rPr>
      </w:pPr>
    </w:p>
    <w:p>
      <w:pPr>
        <w:ind w:left="1300" w:right="200" w:firstLine="1301"/>
        <w:spacing w:after="0" w:line="264" w:lineRule="auto"/>
        <w:tabs>
          <w:tab w:leader="none" w:pos="3255"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Loan or rights or obligations associated therewith if such assignment is to a Person that is not a Lender, an Affiliate of such Lender or an Approved Fund with respect to such Lender.</w:t>
      </w:r>
    </w:p>
    <w:p>
      <w:pPr>
        <w:spacing w:after="0" w:line="181" w:lineRule="exact"/>
        <w:rPr>
          <w:rFonts w:ascii="Arial" w:cs="Arial" w:eastAsia="Arial" w:hAnsi="Arial"/>
          <w:sz w:val="18"/>
          <w:szCs w:val="18"/>
          <w:color w:val="auto"/>
        </w:rPr>
      </w:pPr>
    </w:p>
    <w:p>
      <w:pPr>
        <w:ind w:left="740" w:right="100" w:firstLine="1294"/>
        <w:spacing w:after="0" w:line="259" w:lineRule="auto"/>
        <w:tabs>
          <w:tab w:leader="none" w:pos="2701"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ind w:left="740" w:right="240" w:firstLine="1294"/>
        <w:spacing w:after="0" w:line="264" w:lineRule="auto"/>
        <w:tabs>
          <w:tab w:leader="none" w:pos="2692"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81" w:lineRule="exact"/>
        <w:rPr>
          <w:rFonts w:ascii="Arial" w:cs="Arial" w:eastAsia="Arial" w:hAnsi="Arial"/>
          <w:sz w:val="18"/>
          <w:szCs w:val="18"/>
          <w:color w:val="auto"/>
        </w:rPr>
      </w:pPr>
    </w:p>
    <w:p>
      <w:pPr>
        <w:ind w:left="740" w:right="140" w:firstLine="1294"/>
        <w:spacing w:after="0" w:line="297" w:lineRule="auto"/>
        <w:tabs>
          <w:tab w:leader="none" w:pos="2701"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w:t>
      </w:r>
    </w:p>
    <w:p>
      <w:pPr>
        <w:sectPr>
          <w:pgSz w:w="11900" w:h="16941" w:orient="portrait"/>
          <w:cols w:equalWidth="0" w:num="1">
            <w:col w:w="11420"/>
          </w:cols>
          <w:pgMar w:left="240" w:top="125" w:right="239" w:bottom="0" w:gutter="0" w:footer="0" w:header="0"/>
        </w:sectPr>
      </w:pPr>
    </w:p>
    <w:bookmarkStart w:id="146" w:name="page147"/>
    <w:bookmarkEnd w:id="146"/>
    <w:p>
      <w:pPr>
        <w:spacing w:after="0" w:line="94" w:lineRule="exact"/>
        <w:rPr>
          <w:sz w:val="20"/>
          <w:szCs w:val="20"/>
          <w:color w:val="auto"/>
        </w:rPr>
      </w:pPr>
    </w:p>
    <w:p>
      <w:pPr>
        <w:ind w:left="740"/>
        <w:spacing w:after="0" w:line="273" w:lineRule="auto"/>
        <w:rPr>
          <w:sz w:val="20"/>
          <w:szCs w:val="20"/>
          <w:color w:val="auto"/>
        </w:rPr>
      </w:pPr>
      <w:r>
        <w:rPr>
          <w:rFonts w:ascii="Arial" w:cs="Arial" w:eastAsia="Arial" w:hAnsi="Arial"/>
          <w:sz w:val="17"/>
          <w:szCs w:val="17"/>
          <w:color w:val="auto"/>
        </w:rPr>
        <w:t>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acceptance and recording thereof by the Administrative Agent pursuant to subsection (c) of this Section, from and after the effective date specified in each Assignment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179" w:lineRule="exact"/>
        <w:rPr>
          <w:sz w:val="20"/>
          <w:szCs w:val="20"/>
          <w:color w:val="auto"/>
        </w:rPr>
      </w:pPr>
    </w:p>
    <w:p>
      <w:pPr>
        <w:ind w:right="60" w:firstLine="1305"/>
        <w:spacing w:after="0" w:line="255" w:lineRule="auto"/>
        <w:tabs>
          <w:tab w:leader="none" w:pos="195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9" w:lineRule="exact"/>
        <w:rPr>
          <w:rFonts w:ascii="Arial" w:cs="Arial" w:eastAsia="Arial" w:hAnsi="Arial"/>
          <w:sz w:val="18"/>
          <w:szCs w:val="18"/>
          <w:color w:val="auto"/>
        </w:rPr>
      </w:pPr>
    </w:p>
    <w:p>
      <w:pPr>
        <w:ind w:right="20" w:firstLine="1305"/>
        <w:spacing w:after="0" w:line="286" w:lineRule="auto"/>
        <w:tabs>
          <w:tab w:leader="none" w:pos="195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Loan Party or the Administrative Agent, sell participations to any Person (other than a natural person or a Loan Party or any Loan Party’s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as if it were a Lender.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though it were a Lender. Each Lender that sells a participation shall, acting solely for this purpose as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6" w:lineRule="exact"/>
        <w:rPr>
          <w:sz w:val="20"/>
          <w:szCs w:val="20"/>
          <w:color w:val="auto"/>
        </w:rPr>
      </w:pPr>
    </w:p>
    <w:p>
      <w:pPr>
        <w:ind w:firstLine="1305"/>
        <w:spacing w:after="0" w:line="279" w:lineRule="auto"/>
        <w:tabs>
          <w:tab w:leader="none" w:pos="1955"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171" w:lineRule="exact"/>
        <w:rPr>
          <w:rFonts w:ascii="Arial" w:cs="Arial" w:eastAsia="Arial" w:hAnsi="Arial"/>
          <w:sz w:val="17"/>
          <w:szCs w:val="17"/>
          <w:color w:val="auto"/>
        </w:rPr>
      </w:pPr>
    </w:p>
    <w:p>
      <w:pPr>
        <w:jc w:val="both"/>
        <w:ind w:right="200" w:firstLine="1305"/>
        <w:spacing w:after="0" w:line="259" w:lineRule="auto"/>
        <w:tabs>
          <w:tab w:leader="none" w:pos="1949"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w:t>
      </w:r>
    </w:p>
    <w:p>
      <w:pPr>
        <w:sectPr>
          <w:pgSz w:w="11900" w:h="16933" w:orient="portrait"/>
          <w:cols w:equalWidth="0" w:num="1">
            <w:col w:w="11420"/>
          </w:cols>
          <w:pgMar w:left="240" w:top="125" w:right="239" w:bottom="0" w:gutter="0" w:footer="0" w:header="0"/>
        </w:sectPr>
      </w:pPr>
    </w:p>
    <w:bookmarkStart w:id="147" w:name="page148"/>
    <w:bookmarkEnd w:id="147"/>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assignee of or Participant in, or any prospective assignee of or Participant in, any of its rights or obligations under this Agreement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Agreement and the other Loan Documents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or any Lender on a nonconfidential basis prior to disclosure by any Loan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of such Lender different from the branch or office holding such deposit or obligated on such indebtedness.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voluntary prepayments and the effects thereof and (c) amortize, prorate, allocate, and spread in equal or unequal parts the total amount of interest throughout the contemplated term of the Obligations hereunder.</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17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ectPr>
          <w:pgSz w:w="11900" w:h="16934" w:orient="portrait"/>
          <w:cols w:equalWidth="0" w:num="1">
            <w:col w:w="11420"/>
          </w:cols>
          <w:pgMar w:left="240" w:top="125" w:right="239" w:bottom="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12" w:lineRule="auto"/>
        <w:tabs>
          <w:tab w:leader="none" w:pos="195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such assigning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46" w:lineRule="exact"/>
        <w:rPr>
          <w:rFonts w:ascii="Arial" w:cs="Arial" w:eastAsia="Arial" w:hAnsi="Arial"/>
          <w:sz w:val="16"/>
          <w:szCs w:val="16"/>
          <w:color w:val="auto"/>
        </w:rPr>
      </w:pPr>
    </w:p>
    <w:p>
      <w:pPr>
        <w:ind w:right="220" w:firstLine="1305"/>
        <w:spacing w:after="0" w:line="277" w:lineRule="auto"/>
        <w:tabs>
          <w:tab w:leader="none" w:pos="19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right="400" w:firstLine="1305"/>
        <w:spacing w:after="0" w:line="277" w:lineRule="auto"/>
        <w:tabs>
          <w:tab w:leader="none" w:pos="1942"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 OF THE STATE OF NEW YORK.</w:t>
      </w:r>
    </w:p>
    <w:p>
      <w:pPr>
        <w:spacing w:after="0" w:line="170" w:lineRule="exact"/>
        <w:rPr>
          <w:rFonts w:ascii="Arial" w:cs="Arial" w:eastAsia="Arial" w:hAnsi="Arial"/>
          <w:sz w:val="18"/>
          <w:szCs w:val="18"/>
          <w:color w:val="auto"/>
        </w:rPr>
      </w:pPr>
    </w:p>
    <w:p>
      <w:pPr>
        <w:ind w:right="60" w:firstLine="1305"/>
        <w:spacing w:after="0" w:line="270" w:lineRule="auto"/>
        <w:tabs>
          <w:tab w:leader="none" w:pos="1952"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PARTY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78" w:lineRule="exact"/>
        <w:rPr>
          <w:sz w:val="20"/>
          <w:szCs w:val="20"/>
          <w:color w:val="auto"/>
        </w:rPr>
      </w:pPr>
    </w:p>
    <w:p>
      <w:pPr>
        <w:ind w:right="60" w:firstLine="1305"/>
        <w:spacing w:after="0" w:line="255" w:lineRule="auto"/>
        <w:tabs>
          <w:tab w:leader="none" w:pos="195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18"/>
          <w:szCs w:val="18"/>
          <w:u w:val="single" w:color="auto"/>
          <w:color w:val="auto"/>
        </w:rPr>
        <w:t>SECTION 11.14(B)</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right="560" w:firstLine="1305"/>
        <w:spacing w:after="0" w:line="264" w:lineRule="auto"/>
        <w:tabs>
          <w:tab w:leader="none" w:pos="1952"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w:t>
      </w:r>
    </w:p>
    <w:p>
      <w:pPr>
        <w:sectPr>
          <w:pgSz w:w="11900" w:h="16838" w:orient="portrait"/>
          <w:cols w:equalWidth="0" w:num="1">
            <w:col w:w="11420"/>
          </w:cols>
          <w:pgMar w:left="240" w:top="341" w:right="239" w:bottom="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1"/>
        <w:spacing w:after="0" w:line="285" w:lineRule="auto"/>
        <w:rPr>
          <w:sz w:val="20"/>
          <w:szCs w:val="20"/>
          <w:color w:val="auto"/>
        </w:rPr>
      </w:pPr>
      <w:r>
        <w:rPr>
          <w:rFonts w:ascii="Arial" w:cs="Arial" w:eastAsia="Arial" w:hAnsi="Arial"/>
          <w:sz w:val="16"/>
          <w:szCs w:val="16"/>
          <w:color w:val="auto"/>
        </w:rPr>
        <w:t>Affiliates, on the one hand, and the Administrative Agent, the Arrangers and the Lenders, on the other hand, that do not directly or indirectly give rise to, nor does any Loan Party rely on, any fiduciary duty on the party of any of the Administrative Agent, the Arrangers or the Lenders, (B) each of the Loan Parties has consulted its own legal, accounting, regulatory and tax advisors to the extent it has deemed appropriate, and none of the Administrative Agent, the Arrangers or the Lenders is advising the Loan Parties as to any legal, tax, investment, accounting or regulatory matters in any jurisdiction and (C) each of the Loan Parties is capable of evaluating and understanding, and understands and accepts, the terms, risks and conditions of the NRG Transactions and the other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the Lenders has any obligation to the Loan Parties or any of their respective Affiliates with respect to the NRG Transactions or the other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the Arrangers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 of the Loan Parties hereby waives and releases any claims that it may have against the Administrative Agent, the Arrangers or the Lenders with respect to any breach or alleged breach of agency or fiduciary duty in connection with any aspect of any transaction contemplated hereby, and agrees that none of the Administrative Agent, the Arrangers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11.20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660" w:right="660" w:firstLine="645"/>
        <w:spacing w:after="0" w:line="277" w:lineRule="auto"/>
        <w:tabs>
          <w:tab w:leader="none" w:pos="195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party hereto that is an EEA Financial Institution;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980" w:right="220" w:firstLine="973"/>
        <w:spacing w:after="0" w:line="259" w:lineRule="auto"/>
        <w:tabs>
          <w:tab w:leader="none" w:pos="263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980" w:right="260" w:firstLine="973"/>
        <w:spacing w:after="0" w:line="277" w:lineRule="auto"/>
        <w:tabs>
          <w:tab w:leader="none" w:pos="264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80" w:gutter="0" w:footer="0" w:header="0"/>
        </w:sectPr>
      </w:pPr>
    </w:p>
    <w:bookmarkStart w:id="150" w:name="page151"/>
    <w:bookmarkEnd w:id="150"/>
    <w:p>
      <w:pPr>
        <w:ind w:right="1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980" w:type="dxa"/>
            <w:vAlign w:val="bottom"/>
            <w:gridSpan w:val="2"/>
          </w:tcPr>
          <w:p>
            <w:pPr>
              <w:ind w:left="2280"/>
              <w:spacing w:after="0"/>
              <w:rPr>
                <w:sz w:val="20"/>
                <w:szCs w:val="20"/>
                <w:color w:val="auto"/>
              </w:rPr>
            </w:pPr>
            <w:r>
              <w:rPr>
                <w:rFonts w:ascii="Arial" w:cs="Arial" w:eastAsia="Arial" w:hAnsi="Arial"/>
                <w:sz w:val="18"/>
                <w:szCs w:val="18"/>
                <w:b w:val="1"/>
                <w:bCs w:val="1"/>
                <w:color w:val="auto"/>
              </w:rPr>
              <w:t>NRG YIELD OPERATING LLC</w:t>
            </w:r>
          </w:p>
        </w:tc>
      </w:tr>
      <w:tr>
        <w:trPr>
          <w:trHeight w:val="648"/>
        </w:trPr>
        <w:tc>
          <w:tcPr>
            <w:tcW w:w="3440" w:type="dxa"/>
            <w:vAlign w:val="bottom"/>
          </w:tcPr>
          <w:p>
            <w:pPr>
              <w:spacing w:after="0"/>
              <w:rPr>
                <w:sz w:val="24"/>
                <w:szCs w:val="24"/>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By:    /s/ Chad Plotkin</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Title: Senior Vice President, Chief Financial Officer &amp; Treasurer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NRG YIELD LLC</w:t>
            </w:r>
          </w:p>
        </w:tc>
      </w:t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NRG YIELD DGPV HOLDING LLC</w:t>
            </w:r>
          </w:p>
        </w:tc>
      </w:tr>
      <w:tr>
        <w:trPr>
          <w:trHeight w:val="648"/>
        </w:trPr>
        <w:tc>
          <w:tcPr>
            <w:tcW w:w="3540" w:type="dxa"/>
            <w:vAlign w:val="bottom"/>
          </w:tcPr>
          <w:p>
            <w:pPr>
              <w:spacing w:after="0"/>
              <w:rPr>
                <w:sz w:val="24"/>
                <w:szCs w:val="24"/>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3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9"/>
              </w:rPr>
              <w:t>Title: 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SOLAR IGUANA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SOLAR LAS VEGAS MB 1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SOLAR STAR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SOLAR TABERNACLE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SOUTH TRENT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NRG YIELD RPV HOLDING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NYLD FUEL CELL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HERMAL INFRASTRUCTURE DEVELOPMENT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23412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Rodica Dutka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Rodica Dutka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Manager, Agency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RBC CAPITAL MARKETS,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Justin Painter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Justin Painter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51" w:name="page152"/>
    <w:bookmarkEnd w:id="151"/>
    <w:p>
      <w:pPr>
        <w:ind w:left="5000"/>
        <w:spacing w:after="0"/>
        <w:rPr>
          <w:sz w:val="20"/>
          <w:szCs w:val="20"/>
          <w:color w:val="auto"/>
        </w:rPr>
      </w:pPr>
      <w:r>
        <w:rPr>
          <w:rFonts w:ascii="Arial" w:cs="Arial" w:eastAsia="Arial" w:hAnsi="Arial"/>
          <w:sz w:val="18"/>
          <w:szCs w:val="18"/>
          <w:color w:val="auto"/>
        </w:rPr>
        <w:t>Title: Authorized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INCORPORATED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Sanjay Rijhwani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Sanjay Rijhwani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Mikhail Faybusovich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Griffin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Kirkwood Roland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Kirkwood Roland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 &amp;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364-Day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This TERMINATION AGREEMENT (this “</w:t>
      </w:r>
      <w:r>
        <w:rPr>
          <w:rFonts w:ascii="Arial" w:cs="Arial" w:eastAsia="Arial" w:hAnsi="Arial"/>
          <w:sz w:val="16"/>
          <w:szCs w:val="16"/>
          <w:u w:val="single" w:color="auto"/>
          <w:color w:val="auto"/>
        </w:rPr>
        <w:t>Termination</w:t>
      </w:r>
      <w:r>
        <w:rPr>
          <w:rFonts w:ascii="Arial" w:cs="Arial" w:eastAsia="Arial" w:hAnsi="Arial"/>
          <w:sz w:val="16"/>
          <w:szCs w:val="16"/>
          <w:color w:val="auto"/>
        </w:rPr>
        <w:t>”) is made as of August 31, 2018, by and among NRG Yield, Inc., a Delaware corporation (“</w:t>
      </w:r>
      <w:r>
        <w:rPr>
          <w:rFonts w:ascii="Arial" w:cs="Arial" w:eastAsia="Arial" w:hAnsi="Arial"/>
          <w:sz w:val="16"/>
          <w:szCs w:val="16"/>
          <w:u w:val="single" w:color="auto"/>
          <w:color w:val="auto"/>
        </w:rPr>
        <w:t>Yield</w:t>
      </w:r>
      <w:r>
        <w:rPr>
          <w:rFonts w:ascii="Arial" w:cs="Arial" w:eastAsia="Arial" w:hAnsi="Arial"/>
          <w:sz w:val="16"/>
          <w:szCs w:val="16"/>
          <w:color w:val="auto"/>
        </w:rPr>
        <w:t>”), NRG Yield LLC, a Delaware limited liability company (“</w:t>
      </w:r>
      <w:r>
        <w:rPr>
          <w:rFonts w:ascii="Arial" w:cs="Arial" w:eastAsia="Arial" w:hAnsi="Arial"/>
          <w:sz w:val="16"/>
          <w:szCs w:val="16"/>
          <w:u w:val="single" w:color="auto"/>
          <w:color w:val="auto"/>
        </w:rPr>
        <w:t>Yield LLC</w:t>
      </w:r>
      <w:r>
        <w:rPr>
          <w:rFonts w:ascii="Arial" w:cs="Arial" w:eastAsia="Arial" w:hAnsi="Arial"/>
          <w:sz w:val="16"/>
          <w:szCs w:val="16"/>
          <w:color w:val="auto"/>
        </w:rPr>
        <w:t>”), NRG Yield Operating LLC, a Delaware limited liability company (“</w:t>
      </w:r>
      <w:r>
        <w:rPr>
          <w:rFonts w:ascii="Arial" w:cs="Arial" w:eastAsia="Arial" w:hAnsi="Arial"/>
          <w:sz w:val="16"/>
          <w:szCs w:val="16"/>
          <w:u w:val="single" w:color="auto"/>
          <w:color w:val="auto"/>
        </w:rPr>
        <w:t>Yield</w:t>
      </w:r>
      <w:r>
        <w:rPr>
          <w:rFonts w:ascii="Arial" w:cs="Arial" w:eastAsia="Arial" w:hAnsi="Arial"/>
          <w:sz w:val="16"/>
          <w:szCs w:val="16"/>
          <w:color w:val="auto"/>
        </w:rPr>
        <w:t xml:space="preserve"> </w:t>
      </w:r>
      <w:r>
        <w:rPr>
          <w:rFonts w:ascii="Arial" w:cs="Arial" w:eastAsia="Arial" w:hAnsi="Arial"/>
          <w:sz w:val="16"/>
          <w:szCs w:val="16"/>
          <w:u w:val="single" w:color="auto"/>
          <w:color w:val="auto"/>
        </w:rPr>
        <w:t>Operating</w:t>
      </w:r>
      <w:r>
        <w:rPr>
          <w:rFonts w:ascii="Arial" w:cs="Arial" w:eastAsia="Arial" w:hAnsi="Arial"/>
          <w:sz w:val="16"/>
          <w:szCs w:val="16"/>
          <w:color w:val="auto"/>
        </w:rPr>
        <w:t>”) and NRG Energy, Inc., a Delaware corporation (“</w:t>
      </w:r>
      <w:r>
        <w:rPr>
          <w:rFonts w:ascii="Arial" w:cs="Arial" w:eastAsia="Arial" w:hAnsi="Arial"/>
          <w:sz w:val="16"/>
          <w:szCs w:val="16"/>
          <w:u w:val="single" w:color="auto"/>
          <w:color w:val="auto"/>
        </w:rPr>
        <w:t>Manager</w:t>
      </w:r>
      <w:r>
        <w:rPr>
          <w:rFonts w:ascii="Arial" w:cs="Arial" w:eastAsia="Arial" w:hAnsi="Arial"/>
          <w:sz w:val="16"/>
          <w:szCs w:val="16"/>
          <w:color w:val="auto"/>
        </w:rPr>
        <w:t>”). Yield, Yield LLC, Yield Operating, and Manager are referred to collectively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Any capitalized term not otherwise defined herein shall have the meaning ascribed to such term in the MSA (as defined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Yield, Yield LLC, Yield Operating, and Manager are parties to that certain Management Services Agreement, dated as of July 22, 2013 (the “</w:t>
      </w:r>
      <w:r>
        <w:rPr>
          <w:rFonts w:ascii="Arial" w:cs="Arial" w:eastAsia="Arial" w:hAnsi="Arial"/>
          <w:sz w:val="18"/>
          <w:szCs w:val="18"/>
          <w:u w:val="single" w:color="auto"/>
          <w:color w:val="auto"/>
        </w:rPr>
        <w:t>MSA</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WHEREAS, Manager, NRG Repowering Holdings LLC (“</w:t>
      </w:r>
      <w:r>
        <w:rPr>
          <w:rFonts w:ascii="Arial" w:cs="Arial" w:eastAsia="Arial" w:hAnsi="Arial"/>
          <w:sz w:val="17"/>
          <w:szCs w:val="17"/>
          <w:u w:val="single" w:color="auto"/>
          <w:color w:val="auto"/>
        </w:rPr>
        <w:t>Repowering</w:t>
      </w:r>
      <w:r>
        <w:rPr>
          <w:rFonts w:ascii="Arial" w:cs="Arial" w:eastAsia="Arial" w:hAnsi="Arial"/>
          <w:sz w:val="17"/>
          <w:szCs w:val="17"/>
          <w:color w:val="auto"/>
        </w:rPr>
        <w:t>”), and GIP III Zephyr Acquisition Partners, L.P. (“</w:t>
      </w:r>
      <w:r>
        <w:rPr>
          <w:rFonts w:ascii="Arial" w:cs="Arial" w:eastAsia="Arial" w:hAnsi="Arial"/>
          <w:sz w:val="17"/>
          <w:szCs w:val="17"/>
          <w:u w:val="single" w:color="auto"/>
          <w:color w:val="auto"/>
        </w:rPr>
        <w:t>GIP</w:t>
      </w:r>
      <w:r>
        <w:rPr>
          <w:rFonts w:ascii="Arial" w:cs="Arial" w:eastAsia="Arial" w:hAnsi="Arial"/>
          <w:sz w:val="17"/>
          <w:szCs w:val="17"/>
          <w:color w:val="auto"/>
        </w:rPr>
        <w:t>”), entered into that certain Purchase and Sale Agreement, dated as of February 6, 2018 (as amended, modified or supplemented from time to time, the “</w:t>
      </w:r>
      <w:r>
        <w:rPr>
          <w:rFonts w:ascii="Arial" w:cs="Arial" w:eastAsia="Arial" w:hAnsi="Arial"/>
          <w:sz w:val="17"/>
          <w:szCs w:val="17"/>
          <w:u w:val="single" w:color="auto"/>
          <w:color w:val="auto"/>
        </w:rPr>
        <w:t>PSA</w:t>
      </w:r>
      <w:r>
        <w:rPr>
          <w:rFonts w:ascii="Arial" w:cs="Arial" w:eastAsia="Arial" w:hAnsi="Arial"/>
          <w:sz w:val="17"/>
          <w:szCs w:val="17"/>
          <w:color w:val="auto"/>
        </w:rPr>
        <w: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after the consummation of the transactions contemplated by the PSA (the “</w:t>
      </w:r>
      <w:r>
        <w:rPr>
          <w:rFonts w:ascii="Arial" w:cs="Arial" w:eastAsia="Arial" w:hAnsi="Arial"/>
          <w:sz w:val="18"/>
          <w:szCs w:val="18"/>
          <w:u w:val="single" w:color="auto"/>
          <w:color w:val="auto"/>
        </w:rPr>
        <w:t>Closing</w:t>
      </w:r>
      <w:r>
        <w:rPr>
          <w:rFonts w:ascii="Arial" w:cs="Arial" w:eastAsia="Arial" w:hAnsi="Arial"/>
          <w:sz w:val="18"/>
          <w:szCs w:val="18"/>
          <w:color w:val="auto"/>
        </w:rPr>
        <w:t>”), Manager will no longer be an Affiliate of any of Yield, Yield LLC, or Yield Operating;</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of the PSA conditions GIP’s obligation to consummate the transaction on the delivery by Manager and Yield of evidence of the termination of the MSA;</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Manager, Repowering, Yield, GIP, and, for certain limited purposes, Yield Operating, are parties to that certain Consent and Indemnity Agreement, dated as of February 6, 2018 (as amended, modified or supplemented from time to time, the “</w:t>
      </w:r>
      <w:r>
        <w:rPr>
          <w:rFonts w:ascii="Arial" w:cs="Arial" w:eastAsia="Arial" w:hAnsi="Arial"/>
          <w:sz w:val="18"/>
          <w:szCs w:val="18"/>
          <w:u w:val="single" w:color="auto"/>
          <w:color w:val="auto"/>
        </w:rPr>
        <w:t>CIA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MSA does not provide for the termination of the MSA by mutual assent of the Parties;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WHEREAS,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of the MSA provides that no amendment or waiver of the MSA will be binding unless the prior approval of a majority of the members of the Independent Committee is obtained and the amendment or waiver is executed in writing by the party to be bound;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A.3</w:t>
      </w:r>
      <w:r>
        <w:rPr>
          <w:rFonts w:ascii="Arial" w:cs="Arial" w:eastAsia="Arial" w:hAnsi="Arial"/>
          <w:sz w:val="18"/>
          <w:szCs w:val="18"/>
          <w:color w:val="auto"/>
        </w:rPr>
        <w:t xml:space="preserve"> of the CIA provides that the MSA shall be terminated at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Independent Committee has duly adopted resolutions determining that the CIA is advisable and in the best interest of Yield;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now desire to terminate the MSA on the terms set forth herein as of the day on which the Closing occurs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Yield, Yield LLC, Yield Operating and NRG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56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From and after the Effective Date, the MSA is and shall be deemed terminated with no further force or effect 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take effect on the Effective Date. If the Closing does not occur, this Termination shall be null and void and of no further effect.</w:t>
      </w:r>
    </w:p>
    <w:p>
      <w:pPr>
        <w:spacing w:after="0" w:line="170" w:lineRule="exact"/>
        <w:rPr>
          <w:rFonts w:ascii="Arial" w:cs="Arial" w:eastAsia="Arial" w:hAnsi="Arial"/>
          <w:sz w:val="18"/>
          <w:szCs w:val="18"/>
          <w:color w:val="auto"/>
        </w:rPr>
      </w:pPr>
    </w:p>
    <w:p>
      <w:pPr>
        <w:ind w:right="36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or electronic mail, in any number of identical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right="70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agree to take all such further actions and execute, acknowledge and deliver all such further documents that are necessary or useful in carrying out the purposes of this Termination.</w:t>
      </w:r>
    </w:p>
    <w:p>
      <w:pPr>
        <w:spacing w:after="0" w:line="170" w:lineRule="exact"/>
        <w:rPr>
          <w:rFonts w:ascii="Arial" w:cs="Arial" w:eastAsia="Arial" w:hAnsi="Arial"/>
          <w:sz w:val="18"/>
          <w:szCs w:val="18"/>
          <w:color w:val="auto"/>
        </w:rPr>
      </w:pPr>
    </w:p>
    <w:p>
      <w:pPr>
        <w:ind w:right="220" w:firstLine="656"/>
        <w:spacing w:after="0" w:line="308" w:lineRule="auto"/>
        <w:tabs>
          <w:tab w:leader="none" w:pos="1296"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internal law of the State of New York will govern and be used to construe this Termination without giving effect to applicable principles of conflicts of law to the extent that the application of the laws of another jurisdiction would be required thereby.</w:t>
      </w:r>
    </w:p>
    <w:p>
      <w:pPr>
        <w:spacing w:after="0" w:line="146" w:lineRule="exact"/>
        <w:rPr>
          <w:rFonts w:ascii="Arial" w:cs="Arial" w:eastAsia="Arial" w:hAnsi="Arial"/>
          <w:sz w:val="17"/>
          <w:szCs w:val="17"/>
          <w:color w:val="auto"/>
        </w:rPr>
      </w:pPr>
    </w:p>
    <w:p>
      <w:pPr>
        <w:ind w:right="16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Termination shall be binding upon and inure to the benefit of the Parties and their respective successors and permitted assigns.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Termination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and CFO</w:t>
      </w:r>
    </w:p>
    <w:p>
      <w:pPr>
        <w:sectPr>
          <w:pgSz w:w="11900" w:h="16888" w:orient="portrait"/>
          <w:cols w:equalWidth="0" w:num="1">
            <w:col w:w="11420"/>
          </w:cols>
          <w:pgMar w:left="240" w:top="121" w:right="239" w:bottom="0" w:gutter="0" w:footer="0" w:header="0"/>
        </w:sectPr>
      </w:pPr>
    </w:p>
    <w:bookmarkStart w:id="153" w:name="page154"/>
    <w:bookmarkEnd w:id="153"/>
    <w:p>
      <w:pPr>
        <w:ind w:left="4520"/>
        <w:spacing w:after="0"/>
        <w:rPr>
          <w:sz w:val="20"/>
          <w:szCs w:val="20"/>
          <w:color w:val="auto"/>
        </w:rPr>
      </w:pPr>
      <w:r>
        <w:rPr>
          <w:rFonts w:ascii="Arial" w:cs="Arial" w:eastAsia="Arial" w:hAnsi="Arial"/>
          <w:sz w:val="18"/>
          <w:szCs w:val="18"/>
          <w:b w:val="1"/>
          <w:bCs w:val="1"/>
          <w:color w:val="auto"/>
        </w:rPr>
        <w:t>NRG YIELD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6"/>
          <w:szCs w:val="16"/>
          <w:color w:val="auto"/>
        </w:rPr>
        <w:t>Title: Senior Vice President, CFO and Treasurer</w:t>
      </w: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YIELD OPERATING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6"/>
          <w:szCs w:val="16"/>
          <w:color w:val="auto"/>
        </w:rPr>
        <w:t>Title: Senior Vice President, CFO and Treasurer</w:t>
      </w: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ENERGY,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Gaetan Frotte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Gaetan Frotte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Termination of NRG-NYLD Master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77975" cy="3086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779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NRG Yield Announces Completion of New Sponsorship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Infrastructure Partners</w:t>
      </w:r>
    </w:p>
    <w:p>
      <w:pPr>
        <w:spacing w:after="0" w:line="211" w:lineRule="exact"/>
        <w:rPr>
          <w:sz w:val="20"/>
          <w:szCs w:val="20"/>
          <w:color w:val="auto"/>
        </w:rPr>
      </w:pPr>
    </w:p>
    <w:p>
      <w:pPr>
        <w:ind w:left="620" w:hanging="288"/>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Global Infrastructure Partners (GIP) Has Become NRG Yield’s Controlling Stockholder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GIP Also Acquired NRG’s Renewables Platform</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In Connection with the Transaction, NRG Yield will Change its Name to Clearway Energy, Inc. and has Appointed Several New Directors and Officers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The Company and GIP will Hold a Conference Call and Webcast at 8 a.m. Eastern Standard Time Tuesday, September 11, 2018</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PRINCETON, N.J. — August 31, 2018 — NRG Yield, Inc. (NYSE: NYLD, NYLD.A) (the “Company”) today announced that Global Infrastructure Partners (“GIP”), a leading global, independent infrastructure investor, has completed its acquisition (the “Transaction”) of NRG Energy, Inc.’s (NYSE: NRG) entire ownership interest in the Company, as well as NRG’s renewable development and operations platform. GIP provides the Company with a leading sponsor with substantial financial resources to accelerate development of the next generation of drop down projects. GIP has deep experience in the energy and power sectors and the Company believes that GIP has a unique ability to enhance the Company’s long-term growth opportunities and access to capital. Furthermore, GIP’s demonstrated commitment to the expansion of renewables aligns its economic interests with those of the Company’s public shareholders.</w:t>
      </w:r>
    </w:p>
    <w:p>
      <w:pPr>
        <w:spacing w:after="0" w:line="16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“Clearway Energy’s outlook could not be brighter as the new sponsorship with GIP provides the Company proven operational, development, and investment expertise to lead us through the next stage of our growth objectives,” said Christopher Sotos, Clearway Energy’s President and Chief Executive Officer.</w:t>
      </w:r>
    </w:p>
    <w:p>
      <w:pPr>
        <w:spacing w:after="0" w:line="12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Jonathan Bram, Founding Partner of GIP and Chairman of the Board of Clearway Energy said: “We are excited to close the acquisition of NRG’s integrated renewables platform, which includes the controlling interest in Clearway Energy, Inc. as well as a highly capable renewable development and operating platform. With strong alignment and excellent management across the platform, we believe Clearway is well-positioned for long-term growth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Transaction, the following changes have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Name Change</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has announced that it will change its name from NRG Yield, Inc. to Clearway Energy, Inc., effective today, August 31, 2018. Beginning on September 17, 2018, the Company will begin trading under the new name and ticker symbols CWEN and CWEN.A for its Class C and Class A common stock, respectively, on The New York Stock Exchange. The new CUSIPs for the Company’s Class C and Class A common stock will be 18539C 204 and 18539C 105,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and Management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size of the board was increased to nine directors, comprising five directors designated by GIP, three independent directors and the Chief Executive Officer of the Company.</w:t>
      </w:r>
    </w:p>
    <w:p>
      <w:pPr>
        <w:spacing w:after="0" w:line="17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NRG-appointed directors Kirkland B. Andrews, John Chillemi and Mauricio Gutierrez resigned from their positions as members of the Board of the Company. The current Independent Directors, John Chlebowski, Brian Ford and Ferrell McClean as well as the Company’s Chief Executive Officer, Christopher Sotos, will remain in their current positions. The five new directors of the Board appointed by GIP are Jonathan Bram, Bruce MacLennan, E. Stanley O’Neal, Scott Stanley and Nathaniel Anschuetz. In connection with these appointments, Mr. Bram was elected Chairman of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Bram</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Jonathan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holds an A.B. in Economics from Columbia College. He is a member of the Board of Directors of Guacolda Energia, S.A. and previously served on the board of Terra-Gen Power as well as Channelview Cogeneration.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Bruce MacLennan</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Bruce MacLennan is a Partner of GIP and serves on its Investment and Operating Committees. He focuses on the energy and electricity and renewables sectors and led GIP’s investment in Competitive Power Ventures, a power generation development and asset management company. Prior to joining GIP at its</w:t>
      </w:r>
    </w:p>
    <w:p>
      <w:pPr>
        <w:sectPr>
          <w:pgSz w:w="11900" w:h="16838" w:orient="portrait"/>
          <w:cols w:equalWidth="0" w:num="1">
            <w:col w:w="11420"/>
          </w:cols>
          <w:pgMar w:left="240" w:top="121" w:right="239" w:bottom="0" w:gutter="0" w:footer="0" w:header="0"/>
        </w:sectPr>
      </w:pPr>
    </w:p>
    <w:bookmarkStart w:id="155" w:name="page156"/>
    <w:bookmarkEnd w:id="155"/>
    <w:p>
      <w:pPr>
        <w:ind w:right="340"/>
        <w:spacing w:after="0" w:line="312" w:lineRule="auto"/>
        <w:rPr>
          <w:sz w:val="20"/>
          <w:szCs w:val="20"/>
          <w:color w:val="auto"/>
        </w:rPr>
      </w:pPr>
      <w:r>
        <w:rPr>
          <w:rFonts w:ascii="Arial" w:cs="Arial" w:eastAsia="Arial" w:hAnsi="Arial"/>
          <w:sz w:val="16"/>
          <w:szCs w:val="16"/>
          <w:color w:val="auto"/>
        </w:rPr>
        <w:t>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Competitive Power Ventures.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Stanley O’Neal</w:t>
      </w:r>
    </w:p>
    <w:p>
      <w:pPr>
        <w:spacing w:after="0" w:line="22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O’Neal is a member of the Audit and Finance committees of Arconic Inc., an aluminum manufacturing company and the former parent company of Alcoa Inc. Mr. O’Neal is also a director of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Scott Stanley</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Scott Stanley has been employed by GIP since April 2007, and in August 2018 was appointed as an Operating Partner. Mr. Stanley holds a B.S. in Ceramic Engineering from The Ohio State University and has 39 years of experience in operational roles, including prior assignments with 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Honeywell, and United Technologies. Working predominantly in the transport sector with GIP, Mr. Stanley has held roles as Chief Operating Officer with London City Airport, Gatwick Airport, and Pacific National and also served on the Board of Directors at Edinburgh Airport.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Nathaniel Anschuetz</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Nathaniel Anschuetz is a Vice President at GIP. Prior to joining GIP in 2012, Mr. Anschuetz was an Analyst in the Power &amp; Utilities Coverage Group at Citigroup from June 2010 through June 2012. Mr. Anschuetz holds a B.A. in Economics and Operations Research, and a concentration in Sustainable Development from Columbia College.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completion of the Transaction, David Callen resigned as Vice President and Chief Accounting Officer and Mary-Lee Stillwell was appointed as Vice President and Chief Accounting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Outstanding Debt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consummation of the Transaction constituted a “Fundamental Change” and “Make-Whole Fundamental Change” under each of (1) the indenture governing the 3.25% convertible senior notes due 2020 (the “2020 Notes”) and (2) the indenture governing the 3.50% convertible senior notes due 2019 (the “2019 Notes” and together with the 2020 Notes, the “Convertible Notes”). As a result, holders of the Convertible Notes have the right to require the Company to purchase for cash all or any portion of their Convertible Notes on a date to be specified by the Company (the “Fundamental Change Purchase Date”) at a price equal to 100% of the principal amount of the Convertible Notes to be purchased, plus accrued and unpaid interest, if any, as set forth in the applicable indenture. In addition, holders of the 2019 Notes have the right to convert all or any portion of their 2019 Notes at any time on or prior to January 30, 2019 for cash based on the then applicable conversion rate (as may be adjusted under the indenture governing the 2019 Notes) in accordance with the indenture governing the 2019 Notes.</w:t>
      </w:r>
    </w:p>
    <w:p>
      <w:pPr>
        <w:spacing w:after="0" w:line="17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Holders of the 2020 Notes have the right to convert all or any portion of their 2020 Notes at any time prior on or prior to the business day immediately preceding the Fundamental Change Purchase Date. Upon conversion of any 2020 Notes, the Company will pay or deliver, as the case may be, to the converting holder, at the Company’s election, cash, shares of the Company’s Class C common stock or any combination of the foregoing based on the then applicable conversion rate (as may be adjusted under the indenture governing the 2020 Notes) in accordance with the indenture governing the 2020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Facility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consummation of the Transaction, the Company entered into a senior unsecured 364-Day Bridge Credit Agreement with a group of lenders and Royal Bank of Canada as administrative agent, as was previously arranged by GIP to manage a change-of-control associated with the Company’s corporate debt. The Bridge Credit Agreement provides that the Company may borrow up to a maximum principal amount of $1.5 billion. Any loans under the Bridge Credit Agreement will have to be prepaid with net cash proceeds received in connection with certain debt issuances, equity issuances and non-ordinary course asset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Barclays and J.P. Morgan Securities LLC acted as financial advisors to the Independent Directors and Management of the Company. Sullivan &amp; Cromwell LLP acted as legal counsel to the Independent Directors.</w:t>
      </w:r>
    </w:p>
    <w:p>
      <w:pPr>
        <w:sectPr>
          <w:pgSz w:w="11900" w:h="16838" w:orient="portrait"/>
          <w:cols w:equalWidth="0" w:num="1">
            <w:col w:w="11420"/>
          </w:cols>
          <w:pgMar w:left="240" w:top="125" w:right="239" w:bottom="0" w:gutter="0" w:footer="0" w:header="0"/>
        </w:sectPr>
      </w:pPr>
    </w:p>
    <w:bookmarkStart w:id="156" w:name="page157"/>
    <w:bookmarkEnd w:id="156"/>
    <w:p>
      <w:pPr>
        <w:ind w:right="80"/>
        <w:spacing w:after="0" w:line="277" w:lineRule="auto"/>
        <w:rPr>
          <w:sz w:val="20"/>
          <w:szCs w:val="20"/>
          <w:color w:val="auto"/>
        </w:rPr>
      </w:pPr>
      <w:r>
        <w:rPr>
          <w:rFonts w:ascii="Arial" w:cs="Arial" w:eastAsia="Arial" w:hAnsi="Arial"/>
          <w:sz w:val="18"/>
          <w:szCs w:val="18"/>
          <w:color w:val="auto"/>
        </w:rPr>
        <w:t>Bank of America Merrill Lynch and Credit Suisse acted as financial advisors to GIP. Simpson Thacher &amp; Bartlett LLP and Akin Gump Strauss Hauer &amp; Feld acted as legal counsel to GIP.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and GIP will hold an investor conference call and webcast at 8 a.m. Eastern Standard Time on Tuesday, September 11, 2018 to discuss this announcement as well as to provide an update to the Company’s 2018 financial guidance and an outlook on 2019 financial expectations. A live webcast of the conference call, including presentation materials, can be accessed through the Company’s website at http://www.nrgyield.com and clicking on “Presentations &amp; Webcasts.” The webcast will be archived on the website for those unable to listen in real time.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Clearway Energy, Inc., formerly NRG Yield, Inc.,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Our thermal infrastructure assets provide steam, hot and/or chilled water, and in some instances electricity, to commercial businesses, universities, hospitals and governmental units in multiple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Infrastructure Partners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GIP is an independent infrastructure fund manager that invests in infrastructure assets and businesses in both OECD and select emerging market countries. GIP targets investments in single assets and portfolios of assets and companies in power and utilities, natural resources infrastructure, air transport infrastructure, seaports and container terminals, rail infrastructure, water distribution and treatment and waste management. GIP has offices in New York and London, with an affiliate in Sydney and portfolio company operations headquarters in Stamford, Connecticut. For more information, visit www.global-infra.com.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the Company’s future revenues, income, indebtedness, capital structure, strategy, plans, expectations, objectives, projected financial performance and/or business results and other future events, and views of economic and market conditions.</w:t>
      </w:r>
    </w:p>
    <w:p>
      <w:pPr>
        <w:spacing w:after="0" w:line="15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markets, changes in government regulations, the condition of capital markets generally, our ability to access capital markets, cyber terrorism and inadequate cybersecurity, the ability to engage in successful mergers and acquisitions activity,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from GIP or third parties, our ability to close drop down transactions, and our ability to maintain and grow our quarterly dividends.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undertakes no obligation to update or revise any forward-looking statements, whether as a result of new information, future events or otherwise, except as required by law. The Company disclaims any current intention to update such guidance, except as required by law. The foregoing review of factors that could cause the Company’s actual results to differ materially from those contemplated in the forward-looking statements included in this press release should be considered in connection with information regarding risks and uncertainties that may affect the Company’s future results included in the Company’s filings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investor.relations@nrgyield.com</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o"/>
      <w:numFmt w:val="bullet"/>
      <w:start w:val="1"/>
    </w:lvl>
  </w:abstractNum>
  <w:abstractNum w:abstractNumId="1">
    <w:nsid w:val="57D2F10E"/>
    <w:multiLevelType w:val="hybridMultilevel"/>
    <w:lvl w:ilvl="0">
      <w:lvlJc w:val="left"/>
      <w:lvlText w:val="(%1)"/>
      <w:numFmt w:val="lowerLetter"/>
      <w:start w:val="4"/>
    </w:lvl>
  </w:abstractNum>
  <w:abstractNum w:abstractNumId="2">
    <w:nsid w:val="BFFAE18"/>
    <w:multiLevelType w:val="hybridMultilevel"/>
    <w:lvl w:ilvl="0">
      <w:lvlJc w:val="left"/>
      <w:lvlText w:val="(%1)"/>
      <w:numFmt w:val="lowerRoman"/>
      <w:start w:val="1"/>
    </w:lvl>
  </w:abstractNum>
  <w:abstractNum w:abstractNumId="3">
    <w:nsid w:val="E3E47A8"/>
    <w:multiLevelType w:val="hybridMultilevel"/>
    <w:lvl w:ilvl="0">
      <w:lvlJc w:val="left"/>
      <w:lvlText w:val="(%1)"/>
      <w:numFmt w:val="upperLetter"/>
      <w:start w:val="1"/>
    </w:lvl>
    <w:lvl w:ilvl="1">
      <w:lvlJc w:val="left"/>
      <w:lvlText w:val="(%2)"/>
      <w:numFmt w:val="decimal"/>
      <w:start w:val="1"/>
    </w:lvl>
  </w:abstractNum>
  <w:abstractNum w:abstractNumId="4">
    <w:nsid w:val="2E48F044"/>
    <w:multiLevelType w:val="hybridMultilevel"/>
    <w:lvl w:ilvl="0">
      <w:lvlJc w:val="left"/>
      <w:lvlText w:val="%1"/>
      <w:numFmt w:val="lowerRoman"/>
      <w:start w:val="1"/>
    </w:lvl>
    <w:lvl w:ilvl="1">
      <w:lvlJc w:val="left"/>
      <w:lvlText w:val="(%2)"/>
      <w:numFmt w:val="decimal"/>
      <w:start w:val="2"/>
    </w:lvl>
  </w:abstractNum>
  <w:abstractNum w:abstractNumId="5">
    <w:nsid w:val="49D0FEAC"/>
    <w:multiLevelType w:val="hybridMultilevel"/>
    <w:lvl w:ilvl="0">
      <w:lvlJc w:val="left"/>
      <w:lvlText w:val="(%1)"/>
      <w:numFmt w:val="lowerRoman"/>
      <w:start w:val="2"/>
    </w:lvl>
    <w:lvl w:ilvl="1">
      <w:lvlJc w:val="left"/>
      <w:lvlText w:val="%2"/>
      <w:numFmt w:val="decimal"/>
      <w:start w:val="1"/>
    </w:lvl>
  </w:abstractNum>
  <w:abstractNum w:abstractNumId="6">
    <w:nsid w:val="4BEE5A5B"/>
    <w:multiLevelType w:val="hybridMultilevel"/>
    <w:lvl w:ilvl="0">
      <w:lvlJc w:val="left"/>
      <w:lvlText w:val="(%1)"/>
      <w:numFmt w:val="decimal"/>
      <w:start w:val="3"/>
    </w:lvl>
  </w:abstractNum>
  <w:abstractNum w:abstractNumId="7">
    <w:nsid w:val="5551B9F3"/>
    <w:multiLevelType w:val="hybridMultilevel"/>
    <w:lvl w:ilvl="0">
      <w:lvlJc w:val="left"/>
      <w:lvlText w:val="%1"/>
      <w:numFmt w:val="upperLetter"/>
      <w:start w:val="1"/>
    </w:lvl>
    <w:lvl w:ilvl="1">
      <w:lvlJc w:val="left"/>
      <w:lvlText w:val="(%2)"/>
      <w:numFmt w:val="decimal"/>
      <w:start w:val="4"/>
    </w:lvl>
  </w:abstractNum>
  <w:abstractNum w:abstractNumId="8">
    <w:nsid w:val="24F6AB8E"/>
    <w:multiLevelType w:val="hybridMultilevel"/>
    <w:lvl w:ilvl="0">
      <w:lvlJc w:val="left"/>
      <w:lvlText w:val="(%1)"/>
      <w:numFmt w:val="upperLetter"/>
      <w:start w:val="2"/>
    </w:lvl>
    <w:lvl w:ilvl="1">
      <w:lvlJc w:val="left"/>
      <w:lvlText w:val="%2"/>
      <w:numFmt w:val="decimal"/>
      <w:start w:val="1"/>
    </w:lvl>
  </w:abstractNum>
  <w:abstractNum w:abstractNumId="9">
    <w:nsid w:val="634C574C"/>
    <w:multiLevelType w:val="hybridMultilevel"/>
    <w:lvl w:ilvl="0">
      <w:lvlJc w:val="left"/>
      <w:lvlText w:val="(%1)"/>
      <w:numFmt w:val="upperLetter"/>
      <w:start w:val="3"/>
    </w:lvl>
    <w:lvl w:ilvl="1">
      <w:lvlJc w:val="left"/>
      <w:lvlText w:val="(%2)"/>
      <w:numFmt w:val="decimal"/>
      <w:start w:val="1"/>
    </w:lvl>
  </w:abstractNum>
  <w:abstractNum w:abstractNumId="10">
    <w:nsid w:val="24E99DD7"/>
    <w:multiLevelType w:val="hybridMultilevel"/>
    <w:lvl w:ilvl="0">
      <w:lvlJc w:val="left"/>
      <w:lvlText w:val="(%1)"/>
      <w:numFmt w:val="lowerLetter"/>
      <w:start w:val="5"/>
    </w:lvl>
  </w:abstractNum>
  <w:abstractNum w:abstractNumId="11">
    <w:nsid w:val="2A31B62D"/>
    <w:multiLevelType w:val="hybridMultilevel"/>
    <w:lvl w:ilvl="0">
      <w:lvlJc w:val="left"/>
      <w:lvlText w:val="(%1)"/>
      <w:numFmt w:val="upperLetter"/>
      <w:start w:val="1"/>
    </w:lvl>
  </w:abstractNum>
  <w:abstractNum w:abstractNumId="12">
    <w:nsid w:val="1849C29B"/>
    <w:multiLevelType w:val="hybridMultilevel"/>
    <w:lvl w:ilvl="0">
      <w:lvlJc w:val="left"/>
      <w:lvlText w:val="%1."/>
      <w:numFmt w:val="upperLetter"/>
      <w:start w:val="1"/>
    </w:lvl>
  </w:abstractNum>
  <w:abstractNum w:abstractNumId="13">
    <w:nsid w:val="7DFF9D09"/>
    <w:multiLevelType w:val="hybridMultilevel"/>
    <w:lvl w:ilvl="0">
      <w:lvlJc w:val="left"/>
      <w:lvlText w:val="(%1)"/>
      <w:numFmt w:val="lowerRoman"/>
      <w:start w:val="1"/>
    </w:lvl>
  </w:abstractNum>
  <w:abstractNum w:abstractNumId="14">
    <w:nsid w:val="754342"/>
    <w:multiLevelType w:val="hybridMultilevel"/>
    <w:lvl w:ilvl="0">
      <w:lvlJc w:val="left"/>
      <w:lvlText w:val="(%1)"/>
      <w:numFmt w:val="lowerRoman"/>
      <w:start w:val="1"/>
    </w:lvl>
  </w:abstractNum>
  <w:abstractNum w:abstractNumId="15">
    <w:nsid w:val="69E7F3E5"/>
    <w:multiLevelType w:val="hybridMultilevel"/>
    <w:lvl w:ilvl="0">
      <w:lvlJc w:val="left"/>
      <w:lvlText w:val="(%1)"/>
      <w:numFmt w:val="lowerRoman"/>
      <w:start w:val="1"/>
    </w:lvl>
  </w:abstractNum>
  <w:abstractNum w:abstractNumId="16">
    <w:nsid w:val="2A6DE806"/>
    <w:multiLevelType w:val="hybridMultilevel"/>
    <w:lvl w:ilvl="0">
      <w:lvlJc w:val="left"/>
      <w:lvlText w:val="%1."/>
      <w:numFmt w:val="upperLetter"/>
      <w:start w:val="1"/>
    </w:lvl>
  </w:abstractNum>
  <w:abstractNum w:abstractNumId="17">
    <w:nsid w:val="1816F8C4"/>
    <w:multiLevelType w:val="hybridMultilevel"/>
    <w:lvl w:ilvl="0">
      <w:lvlJc w:val="left"/>
      <w:lvlText w:val="(%1)"/>
      <w:numFmt w:val="lowerRoman"/>
      <w:start w:val="1"/>
    </w:lvl>
  </w:abstractNum>
  <w:abstractNum w:abstractNumId="18">
    <w:nsid w:val="37DF2233"/>
    <w:multiLevelType w:val="hybridMultilevel"/>
    <w:lvl w:ilvl="0">
      <w:lvlJc w:val="left"/>
      <w:lvlText w:val="(%1)"/>
      <w:numFmt w:val="lowerRoman"/>
      <w:start w:val="1"/>
    </w:lvl>
  </w:abstractNum>
  <w:abstractNum w:abstractNumId="19">
    <w:nsid w:val="7AB49DAF"/>
    <w:multiLevelType w:val="hybridMultilevel"/>
    <w:lvl w:ilvl="0">
      <w:lvlJc w:val="left"/>
      <w:lvlText w:val="(%1)"/>
      <w:numFmt w:val="lowerRoman"/>
      <w:start w:val="1"/>
    </w:lvl>
  </w:abstractNum>
  <w:abstractNum w:abstractNumId="20">
    <w:nsid w:val="759F82CD"/>
    <w:multiLevelType w:val="hybridMultilevel"/>
    <w:lvl w:ilvl="0">
      <w:lvlJc w:val="left"/>
      <w:lvlText w:val="(%1)"/>
      <w:numFmt w:val="lowerLetter"/>
      <w:start w:val="2"/>
    </w:lvl>
  </w:abstractNum>
  <w:abstractNum w:abstractNumId="21">
    <w:nsid w:val="61E74EA3"/>
    <w:multiLevelType w:val="hybridMultilevel"/>
    <w:lvl w:ilvl="0">
      <w:lvlJc w:val="left"/>
      <w:lvlText w:val="(%1)"/>
      <w:numFmt w:val="lowerRoman"/>
      <w:start w:val="2"/>
    </w:lvl>
  </w:abstractNum>
  <w:abstractNum w:abstractNumId="22">
    <w:nsid w:val="597B4D84"/>
    <w:multiLevelType w:val="hybridMultilevel"/>
    <w:lvl w:ilvl="0">
      <w:lvlJc w:val="left"/>
      <w:lvlText w:val="%1"/>
      <w:numFmt w:val="lowerLetter"/>
      <w:start w:val="1"/>
    </w:lvl>
    <w:lvl w:ilvl="1">
      <w:lvlJc w:val="left"/>
      <w:lvlText w:val="(%2)"/>
      <w:numFmt w:val="lowerLetter"/>
      <w:start w:val="1"/>
    </w:lvl>
  </w:abstractNum>
  <w:abstractNum w:abstractNumId="23">
    <w:nsid w:val="F819E7F"/>
    <w:multiLevelType w:val="hybridMultilevel"/>
    <w:lvl w:ilvl="0">
      <w:lvlJc w:val="left"/>
      <w:lvlText w:val="(%1)"/>
      <w:numFmt w:val="lowerLetter"/>
      <w:start w:val="2"/>
    </w:lvl>
    <w:lvl w:ilvl="1">
      <w:lvlJc w:val="left"/>
      <w:lvlText w:val="(%2)"/>
      <w:numFmt w:val="lowerLetter"/>
      <w:start w:val="2"/>
    </w:lvl>
  </w:abstractNum>
  <w:abstractNum w:abstractNumId="24">
    <w:nsid w:val="57C7D42D"/>
    <w:multiLevelType w:val="hybridMultilevel"/>
    <w:lvl w:ilvl="0">
      <w:lvlJc w:val="left"/>
      <w:lvlText w:val="(%1)"/>
      <w:numFmt w:val="lowerLetter"/>
      <w:start w:val="1"/>
    </w:lvl>
  </w:abstractNum>
  <w:abstractNum w:abstractNumId="25">
    <w:nsid w:val="312167AD"/>
    <w:multiLevelType w:val="hybridMultilevel"/>
    <w:lvl w:ilvl="0">
      <w:lvlJc w:val="left"/>
      <w:lvlText w:val="%1"/>
      <w:numFmt w:val="decimal"/>
      <w:start w:val="1"/>
    </w:lvl>
    <w:lvl w:ilvl="1">
      <w:lvlJc w:val="left"/>
      <w:lvlText w:val="(%2)"/>
      <w:numFmt w:val="lowerLetter"/>
      <w:start w:val="2"/>
    </w:lvl>
  </w:abstractNum>
  <w:abstractNum w:abstractNumId="26">
    <w:nsid w:val="631B64D4"/>
    <w:multiLevelType w:val="hybridMultilevel"/>
    <w:lvl w:ilvl="0">
      <w:lvlJc w:val="left"/>
      <w:lvlText w:val="(%1)"/>
      <w:numFmt w:val="decimal"/>
      <w:start w:val="5"/>
    </w:lvl>
    <w:lvl w:ilvl="1">
      <w:lvlJc w:val="left"/>
      <w:lvlText w:val="(%2)"/>
      <w:numFmt w:val="lowerLetter"/>
      <w:start w:val="3"/>
    </w:lvl>
  </w:abstractNum>
  <w:abstractNum w:abstractNumId="27">
    <w:nsid w:val="78B5E776"/>
    <w:multiLevelType w:val="hybridMultilevel"/>
    <w:lvl w:ilvl="0">
      <w:lvlJc w:val="left"/>
      <w:lvlText w:val="(%1)"/>
      <w:numFmt w:val="lowerLetter"/>
      <w:start w:val="1"/>
    </w:lvl>
  </w:abstractNum>
  <w:abstractNum w:abstractNumId="28">
    <w:nsid w:val="75486E47"/>
    <w:multiLevelType w:val="hybridMultilevel"/>
    <w:lvl w:ilvl="0">
      <w:lvlJc w:val="left"/>
      <w:lvlText w:val="(%1)"/>
      <w:numFmt w:val="lowerLetter"/>
      <w:start w:val="1"/>
    </w:lvl>
  </w:abstractNum>
  <w:abstractNum w:abstractNumId="29">
    <w:nsid w:val="6E534CDE"/>
    <w:multiLevelType w:val="hybridMultilevel"/>
    <w:lvl w:ilvl="0">
      <w:lvlJc w:val="left"/>
      <w:lvlText w:val="(%1)"/>
      <w:numFmt w:val="lowerLetter"/>
      <w:start w:val="1"/>
    </w:lvl>
  </w:abstractNum>
  <w:abstractNum w:abstractNumId="30">
    <w:nsid w:val="1A0DDE32"/>
    <w:multiLevelType w:val="hybridMultilevel"/>
    <w:lvl w:ilvl="0">
      <w:lvlJc w:val="left"/>
      <w:lvlText w:val="(%1)"/>
      <w:numFmt w:val="lowerLetter"/>
      <w:start w:val="1"/>
    </w:lvl>
  </w:abstractNum>
  <w:abstractNum w:abstractNumId="31">
    <w:nsid w:val="65968C1C"/>
    <w:multiLevelType w:val="hybridMultilevel"/>
    <w:lvl w:ilvl="0">
      <w:lvlJc w:val="left"/>
      <w:lvlText w:val="%1"/>
      <w:numFmt w:val="decimal"/>
      <w:start w:val="1"/>
    </w:lvl>
    <w:lvl w:ilvl="1">
      <w:lvlJc w:val="left"/>
      <w:lvlText w:val="(%2)"/>
      <w:numFmt w:val="lowerLetter"/>
      <w:start w:val="1"/>
    </w:lvl>
  </w:abstractNum>
  <w:abstractNum w:abstractNumId="32">
    <w:nsid w:val="46263DEC"/>
    <w:multiLevelType w:val="hybridMultilevel"/>
    <w:lvl w:ilvl="0">
      <w:lvlJc w:val="left"/>
      <w:lvlText w:val="(%1)"/>
      <w:numFmt w:val="decimal"/>
      <w:start w:val="2"/>
    </w:lvl>
    <w:lvl w:ilvl="1">
      <w:lvlJc w:val="left"/>
      <w:lvlText w:val="(%2)"/>
      <w:numFmt w:val="lowerLetter"/>
      <w:start w:val="2"/>
    </w:lvl>
  </w:abstractNum>
  <w:abstractNum w:abstractNumId="33">
    <w:nsid w:val="260D8C4A"/>
    <w:multiLevelType w:val="hybridMultilevel"/>
    <w:lvl w:ilvl="0">
      <w:lvlJc w:val="left"/>
      <w:lvlText w:val="(%1)"/>
      <w:numFmt w:val="lowerLetter"/>
      <w:start w:val="1"/>
    </w:lvl>
  </w:abstractNum>
  <w:abstractNum w:abstractNumId="34">
    <w:nsid w:val="73D4D3C4"/>
    <w:multiLevelType w:val="hybridMultilevel"/>
    <w:lvl w:ilvl="0">
      <w:lvlJc w:val="left"/>
      <w:lvlText w:val="(%1)"/>
      <w:numFmt w:val="lowerLetter"/>
      <w:start w:val="2"/>
    </w:lvl>
  </w:abstractNum>
  <w:abstractNum w:abstractNumId="35">
    <w:nsid w:val="746F2E30"/>
    <w:multiLevelType w:val="hybridMultilevel"/>
    <w:lvl w:ilvl="0">
      <w:lvlJc w:val="left"/>
      <w:lvlText w:val="(%1)"/>
      <w:numFmt w:val="lowerLetter"/>
      <w:start w:val="1"/>
    </w:lvl>
  </w:abstractNum>
  <w:abstractNum w:abstractNumId="36">
    <w:nsid w:val="6FDE8AF6"/>
    <w:multiLevelType w:val="hybridMultilevel"/>
    <w:lvl w:ilvl="0">
      <w:lvlJc w:val="left"/>
      <w:lvlText w:val="%1"/>
      <w:numFmt w:val="decimal"/>
      <w:start w:val="1"/>
    </w:lvl>
    <w:lvl w:ilvl="1">
      <w:lvlJc w:val="left"/>
      <w:lvlText w:val="(%2)"/>
      <w:numFmt w:val="lowerLetter"/>
      <w:start w:val="2"/>
    </w:lvl>
  </w:abstractNum>
  <w:abstractNum w:abstractNumId="37">
    <w:nsid w:val="3FC32E20"/>
    <w:multiLevelType w:val="hybridMultilevel"/>
    <w:lvl w:ilvl="0">
      <w:lvlJc w:val="left"/>
      <w:lvlText w:val="(%1)"/>
      <w:numFmt w:val="decimal"/>
      <w:start w:val="5"/>
    </w:lvl>
    <w:lvl w:ilvl="1">
      <w:lvlJc w:val="left"/>
      <w:lvlText w:val="%2"/>
      <w:numFmt w:val="lowerLetter"/>
      <w:start w:val="1"/>
    </w:lvl>
  </w:abstractNum>
  <w:abstractNum w:abstractNumId="38">
    <w:nsid w:val="49C0E823"/>
    <w:multiLevelType w:val="hybridMultilevel"/>
    <w:lvl w:ilvl="0">
      <w:lvlJc w:val="left"/>
      <w:lvlText w:val="(%1)"/>
      <w:numFmt w:val="lowerLetter"/>
      <w:start w:val="3"/>
    </w:lvl>
  </w:abstractNum>
  <w:abstractNum w:abstractNumId="39">
    <w:nsid w:val="14D53685"/>
    <w:multiLevelType w:val="hybridMultilevel"/>
    <w:lvl w:ilvl="0">
      <w:lvlJc w:val="left"/>
      <w:lvlText w:val="%1."/>
      <w:numFmt w:val="decimal"/>
      <w:start w:val="1"/>
    </w:lvl>
  </w:abstractNum>
  <w:abstractNum w:abstractNumId="40">
    <w:nsid w:val="230F856C"/>
    <w:multiLevelType w:val="hybridMultilevel"/>
    <w:lvl w:ilvl="0">
      <w:lvlJc w:val="left"/>
      <w:lvlText w:val="(%1)"/>
      <w:numFmt w:val="lowerLetter"/>
      <w:start w:val="1"/>
    </w:lvl>
  </w:abstractNum>
  <w:abstractNum w:abstractNumId="41">
    <w:nsid w:val="6EAA85FB"/>
    <w:multiLevelType w:val="hybridMultilevel"/>
    <w:lvl w:ilvl="0">
      <w:lvlJc w:val="left"/>
      <w:lvlText w:val="(%1)"/>
      <w:numFmt w:val="upperLetter"/>
      <w:start w:val="2"/>
    </w:lvl>
  </w:abstractNum>
  <w:abstractNum w:abstractNumId="42">
    <w:nsid w:val="3F06ECB2"/>
    <w:multiLevelType w:val="hybridMultilevel"/>
    <w:lvl w:ilvl="0">
      <w:lvlJc w:val="left"/>
      <w:lvlText w:val="(%1)"/>
      <w:numFmt w:val="lowerLetter"/>
      <w:start w:val="1"/>
    </w:lvl>
  </w:abstractNum>
  <w:abstractNum w:abstractNumId="43">
    <w:nsid w:val="3B594807"/>
    <w:multiLevelType w:val="hybridMultilevel"/>
    <w:lvl w:ilvl="0">
      <w:lvlJc w:val="left"/>
      <w:lvlText w:val="%1"/>
      <w:numFmt w:val="decimal"/>
      <w:start w:val="1"/>
    </w:lvl>
    <w:lvl w:ilvl="1">
      <w:lvlJc w:val="left"/>
      <w:lvlText w:val="(%2)"/>
      <w:numFmt w:val="lowerLetter"/>
      <w:start w:val="2"/>
    </w:lvl>
  </w:abstractNum>
  <w:abstractNum w:abstractNumId="44">
    <w:nsid w:val="6CAA2304"/>
    <w:multiLevelType w:val="hybridMultilevel"/>
    <w:lvl w:ilvl="0">
      <w:lvlJc w:val="left"/>
      <w:lvlText w:val="(%1)"/>
      <w:numFmt w:val="decimal"/>
      <w:start w:val="5"/>
    </w:lvl>
    <w:lvl w:ilvl="1">
      <w:lvlJc w:val="left"/>
      <w:lvlText w:val="(%2)"/>
      <w:numFmt w:val="lowerLetter"/>
      <w:start w:val="3"/>
    </w:lvl>
  </w:abstractNum>
  <w:abstractNum w:abstractNumId="45">
    <w:nsid w:val="3F7C2FF4"/>
    <w:multiLevelType w:val="hybridMultilevel"/>
    <w:lvl w:ilvl="0">
      <w:lvlJc w:val="left"/>
      <w:lvlText w:val="(%1)"/>
      <w:numFmt w:val="lowerLetter"/>
      <w:start w:val="1"/>
    </w:lvl>
  </w:abstractNum>
  <w:abstractNum w:abstractNumId="46">
    <w:nsid w:val="25413BEC"/>
    <w:multiLevelType w:val="hybridMultilevel"/>
    <w:lvl w:ilvl="0">
      <w:lvlJc w:val="left"/>
      <w:lvlText w:val="(%1)"/>
      <w:numFmt w:val="lowerLetter"/>
      <w:start w:val="1"/>
    </w:lvl>
  </w:abstractNum>
  <w:abstractNum w:abstractNumId="47">
    <w:nsid w:val="17180B0B"/>
    <w:multiLevelType w:val="hybridMultilevel"/>
    <w:lvl w:ilvl="0">
      <w:lvlJc w:val="left"/>
      <w:lvlText w:val="(%1)"/>
      <w:numFmt w:val="lowerLetter"/>
      <w:start w:val="1"/>
    </w:lvl>
  </w:abstractNum>
  <w:abstractNum w:abstractNumId="48">
    <w:nsid w:val="579328B9"/>
    <w:multiLevelType w:val="hybridMultilevel"/>
    <w:lvl w:ilvl="0">
      <w:lvlJc w:val="left"/>
      <w:lvlText w:val="(%1)"/>
      <w:numFmt w:val="lowerLetter"/>
      <w:start w:val="1"/>
    </w:lvl>
  </w:abstractNum>
  <w:abstractNum w:abstractNumId="49">
    <w:nsid w:val="5D205E20"/>
    <w:multiLevelType w:val="hybridMultilevel"/>
    <w:lvl w:ilvl="0">
      <w:lvlJc w:val="left"/>
      <w:lvlText w:val="(%1)"/>
      <w:numFmt w:val="lowerLetter"/>
      <w:start w:val="2"/>
    </w:lvl>
  </w:abstractNum>
  <w:abstractNum w:abstractNumId="50">
    <w:nsid w:val="11CCA8BA"/>
    <w:multiLevelType w:val="hybridMultilevel"/>
    <w:lvl w:ilvl="0">
      <w:lvlJc w:val="left"/>
      <w:lvlText w:val="(%1)"/>
      <w:numFmt w:val="lowerLetter"/>
      <w:start w:val="1"/>
    </w:lvl>
  </w:abstractNum>
  <w:abstractNum w:abstractNumId="51">
    <w:nsid w:val="4D32AB86"/>
    <w:multiLevelType w:val="hybridMultilevel"/>
    <w:lvl w:ilvl="0">
      <w:lvlJc w:val="left"/>
      <w:lvlText w:val="(%1)"/>
      <w:numFmt w:val="lowerLetter"/>
      <w:start w:val="3"/>
    </w:lvl>
  </w:abstractNum>
  <w:abstractNum w:abstractNumId="52">
    <w:nsid w:val="3F07ACC3"/>
    <w:multiLevelType w:val="hybridMultilevel"/>
    <w:lvl w:ilvl="0">
      <w:lvlJc w:val="left"/>
      <w:lvlText w:val="(%1)"/>
      <w:numFmt w:val="lowerLetter"/>
      <w:start w:val="1"/>
    </w:lvl>
  </w:abstractNum>
  <w:abstractNum w:abstractNumId="53">
    <w:nsid w:val="6B47F63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4">
    <w:nsid w:val="5CB44A05"/>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55">
    <w:nsid w:val="16CF80F1"/>
    <w:multiLevelType w:val="hybridMultilevel"/>
    <w:lvl w:ilvl="0">
      <w:lvlJc w:val="left"/>
      <w:lvlText w:val="%1"/>
      <w:numFmt w:val="lowerRoman"/>
      <w:start w:val="1"/>
    </w:lvl>
    <w:lvl w:ilvl="1">
      <w:lvlJc w:val="left"/>
      <w:lvlText w:val="(%2)"/>
      <w:numFmt w:val="lowerLetter"/>
      <w:start w:val="4"/>
    </w:lvl>
  </w:abstractNum>
  <w:abstractNum w:abstractNumId="56">
    <w:nsid w:val="1C695DEC"/>
    <w:multiLevelType w:val="hybridMultilevel"/>
    <w:lvl w:ilvl="0">
      <w:lvlJc w:val="left"/>
      <w:lvlText w:val="(%1)"/>
      <w:numFmt w:val="lowerRoman"/>
      <w:start w:val="4"/>
    </w:lvl>
    <w:lvl w:ilvl="1">
      <w:lvlJc w:val="left"/>
      <w:lvlText w:val="%2"/>
      <w:numFmt w:val="lowerLetter"/>
      <w:start w:val="1"/>
    </w:lvl>
  </w:abstractNum>
  <w:abstractNum w:abstractNumId="57">
    <w:nsid w:val="3FCFAED9"/>
    <w:multiLevelType w:val="hybridMultilevel"/>
    <w:lvl w:ilvl="0">
      <w:lvlJc w:val="left"/>
      <w:lvlText w:val="(%1)"/>
      <w:numFmt w:val="lowerLetter"/>
      <w:start w:val="1"/>
    </w:lvl>
  </w:abstractNum>
  <w:abstractNum w:abstractNumId="58">
    <w:nsid w:val="F856867"/>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59">
    <w:nsid w:val="11B1CC33"/>
    <w:multiLevelType w:val="hybridMultilevel"/>
    <w:lvl w:ilvl="0">
      <w:lvlJc w:val="left"/>
      <w:lvlText w:val="%1"/>
      <w:numFmt w:val="lowerLetter"/>
      <w:start w:val="1"/>
    </w:lvl>
    <w:lvl w:ilvl="1">
      <w:lvlJc w:val="left"/>
      <w:lvlText w:val="(%2)"/>
      <w:numFmt w:val="lowerRoman"/>
      <w:start w:val="3"/>
    </w:lvl>
  </w:abstractNum>
  <w:abstractNum w:abstractNumId="60">
    <w:nsid w:val="2E22FBB7"/>
    <w:multiLevelType w:val="hybridMultilevel"/>
    <w:lvl w:ilvl="0">
      <w:lvlJc w:val="left"/>
      <w:lvlText w:val="(%1)"/>
      <w:numFmt w:val="lowerLetter"/>
      <w:start w:val="3"/>
    </w:lvl>
    <w:lvl w:ilvl="1">
      <w:lvlJc w:val="left"/>
      <w:lvlText w:val="(%2)"/>
      <w:numFmt w:val="lowerRoman"/>
      <w:start w:val="1"/>
    </w:lvl>
  </w:abstractNum>
  <w:abstractNum w:abstractNumId="61">
    <w:nsid w:val="29934699"/>
    <w:multiLevelType w:val="hybridMultilevel"/>
    <w:lvl w:ilvl="0">
      <w:lvlJc w:val="left"/>
      <w:lvlText w:val="(%1)"/>
      <w:numFmt w:val="lowerRoman"/>
      <w:start w:val="2"/>
    </w:lvl>
  </w:abstractNum>
  <w:abstractNum w:abstractNumId="62">
    <w:nsid w:val="77485850"/>
    <w:multiLevelType w:val="hybridMultilevel"/>
    <w:lvl w:ilvl="0">
      <w:lvlJc w:val="left"/>
      <w:lvlText w:val="(%1)"/>
      <w:numFmt w:val="lowerLetter"/>
      <w:start w:val="4"/>
    </w:lvl>
  </w:abstractNum>
  <w:abstractNum w:abstractNumId="63">
    <w:nsid w:val="744939A3"/>
    <w:multiLevelType w:val="hybridMultilevel"/>
    <w:lvl w:ilvl="0">
      <w:lvlJc w:val="left"/>
      <w:lvlText w:val="(%1)"/>
      <w:numFmt w:val="lowerLetter"/>
      <w:start w:val="1"/>
    </w:lvl>
    <w:lvl w:ilvl="1">
      <w:lvlJc w:val="left"/>
      <w:lvlText w:val="(%2)"/>
      <w:numFmt w:val="lowerRoman"/>
      <w:start w:val="1"/>
    </w:lvl>
  </w:abstractNum>
  <w:abstractNum w:abstractNumId="64">
    <w:nsid w:val="4FA0D2E3"/>
    <w:multiLevelType w:val="hybridMultilevel"/>
    <w:lvl w:ilvl="0">
      <w:lvlJc w:val="left"/>
      <w:lvlText w:val="(%1)"/>
      <w:numFmt w:val="lowerRoman"/>
      <w:start w:val="3"/>
    </w:lvl>
    <w:lvl w:ilvl="1">
      <w:lvlJc w:val="left"/>
      <w:lvlText w:val="(%2)"/>
      <w:numFmt w:val="upperLetter"/>
      <w:start w:val="1"/>
    </w:lvl>
  </w:abstractNum>
  <w:abstractNum w:abstractNumId="65">
    <w:nsid w:val="6B1D2C14"/>
    <w:multiLevelType w:val="hybridMultilevel"/>
    <w:lvl w:ilvl="0">
      <w:lvlJc w:val="left"/>
      <w:lvlText w:val="(%1)"/>
      <w:numFmt w:val="lowerLetter"/>
      <w:start w:val="1"/>
    </w:lvl>
    <w:lvl w:ilvl="1">
      <w:lvlJc w:val="left"/>
      <w:lvlText w:val="(%2)"/>
      <w:numFmt w:val="lowerRoman"/>
      <w:start w:val="1"/>
    </w:lvl>
  </w:abstractNum>
  <w:abstractNum w:abstractNumId="66">
    <w:nsid w:val="68B867D3"/>
    <w:multiLevelType w:val="hybridMultilevel"/>
    <w:lvl w:ilvl="0">
      <w:lvlJc w:val="left"/>
      <w:lvlText w:val="(%1)"/>
      <w:numFmt w:val="lowerLetter"/>
      <w:start w:val="61"/>
    </w:lvl>
    <w:lvl w:ilvl="1">
      <w:lvlJc w:val="left"/>
      <w:lvlText w:val="(%2)"/>
      <w:numFmt w:val="lowerRoman"/>
      <w:start w:val="2"/>
    </w:lvl>
  </w:abstractNum>
  <w:abstractNum w:abstractNumId="67">
    <w:nsid w:val="3F7F5DD9"/>
    <w:multiLevelType w:val="hybridMultilevel"/>
    <w:lvl w:ilvl="0">
      <w:lvlJc w:val="left"/>
      <w:lvlText w:val="(%1)"/>
      <w:numFmt w:val="lowerRoman"/>
      <w:start w:val="3"/>
    </w:lvl>
  </w:abstractNum>
  <w:abstractNum w:abstractNumId="68">
    <w:nsid w:val="2AE05A34"/>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69">
    <w:nsid w:val="32794FF7"/>
    <w:multiLevelType w:val="hybridMultilevel"/>
    <w:lvl w:ilvl="0">
      <w:lvlJc w:val="left"/>
      <w:lvlText w:val="(%1)"/>
      <w:numFmt w:val="decimal"/>
      <w:start w:val="3"/>
    </w:lvl>
    <w:lvl w:ilvl="1">
      <w:lvlJc w:val="left"/>
      <w:lvlText w:val="(%2)"/>
      <w:numFmt w:val="lowerRoman"/>
      <w:start w:val="8"/>
    </w:lvl>
    <w:lvl w:ilvl="2">
      <w:lvlJc w:val="left"/>
      <w:lvlText w:val="(%3)"/>
      <w:numFmt w:val="upperLetter"/>
      <w:start w:val="1"/>
    </w:lvl>
  </w:abstractNum>
  <w:abstractNum w:abstractNumId="70">
    <w:nsid w:val="5454945E"/>
    <w:multiLevelType w:val="hybridMultilevel"/>
    <w:lvl w:ilvl="0">
      <w:lvlJc w:val="left"/>
      <w:lvlText w:val="(%1)"/>
      <w:numFmt w:val="lowerRoman"/>
      <w:start w:val="10"/>
    </w:lvl>
  </w:abstractNum>
  <w:abstractNum w:abstractNumId="71">
    <w:nsid w:val="4DEFDFA0"/>
    <w:multiLevelType w:val="hybridMultilevel"/>
    <w:lvl w:ilvl="0">
      <w:lvlJc w:val="left"/>
      <w:lvlText w:val="(%1)"/>
      <w:numFmt w:val="lowerLetter"/>
      <w:start w:val="1"/>
    </w:lvl>
  </w:abstractNum>
  <w:abstractNum w:abstractNumId="72">
    <w:nsid w:val="2123D5F2"/>
    <w:multiLevelType w:val="hybridMultilevel"/>
    <w:lvl w:ilvl="0">
      <w:lvlJc w:val="left"/>
      <w:lvlText w:val="(%1)"/>
      <w:numFmt w:val="lowerLetter"/>
      <w:start w:val="2"/>
    </w:lvl>
    <w:lvl w:ilvl="1">
      <w:lvlJc w:val="left"/>
      <w:lvlText w:val="(%2)"/>
      <w:numFmt w:val="lowerRoman"/>
      <w:start w:val="1"/>
    </w:lvl>
  </w:abstractNum>
  <w:abstractNum w:abstractNumId="73">
    <w:nsid w:val="135B8110"/>
    <w:multiLevelType w:val="hybridMultilevel"/>
    <w:lvl w:ilvl="0">
      <w:lvlJc w:val="left"/>
      <w:lvlText w:val="%1"/>
      <w:numFmt w:val="upperLetter"/>
      <w:start w:val="1"/>
    </w:lvl>
    <w:lvl w:ilvl="1">
      <w:lvlJc w:val="left"/>
      <w:lvlText w:val="(%2)"/>
      <w:numFmt w:val="lowerLetter"/>
      <w:start w:val="5"/>
    </w:lvl>
  </w:abstractNum>
  <w:abstractNum w:abstractNumId="74">
    <w:nsid w:val="94927A8"/>
    <w:multiLevelType w:val="hybridMultilevel"/>
    <w:lvl w:ilvl="0">
      <w:lvlJc w:val="left"/>
      <w:lvlText w:val="(%1)"/>
      <w:numFmt w:val="upperLetter"/>
      <w:start w:val="8"/>
    </w:lvl>
    <w:lvl w:ilvl="1">
      <w:lvlJc w:val="left"/>
      <w:lvlText w:val="%2"/>
      <w:numFmt w:val="lowerLetter"/>
      <w:start w:val="1"/>
    </w:lvl>
  </w:abstractNum>
  <w:abstractNum w:abstractNumId="75">
    <w:nsid w:val="DCDF8F6"/>
    <w:multiLevelType w:val="hybridMultilevel"/>
    <w:lvl w:ilvl="0">
      <w:lvlJc w:val="left"/>
      <w:lvlText w:val="(%1)"/>
      <w:numFmt w:val="lowerLetter"/>
      <w:start w:val="1"/>
    </w:lvl>
  </w:abstractNum>
  <w:abstractNum w:abstractNumId="76">
    <w:nsid w:val="52D7B105"/>
    <w:multiLevelType w:val="hybridMultilevel"/>
    <w:lvl w:ilvl="0">
      <w:lvlJc w:val="left"/>
      <w:lvlText w:val="(%1)"/>
      <w:numFmt w:val="lowerLetter"/>
      <w:start w:val="2"/>
    </w:lvl>
  </w:abstractNum>
  <w:abstractNum w:abstractNumId="77">
    <w:nsid w:val="2E8A6394"/>
    <w:multiLevelType w:val="hybridMultilevel"/>
    <w:lvl w:ilvl="0">
      <w:lvlJc w:val="left"/>
      <w:lvlText w:val="(%1)"/>
      <w:numFmt w:val="lowerLetter"/>
      <w:start w:val="1"/>
    </w:lvl>
  </w:abstractNum>
  <w:abstractNum w:abstractNumId="78">
    <w:nsid w:val="24E60401"/>
    <w:multiLevelType w:val="hybridMultilevel"/>
    <w:lvl w:ilvl="0">
      <w:lvlJc w:val="left"/>
      <w:lvlText w:val="(%1)"/>
      <w:numFmt w:val="lowerLetter"/>
      <w:start w:val="1"/>
    </w:lvl>
  </w:abstractNum>
  <w:abstractNum w:abstractNumId="79">
    <w:nsid w:val="2A6AD9BE"/>
    <w:multiLevelType w:val="hybridMultilevel"/>
    <w:lvl w:ilvl="0">
      <w:lvlJc w:val="left"/>
      <w:lvlText w:val="(%1)"/>
      <w:numFmt w:val="lowerLetter"/>
      <w:start w:val="2"/>
    </w:lvl>
  </w:abstractNum>
  <w:abstractNum w:abstractNumId="80">
    <w:nsid w:val="BAAC1B4"/>
    <w:multiLevelType w:val="hybridMultilevel"/>
    <w:lvl w:ilvl="0">
      <w:lvlJc w:val="left"/>
      <w:lvlText w:val="(%1)"/>
      <w:numFmt w:val="lowerLetter"/>
      <w:start w:val="3"/>
    </w:lvl>
  </w:abstractNum>
  <w:abstractNum w:abstractNumId="81">
    <w:nsid w:val="36B2ACBC"/>
    <w:multiLevelType w:val="hybridMultilevel"/>
    <w:lvl w:ilvl="0">
      <w:lvlJc w:val="left"/>
      <w:lvlText w:val="(%1)"/>
      <w:numFmt w:val="lowerLetter"/>
      <w:start w:val="1"/>
    </w:lvl>
  </w:abstractNum>
  <w:abstractNum w:abstractNumId="82">
    <w:nsid w:val="779D8544"/>
    <w:multiLevelType w:val="hybridMultilevel"/>
    <w:lvl w:ilvl="0">
      <w:lvlJc w:val="left"/>
      <w:lvlText w:val="(%1)"/>
      <w:numFmt w:val="lowerLetter"/>
      <w:start w:val="5"/>
    </w:lvl>
  </w:abstractNum>
  <w:abstractNum w:abstractNumId="83">
    <w:nsid w:val="4AB26E78"/>
    <w:multiLevelType w:val="hybridMultilevel"/>
    <w:lvl w:ilvl="0">
      <w:lvlJc w:val="left"/>
      <w:lvlText w:val="(%1)"/>
      <w:numFmt w:val="lowerLetter"/>
      <w:start w:val="8"/>
    </w:lvl>
  </w:abstractNum>
  <w:abstractNum w:abstractNumId="84">
    <w:nsid w:val="21FAA2FA"/>
    <w:multiLevelType w:val="hybridMultilevel"/>
    <w:lvl w:ilvl="0">
      <w:lvlJc w:val="left"/>
      <w:lvlText w:val="(%1)"/>
      <w:numFmt w:val="lowerLetter"/>
      <w:start w:val="1"/>
    </w:lvl>
  </w:abstractNum>
  <w:abstractNum w:abstractNumId="85">
    <w:nsid w:val="5451CF49"/>
    <w:multiLevelType w:val="hybridMultilevel"/>
    <w:lvl w:ilvl="0">
      <w:lvlJc w:val="left"/>
      <w:lvlText w:val="(%1)"/>
      <w:numFmt w:val="lowerLetter"/>
      <w:start w:val="2"/>
    </w:lvl>
  </w:abstractNum>
  <w:abstractNum w:abstractNumId="86">
    <w:nsid w:val="6181EF69"/>
    <w:multiLevelType w:val="hybridMultilevel"/>
    <w:lvl w:ilvl="0">
      <w:lvlJc w:val="left"/>
      <w:lvlText w:val="(%1)"/>
      <w:numFmt w:val="lowerLetter"/>
      <w:start w:val="1"/>
    </w:lvl>
  </w:abstractNum>
  <w:abstractNum w:abstractNumId="87">
    <w:nsid w:val="3E6400E6"/>
    <w:multiLevelType w:val="hybridMultilevel"/>
    <w:lvl w:ilvl="0">
      <w:lvlJc w:val="left"/>
      <w:lvlText w:val="(%1)"/>
      <w:numFmt w:val="lowerLetter"/>
      <w:start w:val="1"/>
    </w:lvl>
  </w:abstractNum>
  <w:abstractNum w:abstractNumId="88">
    <w:nsid w:val="14217E23"/>
    <w:multiLevelType w:val="hybridMultilevel"/>
    <w:lvl w:ilvl="0">
      <w:lvlJc w:val="left"/>
      <w:lvlText w:val="(%1)"/>
      <w:numFmt w:val="lowerLetter"/>
      <w:start w:val="2"/>
    </w:lvl>
  </w:abstractNum>
  <w:abstractNum w:abstractNumId="89">
    <w:nsid w:val="710757D0"/>
    <w:multiLevelType w:val="hybridMultilevel"/>
    <w:lvl w:ilvl="0">
      <w:lvlJc w:val="left"/>
      <w:lvlText w:val="(%1)"/>
      <w:numFmt w:val="lowerLetter"/>
      <w:start w:val="4"/>
    </w:lvl>
  </w:abstractNum>
  <w:abstractNum w:abstractNumId="90">
    <w:nsid w:val="5015CD1A"/>
    <w:multiLevelType w:val="hybridMultilevel"/>
    <w:lvl w:ilvl="0">
      <w:lvlJc w:val="left"/>
      <w:lvlText w:val="(%1)"/>
      <w:numFmt w:val="lowerLetter"/>
      <w:start w:val="1"/>
    </w:lvl>
    <w:lvl w:ilvl="1">
      <w:lvlJc w:val="left"/>
      <w:lvlText w:val="(%2)"/>
      <w:numFmt w:val="lowerRoman"/>
      <w:start w:val="1"/>
    </w:lvl>
  </w:abstractNum>
  <w:abstractNum w:abstractNumId="91">
    <w:nsid w:val="424479DA"/>
    <w:multiLevelType w:val="hybridMultilevel"/>
    <w:lvl w:ilvl="0">
      <w:lvlJc w:val="left"/>
      <w:lvlText w:val="(%1)"/>
      <w:numFmt w:val="lowerRoman"/>
      <w:start w:val="3"/>
    </w:lvl>
  </w:abstractNum>
  <w:abstractNum w:abstractNumId="92">
    <w:nsid w:val="1A9A9E69"/>
    <w:multiLevelType w:val="hybridMultilevel"/>
    <w:lvl w:ilvl="0">
      <w:lvlJc w:val="left"/>
      <w:lvlText w:val="(%1)"/>
      <w:numFmt w:val="lowerRoman"/>
      <w:start w:val="5"/>
    </w:lvl>
  </w:abstractNum>
  <w:abstractNum w:abstractNumId="93">
    <w:nsid w:val="475E256A"/>
    <w:multiLevelType w:val="hybridMultilevel"/>
    <w:lvl w:ilvl="0">
      <w:lvlJc w:val="left"/>
      <w:lvlText w:val="(%1)"/>
      <w:numFmt w:val="lowerLetter"/>
      <w:start w:val="4"/>
    </w:lvl>
  </w:abstractNum>
  <w:abstractNum w:abstractNumId="94">
    <w:nsid w:val="368DB37E"/>
    <w:multiLevelType w:val="hybridMultilevel"/>
    <w:lvl w:ilvl="0">
      <w:lvlJc w:val="left"/>
      <w:lvlText w:val="(%1)"/>
      <w:numFmt w:val="lowerLetter"/>
      <w:start w:val="1"/>
    </w:lvl>
  </w:abstractNum>
  <w:abstractNum w:abstractNumId="95">
    <w:nsid w:val="6A3B714C"/>
    <w:multiLevelType w:val="hybridMultilevel"/>
    <w:lvl w:ilvl="0">
      <w:lvlJc w:val="left"/>
      <w:lvlText w:val="(%1)"/>
      <w:numFmt w:val="lowerLetter"/>
      <w:start w:val="1"/>
    </w:lvl>
  </w:abstractNum>
  <w:abstractNum w:abstractNumId="96">
    <w:nsid w:val="327B517E"/>
    <w:multiLevelType w:val="hybridMultilevel"/>
    <w:lvl w:ilvl="0">
      <w:lvlJc w:val="left"/>
      <w:lvlText w:val="(%1)"/>
      <w:numFmt w:val="lowerLetter"/>
      <w:start w:val="2"/>
    </w:lvl>
  </w:abstractNum>
  <w:abstractNum w:abstractNumId="97">
    <w:nsid w:val="1F461B51"/>
    <w:multiLevelType w:val="hybridMultilevel"/>
    <w:lvl w:ilvl="0">
      <w:lvlJc w:val="left"/>
      <w:lvlText w:val="%1"/>
      <w:numFmt w:val="lowerLetter"/>
      <w:start w:val="1"/>
    </w:lvl>
    <w:lvl w:ilvl="1">
      <w:lvlJc w:val="left"/>
      <w:lvlText w:val="(%2)"/>
      <w:numFmt w:val="lowerLetter"/>
      <w:start w:val="4"/>
    </w:lvl>
  </w:abstractNum>
  <w:abstractNum w:abstractNumId="98">
    <w:nsid w:val="29BACF25"/>
    <w:multiLevelType w:val="hybridMultilevel"/>
    <w:lvl w:ilvl="0">
      <w:lvlJc w:val="left"/>
      <w:lvlText w:val="(%1)"/>
      <w:numFmt w:val="lowerLetter"/>
      <w:start w:val="9"/>
    </w:lvl>
    <w:lvl w:ilvl="1">
      <w:lvlJc w:val="left"/>
      <w:lvlText w:val="(%2)"/>
      <w:numFmt w:val="lowerLetter"/>
      <w:start w:val="5"/>
    </w:lvl>
  </w:abstractNum>
  <w:abstractNum w:abstractNumId="99">
    <w:nsid w:val="5D5BABB3"/>
    <w:multiLevelType w:val="hybridMultilevel"/>
    <w:lvl w:ilvl="0">
      <w:lvlJc w:val="left"/>
      <w:lvlText w:val="(%1)"/>
      <w:numFmt w:val="lowerLetter"/>
      <w:start w:val="7"/>
    </w:lvl>
  </w:abstractNum>
  <w:abstractNum w:abstractNumId="100">
    <w:nsid w:val="51BF6B48"/>
    <w:multiLevelType w:val="hybridMultilevel"/>
    <w:lvl w:ilvl="0">
      <w:lvlJc w:val="left"/>
      <w:lvlText w:val="(%1)"/>
      <w:numFmt w:val="lowerLetter"/>
      <w:start w:val="1"/>
    </w:lvl>
  </w:abstractNum>
  <w:abstractNum w:abstractNumId="101">
    <w:nsid w:val="7E0F6384"/>
    <w:multiLevelType w:val="hybridMultilevel"/>
    <w:lvl w:ilvl="0">
      <w:lvlJc w:val="left"/>
      <w:lvlText w:val="(%1)"/>
      <w:numFmt w:val="lowerLetter"/>
      <w:start w:val="3"/>
    </w:lvl>
  </w:abstractNum>
  <w:abstractNum w:abstractNumId="102">
    <w:nsid w:val="2B4B8B53"/>
    <w:multiLevelType w:val="hybridMultilevel"/>
    <w:lvl w:ilvl="0">
      <w:lvlJc w:val="left"/>
      <w:lvlText w:val="%1."/>
      <w:numFmt w:val="decimal"/>
      <w:start w:val="1"/>
    </w:lvl>
  </w:abstractNum>
  <w:abstractNum w:abstractNumId="103">
    <w:nsid w:val="72E3413A"/>
    <w:multiLevelType w:val="hybridMultilevel"/>
    <w:lvl w:ilvl="0">
      <w:lvlJc w:val="left"/>
      <w:lvlText w:val="%1."/>
      <w:numFmt w:val="upperLetter"/>
      <w:start w:val="1"/>
    </w:lvl>
  </w:abstractNum>
  <w:abstractNum w:abstractNumId="104">
    <w:nsid w:val="116AE494"/>
    <w:multiLevelType w:val="hybridMultilevel"/>
    <w:lvl w:ilvl="0">
      <w:lvlJc w:val="left"/>
      <w:lvlText w:val="%1."/>
      <w:numFmt w:val="decimal"/>
      <w:start w:val="1"/>
    </w:lvl>
    <w:lvl w:ilvl="1">
      <w:lvlJc w:val="left"/>
      <w:lvlText w:val="(%2)"/>
      <w:numFmt w:val="lowerLetter"/>
      <w:start w:val="1"/>
    </w:lvl>
  </w:abstractNum>
  <w:abstractNum w:abstractNumId="105">
    <w:nsid w:val="3494B2FB"/>
    <w:multiLevelType w:val="hybridMultilevel"/>
    <w:lvl w:ilvl="0">
      <w:lvlJc w:val="left"/>
      <w:lvlText w:val="%1"/>
      <w:numFmt w:val="lowerLetter"/>
      <w:start w:val="1"/>
    </w:lvl>
    <w:lvl w:ilvl="1">
      <w:lvlJc w:val="left"/>
      <w:lvlText w:val="(%2)"/>
      <w:numFmt w:val="lowerLetter"/>
      <w:start w:val="3"/>
    </w:lvl>
  </w:abstractNum>
  <w:abstractNum w:abstractNumId="106">
    <w:nsid w:val="B13A31"/>
    <w:multiLevelType w:val="hybridMultilevel"/>
    <w:lvl w:ilvl="0">
      <w:lvlJc w:val="left"/>
      <w:lvlText w:val="(%1)"/>
      <w:numFmt w:val="lowerLetter"/>
      <w:start w:val="35"/>
    </w:lvl>
    <w:lvl w:ilvl="1">
      <w:lvlJc w:val="left"/>
      <w:lvlText w:val="(%2)"/>
      <w:numFmt w:val="lowerLetter"/>
      <w:start w:val="6"/>
    </w:lvl>
  </w:abstractNum>
  <w:abstractNum w:abstractNumId="107">
    <w:nsid w:val="64429599"/>
    <w:multiLevelType w:val="hybridMultilevel"/>
    <w:lvl w:ilvl="0">
      <w:lvlJc w:val="left"/>
      <w:lvlText w:val="(%1)"/>
      <w:numFmt w:val="lowerLetter"/>
      <w:start w:val="7"/>
    </w:lvl>
  </w:abstractNum>
  <w:abstractNum w:abstractNumId="108">
    <w:nsid w:val="631F1690"/>
    <w:multiLevelType w:val="hybridMultilevel"/>
    <w:lvl w:ilvl="0">
      <w:lvlJc w:val="left"/>
      <w:lvlText w:val="%1"/>
      <w:numFmt w:val="decimal"/>
      <w:start w:val="1"/>
    </w:lvl>
    <w:lvl w:ilvl="1">
      <w:lvlJc w:val="left"/>
      <w:lvlText w:val="(%2)"/>
      <w:numFmt w:val="lowerLetter"/>
      <w:start w:val="8"/>
    </w:lvl>
  </w:abstractNum>
  <w:abstractNum w:abstractNumId="109">
    <w:nsid w:val="25973E32"/>
    <w:multiLevelType w:val="hybridMultilevel"/>
    <w:lvl w:ilvl="0">
      <w:lvlJc w:val="left"/>
      <w:lvlText w:val="%1."/>
      <w:numFmt w:val="decimal"/>
      <w:start w:val="3"/>
    </w:lvl>
    <w:lvl w:ilvl="1">
      <w:lvlJc w:val="left"/>
      <w:lvlText w:val="%2"/>
      <w:numFmt w:val="lowerLetter"/>
      <w:start w:val="1"/>
    </w:lvl>
  </w:abstractNum>
  <w:abstractNum w:abstractNumId="110">
    <w:nsid w:val="EAD6F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1">
    <w:nsid w:val="6EC9D84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2">
    <w:nsid w:val="5C49EAEE"/>
    <w:multiLevelType w:val="hybridMultilevel"/>
    <w:lvl w:ilvl="0">
      <w:lvlJc w:val="left"/>
      <w:lvlText w:val="(%1)"/>
      <w:numFmt w:val="decimal"/>
      <w:start w:val="10"/>
    </w:lvl>
    <w:lvl w:ilvl="1">
      <w:lvlJc w:val="left"/>
      <w:lvlText w:val="%2."/>
      <w:numFmt w:val="decimal"/>
      <w:start w:val="6"/>
    </w:lvl>
    <w:lvl w:ilvl="2">
      <w:lvlJc w:val="left"/>
      <w:lvlText w:val="(%3)"/>
      <w:numFmt w:val="lowerLetter"/>
      <w:start w:val="1"/>
    </w:lvl>
  </w:abstractNum>
  <w:abstractNum w:abstractNumId="113">
    <w:nsid w:val="64AF4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14">
    <w:nsid w:val="397C46BC"/>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115">
    <w:nsid w:val="7E448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16">
    <w:nsid w:val="5A9CC3E5"/>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abstractNum>
  <w:abstractNum w:abstractNumId="117">
    <w:nsid w:val="1AFE3625"/>
    <w:multiLevelType w:val="hybridMultilevel"/>
    <w:lvl w:ilvl="0">
      <w:lvlJc w:val="left"/>
      <w:lvlText w:val="%1."/>
      <w:numFmt w:val="decimal"/>
      <w:start w:val="12"/>
    </w:lvl>
    <w:lvl w:ilvl="1">
      <w:lvlJc w:val="left"/>
      <w:lvlText w:val="(%2)"/>
      <w:numFmt w:val="lowerLetter"/>
      <w:start w:val="1"/>
    </w:lvl>
  </w:abstractNum>
  <w:abstractNum w:abstractNumId="118">
    <w:nsid w:val="3CA88ECF"/>
    <w:multiLevelType w:val="hybridMultilevel"/>
    <w:lvl w:ilvl="0">
      <w:lvlJc w:val="left"/>
      <w:lvlText w:val="%1."/>
      <w:numFmt w:val="decimal"/>
      <w:start w:val="14"/>
    </w:lvl>
  </w:abstractNum>
  <w:abstractNum w:abstractNumId="119">
    <w:nsid w:val="6EBE4208"/>
    <w:multiLevelType w:val="hybridMultilevel"/>
    <w:lvl w:ilvl="0">
      <w:lvlJc w:val="left"/>
      <w:lvlText w:val="%1."/>
      <w:numFmt w:val="decimal"/>
      <w:start w:val="21"/>
    </w:lvl>
  </w:abstractNum>
  <w:abstractNum w:abstractNumId="120">
    <w:nsid w:val="C058DF5"/>
    <w:multiLevelType w:val="hybridMultilevel"/>
    <w:lvl w:ilvl="0">
      <w:lvlJc w:val="left"/>
      <w:lvlText w:val="%1."/>
      <w:numFmt w:val="decimal"/>
      <w:start w:val="22"/>
    </w:lvl>
  </w:abstractNum>
  <w:abstractNum w:abstractNumId="121">
    <w:nsid w:val="CBE5BE9"/>
    <w:multiLevelType w:val="hybridMultilevel"/>
    <w:lvl w:ilvl="0">
      <w:lvlJc w:val="left"/>
      <w:lvlText w:val="%1."/>
      <w:numFmt w:val="decimal"/>
      <w:start w:val="28"/>
    </w:lvl>
  </w:abstractNum>
  <w:abstractNum w:abstractNumId="122">
    <w:nsid w:val="3102BBE2"/>
    <w:multiLevelType w:val="hybridMultilevel"/>
    <w:lvl w:ilvl="0">
      <w:lvlJc w:val="left"/>
      <w:lvlText w:val="%1."/>
      <w:numFmt w:val="decimal"/>
      <w:start w:val="34"/>
    </w:lvl>
    <w:lvl w:ilvl="1">
      <w:lvlJc w:val="left"/>
      <w:lvlText w:val="(%2)"/>
      <w:numFmt w:val="lowerLetter"/>
      <w:start w:val="1"/>
    </w:lvl>
  </w:abstractNum>
  <w:abstractNum w:abstractNumId="123">
    <w:nsid w:val="26A02C5E"/>
    <w:multiLevelType w:val="hybridMultilevel"/>
    <w:lvl w:ilvl="0">
      <w:lvlJc w:val="left"/>
      <w:lvlText w:val="(%1)"/>
      <w:numFmt w:val="lowerLetter"/>
      <w:start w:val="3"/>
    </w:lvl>
  </w:abstractNum>
  <w:abstractNum w:abstractNumId="124">
    <w:nsid w:val="541C8153"/>
    <w:multiLevelType w:val="hybridMultilevel"/>
    <w:lvl w:ilvl="0">
      <w:lvlJc w:val="left"/>
      <w:lvlText w:val="A"/>
      <w:numFmt w:val="bullet"/>
      <w:start w:val="1"/>
    </w:lvl>
  </w:abstractNum>
  <w:abstractNum w:abstractNumId="125">
    <w:nsid w:val="67906F60"/>
    <w:multiLevelType w:val="hybridMultilevel"/>
    <w:lvl w:ilvl="0">
      <w:lvlJc w:val="left"/>
      <w:lvlText w:val="B"/>
      <w:numFmt w:val="bullet"/>
      <w:start w:val="1"/>
    </w:lvl>
  </w:abstractNum>
  <w:abstractNum w:abstractNumId="126">
    <w:nsid w:val="10DB9DAA"/>
    <w:multiLevelType w:val="hybridMultilevel"/>
    <w:lvl w:ilvl="0">
      <w:lvlJc w:val="left"/>
      <w:lvlText w:val="C"/>
      <w:numFmt w:val="bullet"/>
      <w:start w:val="1"/>
    </w:lvl>
  </w:abstractNum>
  <w:abstractNum w:abstractNumId="127">
    <w:nsid w:val="697D2D2"/>
    <w:multiLevelType w:val="hybridMultilevel"/>
    <w:lvl w:ilvl="0">
      <w:lvlJc w:val="left"/>
      <w:lvlText w:val="(%1)"/>
      <w:numFmt w:val="lowerLetter"/>
      <w:start w:val="1"/>
    </w:lvl>
  </w:abstractNum>
  <w:abstractNum w:abstractNumId="128">
    <w:nsid w:val="6D68AB2"/>
    <w:multiLevelType w:val="hybridMultilevel"/>
    <w:lvl w:ilvl="0">
      <w:lvlJc w:val="left"/>
      <w:lvlText w:val="%1"/>
      <w:numFmt w:val="lowerLetter"/>
      <w:start w:val="1"/>
    </w:lvl>
    <w:lvl w:ilvl="1">
      <w:lvlJc w:val="left"/>
      <w:lvlText w:val="(%2)"/>
      <w:numFmt w:val="lowerLetter"/>
      <w:start w:val="4"/>
    </w:lvl>
  </w:abstractNum>
  <w:abstractNum w:abstractNumId="129">
    <w:nsid w:val="3A966CD0"/>
    <w:multiLevelType w:val="hybridMultilevel"/>
    <w:lvl w:ilvl="0">
      <w:lvlJc w:val="left"/>
      <w:lvlText w:val="(%1)"/>
      <w:numFmt w:val="lowerLetter"/>
      <w:start w:val="2"/>
    </w:lvl>
    <w:lvl w:ilvl="1">
      <w:lvlJc w:val="left"/>
      <w:lvlText w:val="(%2)"/>
      <w:numFmt w:val="lowerLetter"/>
      <w:start w:val="8"/>
    </w:lvl>
  </w:abstractNum>
  <w:abstractNum w:abstractNumId="130">
    <w:nsid w:val="63F37E85"/>
    <w:multiLevelType w:val="hybridMultilevel"/>
    <w:lvl w:ilvl="0">
      <w:lvlJc w:val="left"/>
      <w:lvlText w:val="(%1)"/>
      <w:numFmt w:val="lowerLetter"/>
      <w:start w:val="1"/>
    </w:lvl>
  </w:abstractNum>
  <w:abstractNum w:abstractNumId="131">
    <w:nsid w:val="5895F5FA"/>
    <w:multiLevelType w:val="hybridMultilevel"/>
    <w:lvl w:ilvl="0">
      <w:lvlJc w:val="left"/>
      <w:lvlText w:val="(%1)"/>
      <w:numFmt w:val="lowerLetter"/>
      <w:start w:val="3"/>
    </w:lvl>
  </w:abstractNum>
  <w:abstractNum w:abstractNumId="132">
    <w:nsid w:val="38A5D054"/>
    <w:multiLevelType w:val="hybridMultilevel"/>
    <w:lvl w:ilvl="0">
      <w:lvlJc w:val="left"/>
      <w:lvlText w:val="(%1)"/>
      <w:numFmt w:val="lowerLetter"/>
      <w:start w:val="1"/>
    </w:lvl>
  </w:abstractNum>
  <w:abstractNum w:abstractNumId="133">
    <w:nsid w:val="F3F09D8"/>
    <w:multiLevelType w:val="hybridMultilevel"/>
    <w:lvl w:ilvl="0">
      <w:lvlJc w:val="left"/>
      <w:lvlText w:val="(%1)"/>
      <w:numFmt w:val="lowerLetter"/>
      <w:start w:val="4"/>
    </w:lvl>
  </w:abstractNum>
  <w:abstractNum w:abstractNumId="134">
    <w:nsid w:val="4B793735"/>
    <w:multiLevelType w:val="hybridMultilevel"/>
    <w:lvl w:ilvl="0">
      <w:lvlJc w:val="left"/>
      <w:lvlText w:val="(%1)"/>
      <w:numFmt w:val="lowerLetter"/>
      <w:start w:val="1"/>
    </w:lvl>
  </w:abstractNum>
  <w:abstractNum w:abstractNumId="135">
    <w:nsid w:val="4A10B4E8"/>
    <w:multiLevelType w:val="hybridMultilevel"/>
    <w:lvl w:ilvl="0">
      <w:lvlJc w:val="left"/>
      <w:lvlText w:val="(%1)"/>
      <w:numFmt w:val="lowerLetter"/>
      <w:start w:val="1"/>
    </w:lvl>
  </w:abstractNum>
  <w:abstractNum w:abstractNumId="136">
    <w:nsid w:val="43D3BCD4"/>
    <w:multiLevelType w:val="hybridMultilevel"/>
    <w:lvl w:ilvl="0">
      <w:lvlJc w:val="left"/>
      <w:lvlText w:val="(%1)"/>
      <w:numFmt w:val="lowerLetter"/>
      <w:start w:val="4"/>
    </w:lvl>
  </w:abstractNum>
  <w:abstractNum w:abstractNumId="137">
    <w:nsid w:val="4C2A7166"/>
    <w:multiLevelType w:val="hybridMultilevel"/>
    <w:lvl w:ilvl="0">
      <w:lvlJc w:val="left"/>
      <w:lvlText w:val="(%1)"/>
      <w:numFmt w:val="lowerLetter"/>
      <w:start w:val="4"/>
    </w:lvl>
  </w:abstractNum>
  <w:abstractNum w:abstractNumId="138">
    <w:nsid w:val="2E534A82"/>
    <w:multiLevelType w:val="hybridMultilevel"/>
    <w:lvl w:ilvl="0">
      <w:lvlJc w:val="left"/>
      <w:lvlText w:val="(%1)"/>
      <w:numFmt w:val="lowerLetter"/>
      <w:start w:val="7"/>
    </w:lvl>
  </w:abstractNum>
  <w:abstractNum w:abstractNumId="139">
    <w:nsid w:val="26F2D364"/>
    <w:multiLevelType w:val="hybridMultilevel"/>
    <w:lvl w:ilvl="0">
      <w:lvlJc w:val="left"/>
      <w:lvlText w:val="(%1)"/>
      <w:numFmt w:val="lowerLetter"/>
      <w:start w:val="1"/>
    </w:lvl>
  </w:abstractNum>
  <w:abstractNum w:abstractNumId="140">
    <w:nsid w:val="71C1AF98"/>
    <w:multiLevelType w:val="hybridMultilevel"/>
    <w:lvl w:ilvl="0">
      <w:lvlJc w:val="left"/>
      <w:lvlText w:val="(%1)"/>
      <w:numFmt w:val="lowerLetter"/>
      <w:start w:val="3"/>
    </w:lvl>
  </w:abstractNum>
  <w:abstractNum w:abstractNumId="141">
    <w:nsid w:val="3D00B9D9"/>
    <w:multiLevelType w:val="hybridMultilevel"/>
    <w:lvl w:ilvl="0">
      <w:lvlJc w:val="left"/>
      <w:lvlText w:val="(%1)"/>
      <w:numFmt w:val="upperLetter"/>
      <w:start w:val="2"/>
    </w:lvl>
  </w:abstractNum>
  <w:abstractNum w:abstractNumId="142">
    <w:nsid w:val="15BCABA8"/>
    <w:multiLevelType w:val="hybridMultilevel"/>
    <w:lvl w:ilvl="0">
      <w:lvlJc w:val="left"/>
      <w:lvlText w:val="(%1)"/>
      <w:numFmt w:val="lowerLetter"/>
      <w:start w:val="1"/>
    </w:lvl>
  </w:abstractNum>
  <w:abstractNum w:abstractNumId="143">
    <w:nsid w:val="4E0B9A87"/>
    <w:multiLevelType w:val="hybridMultilevel"/>
    <w:lvl w:ilvl="0">
      <w:lvlJc w:val="left"/>
      <w:lvlText w:val="(%1)"/>
      <w:numFmt w:val="lowerLetter"/>
      <w:start w:val="1"/>
    </w:lvl>
  </w:abstractNum>
  <w:abstractNum w:abstractNumId="144">
    <w:nsid w:val="434BAE75"/>
    <w:multiLevelType w:val="hybridMultilevel"/>
    <w:lvl w:ilvl="0">
      <w:lvlJc w:val="left"/>
      <w:lvlText w:val="(%1)"/>
      <w:numFmt w:val="lowerLetter"/>
      <w:start w:val="2"/>
    </w:lvl>
  </w:abstractNum>
  <w:abstractNum w:abstractNumId="145">
    <w:nsid w:val="4F38F265"/>
    <w:multiLevelType w:val="hybridMultilevel"/>
    <w:lvl w:ilvl="0">
      <w:lvlJc w:val="left"/>
      <w:lvlText w:val="(%1)"/>
      <w:numFmt w:val="lowerLetter"/>
      <w:start w:val="1"/>
    </w:lvl>
  </w:abstractNum>
  <w:abstractNum w:abstractNumId="146">
    <w:nsid w:val="4C502870"/>
    <w:multiLevelType w:val="hybridMultilevel"/>
    <w:lvl w:ilvl="0">
      <w:lvlJc w:val="left"/>
      <w:lvlText w:val="(%1)"/>
      <w:numFmt w:val="lowerLetter"/>
      <w:start w:val="2"/>
    </w:lvl>
  </w:abstractNum>
  <w:abstractNum w:abstractNumId="147">
    <w:nsid w:val="1DE8725A"/>
    <w:multiLevelType w:val="hybridMultilevel"/>
    <w:lvl w:ilvl="0">
      <w:lvlJc w:val="left"/>
      <w:lvlText w:val="(%1)"/>
      <w:numFmt w:val="lowerLetter"/>
      <w:start w:val="1"/>
    </w:lvl>
  </w:abstractNum>
  <w:abstractNum w:abstractNumId="148">
    <w:nsid w:val="6A37288A"/>
    <w:multiLevelType w:val="hybridMultilevel"/>
    <w:lvl w:ilvl="0">
      <w:lvlJc w:val="left"/>
      <w:lvlText w:val="(%1)"/>
      <w:numFmt w:val="lowerRoman"/>
      <w:start w:val="1"/>
    </w:lvl>
  </w:abstractNum>
  <w:abstractNum w:abstractNumId="149">
    <w:nsid w:val="8F8B73F"/>
    <w:multiLevelType w:val="hybridMultilevel"/>
    <w:lvl w:ilvl="0">
      <w:lvlJc w:val="left"/>
      <w:lvlText w:val="(%1)"/>
      <w:numFmt w:val="lowerLetter"/>
      <w:start w:val="1"/>
    </w:lvl>
  </w:abstractNum>
  <w:abstractNum w:abstractNumId="150">
    <w:nsid w:val="CA6B462"/>
    <w:multiLevelType w:val="hybridMultilevel"/>
    <w:lvl w:ilvl="0">
      <w:lvlJc w:val="left"/>
      <w:lvlText w:val="(%1)"/>
      <w:numFmt w:val="lowerLetter"/>
      <w:start w:val="1"/>
    </w:lvl>
  </w:abstractNum>
  <w:abstractNum w:abstractNumId="151">
    <w:nsid w:val="763CB680"/>
    <w:multiLevelType w:val="hybridMultilevel"/>
    <w:lvl w:ilvl="0">
      <w:lvlJc w:val="left"/>
      <w:lvlText w:val="(%1)"/>
      <w:numFmt w:val="lowerLetter"/>
      <w:start w:val="1"/>
    </w:lvl>
  </w:abstractNum>
  <w:abstractNum w:abstractNumId="152">
    <w:nsid w:val="15B71329"/>
    <w:multiLevelType w:val="hybridMultilevel"/>
    <w:lvl w:ilvl="0">
      <w:lvlJc w:val="left"/>
      <w:lvlText w:val="(%1)"/>
      <w:numFmt w:val="lowerLetter"/>
      <w:start w:val="2"/>
    </w:lvl>
  </w:abstractNum>
  <w:abstractNum w:abstractNumId="153">
    <w:nsid w:val="3DA97044"/>
    <w:multiLevelType w:val="hybridMultilevel"/>
    <w:lvl w:ilvl="0">
      <w:lvlJc w:val="left"/>
      <w:lvlText w:val="(%1)"/>
      <w:numFmt w:val="lowerLetter"/>
      <w:start w:val="2"/>
    </w:lvl>
  </w:abstractNum>
  <w:abstractNum w:abstractNumId="154">
    <w:nsid w:val="1CDCE2DE"/>
    <w:multiLevelType w:val="hybridMultilevel"/>
    <w:lvl w:ilvl="0">
      <w:lvlJc w:val="left"/>
      <w:lvlText w:val="(%1)"/>
      <w:numFmt w:val="lowerLetter"/>
      <w:start w:val="3"/>
    </w:lvl>
  </w:abstractNum>
  <w:abstractNum w:abstractNumId="155">
    <w:nsid w:val="69D3947C"/>
    <w:multiLevelType w:val="hybridMultilevel"/>
    <w:lvl w:ilvl="0">
      <w:lvlJc w:val="left"/>
      <w:lvlText w:val="(%1)"/>
      <w:numFmt w:val="lowerLetter"/>
      <w:start w:val="22"/>
    </w:lvl>
    <w:lvl w:ilvl="1">
      <w:lvlJc w:val="left"/>
      <w:lvlText w:val="(%2)"/>
      <w:numFmt w:val="lowerLetter"/>
      <w:start w:val="2"/>
    </w:lvl>
  </w:abstractNum>
  <w:abstractNum w:abstractNumId="156">
    <w:nsid w:val="2539DFA5"/>
    <w:multiLevelType w:val="hybridMultilevel"/>
    <w:lvl w:ilvl="0">
      <w:lvlJc w:val="left"/>
      <w:lvlText w:val="(%1)"/>
      <w:numFmt w:val="lowerLetter"/>
      <w:start w:val="4"/>
    </w:lvl>
  </w:abstractNum>
  <w:abstractNum w:abstractNumId="157">
    <w:nsid w:val="2DB88089"/>
    <w:multiLevelType w:val="hybridMultilevel"/>
    <w:lvl w:ilvl="0">
      <w:lvlJc w:val="left"/>
      <w:lvlText w:val="%1"/>
      <w:numFmt w:val="decimal"/>
      <w:start w:val="1"/>
    </w:lvl>
    <w:lvl w:ilvl="1">
      <w:lvlJc w:val="left"/>
      <w:lvlText w:val="(%2)"/>
      <w:numFmt w:val="lowerLetter"/>
      <w:start w:val="2"/>
    </w:lvl>
  </w:abstractNum>
  <w:abstractNum w:abstractNumId="158">
    <w:nsid w:val="706B674E"/>
    <w:multiLevelType w:val="hybridMultilevel"/>
    <w:lvl w:ilvl="0">
      <w:lvlJc w:val="left"/>
      <w:lvlText w:val="(%1)"/>
      <w:numFmt w:val="decimal"/>
      <w:start w:val="3"/>
    </w:lvl>
    <w:lvl w:ilvl="1">
      <w:lvlJc w:val="left"/>
      <w:lvlText w:val="%2"/>
      <w:numFmt w:val="lowerLetter"/>
      <w:start w:val="1"/>
    </w:lvl>
  </w:abstractNum>
  <w:abstractNum w:abstractNumId="159">
    <w:nsid w:val="2C106A57"/>
    <w:multiLevelType w:val="hybridMultilevel"/>
    <w:lvl w:ilvl="0">
      <w:lvlJc w:val="left"/>
      <w:lvlText w:val="(%1)"/>
      <w:numFmt w:val="lowerRoman"/>
      <w:start w:val="1"/>
    </w:lvl>
  </w:abstractNum>
  <w:abstractNum w:abstractNumId="160">
    <w:nsid w:val="684EED59"/>
    <w:multiLevelType w:val="hybridMultilevel"/>
    <w:lvl w:ilvl="0">
      <w:lvlJc w:val="left"/>
      <w:lvlText w:val="(%1)"/>
      <w:numFmt w:val="decimal"/>
      <w:start w:val="2"/>
    </w:lvl>
  </w:abstractNum>
  <w:abstractNum w:abstractNumId="161">
    <w:nsid w:val="545EE5D3"/>
    <w:multiLevelType w:val="hybridMultilevel"/>
    <w:lvl w:ilvl="0">
      <w:lvlJc w:val="left"/>
      <w:lvlText w:val="(%1)"/>
      <w:numFmt w:val="lowerLetter"/>
      <w:start w:val="2"/>
    </w:lvl>
    <w:lvl w:ilvl="1">
      <w:lvlJc w:val="left"/>
      <w:lvlText w:val="(%2)"/>
      <w:numFmt w:val="lowerLetter"/>
      <w:start w:val="35"/>
    </w:lvl>
  </w:abstractNum>
  <w:abstractNum w:abstractNumId="162">
    <w:nsid w:val="4A66051"/>
    <w:multiLevelType w:val="hybridMultilevel"/>
    <w:lvl w:ilvl="0">
      <w:lvlJc w:val="left"/>
      <w:lvlText w:val="(%1)"/>
      <w:numFmt w:val="lowerLetter"/>
      <w:start w:val="1"/>
    </w:lvl>
  </w:abstractNum>
  <w:abstractNum w:abstractNumId="163">
    <w:nsid w:val="20F4BDAD"/>
    <w:multiLevelType w:val="hybridMultilevel"/>
    <w:lvl w:ilvl="0">
      <w:lvlJc w:val="left"/>
      <w:lvlText w:val="(%1)"/>
      <w:numFmt w:val="lowerLetter"/>
      <w:start w:val="3"/>
    </w:lvl>
  </w:abstractNum>
  <w:abstractNum w:abstractNumId="164">
    <w:nsid w:val="639DEFAC"/>
    <w:multiLevelType w:val="hybridMultilevel"/>
    <w:lvl w:ilvl="0">
      <w:lvlJc w:val="left"/>
      <w:lvlText w:val="(%1)"/>
      <w:numFmt w:val="lowerLetter"/>
      <w:start w:val="2"/>
    </w:lvl>
  </w:abstractNum>
  <w:abstractNum w:abstractNumId="165">
    <w:nsid w:val="501F9786"/>
    <w:multiLevelType w:val="hybridMultilevel"/>
    <w:lvl w:ilvl="0">
      <w:lvlJc w:val="left"/>
      <w:lvlText w:val="(%1)"/>
      <w:numFmt w:val="lowerRoman"/>
      <w:start w:val="2"/>
    </w:lvl>
  </w:abstractNum>
  <w:abstractNum w:abstractNumId="166">
    <w:nsid w:val="6B057295"/>
    <w:multiLevelType w:val="hybridMultilevel"/>
    <w:lvl w:ilvl="0">
      <w:lvlJc w:val="left"/>
      <w:lvlText w:val="(%1)"/>
      <w:numFmt w:val="lowerLetter"/>
      <w:start w:val="3"/>
    </w:lvl>
  </w:abstractNum>
  <w:abstractNum w:abstractNumId="167">
    <w:nsid w:val="2771AC80"/>
    <w:multiLevelType w:val="hybridMultilevel"/>
    <w:lvl w:ilvl="0">
      <w:lvlJc w:val="left"/>
      <w:lvlText w:val="(%1)"/>
      <w:numFmt w:val="lowerLetter"/>
      <w:start w:val="5"/>
    </w:lvl>
  </w:abstractNum>
  <w:abstractNum w:abstractNumId="168">
    <w:nsid w:val="1C4A08EC"/>
    <w:multiLevelType w:val="hybridMultilevel"/>
    <w:lvl w:ilvl="0">
      <w:lvlJc w:val="left"/>
      <w:lvlText w:val="(%1)"/>
      <w:numFmt w:val="lowerRoman"/>
      <w:start w:val="1"/>
    </w:lvl>
  </w:abstractNum>
  <w:abstractNum w:abstractNumId="169">
    <w:nsid w:val="1958BD17"/>
    <w:multiLevelType w:val="hybridMultilevel"/>
    <w:lvl w:ilvl="0">
      <w:lvlJc w:val="left"/>
      <w:lvlText w:val="(%1)"/>
      <w:numFmt w:val="lowerRoman"/>
      <w:start w:val="2"/>
    </w:lvl>
  </w:abstractNum>
  <w:abstractNum w:abstractNumId="170">
    <w:nsid w:val="4E647FE4"/>
    <w:multiLevelType w:val="hybridMultilevel"/>
    <w:lvl w:ilvl="0">
      <w:lvlJc w:val="left"/>
      <w:lvlText w:val="(%1)"/>
      <w:numFmt w:val="lowerRoman"/>
      <w:start w:val="3"/>
    </w:lvl>
  </w:abstractNum>
  <w:abstractNum w:abstractNumId="171">
    <w:nsid w:val="E0BB885"/>
    <w:multiLevelType w:val="hybridMultilevel"/>
    <w:lvl w:ilvl="0">
      <w:lvlJc w:val="left"/>
      <w:lvlText w:val="(%1)"/>
      <w:numFmt w:val="lowerLetter"/>
      <w:start w:val="1"/>
    </w:lvl>
    <w:lvl w:ilvl="1">
      <w:lvlJc w:val="left"/>
      <w:lvlText w:val="(%2)"/>
      <w:numFmt w:val="lowerRoman"/>
      <w:start w:val="1"/>
    </w:lvl>
  </w:abstractNum>
  <w:abstractNum w:abstractNumId="172">
    <w:nsid w:val="565976F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73">
    <w:nsid w:val="64212B8C"/>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74">
    <w:nsid w:val="5C17530C"/>
    <w:multiLevelType w:val="hybridMultilevel"/>
    <w:lvl w:ilvl="0">
      <w:lvlJc w:val="left"/>
      <w:lvlText w:val="(%1)"/>
      <w:numFmt w:val="lowerLetter"/>
      <w:start w:val="1"/>
    </w:lvl>
  </w:abstractNum>
  <w:abstractNum w:abstractNumId="175">
    <w:nsid w:val="19A52566"/>
    <w:multiLevelType w:val="hybridMultilevel"/>
    <w:lvl w:ilvl="0">
      <w:lvlJc w:val="left"/>
      <w:lvlText w:val="(%1)"/>
      <w:numFmt w:val="lowerLetter"/>
      <w:start w:val="2"/>
    </w:lvl>
  </w:abstractNum>
  <w:abstractNum w:abstractNumId="176">
    <w:nsid w:val="335A1D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7">
    <w:nsid w:val="28677B7C"/>
    <w:multiLevelType w:val="hybridMultilevel"/>
    <w:lvl w:ilvl="0">
      <w:lvlJc w:val="left"/>
      <w:lvlText w:val="(%1)"/>
      <w:numFmt w:val="lowerLetter"/>
      <w:start w:val="5"/>
    </w:lvl>
    <w:lvl w:ilvl="1">
      <w:lvlJc w:val="left"/>
      <w:lvlText w:val="(%2)"/>
      <w:numFmt w:val="lowerLetter"/>
      <w:start w:val="2"/>
    </w:lvl>
    <w:lvl w:ilvl="2">
      <w:lvlJc w:val="left"/>
      <w:lvlText w:val="%3"/>
      <w:numFmt w:val="lowerLetter"/>
      <w:start w:val="1"/>
    </w:lvl>
  </w:abstractNum>
  <w:abstractNum w:abstractNumId="178">
    <w:nsid w:val="378D97C0"/>
    <w:multiLevelType w:val="hybridMultilevel"/>
    <w:lvl w:ilvl="0">
      <w:lvlJc w:val="left"/>
      <w:lvlText w:val="(%1)"/>
      <w:numFmt w:val="lowerLetter"/>
      <w:start w:val="3"/>
    </w:lvl>
    <w:lvl w:ilvl="1">
      <w:lvlJc w:val="left"/>
      <w:lvlText w:val="(%2)"/>
      <w:numFmt w:val="lowerLetter"/>
      <w:start w:val="35"/>
    </w:lvl>
  </w:abstractNum>
  <w:abstractNum w:abstractNumId="179">
    <w:nsid w:val="1D91467C"/>
    <w:multiLevelType w:val="hybridMultilevel"/>
    <w:lvl w:ilvl="0">
      <w:lvlJc w:val="left"/>
      <w:lvlText w:val="(%1)"/>
      <w:numFmt w:val="lowerLetter"/>
      <w:start w:val="5"/>
    </w:lvl>
  </w:abstractNum>
  <w:abstractNum w:abstractNumId="180">
    <w:nsid w:val="316032BB"/>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81">
    <w:nsid w:val="44344C22"/>
    <w:multiLevelType w:val="hybridMultilevel"/>
    <w:lvl w:ilvl="0">
      <w:lvlJc w:val="left"/>
      <w:lvlText w:val="(%1)"/>
      <w:numFmt w:val="upperLetter"/>
      <w:start w:val="35"/>
    </w:lvl>
  </w:abstractNum>
  <w:abstractNum w:abstractNumId="182">
    <w:nsid w:val="13CDFCFC"/>
    <w:multiLevelType w:val="hybridMultilevel"/>
    <w:lvl w:ilvl="0">
      <w:lvlJc w:val="left"/>
      <w:lvlText w:val="(%1)"/>
      <w:numFmt w:val="upperLetter"/>
      <w:start w:val="61"/>
    </w:lvl>
  </w:abstractNum>
  <w:abstractNum w:abstractNumId="183">
    <w:nsid w:val="471745E4"/>
    <w:multiLevelType w:val="hybridMultilevel"/>
    <w:lvl w:ilvl="0">
      <w:lvlJc w:val="left"/>
      <w:lvlText w:val="%1"/>
      <w:numFmt w:val="lowerRoman"/>
      <w:start w:val="1"/>
    </w:lvl>
    <w:lvl w:ilvl="1">
      <w:lvlJc w:val="left"/>
      <w:lvlText w:val="(%2)"/>
      <w:numFmt w:val="upperLetter"/>
      <w:start w:val="22"/>
    </w:lvl>
  </w:abstractNum>
  <w:abstractNum w:abstractNumId="184">
    <w:nsid w:val="1DDBC66"/>
    <w:multiLevelType w:val="hybridMultilevel"/>
    <w:lvl w:ilvl="0">
      <w:lvlJc w:val="left"/>
      <w:lvlText w:val="(%1)"/>
      <w:numFmt w:val="lowerRoman"/>
      <w:start w:val="3"/>
    </w:lvl>
    <w:lvl w:ilvl="1">
      <w:lvlJc w:val="left"/>
      <w:lvlText w:val="%2"/>
      <w:numFmt w:val="upperLetter"/>
      <w:start w:val="1"/>
    </w:lvl>
  </w:abstractNum>
  <w:abstractNum w:abstractNumId="185">
    <w:nsid w:val="30AADFDA"/>
    <w:multiLevelType w:val="hybridMultilevel"/>
    <w:lvl w:ilvl="0">
      <w:lvlJc w:val="left"/>
      <w:lvlText w:val="(%1)"/>
      <w:numFmt w:val="lowerRoman"/>
      <w:start w:val="4"/>
    </w:lvl>
  </w:abstractNum>
  <w:abstractNum w:abstractNumId="186">
    <w:nsid w:val="30EADA61"/>
    <w:multiLevelType w:val="hybridMultilevel"/>
    <w:lvl w:ilvl="0">
      <w:lvlJc w:val="left"/>
      <w:lvlText w:val="(%1)"/>
      <w:numFmt w:val="lowerLetter"/>
      <w:start w:val="6"/>
    </w:lvl>
  </w:abstractNum>
  <w:abstractNum w:abstractNumId="187">
    <w:nsid w:val="27179C0B"/>
    <w:multiLevelType w:val="hybridMultilevel"/>
    <w:lvl w:ilvl="0">
      <w:lvlJc w:val="left"/>
      <w:lvlText w:val="(%1)"/>
      <w:numFmt w:val="lowerLetter"/>
      <w:start w:val="7"/>
    </w:lvl>
  </w:abstractNum>
  <w:abstractNum w:abstractNumId="188">
    <w:nsid w:val="5E636063"/>
    <w:multiLevelType w:val="hybridMultilevel"/>
    <w:lvl w:ilvl="0">
      <w:lvlJc w:val="left"/>
      <w:lvlText w:val="(%1)"/>
      <w:numFmt w:val="lowerLetter"/>
      <w:start w:val="1"/>
    </w:lvl>
  </w:abstractNum>
  <w:abstractNum w:abstractNumId="189">
    <w:nsid w:val="215641AF"/>
    <w:multiLevelType w:val="hybridMultilevel"/>
    <w:lvl w:ilvl="0">
      <w:lvlJc w:val="left"/>
      <w:lvlText w:val="(%1)"/>
      <w:numFmt w:val="lowerRoman"/>
      <w:start w:val="1"/>
    </w:lvl>
  </w:abstractNum>
  <w:abstractNum w:abstractNumId="190">
    <w:nsid w:val="53280662"/>
    <w:multiLevelType w:val="hybridMultilevel"/>
    <w:lvl w:ilvl="0">
      <w:lvlJc w:val="left"/>
      <w:lvlText w:val="(%1)"/>
      <w:numFmt w:val="lowerRoman"/>
      <w:start w:val="3"/>
    </w:lvl>
  </w:abstractNum>
  <w:abstractNum w:abstractNumId="191">
    <w:nsid w:val="46B24DBC"/>
    <w:multiLevelType w:val="hybridMultilevel"/>
    <w:lvl w:ilvl="0">
      <w:lvlJc w:val="left"/>
      <w:lvlText w:val="(%1)"/>
      <w:numFmt w:val="lowerLetter"/>
      <w:start w:val="2"/>
    </w:lvl>
  </w:abstractNum>
  <w:abstractNum w:abstractNumId="192">
    <w:nsid w:val="75B52783"/>
    <w:multiLevelType w:val="hybridMultilevel"/>
    <w:lvl w:ilvl="0">
      <w:lvlJc w:val="left"/>
      <w:lvlText w:val="(%1)"/>
      <w:numFmt w:val="lowerLetter"/>
      <w:start w:val="1"/>
    </w:lvl>
  </w:abstractNum>
  <w:abstractNum w:abstractNumId="193">
    <w:nsid w:val="57CE66B4"/>
    <w:multiLevelType w:val="hybridMultilevel"/>
    <w:lvl w:ilvl="0">
      <w:lvlJc w:val="left"/>
      <w:lvlText w:val="(%1)"/>
      <w:numFmt w:val="lowerLetter"/>
      <w:start w:val="2"/>
    </w:lvl>
  </w:abstractNum>
  <w:abstractNum w:abstractNumId="194">
    <w:nsid w:val="67A70B69"/>
    <w:multiLevelType w:val="hybridMultilevel"/>
    <w:lvl w:ilvl="0">
      <w:lvlJc w:val="left"/>
      <w:lvlText w:val="(%1)"/>
      <w:numFmt w:val="lowerLetter"/>
      <w:start w:val="1"/>
    </w:lvl>
  </w:abstractNum>
  <w:abstractNum w:abstractNumId="195">
    <w:nsid w:val="5953172F"/>
    <w:multiLevelType w:val="hybridMultilevel"/>
    <w:lvl w:ilvl="0">
      <w:lvlJc w:val="left"/>
      <w:lvlText w:val="(%1)"/>
      <w:numFmt w:val="lowerLetter"/>
      <w:start w:val="4"/>
    </w:lvl>
  </w:abstractNum>
  <w:abstractNum w:abstractNumId="196">
    <w:nsid w:val="27EDFE3A"/>
    <w:multiLevelType w:val="hybridMultilevel"/>
    <w:lvl w:ilvl="0">
      <w:lvlJc w:val="left"/>
      <w:lvlText w:val="(%1)"/>
      <w:numFmt w:val="lowerRoman"/>
      <w:start w:val="1"/>
    </w:lvl>
  </w:abstractNum>
  <w:abstractNum w:abstractNumId="197">
    <w:nsid w:val="52AC7DFF"/>
    <w:multiLevelType w:val="hybridMultilevel"/>
    <w:lvl w:ilvl="0">
      <w:lvlJc w:val="left"/>
      <w:lvlText w:val="(%1)"/>
      <w:numFmt w:val="lowerRoman"/>
      <w:start w:val="4"/>
    </w:lvl>
  </w:abstractNum>
  <w:abstractNum w:abstractNumId="198">
    <w:nsid w:val="C4C3AF"/>
    <w:multiLevelType w:val="hybridMultilevel"/>
    <w:lvl w:ilvl="0">
      <w:lvlJc w:val="left"/>
      <w:lvlText w:val="%1"/>
      <w:numFmt w:val="lowerLetter"/>
      <w:start w:val="1"/>
    </w:lvl>
    <w:lvl w:ilvl="1">
      <w:lvlJc w:val="left"/>
      <w:lvlText w:val="(%2)"/>
      <w:numFmt w:val="lowerRoman"/>
      <w:start w:val="6"/>
    </w:lvl>
  </w:abstractNum>
  <w:abstractNum w:abstractNumId="199">
    <w:nsid w:val="44380727"/>
    <w:multiLevelType w:val="hybridMultilevel"/>
    <w:lvl w:ilvl="0">
      <w:lvlJc w:val="left"/>
      <w:lvlText w:val="(%1)"/>
      <w:numFmt w:val="lowerLetter"/>
      <w:start w:val="6"/>
    </w:lvl>
    <w:lvl w:ilvl="1">
      <w:lvlJc w:val="left"/>
      <w:lvlText w:val="%2"/>
      <w:numFmt w:val="lowerRoman"/>
      <w:start w:val="1"/>
    </w:lvl>
  </w:abstractNum>
  <w:abstractNum w:abstractNumId="200">
    <w:nsid w:val="6C053B16"/>
    <w:multiLevelType w:val="hybridMultilevel"/>
    <w:lvl w:ilvl="0">
      <w:lvlJc w:val="left"/>
      <w:lvlText w:val="(%1)"/>
      <w:numFmt w:val="lowerRoman"/>
      <w:start w:val="3"/>
    </w:lvl>
  </w:abstractNum>
  <w:abstractNum w:abstractNumId="201">
    <w:nsid w:val="4F294393"/>
    <w:multiLevelType w:val="hybridMultilevel"/>
    <w:lvl w:ilvl="0">
      <w:lvlJc w:val="left"/>
      <w:lvlText w:val="(%1)"/>
      <w:numFmt w:val="lowerLetter"/>
      <w:start w:val="2"/>
    </w:lvl>
  </w:abstractNum>
  <w:abstractNum w:abstractNumId="202">
    <w:nsid w:val="5243BFAC"/>
    <w:multiLevelType w:val="hybridMultilevel"/>
    <w:lvl w:ilvl="0">
      <w:lvlJc w:val="left"/>
      <w:lvlText w:val="(%1)"/>
      <w:numFmt w:val="lowerLetter"/>
      <w:start w:val="2"/>
    </w:lvl>
  </w:abstractNum>
  <w:abstractNum w:abstractNumId="203">
    <w:nsid w:val="425EB207"/>
    <w:multiLevelType w:val="hybridMultilevel"/>
    <w:lvl w:ilvl="0">
      <w:lvlJc w:val="left"/>
      <w:lvlText w:val="(%1)"/>
      <w:numFmt w:val="lowerLetter"/>
      <w:start w:val="1"/>
    </w:lvl>
  </w:abstractNum>
  <w:abstractNum w:abstractNumId="204">
    <w:nsid w:val="334A6F1F"/>
    <w:multiLevelType w:val="hybridMultilevel"/>
    <w:lvl w:ilvl="0">
      <w:lvlJc w:val="left"/>
      <w:lvlText w:val="%1"/>
      <w:numFmt w:val="lowerLetter"/>
      <w:start w:val="1"/>
    </w:lvl>
    <w:lvl w:ilvl="1">
      <w:lvlJc w:val="left"/>
      <w:lvlText w:val="(%2)"/>
      <w:numFmt w:val="lowerLetter"/>
      <w:start w:val="2"/>
    </w:lvl>
  </w:abstractNum>
  <w:abstractNum w:abstractNumId="205">
    <w:nsid w:val="2E5B12B8"/>
    <w:multiLevelType w:val="hybridMultilevel"/>
    <w:lvl w:ilvl="0">
      <w:lvlJc w:val="left"/>
      <w:lvlText w:val="(%1)"/>
      <w:numFmt w:val="lowerLetter"/>
      <w:start w:val="61"/>
    </w:lvl>
    <w:lvl w:ilvl="1">
      <w:lvlJc w:val="left"/>
      <w:lvlText w:val="(%2)"/>
      <w:numFmt w:val="lowerLetter"/>
      <w:start w:val="4"/>
    </w:lvl>
  </w:abstractNum>
  <w:abstractNum w:abstractNumId="206">
    <w:nsid w:val="5C03D76D"/>
    <w:multiLevelType w:val="hybridMultilevel"/>
    <w:lvl w:ilvl="0">
      <w:lvlJc w:val="left"/>
      <w:lvlText w:val="(%1)"/>
      <w:numFmt w:val="lowerLetter"/>
      <w:start w:val="5"/>
    </w:lvl>
  </w:abstractNum>
  <w:abstractNum w:abstractNumId="207">
    <w:nsid w:val="66A48D11"/>
    <w:multiLevelType w:val="hybridMultilevel"/>
    <w:lvl w:ilvl="0">
      <w:lvlJc w:val="left"/>
      <w:lvlText w:val="(%1)"/>
      <w:numFmt w:val="lowerLetter"/>
      <w:start w:val="2"/>
    </w:lvl>
  </w:abstractNum>
  <w:abstractNum w:abstractNumId="208">
    <w:nsid w:val="56C28E34"/>
    <w:multiLevelType w:val="hybridMultilevel"/>
    <w:lvl w:ilvl="0">
      <w:lvlJc w:val="left"/>
      <w:lvlText w:val="(%1)"/>
      <w:numFmt w:val="lowerLetter"/>
      <w:start w:val="2"/>
    </w:lvl>
  </w:abstractNum>
  <w:abstractNum w:abstractNumId="209">
    <w:nsid w:val="13916F2D"/>
    <w:multiLevelType w:val="hybridMultilevel"/>
    <w:lvl w:ilvl="0">
      <w:lvlJc w:val="left"/>
      <w:lvlText w:val="(%1)"/>
      <w:numFmt w:val="lowerLetter"/>
      <w:start w:val="1"/>
    </w:lvl>
  </w:abstractNum>
  <w:abstractNum w:abstractNumId="210">
    <w:nsid w:val="435D38D"/>
    <w:multiLevelType w:val="hybridMultilevel"/>
    <w:lvl w:ilvl="0">
      <w:lvlJc w:val="left"/>
      <w:lvlText w:val="(%1)"/>
      <w:numFmt w:val="lowerLetter"/>
      <w:start w:val="4"/>
    </w:lvl>
  </w:abstractNum>
  <w:abstractNum w:abstractNumId="211">
    <w:nsid w:val="822C0EF"/>
    <w:multiLevelType w:val="hybridMultilevel"/>
    <w:lvl w:ilvl="0">
      <w:lvlJc w:val="left"/>
      <w:lvlText w:val="(%1)"/>
      <w:numFmt w:val="lowerLetter"/>
      <w:start w:val="1"/>
    </w:lvl>
    <w:lvl w:ilvl="1">
      <w:lvlJc w:val="left"/>
      <w:lvlText w:val="(%2)"/>
      <w:numFmt w:val="lowerRoman"/>
      <w:start w:val="1"/>
    </w:lvl>
  </w:abstractNum>
  <w:abstractNum w:abstractNumId="212">
    <w:nsid w:val="57C5BB4F"/>
    <w:multiLevelType w:val="hybridMultilevel"/>
    <w:lvl w:ilvl="0">
      <w:lvlJc w:val="left"/>
      <w:lvlText w:val="(%1)"/>
      <w:numFmt w:val="lowerLetter"/>
      <w:start w:val="2"/>
    </w:lvl>
  </w:abstractNum>
  <w:abstractNum w:abstractNumId="213">
    <w:nsid w:val="1803D089"/>
    <w:multiLevelType w:val="hybridMultilevel"/>
    <w:lvl w:ilvl="0">
      <w:lvlJc w:val="left"/>
      <w:lvlText w:val="(%1)"/>
      <w:numFmt w:val="lowerLetter"/>
      <w:start w:val="1"/>
    </w:lvl>
  </w:abstractNum>
  <w:abstractNum w:abstractNumId="214">
    <w:nsid w:val="4F3A06D4"/>
    <w:multiLevelType w:val="hybridMultilevel"/>
    <w:lvl w:ilvl="0">
      <w:lvlJc w:val="left"/>
      <w:lvlText w:val="(%1)"/>
      <w:numFmt w:val="lowerRoman"/>
      <w:start w:val="10"/>
    </w:lvl>
  </w:abstractNum>
  <w:abstractNum w:abstractNumId="215">
    <w:nsid w:val="59A377B6"/>
    <w:multiLevelType w:val="hybridMultilevel"/>
    <w:lvl w:ilvl="0">
      <w:lvlJc w:val="left"/>
      <w:lvlText w:val="(%1)"/>
      <w:numFmt w:val="lowerLetter"/>
      <w:start w:val="1"/>
    </w:lvl>
  </w:abstractNum>
  <w:abstractNum w:abstractNumId="216">
    <w:nsid w:val="48AEB063"/>
    <w:multiLevelType w:val="hybridMultilevel"/>
    <w:lvl w:ilvl="0">
      <w:lvlJc w:val="left"/>
      <w:lvlText w:val="(%1)"/>
      <w:numFmt w:val="lowerLetter"/>
      <w:start w:val="1"/>
    </w:lvl>
  </w:abstractNum>
  <w:abstractNum w:abstractNumId="217">
    <w:nsid w:val="24E135"/>
    <w:multiLevelType w:val="hybridMultilevel"/>
    <w:lvl w:ilvl="0">
      <w:lvlJc w:val="left"/>
      <w:lvlText w:val="(%1)"/>
      <w:numFmt w:val="lowerLetter"/>
      <w:start w:val="2"/>
    </w:lvl>
  </w:abstractNum>
  <w:abstractNum w:abstractNumId="218">
    <w:nsid w:val="BB13C1"/>
    <w:multiLevelType w:val="hybridMultilevel"/>
    <w:lvl w:ilvl="0">
      <w:lvlJc w:val="left"/>
      <w:lvlText w:val="(%1)"/>
      <w:numFmt w:val="lowerLetter"/>
      <w:start w:val="13"/>
    </w:lvl>
  </w:abstractNum>
  <w:abstractNum w:abstractNumId="219">
    <w:nsid w:val="271210C7"/>
    <w:multiLevelType w:val="hybridMultilevel"/>
    <w:lvl w:ilvl="0">
      <w:lvlJc w:val="left"/>
      <w:lvlText w:val="(%1)"/>
      <w:numFmt w:val="lowerLetter"/>
      <w:start w:val="1"/>
    </w:lvl>
  </w:abstractNum>
  <w:abstractNum w:abstractNumId="220">
    <w:nsid w:val="217B22E4"/>
    <w:multiLevelType w:val="hybridMultilevel"/>
    <w:lvl w:ilvl="0">
      <w:lvlJc w:val="left"/>
      <w:lvlText w:val="(%1)"/>
      <w:numFmt w:val="lowerLetter"/>
      <w:start w:val="3"/>
    </w:lvl>
  </w:abstractNum>
  <w:abstractNum w:abstractNumId="221">
    <w:nsid w:val="53E31A24"/>
    <w:multiLevelType w:val="hybridMultilevel"/>
    <w:lvl w:ilvl="0">
      <w:lvlJc w:val="left"/>
      <w:lvlText w:val="(%1)"/>
      <w:numFmt w:val="lowerLetter"/>
      <w:start w:val="1"/>
    </w:lvl>
  </w:abstractNum>
  <w:abstractNum w:abstractNumId="222">
    <w:nsid w:val="6DC45E83"/>
    <w:multiLevelType w:val="hybridMultilevel"/>
    <w:lvl w:ilvl="0">
      <w:lvlJc w:val="left"/>
      <w:lvlText w:val="(%1)"/>
      <w:numFmt w:val="lowerLetter"/>
      <w:start w:val="1"/>
    </w:lvl>
  </w:abstractNum>
  <w:abstractNum w:abstractNumId="223">
    <w:nsid w:val="17304A67"/>
    <w:multiLevelType w:val="hybridMultilevel"/>
    <w:lvl w:ilvl="0">
      <w:lvlJc w:val="left"/>
      <w:lvlText w:val="%1"/>
      <w:numFmt w:val="lowerRoman"/>
      <w:start w:val="1"/>
    </w:lvl>
    <w:lvl w:ilvl="1">
      <w:lvlJc w:val="left"/>
      <w:lvlText w:val="(%2)"/>
      <w:numFmt w:val="lowerLetter"/>
      <w:start w:val="3"/>
    </w:lvl>
  </w:abstractNum>
  <w:abstractNum w:abstractNumId="224">
    <w:nsid w:val="2BB180D8"/>
    <w:multiLevelType w:val="hybridMultilevel"/>
    <w:lvl w:ilvl="0">
      <w:lvlJc w:val="left"/>
      <w:lvlText w:val="%1"/>
      <w:numFmt w:val="lowerRoman"/>
      <w:start w:val="1"/>
    </w:lvl>
    <w:lvl w:ilvl="1">
      <w:lvlJc w:val="left"/>
      <w:lvlText w:val="(%2)"/>
      <w:numFmt w:val="lowerLetter"/>
      <w:start w:val="9"/>
    </w:lvl>
  </w:abstractNum>
  <w:abstractNum w:abstractNumId="225">
    <w:nsid w:val="556B69ED"/>
    <w:multiLevelType w:val="hybridMultilevel"/>
    <w:lvl w:ilvl="0">
      <w:lvlJc w:val="left"/>
      <w:lvlText w:val="%1"/>
      <w:numFmt w:val="lowerRoman"/>
      <w:start w:val="1"/>
    </w:lvl>
    <w:lvl w:ilvl="1">
      <w:lvlJc w:val="left"/>
      <w:lvlText w:val="(%2)"/>
      <w:numFmt w:val="lowerLetter"/>
      <w:start w:val="35"/>
    </w:lvl>
  </w:abstractNum>
  <w:abstractNum w:abstractNumId="226">
    <w:nsid w:val="70836196"/>
    <w:multiLevelType w:val="hybridMultilevel"/>
    <w:lvl w:ilvl="0">
      <w:lvlJc w:val="left"/>
      <w:lvlText w:val="(%1)"/>
      <w:numFmt w:val="lowerLetter"/>
      <w:start w:val="4"/>
    </w:lvl>
  </w:abstractNum>
  <w:abstractNum w:abstractNumId="227">
    <w:nsid w:val="539F7F12"/>
    <w:multiLevelType w:val="hybridMultilevel"/>
    <w:lvl w:ilvl="0">
      <w:lvlJc w:val="left"/>
      <w:lvlText w:val="(%1)"/>
      <w:numFmt w:val="lowerLetter"/>
      <w:start w:val="6"/>
    </w:lvl>
  </w:abstractNum>
  <w:abstractNum w:abstractNumId="228">
    <w:nsid w:val="2817E7EC"/>
    <w:multiLevelType w:val="hybridMultilevel"/>
    <w:lvl w:ilvl="0">
      <w:lvlJc w:val="left"/>
      <w:lvlText w:val="(%1)"/>
      <w:numFmt w:val="lowerLetter"/>
      <w:start w:val="1"/>
    </w:lvl>
  </w:abstractNum>
  <w:abstractNum w:abstractNumId="229">
    <w:nsid w:val="71482545"/>
    <w:multiLevelType w:val="hybridMultilevel"/>
    <w:lvl w:ilvl="0">
      <w:lvlJc w:val="left"/>
      <w:lvlText w:val="(%1)"/>
      <w:numFmt w:val="lowerLetter"/>
      <w:start w:val="2"/>
    </w:lvl>
  </w:abstractNum>
  <w:abstractNum w:abstractNumId="230">
    <w:nsid w:val="17D78639"/>
    <w:multiLevelType w:val="hybridMultilevel"/>
    <w:lvl w:ilvl="0">
      <w:lvlJc w:val="left"/>
      <w:lvlText w:val="(%1)"/>
      <w:numFmt w:val="lowerLetter"/>
      <w:start w:val="1"/>
    </w:lvl>
  </w:abstractNum>
  <w:abstractNum w:abstractNumId="231">
    <w:nsid w:val="141D2302"/>
    <w:multiLevelType w:val="hybridMultilevel"/>
    <w:lvl w:ilvl="0">
      <w:lvlJc w:val="left"/>
      <w:lvlText w:val="(%1)"/>
      <w:numFmt w:val="lowerLetter"/>
      <w:start w:val="5"/>
    </w:lvl>
  </w:abstractNum>
  <w:abstractNum w:abstractNumId="232">
    <w:nsid w:val="407168D8"/>
    <w:multiLevelType w:val="hybridMultilevel"/>
    <w:lvl w:ilvl="0">
      <w:lvlJc w:val="left"/>
      <w:lvlText w:val="(%1)"/>
      <w:numFmt w:val="lowerLetter"/>
      <w:start w:val="1"/>
    </w:lvl>
  </w:abstractNum>
  <w:abstractNum w:abstractNumId="233">
    <w:nsid w:val="6A1B45E5"/>
    <w:multiLevelType w:val="hybridMultilevel"/>
    <w:lvl w:ilvl="0">
      <w:lvlJc w:val="left"/>
      <w:lvlText w:val="(%1)"/>
      <w:numFmt w:val="lowerRoman"/>
      <w:start w:val="1"/>
    </w:lvl>
  </w:abstractNum>
  <w:abstractNum w:abstractNumId="234">
    <w:nsid w:val="567BD50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35">
    <w:nsid w:val="73BBD7F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6">
    <w:nsid w:val="1876589D"/>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37">
    <w:nsid w:val="327FAC77"/>
    <w:multiLevelType w:val="hybridMultilevel"/>
    <w:lvl w:ilvl="0">
      <w:lvlJc w:val="left"/>
      <w:lvlText w:val="%1"/>
      <w:numFmt w:val="lowerLetter"/>
      <w:start w:val="1"/>
    </w:lvl>
    <w:lvl w:ilvl="1">
      <w:lvlJc w:val="left"/>
      <w:lvlText w:val="(%2)"/>
      <w:numFmt w:val="lowerRoman"/>
      <w:start w:val="3"/>
    </w:lvl>
  </w:abstractNum>
  <w:abstractNum w:abstractNumId="238">
    <w:nsid w:val="5A606509"/>
    <w:multiLevelType w:val="hybridMultilevel"/>
    <w:lvl w:ilvl="0">
      <w:lvlJc w:val="left"/>
      <w:lvlText w:val="(%1)"/>
      <w:numFmt w:val="lowerLetter"/>
      <w:start w:val="3"/>
    </w:lvl>
    <w:lvl w:ilvl="1">
      <w:lvlJc w:val="left"/>
      <w:lvlText w:val="%2"/>
      <w:numFmt w:val="lowerRoman"/>
      <w:start w:val="1"/>
    </w:lvl>
  </w:abstractNum>
  <w:abstractNum w:abstractNumId="239">
    <w:nsid w:val="6F38E6D1"/>
    <w:multiLevelType w:val="hybridMultilevel"/>
    <w:lvl w:ilvl="0">
      <w:lvlJc w:val="left"/>
      <w:lvlText w:val="(%1)"/>
      <w:numFmt w:val="lowerLetter"/>
      <w:start w:val="1"/>
    </w:lvl>
  </w:abstractNum>
  <w:abstractNum w:abstractNumId="240">
    <w:nsid w:val="46111BA5"/>
    <w:multiLevelType w:val="hybridMultilevel"/>
    <w:lvl w:ilvl="0">
      <w:lvlJc w:val="left"/>
      <w:lvlText w:val="(%1)"/>
      <w:numFmt w:val="lowerLetter"/>
      <w:start w:val="2"/>
    </w:lvl>
  </w:abstractNum>
  <w:abstractNum w:abstractNumId="241">
    <w:nsid w:val="5E963896"/>
    <w:multiLevelType w:val="hybridMultilevel"/>
    <w:lvl w:ilvl="0">
      <w:lvlJc w:val="left"/>
      <w:lvlText w:val="(%1)"/>
      <w:numFmt w:val="lowerLetter"/>
      <w:start w:val="3"/>
    </w:lvl>
  </w:abstractNum>
  <w:abstractNum w:abstractNumId="242">
    <w:nsid w:val="775BA7C1"/>
    <w:multiLevelType w:val="hybridMultilevel"/>
    <w:lvl w:ilvl="0">
      <w:lvlJc w:val="left"/>
      <w:lvlText w:val="(%1)"/>
      <w:numFmt w:val="lowerLetter"/>
      <w:start w:val="4"/>
    </w:lvl>
  </w:abstractNum>
  <w:abstractNum w:abstractNumId="243">
    <w:nsid w:val="1DD6D6F4"/>
    <w:multiLevelType w:val="hybridMultilevel"/>
    <w:lvl w:ilvl="0">
      <w:lvlJc w:val="left"/>
      <w:lvlText w:val="(%1)"/>
      <w:numFmt w:val="lowerLetter"/>
      <w:start w:val="6"/>
    </w:lvl>
    <w:lvl w:ilvl="1">
      <w:lvlJc w:val="left"/>
      <w:lvlText w:val="(%2)"/>
      <w:numFmt w:val="lowerRoman"/>
      <w:start w:val="1"/>
    </w:lvl>
  </w:abstractNum>
  <w:abstractNum w:abstractNumId="244">
    <w:nsid w:val="769A091F"/>
    <w:multiLevelType w:val="hybridMultilevel"/>
    <w:lvl w:ilvl="0">
      <w:lvlJc w:val="left"/>
      <w:lvlText w:val="(%1)"/>
      <w:numFmt w:val="lowerLetter"/>
      <w:start w:val="1"/>
    </w:lvl>
  </w:abstractNum>
  <w:abstractNum w:abstractNumId="245">
    <w:nsid w:val="4695AE95"/>
    <w:multiLevelType w:val="hybridMultilevel"/>
    <w:lvl w:ilvl="0">
      <w:lvlJc w:val="left"/>
      <w:lvlText w:val="(%1)"/>
      <w:numFmt w:val="lowerLetter"/>
      <w:start w:val="3"/>
    </w:lvl>
  </w:abstractNum>
  <w:abstractNum w:abstractNumId="246">
    <w:nsid w:val="777A4EAA"/>
    <w:multiLevelType w:val="hybridMultilevel"/>
    <w:lvl w:ilvl="0">
      <w:lvlJc w:val="left"/>
      <w:lvlText w:val="(%1)"/>
      <w:numFmt w:val="lowerLetter"/>
      <w:start w:val="1"/>
    </w:lvl>
  </w:abstractNum>
  <w:abstractNum w:abstractNumId="247">
    <w:nsid w:val="3F48B982"/>
    <w:multiLevelType w:val="hybridMultilevel"/>
    <w:lvl w:ilvl="0">
      <w:lvlJc w:val="left"/>
      <w:lvlText w:val="(%1)"/>
      <w:numFmt w:val="lowerLetter"/>
      <w:start w:val="6"/>
    </w:lvl>
  </w:abstractNum>
  <w:abstractNum w:abstractNumId="248">
    <w:nsid w:val="46BA8FCA"/>
    <w:multiLevelType w:val="hybridMultilevel"/>
    <w:lvl w:ilvl="0">
      <w:lvlJc w:val="left"/>
      <w:lvlText w:val="(%1)"/>
      <w:numFmt w:val="lowerLetter"/>
      <w:start w:val="1"/>
    </w:lvl>
    <w:lvl w:ilvl="1">
      <w:lvlJc w:val="left"/>
      <w:lvlText w:val="(%2)"/>
      <w:numFmt w:val="lowerRoman"/>
      <w:start w:val="1"/>
    </w:lvl>
  </w:abstractNum>
  <w:abstractNum w:abstractNumId="249">
    <w:nsid w:val="7835626C"/>
    <w:multiLevelType w:val="hybridMultilevel"/>
    <w:lvl w:ilvl="0">
      <w:lvlJc w:val="left"/>
      <w:lvlText w:val="(%1)"/>
      <w:numFmt w:val="lowerLetter"/>
      <w:start w:val="2"/>
    </w:lvl>
  </w:abstractNum>
  <w:abstractNum w:abstractNumId="250">
    <w:nsid w:val="665ACA49"/>
    <w:multiLevelType w:val="hybridMultilevel"/>
    <w:lvl w:ilvl="0">
      <w:lvlJc w:val="left"/>
      <w:lvlText w:val="(%1)"/>
      <w:numFmt w:val="lowerLetter"/>
      <w:start w:val="3"/>
    </w:lvl>
  </w:abstractNum>
  <w:abstractNum w:abstractNumId="251">
    <w:nsid w:val="6835B2AE"/>
    <w:multiLevelType w:val="hybridMultilevel"/>
    <w:lvl w:ilvl="0">
      <w:lvlJc w:val="left"/>
      <w:lvlText w:val="(%1)"/>
      <w:numFmt w:val="lowerLetter"/>
      <w:start w:val="4"/>
    </w:lvl>
  </w:abstractNum>
  <w:abstractNum w:abstractNumId="252">
    <w:nsid w:val="4C187C90"/>
    <w:multiLevelType w:val="hybridMultilevel"/>
    <w:lvl w:ilvl="0">
      <w:lvlJc w:val="left"/>
      <w:lvlText w:val="(%1)"/>
      <w:numFmt w:val="lowerLetter"/>
      <w:start w:val="1"/>
    </w:lvl>
  </w:abstractNum>
  <w:abstractNum w:abstractNumId="253">
    <w:nsid w:val="541F28CD"/>
    <w:multiLevelType w:val="hybridMultilevel"/>
    <w:lvl w:ilvl="0">
      <w:lvlJc w:val="left"/>
      <w:lvlText w:val="(%1)"/>
      <w:numFmt w:val="lowerLetter"/>
      <w:start w:val="2"/>
    </w:lvl>
  </w:abstractNum>
  <w:abstractNum w:abstractNumId="254">
    <w:nsid w:val="7F65FD16"/>
    <w:multiLevelType w:val="hybridMultilevel"/>
    <w:lvl w:ilvl="0">
      <w:lvlJc w:val="left"/>
      <w:lvlText w:val="(%1)"/>
      <w:numFmt w:val="lowerLetter"/>
      <w:start w:val="4"/>
    </w:lvl>
  </w:abstractNum>
  <w:abstractNum w:abstractNumId="255">
    <w:nsid w:val="77C9FD68"/>
    <w:multiLevelType w:val="hybridMultilevel"/>
    <w:lvl w:ilvl="0">
      <w:lvlJc w:val="left"/>
      <w:lvlText w:val="(%1)"/>
      <w:numFmt w:val="lowerLetter"/>
      <w:start w:val="1"/>
    </w:lvl>
  </w:abstractNum>
  <w:abstractNum w:abstractNumId="256">
    <w:nsid w:val="298A92BA"/>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2"/>
    </w:lvl>
    <w:lvl w:ilvl="3">
      <w:lvlJc w:val="left"/>
      <w:lvlText w:val="(%4)"/>
      <w:numFmt w:val="lowerRoman"/>
      <w:start w:val="1"/>
    </w:lvl>
    <w:lvl w:ilvl="4">
      <w:lvlJc w:val="left"/>
      <w:lvlText w:val="(%5)"/>
      <w:numFmt w:val="upperLetter"/>
      <w:start w:val="1"/>
    </w:lvl>
  </w:abstractNum>
  <w:abstractNum w:abstractNumId="257">
    <w:nsid w:val="6FE95EA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58">
    <w:nsid w:val="4B697C7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2"/>
    </w:lvl>
  </w:abstractNum>
  <w:abstractNum w:abstractNumId="259">
    <w:nsid w:val="51A27AA6"/>
    <w:multiLevelType w:val="hybridMultilevel"/>
    <w:lvl w:ilvl="0">
      <w:lvlJc w:val="left"/>
      <w:lvlText w:val="(%1)"/>
      <w:numFmt w:val="lowerLetter"/>
      <w:start w:val="3"/>
    </w:lvl>
  </w:abstractNum>
  <w:abstractNum w:abstractNumId="260">
    <w:nsid w:val="613183F2"/>
    <w:multiLevelType w:val="hybridMultilevel"/>
    <w:lvl w:ilvl="0">
      <w:lvlJc w:val="left"/>
      <w:lvlText w:val="(%1)"/>
      <w:numFmt w:val="lowerLetter"/>
      <w:start w:val="5"/>
    </w:lvl>
  </w:abstractNum>
  <w:abstractNum w:abstractNumId="261">
    <w:nsid w:val="634102B4"/>
    <w:multiLevelType w:val="hybridMultilevel"/>
    <w:lvl w:ilvl="0">
      <w:lvlJc w:val="left"/>
      <w:lvlText w:val="(%1)"/>
      <w:numFmt w:val="lowerLetter"/>
      <w:start w:val="1"/>
    </w:lvl>
  </w:abstractNum>
  <w:abstractNum w:abstractNumId="262">
    <w:nsid w:val="65BF9DA8"/>
    <w:multiLevelType w:val="hybridMultilevel"/>
    <w:lvl w:ilvl="0">
      <w:lvlJc w:val="left"/>
      <w:lvlText w:val="(%1)"/>
      <w:numFmt w:val="lowerLetter"/>
      <w:start w:val="1"/>
    </w:lvl>
  </w:abstractNum>
  <w:abstractNum w:abstractNumId="263">
    <w:nsid w:val="21A2ECCA"/>
    <w:multiLevelType w:val="hybridMultilevel"/>
    <w:lvl w:ilvl="0">
      <w:lvlJc w:val="left"/>
      <w:lvlText w:val="(%1)"/>
      <w:numFmt w:val="lowerLetter"/>
      <w:start w:val="3"/>
    </w:lvl>
  </w:abstractNum>
  <w:abstractNum w:abstractNumId="264">
    <w:nsid w:val="4D5C4899"/>
    <w:multiLevelType w:val="hybridMultilevel"/>
    <w:lvl w:ilvl="0">
      <w:lvlJc w:val="left"/>
      <w:lvlText w:val="(%1)"/>
      <w:numFmt w:val="lowerLetter"/>
      <w:start w:val="1"/>
    </w:lvl>
    <w:lvl w:ilvl="1">
      <w:lvlJc w:val="left"/>
      <w:lvlText w:val="(%2)"/>
      <w:numFmt w:val="lowerRoman"/>
      <w:start w:val="1"/>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2019-12-28T19:54:26Z</dcterms:created>
  <dcterms:modified xsi:type="dcterms:W3CDTF">2019-12-28T19:54:26Z</dcterms:modified>
</cp:coreProperties>
</file>