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7841" w:type="dxa"/>
        <w:jc w:val="center"/>
        <w:tblInd w:w="0" w:type="dxa"/>
        <w:tblCellMar>
          <w:top w:w="28" w:type="dxa"/>
          <w:left w:w="28" w:type="dxa"/>
          <w:bottom w:w="28" w:type="dxa"/>
          <w:right w:w="28" w:type="dxa"/>
        </w:tblCellMar>
      </w:tblPr>
      <w:tblGrid>
        <w:gridCol w:w="124"/>
        <w:gridCol w:w="109"/>
        <w:gridCol w:w="109"/>
        <w:gridCol w:w="2196"/>
        <w:gridCol w:w="2196"/>
        <w:gridCol w:w="310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310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tbl>
      <w:tblPr>
        <w:tblW w:w="7887" w:type="dxa"/>
        <w:jc w:val="center"/>
        <w:tblInd w:w="0" w:type="dxa"/>
        <w:tblCellMar>
          <w:top w:w="28" w:type="dxa"/>
          <w:left w:w="28" w:type="dxa"/>
          <w:bottom w:w="28" w:type="dxa"/>
          <w:right w:w="28" w:type="dxa"/>
        </w:tblCellMar>
      </w:tblPr>
      <w:tblGrid>
        <w:gridCol w:w="124"/>
        <w:gridCol w:w="109"/>
        <w:gridCol w:w="109"/>
        <w:gridCol w:w="2204"/>
        <w:gridCol w:w="2204"/>
        <w:gridCol w:w="313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313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333-203369 </w:t>
      </w:r>
    </w:p>
    <w:p>
      <w:pPr>
        <w:pStyle w:val="TextBody"/>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 xml:space="preserve">Clearway Energy LLC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433" w:type="dxa"/>
        <w:jc w:val="center"/>
        <w:tblInd w:w="0" w:type="dxa"/>
        <w:tblCellMar>
          <w:top w:w="28" w:type="dxa"/>
          <w:left w:w="28" w:type="dxa"/>
          <w:bottom w:w="28" w:type="dxa"/>
          <w:right w:w="28" w:type="dxa"/>
        </w:tblCellMar>
      </w:tblPr>
      <w:tblGrid>
        <w:gridCol w:w="1008"/>
        <w:gridCol w:w="886"/>
        <w:gridCol w:w="895"/>
        <w:gridCol w:w="310"/>
        <w:gridCol w:w="310"/>
        <w:gridCol w:w="311"/>
        <w:gridCol w:w="354"/>
        <w:gridCol w:w="354"/>
        <w:gridCol w:w="356"/>
        <w:gridCol w:w="481"/>
        <w:gridCol w:w="481"/>
        <w:gridCol w:w="687"/>
      </w:tblGrid>
      <w:tr>
        <w:trPr/>
        <w:tc>
          <w:tcPr>
            <w:tcW w:w="1008"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32-0407370</w:t>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of incorporation or organization)</w:t>
            </w:r>
          </w:p>
        </w:tc>
        <w:tc>
          <w:tcPr>
            <w:tcW w:w="19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300 Carnegie Center, Suite 300 </w:t>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Princeton</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Jersey</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08540</w:t>
            </w:r>
          </w:p>
        </w:tc>
      </w:tr>
      <w:tr>
        <w:trPr/>
        <w:tc>
          <w:tcPr>
            <w:tcW w:w="47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(609) 608-1525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 None.</w:t>
      </w:r>
    </w:p>
    <w:p>
      <w:pPr>
        <w:pStyle w:val="TextBody"/>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spacing w:lineRule="auto" w:line="240" w:before="120" w:after="283"/>
        <w:ind w:left="0" w:right="0" w:firstLine="315"/>
        <w:jc w:val="center"/>
        <w:rPr/>
      </w:pPr>
      <w:r>
        <w:rPr>
          <w:rFonts w:ascii="Times New Roman;sans-serif" w:hAnsi="Times New Roman;sans-serif"/>
          <w:b/>
          <w:color w:val="000000"/>
          <w:sz w:val="18"/>
        </w:rPr>
        <w:t>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ans-serif" w:hAnsi="Times New Roman;sans-serif"/>
          <w:b/>
          <w:color w:val="000000"/>
          <w:sz w:val="18"/>
        </w:rPr>
        <w:t>No</w:t>
      </w:r>
      <w:r>
        <w:rPr>
          <w:color w:val="000000"/>
        </w:rPr>
        <w:t xml:space="preserve"> </w:t>
      </w:r>
      <w:r>
        <w:rPr>
          <w:rFonts w:ascii="Wingdings;sans-serif" w:hAnsi="Wingdings;sans-serif"/>
          <w:b w:val="false"/>
          <w:color w:val="000000"/>
          <w:sz w:val="18"/>
        </w:rPr>
        <w:t>o</w:t>
      </w:r>
    </w:p>
    <w:p>
      <w:pPr>
        <w:pStyle w:val="TextBody"/>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spacing w:lineRule="auto" w:line="240" w:before="120" w:after="283"/>
        <w:ind w:left="0" w:right="0" w:firstLine="315"/>
        <w:jc w:val="center"/>
        <w:rPr/>
      </w:pPr>
      <w:r>
        <w:rPr>
          <w:rFonts w:ascii="Times New Roman;sans-serif" w:hAnsi="Times New Roman;sans-serif"/>
          <w:b/>
          <w:color w:val="000000"/>
          <w:sz w:val="18"/>
        </w:rPr>
        <w:t>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ans-serif" w:hAnsi="Times New Roman;sans-serif"/>
          <w:b/>
          <w:color w:val="000000"/>
          <w:sz w:val="18"/>
        </w:rPr>
        <w:t>No</w:t>
      </w:r>
      <w:r>
        <w:rPr>
          <w:color w:val="000000"/>
        </w:rPr>
        <w:t xml:space="preserve"> </w:t>
      </w:r>
      <w:r>
        <w:rPr>
          <w:rFonts w:ascii="Wingdings;sans-serif" w:hAnsi="Wingdings;sans-serif"/>
          <w:b w:val="false"/>
          <w:color w:val="000000"/>
          <w:sz w:val="18"/>
        </w:rPr>
        <w:t>o</w:t>
      </w:r>
    </w:p>
    <w:p>
      <w:pPr>
        <w:pStyle w:val="TextBody"/>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both"/>
              <w:rPr>
                <w:color w:val="000000"/>
              </w:rPr>
            </w:pPr>
            <w:r>
              <w:rPr>
                <w:color w:val="000000"/>
              </w:rPr>
              <w:t>☐</w:t>
            </w:r>
          </w:p>
        </w:tc>
      </w:tr>
    </w:tbl>
    <w:p>
      <w:pPr>
        <w:pStyle w:val="TextBody"/>
        <w:spacing w:lineRule="auto" w:line="240" w:before="80" w:after="283"/>
        <w:ind w:left="0" w:right="0" w:firstLine="36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r>
        <w:rPr>
          <w:color w:val="000000"/>
        </w:rPr>
        <w:t xml:space="preserve">   </w:t>
      </w:r>
    </w:p>
    <w:p>
      <w:pPr>
        <w:pStyle w:val="TextBody"/>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w:t>
      </w:r>
    </w:p>
    <w:p>
      <w:pPr>
        <w:pStyle w:val="TextBody"/>
        <w:spacing w:lineRule="auto" w:line="288" w:before="120" w:after="283"/>
        <w:jc w:val="center"/>
        <w:rPr/>
      </w:pPr>
      <w:r>
        <w:rPr>
          <w:rFonts w:ascii="Times New Roman;sans-serif" w:hAnsi="Times New Roman;sans-serif"/>
          <w:b/>
          <w:color w:val="000000"/>
          <w:sz w:val="18"/>
        </w:rPr>
        <w:t>Yes</w:t>
      </w:r>
      <w:r>
        <w:rPr>
          <w:color w:val="000000"/>
        </w:rPr>
        <w:t xml:space="preserve"> ☐       </w:t>
      </w:r>
      <w:r>
        <w:rPr>
          <w:rFonts w:ascii="Times New Roman;sans-serif" w:hAnsi="Times New Roman;sans-serif"/>
          <w:b/>
          <w:color w:val="000000"/>
          <w:sz w:val="18"/>
        </w:rPr>
        <w:t>No</w:t>
      </w:r>
      <w:r>
        <w:rPr>
          <w:color w:val="000000"/>
        </w:rPr>
        <w:t xml:space="preserve"> </w:t>
      </w:r>
      <w:r>
        <w:rPr>
          <w:rFonts w:ascii="Wingdings;sans-serif" w:hAnsi="Wingdings;sans-serif"/>
          <w:b w:val="false"/>
          <w:color w:val="000000"/>
          <w:sz w:val="18"/>
        </w:rPr>
        <w:t>x</w:t>
      </w:r>
    </w:p>
    <w:p>
      <w:pPr>
        <w:pStyle w:val="TextBody"/>
        <w:spacing w:lineRule="auto" w:line="240" w:before="120" w:after="283"/>
        <w:ind w:left="0" w:right="0" w:firstLine="315"/>
        <w:jc w:val="both"/>
        <w:rPr>
          <w:rFonts w:ascii="Times New Roman;sans-serif" w:hAnsi="Times New Roman;sans-serif"/>
          <w:b w:val="false"/>
          <w:color w:val="000000"/>
          <w:sz w:val="18"/>
        </w:rPr>
      </w:pPr>
      <w:r>
        <w:rPr>
          <w:rFonts w:ascii="Times New Roman;sans-serif" w:hAnsi="Times New Roman;sans-serif"/>
          <w:b w:val="false"/>
          <w:color w:val="000000"/>
          <w:sz w:val="18"/>
        </w:rPr>
        <w:t>As of April 28, 2023, there were 34,613,853 Class A units outstanding, 42,738,750 Class B units outstanding, 82,385,884 Class C units outstanding, and 42,336,750 Class D units outstanding. There is no public market for the registrant's outstanding units.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27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CellMar>
          <w:top w:w="28" w:type="dxa"/>
          <w:left w:w="28" w:type="dxa"/>
          <w:bottom w:w="28" w:type="dxa"/>
          <w:right w:w="28" w:type="dxa"/>
        </w:tblCellMar>
      </w:tblPr>
      <w:tblGrid>
        <w:gridCol w:w="3574"/>
        <w:gridCol w:w="3123"/>
        <w:gridCol w:w="3135"/>
        <w:gridCol w:w="109"/>
        <w:gridCol w:w="109"/>
        <w:gridCol w:w="155"/>
      </w:tblGrid>
      <w:tr>
        <w:trPr/>
        <w:tc>
          <w:tcPr>
            <w:tcW w:w="3574" w:type="dxa"/>
            <w:tcBorders/>
            <w:shd w:fill="auto" w:val="clear"/>
            <w:vAlign w:val="center"/>
          </w:tcPr>
          <w:p>
            <w:pPr>
              <w:pStyle w:val="TableContents"/>
              <w:spacing w:before="0" w:after="283"/>
              <w:rPr>
                <w:sz w:val="4"/>
                <w:szCs w:val="4"/>
              </w:rPr>
            </w:pPr>
            <w:r>
              <w:rPr>
                <w:sz w:val="4"/>
                <w:szCs w:val="4"/>
              </w:rPr>
            </w:r>
          </w:p>
        </w:tc>
        <w:tc>
          <w:tcPr>
            <w:tcW w:w="3123" w:type="dxa"/>
            <w:tcBorders/>
            <w:shd w:fill="auto" w:val="clear"/>
            <w:vAlign w:val="center"/>
          </w:tcPr>
          <w:p>
            <w:pPr>
              <w:pStyle w:val="TableContents"/>
              <w:spacing w:before="0" w:after="283"/>
              <w:rPr>
                <w:sz w:val="4"/>
                <w:szCs w:val="4"/>
              </w:rPr>
            </w:pPr>
            <w:r>
              <w:rPr>
                <w:sz w:val="4"/>
                <w:szCs w:val="4"/>
              </w:rPr>
            </w:r>
          </w:p>
        </w:tc>
        <w:tc>
          <w:tcPr>
            <w:tcW w:w="3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CAUTIONARY STATEMENT REGARDING FORWARD LOOKING INFORMATION</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0">
              <w:r>
                <w:rPr>
                  <w:rStyle w:val="InternetLink"/>
                  <w:rFonts w:ascii="Times New Roman;sans-serif" w:hAnsi="Times New Roman;sans-serif"/>
                  <w:b w:val="false"/>
                  <w:color w:val="0000FF"/>
                  <w:sz w:val="20"/>
                  <w:u w:val="single"/>
                </w:rPr>
                <w:t>3</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GLOSSARY OF TERMS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3">
              <w:r>
                <w:rPr>
                  <w:rStyle w:val="InternetLink"/>
                  <w:rFonts w:ascii="Times New Roman;sans-serif" w:hAnsi="Times New Roman;sans-serif"/>
                  <w:b w:val="false"/>
                  <w:color w:val="0000FF"/>
                  <w:sz w:val="20"/>
                  <w:u w:val="single"/>
                </w:rPr>
                <w:t>4</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 — FINANCIAL INFORMATION</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6">
              <w:r>
                <w:rPr>
                  <w:rStyle w:val="InternetLink"/>
                  <w:rFonts w:ascii="Times New Roman;sans-serif" w:hAnsi="Times New Roman;sans-serif"/>
                  <w:b w:val="false"/>
                  <w:color w:val="0000FF"/>
                  <w:sz w:val="20"/>
                  <w:u w:val="single"/>
                </w:rPr>
                <w:t>6</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 — FINANCIAL STATEMENTS AND NOTES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9">
              <w:r>
                <w:rPr>
                  <w:rStyle w:val="InternetLink"/>
                  <w:rFonts w:ascii="Times New Roman;sans-serif" w:hAnsi="Times New Roman;sans-serif"/>
                  <w:b w:val="false"/>
                  <w:color w:val="0000FF"/>
                  <w:sz w:val="20"/>
                  <w:u w:val="single"/>
                </w:rPr>
                <w:t>6</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17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2 — MANAGEMENT’S DISCUSSION AND ANALYSIS OF FINANCIAL CONDITION AND RESULTS OF OPERATIONS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88">
              <w:r>
                <w:rPr>
                  <w:rStyle w:val="InternetLink"/>
                  <w:rFonts w:ascii="Times New Roman;sans-serif" w:hAnsi="Times New Roman;sans-serif"/>
                  <w:b w:val="false"/>
                  <w:color w:val="0000FF"/>
                  <w:sz w:val="20"/>
                  <w:u w:val="single"/>
                </w:rPr>
                <w:t>29</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3 — QUANTITATIVE AND QUALITATIVE DISCLOSURES ABOUT MARKET RISK</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27">
              <w:r>
                <w:rPr>
                  <w:rStyle w:val="InternetLink"/>
                  <w:rFonts w:ascii="Times New Roman;sans-serif" w:hAnsi="Times New Roman;sans-serif"/>
                  <w:b w:val="false"/>
                  <w:color w:val="0000FF"/>
                  <w:sz w:val="20"/>
                  <w:u w:val="single"/>
                </w:rPr>
                <w:t>41</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4 — CONTROLS AND PROCEDURES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30">
              <w:r>
                <w:rPr>
                  <w:rStyle w:val="InternetLink"/>
                  <w:rFonts w:ascii="Times New Roman;sans-serif" w:hAnsi="Times New Roman;sans-serif"/>
                  <w:b w:val="false"/>
                  <w:color w:val="0000FF"/>
                  <w:sz w:val="20"/>
                  <w:u w:val="single"/>
                </w:rPr>
                <w:t>42</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II — OTHER INFORMATION</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33">
              <w:r>
                <w:rPr>
                  <w:rStyle w:val="InternetLink"/>
                  <w:rFonts w:ascii="Times New Roman;sans-serif" w:hAnsi="Times New Roman;sans-serif"/>
                  <w:b w:val="false"/>
                  <w:color w:val="0000FF"/>
                  <w:sz w:val="20"/>
                  <w:u w:val="single"/>
                </w:rPr>
                <w:t>43</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 — LEGAL PROCEEDINGS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36">
              <w:r>
                <w:rPr>
                  <w:rStyle w:val="InternetLink"/>
                  <w:rFonts w:ascii="Times New Roman;sans-serif" w:hAnsi="Times New Roman;sans-serif"/>
                  <w:b w:val="false"/>
                  <w:color w:val="0000FF"/>
                  <w:sz w:val="20"/>
                  <w:u w:val="single"/>
                </w:rPr>
                <w:t>43</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1A — RISK FACTORS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39">
              <w:r>
                <w:rPr>
                  <w:rStyle w:val="InternetLink"/>
                  <w:rFonts w:ascii="Times New Roman;sans-serif" w:hAnsi="Times New Roman;sans-serif"/>
                  <w:b w:val="false"/>
                  <w:color w:val="0000FF"/>
                  <w:sz w:val="20"/>
                  <w:u w:val="single"/>
                </w:rPr>
                <w:t>43</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2 — UNREGISTERED SALES OF EQUITY SECURITIES AND USE OF PROCEEDS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42">
              <w:r>
                <w:rPr>
                  <w:rStyle w:val="InternetLink"/>
                  <w:rFonts w:ascii="Times New Roman;sans-serif" w:hAnsi="Times New Roman;sans-serif"/>
                  <w:b w:val="false"/>
                  <w:color w:val="0000FF"/>
                  <w:sz w:val="20"/>
                  <w:u w:val="single"/>
                </w:rPr>
                <w:t>43</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3 — DEFAULTS UPON SENIOR SECURITIES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45">
              <w:r>
                <w:rPr>
                  <w:rStyle w:val="InternetLink"/>
                  <w:rFonts w:ascii="Times New Roman;sans-serif" w:hAnsi="Times New Roman;sans-serif"/>
                  <w:b w:val="false"/>
                  <w:color w:val="0000FF"/>
                  <w:sz w:val="20"/>
                  <w:u w:val="single"/>
                </w:rPr>
                <w:t>43</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4 — MINE SAFETY DISCLOSURES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48">
              <w:r>
                <w:rPr>
                  <w:rStyle w:val="InternetLink"/>
                  <w:rFonts w:ascii="Times New Roman;sans-serif" w:hAnsi="Times New Roman;sans-serif"/>
                  <w:b w:val="false"/>
                  <w:color w:val="0000FF"/>
                  <w:sz w:val="20"/>
                  <w:u w:val="single"/>
                </w:rPr>
                <w:t>43</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5 — OTHER INFORMATION</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51">
              <w:r>
                <w:rPr>
                  <w:rStyle w:val="InternetLink"/>
                  <w:rFonts w:ascii="Times New Roman;sans-serif" w:hAnsi="Times New Roman;sans-serif"/>
                  <w:b w:val="false"/>
                  <w:color w:val="0000FF"/>
                  <w:sz w:val="20"/>
                  <w:u w:val="single"/>
                </w:rPr>
                <w:t>43</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6 — EXHIBITS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54">
              <w:r>
                <w:rPr>
                  <w:rStyle w:val="InternetLink"/>
                  <w:rFonts w:ascii="Times New Roman;sans-serif" w:hAnsi="Times New Roman;sans-serif"/>
                  <w:b w:val="false"/>
                  <w:color w:val="0000FF"/>
                  <w:sz w:val="20"/>
                  <w:u w:val="single"/>
                </w:rPr>
                <w:t>44</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SIGNATURES</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2c3b406dd1f461aa3c5e00932358684_157">
              <w:r>
                <w:rPr>
                  <w:rStyle w:val="InternetLink"/>
                  <w:rFonts w:ascii="Times New Roman;sans-serif" w:hAnsi="Times New Roman;sans-serif"/>
                  <w:b w:val="false"/>
                  <w:color w:val="0000FF"/>
                  <w:sz w:val="20"/>
                  <w:u w:val="single"/>
                </w:rPr>
                <w:t>45</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spacing w:lineRule="auto" w:line="288" w:before="120" w:after="60"/>
        <w:ind w:left="0" w:right="0" w:firstLine="450"/>
        <w:jc w:val="both"/>
        <w:rPr/>
      </w:pPr>
      <w:r>
        <w:rPr>
          <w:rFonts w:ascii="Times New Roman;sans-serif" w:hAnsi="Times New Roman;sans-serif"/>
          <w:b w:val="false"/>
          <w:color w:val="000000"/>
          <w:sz w:val="20"/>
        </w:rPr>
        <w:t>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Part I of the Company’s Annual Report on Form 10-K for the year ended December 31, 2022, as well as the following:</w:t>
      </w:r>
    </w:p>
    <w:p>
      <w:pPr>
        <w:pStyle w:val="TextBody"/>
        <w:spacing w:lineRule="auto" w:line="288" w:before="120" w:after="60"/>
        <w:ind w:left="0" w:right="0" w:hanging="360"/>
        <w:jc w:val="both"/>
        <w:rPr/>
      </w:pPr>
      <w:r>
        <w:rPr>
          <w:color w:val="000000"/>
        </w:rPr>
        <w:t>•</w:t>
      </w:r>
      <w:r>
        <w:rPr>
          <w:rFonts w:ascii="Times New Roman;sans-serif" w:hAnsi="Times New Roman;sans-serif"/>
          <w:b w:val="false"/>
          <w:color w:val="000000"/>
          <w:sz w:val="20"/>
        </w:rPr>
        <w:t>The Company’s ability to maintain and grow its quarterly distributions;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Potential risks related to the Company's relationships with GIP, TotalEnergies and CEG;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successfully identify, evaluate and consummate acquisitions from, and dispositions to, third parties;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acquire assets from CEG;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borrow additional funds and access capital markets, as well as the Company’s substantial indebtedness and the possibility that the Company may incur additional indebtedness going forward;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law, including judicial decisions;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operate its businesses efficiently, manage maintenance capital expenditures and costs effectively, and generate earnings and cash flows from its asset-based businesses in relation to its debt and other obligations;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willingness and ability of counterparties to the Company’s offtake agreements to fulfill their obligations under such agreements;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Company’s ability to enter into contracts to sell power and procure fuel on acceptable terms and prices as current offtake agreements expire;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Government regulation, including compliance with regulatory requirements and changes in market rules, rates, tariffs and environmental laws;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When the following terms and abbreviations appear in the text of this report, they have the meanings indicated below:</w:t>
      </w:r>
    </w:p>
    <w:tbl>
      <w:tblPr>
        <w:tblW w:w="10205" w:type="dxa"/>
        <w:jc w:val="left"/>
        <w:tblInd w:w="0" w:type="dxa"/>
        <w:tblCellMar>
          <w:top w:w="28" w:type="dxa"/>
          <w:left w:w="28" w:type="dxa"/>
          <w:bottom w:w="28" w:type="dxa"/>
          <w:right w:w="28" w:type="dxa"/>
        </w:tblCellMar>
      </w:tblPr>
      <w:tblGrid>
        <w:gridCol w:w="671"/>
        <w:gridCol w:w="305"/>
        <w:gridCol w:w="302"/>
        <w:gridCol w:w="3222"/>
        <w:gridCol w:w="2770"/>
        <w:gridCol w:w="2778"/>
        <w:gridCol w:w="157"/>
      </w:tblGrid>
      <w:tr>
        <w:trPr/>
        <w:tc>
          <w:tcPr>
            <w:tcW w:w="67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222" w:type="dxa"/>
            <w:tcBorders/>
            <w:shd w:fill="auto" w:val="clear"/>
            <w:vAlign w:val="center"/>
          </w:tcPr>
          <w:p>
            <w:pPr>
              <w:pStyle w:val="TableContents"/>
              <w:spacing w:before="0" w:after="283"/>
              <w:rPr>
                <w:sz w:val="4"/>
                <w:szCs w:val="4"/>
              </w:rPr>
            </w:pPr>
            <w:r>
              <w:rPr>
                <w:sz w:val="4"/>
                <w:szCs w:val="4"/>
              </w:rPr>
            </w:r>
          </w:p>
        </w:tc>
        <w:tc>
          <w:tcPr>
            <w:tcW w:w="2770" w:type="dxa"/>
            <w:tcBorders/>
            <w:shd w:fill="auto" w:val="clear"/>
            <w:vAlign w:val="center"/>
          </w:tcPr>
          <w:p>
            <w:pPr>
              <w:pStyle w:val="TableContents"/>
              <w:spacing w:before="0" w:after="283"/>
              <w:rPr>
                <w:sz w:val="4"/>
                <w:szCs w:val="4"/>
              </w:rPr>
            </w:pPr>
            <w:r>
              <w:rPr>
                <w:sz w:val="4"/>
                <w:szCs w:val="4"/>
              </w:rPr>
            </w:r>
          </w:p>
        </w:tc>
        <w:tc>
          <w:tcPr>
            <w:tcW w:w="277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Senior Notes</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$850 million aggregate principal amount of 4.75% unsecured senior notes due 2028, issued by Clearway Energy Operating LLC</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$925 million aggregate principal amount of 3.75% unsecured senior notes due 2031, issued by Clearway Energy Operating LLC</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Senior Notes</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$350 million aggregate principal amount of 3.75% unsecured senior notes due 2032, issued by Clearway Energy Operating LLC</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8770"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FASB Accounting Standards Codification, which the FASB established as the source of</w:t>
              <w:br/>
              <w:t>authoritative GAAP</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Updates - updates to the ASC</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Program</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At-The-Market Equity Offering Program</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Bridge Loan Agreement</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secured bridge credit agreement entered into by Clearway Energy Operating LLC that provided a term loan facility in an aggregate principal amount of $335 million that was repaid on May 3, 2022</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CAFD</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March 31, 2023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Capistrano Wind Portfolio</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Five wind projects representing 413 MW of capacity, which includes Broken Bow and Crofton Bluffs located in Nebraska, Cedro Hill located in Texas and Mountain Wind Power I and II located in Wyoming</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Group LLC (formerly Zephyr Renewables LLC)</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CEG Master Services Agreement</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Master Services Agreements entered into as of August 31, 2018 and amended on February 2, 2023 between the Company, Clearway, Inc., Clearway Energy Operating LLC and CEG</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Inc.</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the holder of the Company’s Class A and Class C units</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Group LLC</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all of Clearway, Inc.’s Class B and Class D common stock, the Company’s Class B and Class D units and, from time to time, possibly shares of Clearway, Inc.’s Class A and/or Class C common stock</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Operating LLC</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the project assets that are owned by the Company</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CVSR </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California Valley Solar Ranch</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CVSR Holdco </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CVSR Holdco LLC, the indirect owner of CVSR</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Solar</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projects, typically less than 20 MW in size (on an alternating current, or AC, basis), that primarily sell power produced to customers for usage on site, or are interconnected to sell power into the local distribution grid</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Drop Down Assets</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common control acquired by the Company from CEG</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Exchange Act of 1934, as amended</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GenConn</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GenConn Energy LLC</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GIP</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Global Infrastructure Partners</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HLBV</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Liquidation at Book Value</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IRA</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Inflation Reduction Act of 2022</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ITC</w:t>
            </w:r>
          </w:p>
        </w:tc>
        <w:tc>
          <w:tcPr>
            <w:tcW w:w="87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Tax Credit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1278" w:type="dxa"/>
            <w:gridSpan w:val="3"/>
            <w:tcBorders/>
            <w:shd w:fill="auto" w:val="clear"/>
            <w:vAlign w:val="center"/>
          </w:tcPr>
          <w:p>
            <w:pPr>
              <w:pStyle w:val="TableContents"/>
              <w:spacing w:before="0" w:after="283"/>
              <w:rPr>
                <w:sz w:val="4"/>
                <w:szCs w:val="4"/>
              </w:rPr>
            </w:pPr>
            <w:r>
              <w:rPr>
                <w:sz w:val="4"/>
                <w:szCs w:val="4"/>
              </w:rPr>
            </w:r>
          </w:p>
        </w:tc>
        <w:tc>
          <w:tcPr>
            <w:tcW w:w="877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90"/>
        <w:gridCol w:w="468"/>
        <w:gridCol w:w="395"/>
        <w:gridCol w:w="3072"/>
        <w:gridCol w:w="2758"/>
        <w:gridCol w:w="2767"/>
        <w:gridCol w:w="155"/>
      </w:tblGrid>
      <w:tr>
        <w:trPr/>
        <w:tc>
          <w:tcPr>
            <w:tcW w:w="59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072" w:type="dxa"/>
            <w:tcBorders/>
            <w:shd w:fill="auto" w:val="clear"/>
            <w:vAlign w:val="center"/>
          </w:tcPr>
          <w:p>
            <w:pPr>
              <w:pStyle w:val="TableContents"/>
              <w:spacing w:before="0" w:after="283"/>
              <w:rPr>
                <w:sz w:val="4"/>
                <w:szCs w:val="4"/>
              </w:rPr>
            </w:pPr>
            <w:r>
              <w:rPr>
                <w:sz w:val="4"/>
                <w:szCs w:val="4"/>
              </w:rPr>
            </w:r>
          </w:p>
        </w:tc>
        <w:tc>
          <w:tcPr>
            <w:tcW w:w="2758" w:type="dxa"/>
            <w:tcBorders/>
            <w:shd w:fill="auto" w:val="clear"/>
            <w:vAlign w:val="center"/>
          </w:tcPr>
          <w:p>
            <w:pPr>
              <w:pStyle w:val="TableContents"/>
              <w:spacing w:before="0" w:after="283"/>
              <w:rPr>
                <w:sz w:val="4"/>
                <w:szCs w:val="4"/>
              </w:rPr>
            </w:pPr>
            <w:r>
              <w:rPr>
                <w:sz w:val="4"/>
                <w:szCs w:val="4"/>
              </w:rPr>
            </w:r>
          </w:p>
        </w:tc>
        <w:tc>
          <w:tcPr>
            <w:tcW w:w="27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KKR</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KKR Thor Bidco, LLC, an affiliate of Kohlberg Kravis Roberts &amp; Co. L.P.</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Mesquite Star</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Mesquite Star Special LLC</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Mt. Storm</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NedPower Mount Storm LLC</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Megawatt</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MWh</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Saleable megawatt hours, net of internal/parasitic load megawatt-hours</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MWt</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Megawatts Thermal Equivalent</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Exposure</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Counterparty credit exposure to Clearway, Inc. net of collateral</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NOLs</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NPNS</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Normal Purchases and Normal Sales</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OCI/OCL</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O&amp;M</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PG&amp;E</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Pacific Gas and Electric Company</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Purchase Agreement</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PTC</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 Credit</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RENOM</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Clearway Renewable Operation &amp; Maintenance LLC</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SCE</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Southern California Edison</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 </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the 2028 Senior Notes, the 2031 Senior Notes and the 2032 Senior Notes</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SPP</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Partners</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SREC </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Renewable Energy Credit</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 Business</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thermal business, which consists of thermal infrastructure assets that provide steam, hot water and/or chilled water, and in some instances electricity, to commercial businesses, universities, hospitals and governmental units</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TotalEnergies</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TotalEnergies SE</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Solar Portfolio</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Seven utility-scale solar farms located in Utah, representing 530 MW of capacity</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Scale Solar</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Solar power projects, typically 20 MW or greater in size (on an alternating current, or AC, basis), that are interconnected into the transmission or distribution grid to sell power at a wholesale level</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w:t>
            </w:r>
          </w:p>
        </w:tc>
        <w:tc>
          <w:tcPr>
            <w:tcW w:w="85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Interest Entity</w:t>
            </w:r>
          </w:p>
        </w:tc>
        <w:tc>
          <w:tcPr>
            <w:tcW w:w="155" w:type="dxa"/>
            <w:tcBorders/>
            <w:shd w:fill="auto" w:val="clear"/>
            <w:vAlign w:val="center"/>
          </w:tcPr>
          <w:p>
            <w:pPr>
              <w:pStyle w:val="TableContents"/>
              <w:spacing w:before="0" w:after="283"/>
              <w:rPr>
                <w:sz w:val="4"/>
                <w:szCs w:val="4"/>
              </w:rPr>
            </w:pPr>
            <w:r>
              <w:rPr>
                <w:sz w:val="4"/>
                <w:szCs w:val="4"/>
              </w:rPr>
            </w:r>
          </w:p>
        </w:tc>
      </w:tr>
      <w:tr>
        <w:trPr/>
        <w:tc>
          <w:tcPr>
            <w:tcW w:w="1453" w:type="dxa"/>
            <w:gridSpan w:val="3"/>
            <w:tcBorders/>
            <w:shd w:fill="auto" w:val="clear"/>
            <w:vAlign w:val="center"/>
          </w:tcPr>
          <w:p>
            <w:pPr>
              <w:pStyle w:val="TableContents"/>
              <w:spacing w:before="0" w:after="283"/>
              <w:rPr>
                <w:sz w:val="4"/>
                <w:szCs w:val="4"/>
              </w:rPr>
            </w:pPr>
            <w:r>
              <w:rPr>
                <w:sz w:val="4"/>
                <w:szCs w:val="4"/>
              </w:rPr>
            </w:r>
          </w:p>
        </w:tc>
        <w:tc>
          <w:tcPr>
            <w:tcW w:w="8597"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476"/>
        <w:gridCol w:w="2104"/>
        <w:gridCol w:w="2116"/>
        <w:gridCol w:w="109"/>
        <w:gridCol w:w="109"/>
        <w:gridCol w:w="190"/>
        <w:gridCol w:w="190"/>
        <w:gridCol w:w="190"/>
        <w:gridCol w:w="190"/>
        <w:gridCol w:w="367"/>
        <w:gridCol w:w="813"/>
        <w:gridCol w:w="190"/>
        <w:gridCol w:w="109"/>
        <w:gridCol w:w="109"/>
        <w:gridCol w:w="109"/>
        <w:gridCol w:w="211"/>
        <w:gridCol w:w="466"/>
        <w:gridCol w:w="157"/>
      </w:tblGrid>
      <w:tr>
        <w:trPr/>
        <w:tc>
          <w:tcPr>
            <w:tcW w:w="2476"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sz w:val="4"/>
                <w:szCs w:val="4"/>
              </w:rPr>
            </w:pPr>
            <w:r>
              <w:rPr>
                <w:sz w:val="4"/>
                <w:szCs w:val="4"/>
              </w:rPr>
            </w:r>
          </w:p>
        </w:tc>
        <w:tc>
          <w:tcPr>
            <w:tcW w:w="2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61" w:type="dxa"/>
            <w:gridSpan w:val="6"/>
            <w:tcBorders/>
            <w:shd w:fill="auto" w:val="clear"/>
          </w:tcPr>
          <w:p>
            <w:pPr>
              <w:pStyle w:val="TableContents"/>
              <w:spacing w:before="0" w:after="283"/>
              <w:rPr>
                <w:sz w:val="4"/>
                <w:szCs w:val="4"/>
              </w:rPr>
            </w:pPr>
            <w:r>
              <w:rPr>
                <w:sz w:val="4"/>
                <w:szCs w:val="4"/>
              </w:rPr>
            </w:r>
          </w:p>
        </w:tc>
      </w:tr>
      <w:tr>
        <w:trPr/>
        <w:tc>
          <w:tcPr>
            <w:tcW w:w="66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earnings of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r>
      <w:tr>
        <w:trPr/>
        <w:tc>
          <w:tcPr>
            <w:tcW w:w="6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 and redeemable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Clearway Energy LLC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r>
      <w:tr>
        <w:trPr/>
        <w:tc>
          <w:tcPr>
            <w:tcW w:w="6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r>
      <w:tr>
        <w:trPr/>
        <w:tc>
          <w:tcPr>
            <w:tcW w:w="66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477"/>
        <w:gridCol w:w="2172"/>
        <w:gridCol w:w="2188"/>
        <w:gridCol w:w="109"/>
        <w:gridCol w:w="109"/>
        <w:gridCol w:w="187"/>
        <w:gridCol w:w="187"/>
        <w:gridCol w:w="187"/>
        <w:gridCol w:w="187"/>
        <w:gridCol w:w="363"/>
        <w:gridCol w:w="735"/>
        <w:gridCol w:w="187"/>
        <w:gridCol w:w="109"/>
        <w:gridCol w:w="109"/>
        <w:gridCol w:w="109"/>
        <w:gridCol w:w="211"/>
        <w:gridCol w:w="420"/>
        <w:gridCol w:w="159"/>
      </w:tblGrid>
      <w:tr>
        <w:trPr/>
        <w:tc>
          <w:tcPr>
            <w:tcW w:w="2477" w:type="dxa"/>
            <w:tcBorders/>
            <w:shd w:fill="auto" w:val="clear"/>
            <w:vAlign w:val="center"/>
          </w:tcPr>
          <w:p>
            <w:pPr>
              <w:pStyle w:val="TableContents"/>
              <w:spacing w:before="0" w:after="283"/>
              <w:rPr>
                <w:sz w:val="4"/>
                <w:szCs w:val="4"/>
              </w:rPr>
            </w:pPr>
            <w:r>
              <w:rPr>
                <w:sz w:val="4"/>
                <w:szCs w:val="4"/>
              </w:rPr>
            </w:r>
          </w:p>
        </w:tc>
        <w:tc>
          <w:tcPr>
            <w:tcW w:w="2172"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17" w:type="dxa"/>
            <w:gridSpan w:val="6"/>
            <w:tcBorders/>
            <w:shd w:fill="auto" w:val="clear"/>
          </w:tcPr>
          <w:p>
            <w:pPr>
              <w:pStyle w:val="TableContents"/>
              <w:spacing w:before="0" w:after="283"/>
              <w:rPr>
                <w:sz w:val="4"/>
                <w:szCs w:val="4"/>
              </w:rPr>
            </w:pPr>
            <w:r>
              <w:rPr>
                <w:sz w:val="4"/>
                <w:szCs w:val="4"/>
              </w:rPr>
            </w:r>
          </w:p>
        </w:tc>
      </w:tr>
      <w:tr>
        <w:trPr/>
        <w:tc>
          <w:tcPr>
            <w:tcW w:w="68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derivatives and changes in accumulated OCI/OCL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 and redeemable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Clearway Energy LLC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7120" w:type="dxa"/>
        <w:jc w:val="center"/>
        <w:tblInd w:w="0" w:type="dxa"/>
        <w:tblCellMar>
          <w:top w:w="28" w:type="dxa"/>
          <w:left w:w="28" w:type="dxa"/>
          <w:bottom w:w="28" w:type="dxa"/>
          <w:right w:w="28" w:type="dxa"/>
        </w:tblCellMar>
      </w:tblPr>
      <w:tblGrid>
        <w:gridCol w:w="1447"/>
        <w:gridCol w:w="1267"/>
        <w:gridCol w:w="1275"/>
        <w:gridCol w:w="255"/>
        <w:gridCol w:w="873"/>
        <w:gridCol w:w="132"/>
        <w:gridCol w:w="109"/>
        <w:gridCol w:w="109"/>
        <w:gridCol w:w="109"/>
        <w:gridCol w:w="262"/>
        <w:gridCol w:w="896"/>
        <w:gridCol w:w="386"/>
      </w:tblGrid>
      <w:tr>
        <w:trPr/>
        <w:tc>
          <w:tcPr>
            <w:tcW w:w="1447"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trade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instruments </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Property, plant and equipment, net </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for power purchase agreements, net</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net</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MEMBERS’ EQUITY</w:t>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Current portion of long-term debt — external</w:t>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 affiliate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trade</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86"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instruments </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86"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 external</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6,491 </w:t>
            </w:r>
          </w:p>
        </w:tc>
        <w:tc>
          <w:tcPr>
            <w:tcW w:w="386"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Redeemable noncontrolling interest in subsidiaries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Members’ Equity</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Contributed capital</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386"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Members’ Equity</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Members’ Equity</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2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829" w:type="dxa"/>
        <w:jc w:val="center"/>
        <w:tblInd w:w="0" w:type="dxa"/>
        <w:tblCellMar>
          <w:top w:w="28" w:type="dxa"/>
          <w:left w:w="28" w:type="dxa"/>
          <w:bottom w:w="28" w:type="dxa"/>
          <w:right w:w="28" w:type="dxa"/>
        </w:tblCellMar>
      </w:tblPr>
      <w:tblGrid>
        <w:gridCol w:w="2331"/>
        <w:gridCol w:w="2046"/>
        <w:gridCol w:w="2058"/>
        <w:gridCol w:w="241"/>
        <w:gridCol w:w="706"/>
        <w:gridCol w:w="124"/>
        <w:gridCol w:w="124"/>
        <w:gridCol w:w="124"/>
        <w:gridCol w:w="124"/>
        <w:gridCol w:w="241"/>
        <w:gridCol w:w="534"/>
        <w:gridCol w:w="176"/>
      </w:tblGrid>
      <w:tr>
        <w:trPr/>
        <w:tc>
          <w:tcPr>
            <w:tcW w:w="2331"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(earnings) of unconsolidated affiliates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 and debt discounts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debt extinguishment </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carrying amount of right-of-use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derivative instruments and amortization of accumulated OCI/OCL</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changes in other working capital:</w:t>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other working capital</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Drop Down Assets, net of cash acquired</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unconsolidated affiliates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 net of distributions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(distributions to) CEG,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distributions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CEG of escrowed amounts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revolving credit facility</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the revolving credit facility</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long-term debt — external</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costs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short-term and long-term debt — external</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Reclassification of Cash to Assets Held-for-Sale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jc w:val="center"/>
        <w:rPr/>
      </w:pPr>
      <w:r>
        <w:rPr/>
      </w:r>
    </w:p>
    <w:p>
      <w:pPr>
        <w:pStyle w:val="TextBody"/>
        <w:spacing w:lineRule="auto" w:line="240"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MEMBERS’ EQUITY</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1027"/>
        <w:gridCol w:w="804"/>
        <w:gridCol w:w="798"/>
        <w:gridCol w:w="279"/>
        <w:gridCol w:w="793"/>
        <w:gridCol w:w="157"/>
        <w:gridCol w:w="109"/>
        <w:gridCol w:w="109"/>
        <w:gridCol w:w="109"/>
        <w:gridCol w:w="246"/>
        <w:gridCol w:w="698"/>
        <w:gridCol w:w="136"/>
        <w:gridCol w:w="109"/>
        <w:gridCol w:w="109"/>
        <w:gridCol w:w="109"/>
        <w:gridCol w:w="440"/>
        <w:gridCol w:w="744"/>
        <w:gridCol w:w="247"/>
        <w:gridCol w:w="109"/>
        <w:gridCol w:w="109"/>
        <w:gridCol w:w="109"/>
        <w:gridCol w:w="324"/>
        <w:gridCol w:w="922"/>
        <w:gridCol w:w="181"/>
        <w:gridCol w:w="109"/>
        <w:gridCol w:w="109"/>
        <w:gridCol w:w="109"/>
        <w:gridCol w:w="236"/>
        <w:gridCol w:w="670"/>
        <w:gridCol w:w="195"/>
      </w:tblGrid>
      <w:tr>
        <w:trPr/>
        <w:tc>
          <w:tcPr>
            <w:tcW w:w="1027"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2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Contributed Capital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Members’ Equity</w:t>
            </w:r>
          </w:p>
        </w:tc>
      </w:tr>
      <w:tr>
        <w:trPr/>
        <w:tc>
          <w:tcPr>
            <w:tcW w:w="2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derivatives and changes in accumulated OCI</w:t>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CEG, net of distributions, cash</w:t>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629"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Clearway, Inc.</w:t>
            </w:r>
          </w:p>
        </w:tc>
        <w:tc>
          <w:tcPr>
            <w:tcW w:w="10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CEG Class B and Class D unit holders</w:t>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935"/>
        <w:gridCol w:w="710"/>
        <w:gridCol w:w="703"/>
        <w:gridCol w:w="268"/>
        <w:gridCol w:w="762"/>
        <w:gridCol w:w="151"/>
        <w:gridCol w:w="109"/>
        <w:gridCol w:w="109"/>
        <w:gridCol w:w="109"/>
        <w:gridCol w:w="513"/>
        <w:gridCol w:w="908"/>
        <w:gridCol w:w="287"/>
        <w:gridCol w:w="109"/>
        <w:gridCol w:w="109"/>
        <w:gridCol w:w="109"/>
        <w:gridCol w:w="335"/>
        <w:gridCol w:w="694"/>
        <w:gridCol w:w="187"/>
        <w:gridCol w:w="109"/>
        <w:gridCol w:w="109"/>
        <w:gridCol w:w="109"/>
        <w:gridCol w:w="314"/>
        <w:gridCol w:w="893"/>
        <w:gridCol w:w="176"/>
        <w:gridCol w:w="109"/>
        <w:gridCol w:w="109"/>
        <w:gridCol w:w="109"/>
        <w:gridCol w:w="228"/>
        <w:gridCol w:w="647"/>
        <w:gridCol w:w="186"/>
      </w:tblGrid>
      <w:tr>
        <w:trPr/>
        <w:tc>
          <w:tcPr>
            <w:tcW w:w="935"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3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1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Contributed Capital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Members’ Equity</w:t>
            </w:r>
          </w:p>
        </w:tc>
      </w:tr>
      <w:tr>
        <w:trPr/>
        <w:tc>
          <w:tcPr>
            <w:tcW w:w="2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OCL</w:t>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Contributions from noncontrolling interests, net of distributions, cash </w:t>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Clearway, Inc.</w:t>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CEG Class B and Class D unit holders</w:t>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2022</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120"/>
        <w:ind w:left="0" w:right="0" w:hanging="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LLC</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pPr>
      <w:r>
        <w:rPr>
          <w:rFonts w:ascii="Times New Roman;sans-serif" w:hAnsi="Times New Roman;sans-serif"/>
          <w:b/>
          <w:color w:val="000000"/>
          <w:sz w:val="20"/>
        </w:rPr>
        <w:t xml:space="preserve">Note 1 — </w:t>
      </w:r>
      <w:r>
        <w:rPr>
          <w:rFonts w:ascii="Times New Roman;sans-serif" w:hAnsi="Times New Roman;sans-serif"/>
          <w:b/>
          <w:i/>
          <w:color w:val="000000"/>
          <w:sz w:val="20"/>
        </w:rPr>
        <w:t>Nature of Business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pStyle w:val="TextBody"/>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w:t>
      </w:r>
    </w:p>
    <w:p>
      <w:pPr>
        <w:pStyle w:val="TextBody"/>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Clearway, Inc. owned 57.88% of the economic interests of the Company, with CEG owning 42.12% of the economic interests of the Company.</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represents a summarized structure of the Company as of March 31, 2023: </w:t>
      </w:r>
    </w:p>
    <w:p>
      <w:pPr>
        <w:pStyle w:val="TextBody"/>
        <w:spacing w:before="0" w:after="180"/>
        <w:jc w:val="both"/>
        <w:rPr/>
      </w:pPr>
      <w:r>
        <w:rPr/>
        <w:drawing>
          <wp:inline distT="0" distB="63500" distL="0" distR="0">
            <wp:extent cx="6229350" cy="46101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6229350" cy="4610100"/>
                    </a:xfrm>
                    <a:prstGeom prst="rect">
                      <a:avLst/>
                    </a:prstGeom>
                  </pic:spPr>
                </pic:pic>
              </a:graphicData>
            </a:graphic>
          </wp:inline>
        </w:drawing>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2022 Form 10-K. Interim results are not necessarily indicative of results for a full year.</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interim consolidated financial statements contain all material adjustments consisting of normal and recurring accruals necessary to present fairly the Company’s consolidated financial position as of March 31, 2023, and results of operations, comprehensive loss and cash flows for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Summary of Significant Accounting Policies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highly liquid investments with an original maturity of three months or less at the time of purchase. Cash and cash equivalents held at project subsidiaries was $125 million and $121 million as of March 31, 2023 and December 31, 2022, respectively.</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10205" w:type="dxa"/>
        <w:jc w:val="left"/>
        <w:tblInd w:w="0" w:type="dxa"/>
        <w:tblCellMar>
          <w:top w:w="28" w:type="dxa"/>
          <w:left w:w="28" w:type="dxa"/>
          <w:bottom w:w="28" w:type="dxa"/>
          <w:right w:w="28" w:type="dxa"/>
        </w:tblCellMar>
      </w:tblPr>
      <w:tblGrid>
        <w:gridCol w:w="2574"/>
        <w:gridCol w:w="2251"/>
        <w:gridCol w:w="2264"/>
        <w:gridCol w:w="283"/>
        <w:gridCol w:w="827"/>
        <w:gridCol w:w="146"/>
        <w:gridCol w:w="109"/>
        <w:gridCol w:w="109"/>
        <w:gridCol w:w="109"/>
        <w:gridCol w:w="386"/>
        <w:gridCol w:w="856"/>
        <w:gridCol w:w="291"/>
      </w:tblGrid>
      <w:tr>
        <w:trPr/>
        <w:tc>
          <w:tcPr>
            <w:tcW w:w="2574"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226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7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1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shown in the consolidated statements of cash flows</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primarily of funds held to satisfy the requirements of certain debt agreements and funds held within the Company’s projects that are restricted in their use. As of March 31, 2023, these restricted funds were comprised of $143 million designated to fund operating expenses, $168 million designated for current debt service payments and $97 million restricted for reserves including debt service, performance obligations and other reserves as well as capital expenditures. The remaining $29 million is held in distributions reserve accounts.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Accumulated Depreciation and Accumulated Amortization</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accumulated depreciation included in property, plant and equipment, net, and accumulated amortization included in intangible assets, net as of March 31, 2023 and December 31, 2022:</w:t>
      </w:r>
    </w:p>
    <w:tbl>
      <w:tblPr>
        <w:tblW w:w="8082" w:type="dxa"/>
        <w:jc w:val="left"/>
        <w:tblInd w:w="0" w:type="dxa"/>
        <w:tblCellMar>
          <w:top w:w="28" w:type="dxa"/>
          <w:left w:w="28" w:type="dxa"/>
          <w:bottom w:w="28" w:type="dxa"/>
          <w:right w:w="28" w:type="dxa"/>
        </w:tblCellMar>
      </w:tblPr>
      <w:tblGrid>
        <w:gridCol w:w="1766"/>
        <w:gridCol w:w="1550"/>
        <w:gridCol w:w="1559"/>
        <w:gridCol w:w="291"/>
        <w:gridCol w:w="849"/>
        <w:gridCol w:w="150"/>
        <w:gridCol w:w="109"/>
        <w:gridCol w:w="109"/>
        <w:gridCol w:w="109"/>
        <w:gridCol w:w="342"/>
        <w:gridCol w:w="999"/>
        <w:gridCol w:w="249"/>
      </w:tblGrid>
      <w:tr>
        <w:trPr/>
        <w:tc>
          <w:tcPr>
            <w:tcW w:w="1766"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Accumulated Depreciation </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Accumulated Amortization</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distributions paid on the Company's Class A, B, C and D units during the three months ended March 31, 2023:</w:t>
      </w:r>
    </w:p>
    <w:tbl>
      <w:tblPr>
        <w:tblW w:w="5912" w:type="dxa"/>
        <w:jc w:val="left"/>
        <w:tblInd w:w="0" w:type="dxa"/>
        <w:tblCellMar>
          <w:top w:w="28" w:type="dxa"/>
          <w:left w:w="28" w:type="dxa"/>
          <w:bottom w:w="28" w:type="dxa"/>
          <w:right w:w="28" w:type="dxa"/>
        </w:tblCellMar>
      </w:tblPr>
      <w:tblGrid>
        <w:gridCol w:w="1267"/>
        <w:gridCol w:w="1111"/>
        <w:gridCol w:w="1117"/>
        <w:gridCol w:w="109"/>
        <w:gridCol w:w="109"/>
        <w:gridCol w:w="109"/>
        <w:gridCol w:w="109"/>
        <w:gridCol w:w="109"/>
        <w:gridCol w:w="109"/>
        <w:gridCol w:w="109"/>
        <w:gridCol w:w="109"/>
        <w:gridCol w:w="300"/>
        <w:gridCol w:w="1026"/>
        <w:gridCol w:w="219"/>
      </w:tblGrid>
      <w:tr>
        <w:trPr/>
        <w:tc>
          <w:tcPr>
            <w:tcW w:w="126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2023</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per Class A, B, C and D unit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3, 2023, the Company declared a distribution on its Class A, Class B, Class C and Class D units of $0.3818 per unit payable on June 15, 2023 to unit holders of record as of June 1, 2023.</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 for the three months ended March 31, 2023:</w:t>
      </w:r>
    </w:p>
    <w:tbl>
      <w:tblPr>
        <w:tblW w:w="7631" w:type="dxa"/>
        <w:jc w:val="left"/>
        <w:tblInd w:w="0" w:type="dxa"/>
        <w:tblCellMar>
          <w:top w:w="28" w:type="dxa"/>
          <w:left w:w="28" w:type="dxa"/>
          <w:bottom w:w="28" w:type="dxa"/>
          <w:right w:w="28" w:type="dxa"/>
        </w:tblCellMar>
      </w:tblPr>
      <w:tblGrid>
        <w:gridCol w:w="2247"/>
        <w:gridCol w:w="1978"/>
        <w:gridCol w:w="1985"/>
        <w:gridCol w:w="109"/>
        <w:gridCol w:w="109"/>
        <w:gridCol w:w="109"/>
        <w:gridCol w:w="372"/>
        <w:gridCol w:w="450"/>
        <w:gridCol w:w="272"/>
      </w:tblGrid>
      <w:tr>
        <w:trPr/>
        <w:tc>
          <w:tcPr>
            <w:tcW w:w="2247" w:type="dxa"/>
            <w:tcBorders/>
            <w:shd w:fill="auto" w:val="clear"/>
            <w:vAlign w:val="center"/>
          </w:tcPr>
          <w:p>
            <w:pPr>
              <w:pStyle w:val="TableContents"/>
              <w:spacing w:before="0" w:after="283"/>
              <w:rPr>
                <w:sz w:val="4"/>
                <w:szCs w:val="4"/>
              </w:rPr>
            </w:pPr>
            <w:r>
              <w:rPr>
                <w:sz w:val="4"/>
                <w:szCs w:val="4"/>
              </w:rPr>
            </w:r>
          </w:p>
        </w:tc>
        <w:tc>
          <w:tcPr>
            <w:tcW w:w="1978"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6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the Company’s disaggregation of revenue from contracts with customers along with the reportable segment for each category:</w:t>
      </w:r>
    </w:p>
    <w:tbl>
      <w:tblPr>
        <w:tblW w:w="8726" w:type="dxa"/>
        <w:jc w:val="left"/>
        <w:tblInd w:w="0" w:type="dxa"/>
        <w:tblCellMar>
          <w:top w:w="28" w:type="dxa"/>
          <w:left w:w="28" w:type="dxa"/>
          <w:bottom w:w="28" w:type="dxa"/>
          <w:right w:w="28" w:type="dxa"/>
        </w:tblCellMar>
      </w:tblPr>
      <w:tblGrid>
        <w:gridCol w:w="1345"/>
        <w:gridCol w:w="1178"/>
        <w:gridCol w:w="1181"/>
        <w:gridCol w:w="566"/>
        <w:gridCol w:w="1090"/>
        <w:gridCol w:w="294"/>
        <w:gridCol w:w="132"/>
        <w:gridCol w:w="132"/>
        <w:gridCol w:w="132"/>
        <w:gridCol w:w="266"/>
        <w:gridCol w:w="587"/>
        <w:gridCol w:w="137"/>
        <w:gridCol w:w="132"/>
        <w:gridCol w:w="132"/>
        <w:gridCol w:w="132"/>
        <w:gridCol w:w="132"/>
        <w:gridCol w:w="109"/>
        <w:gridCol w:w="109"/>
        <w:gridCol w:w="109"/>
        <w:gridCol w:w="211"/>
        <w:gridCol w:w="466"/>
        <w:gridCol w:w="154"/>
      </w:tblGrid>
      <w:tr>
        <w:trPr/>
        <w:tc>
          <w:tcPr>
            <w:tcW w:w="1345"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4" w:type="dxa"/>
            <w:gridSpan w:val="1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158" w:type="dxa"/>
            <w:gridSpan w:val="6"/>
            <w:tcBorders/>
            <w:shd w:fill="auto" w:val="clea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Renewables </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40" w:after="40"/>
              <w:jc w:val="left"/>
              <w:rPr/>
            </w:pPr>
            <w:r>
              <w:rPr>
                <w:rFonts w:ascii="Times New Roman;sans-serif" w:hAnsi="Times New Roman;sans-serif"/>
                <w:b w:val="false"/>
                <w:color w:val="000000"/>
                <w:sz w:val="20"/>
              </w:rPr>
              <w:t xml:space="preserve">Energy revenue </w:t>
            </w:r>
            <w:r>
              <w:rPr>
                <w:rFonts w:ascii="Times New Roman;sans-serif" w:hAnsi="Times New Roman;sans-serif"/>
                <w:b w:val="false"/>
                <w:color w:val="000000"/>
                <w:sz w:val="13"/>
              </w:rPr>
              <w:t>(a)</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198 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40" w:after="40"/>
              <w:jc w:val="left"/>
              <w:rPr/>
            </w:pPr>
            <w:r>
              <w:rPr>
                <w:rFonts w:ascii="Times New Roman;sans-serif" w:hAnsi="Times New Roman;sans-serif"/>
                <w:b w:val="false"/>
                <w:color w:val="000000"/>
                <w:sz w:val="20"/>
              </w:rPr>
              <w:t xml:space="preserve">Capacity revenue </w:t>
            </w:r>
            <w:r>
              <w:rPr>
                <w:rFonts w:ascii="Times New Roman;sans-serif" w:hAnsi="Times New Roman;sans-serif"/>
                <w:b w:val="false"/>
                <w:color w:val="000000"/>
                <w:sz w:val="13"/>
              </w:rPr>
              <w:t>(a)</w:t>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(41)</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333333"/>
              </w:rPr>
            </w:pPr>
            <w:r>
              <w:rPr>
                <w:color w:val="333333"/>
              </w:rPr>
              <w:t>—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Mark-to-market for economic hedges </w:t>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for economic hedges</w:t>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revenue</w:t>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(101)</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(156)</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amortization</w:t>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96" w:type="dxa"/>
            <w:gridSpan w:val="3"/>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90"/>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 following amounts of energy and capacity revenue relate to leases and are accounted for under ASC 842:</w:t>
      </w:r>
    </w:p>
    <w:tbl>
      <w:tblPr>
        <w:tblW w:w="5926" w:type="dxa"/>
        <w:jc w:val="left"/>
        <w:tblInd w:w="0" w:type="dxa"/>
        <w:tblCellMar>
          <w:top w:w="28" w:type="dxa"/>
          <w:left w:w="28" w:type="dxa"/>
          <w:bottom w:w="28" w:type="dxa"/>
          <w:right w:w="28" w:type="dxa"/>
        </w:tblCellMar>
      </w:tblPr>
      <w:tblGrid>
        <w:gridCol w:w="560"/>
        <w:gridCol w:w="492"/>
        <w:gridCol w:w="493"/>
        <w:gridCol w:w="523"/>
        <w:gridCol w:w="1155"/>
        <w:gridCol w:w="272"/>
        <w:gridCol w:w="109"/>
        <w:gridCol w:w="109"/>
        <w:gridCol w:w="109"/>
        <w:gridCol w:w="253"/>
        <w:gridCol w:w="560"/>
        <w:gridCol w:w="133"/>
        <w:gridCol w:w="109"/>
        <w:gridCol w:w="109"/>
        <w:gridCol w:w="109"/>
        <w:gridCol w:w="211"/>
        <w:gridCol w:w="466"/>
        <w:gridCol w:w="154"/>
      </w:tblGrid>
      <w:tr>
        <w:trPr/>
        <w:tc>
          <w:tcPr>
            <w:tcW w:w="5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1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569" w:type="dxa"/>
        <w:jc w:val="left"/>
        <w:tblInd w:w="0" w:type="dxa"/>
        <w:tblCellMar>
          <w:top w:w="28" w:type="dxa"/>
          <w:left w:w="28" w:type="dxa"/>
          <w:bottom w:w="28" w:type="dxa"/>
          <w:right w:w="28" w:type="dxa"/>
        </w:tblCellMar>
      </w:tblPr>
      <w:tblGrid>
        <w:gridCol w:w="1345"/>
        <w:gridCol w:w="1179"/>
        <w:gridCol w:w="1180"/>
        <w:gridCol w:w="566"/>
        <w:gridCol w:w="1090"/>
        <w:gridCol w:w="294"/>
        <w:gridCol w:w="109"/>
        <w:gridCol w:w="109"/>
        <w:gridCol w:w="109"/>
        <w:gridCol w:w="253"/>
        <w:gridCol w:w="560"/>
        <w:gridCol w:w="133"/>
        <w:gridCol w:w="109"/>
        <w:gridCol w:w="109"/>
        <w:gridCol w:w="109"/>
        <w:gridCol w:w="223"/>
        <w:gridCol w:w="382"/>
        <w:gridCol w:w="116"/>
        <w:gridCol w:w="109"/>
        <w:gridCol w:w="109"/>
        <w:gridCol w:w="109"/>
        <w:gridCol w:w="109"/>
        <w:gridCol w:w="109"/>
        <w:gridCol w:w="109"/>
        <w:gridCol w:w="109"/>
        <w:gridCol w:w="211"/>
        <w:gridCol w:w="466"/>
        <w:gridCol w:w="154"/>
      </w:tblGrid>
      <w:tr>
        <w:trPr/>
        <w:tc>
          <w:tcPr>
            <w:tcW w:w="1345"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7"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1158" w:type="dxa"/>
            <w:gridSpan w:val="6"/>
            <w:tcBorders/>
            <w:shd w:fill="auto" w:val="clea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40" w:after="40"/>
              <w:jc w:val="left"/>
              <w:rPr/>
            </w:pPr>
            <w:r>
              <w:rPr>
                <w:rFonts w:ascii="Times New Roman;sans-serif" w:hAnsi="Times New Roman;sans-serif"/>
                <w:b w:val="false"/>
                <w:color w:val="000000"/>
                <w:sz w:val="20"/>
              </w:rPr>
              <w:t xml:space="preserve">Energy revenue </w:t>
            </w:r>
            <w:r>
              <w:rPr>
                <w:rFonts w:ascii="Times New Roman;sans-serif" w:hAnsi="Times New Roman;sans-serif"/>
                <w:b w:val="false"/>
                <w:color w:val="000000"/>
                <w:sz w:val="13"/>
              </w:rPr>
              <w:t>(a)</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333333"/>
              </w:rPr>
            </w:pPr>
            <w:r>
              <w:rPr>
                <w:color w:val="333333"/>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40" w:after="40"/>
              <w:jc w:val="left"/>
              <w:rPr/>
            </w:pPr>
            <w:r>
              <w:rPr>
                <w:rFonts w:ascii="Times New Roman;sans-serif" w:hAnsi="Times New Roman;sans-serif"/>
                <w:b w:val="false"/>
                <w:color w:val="000000"/>
                <w:sz w:val="20"/>
              </w:rPr>
              <w:t xml:space="preserve">Capacity revenue </w:t>
            </w:r>
            <w:r>
              <w:rPr>
                <w:rFonts w:ascii="Times New Roman;sans-serif" w:hAnsi="Times New Roman;sans-serif"/>
                <w:b w:val="false"/>
                <w:color w:val="000000"/>
                <w:sz w:val="13"/>
              </w:rPr>
              <w:t>(a)</w:t>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(36)</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333333"/>
              </w:rPr>
            </w:pPr>
            <w:r>
              <w:rPr>
                <w:color w:val="333333"/>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333333"/>
              </w:rPr>
            </w:pPr>
            <w:r>
              <w:rPr>
                <w:color w:val="333333"/>
              </w:rPr>
              <w:t>—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(126)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for economic hedges</w:t>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333333"/>
              </w:rPr>
            </w:pPr>
            <w:r>
              <w:rPr>
                <w:color w:val="333333"/>
              </w:rPr>
              <w:t>—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126 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333333"/>
              </w:rPr>
            </w:pPr>
            <w:r>
              <w:rPr>
                <w:color w:val="333333"/>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Lease revenue</w:t>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amortization</w:t>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6 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36 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333333"/>
              </w:rPr>
            </w:pPr>
            <w:r>
              <w:rPr>
                <w:color w:val="333333"/>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90"/>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 following amounts of energy and capacity revenue relate to leases and are accounted for under ASC 842:</w:t>
      </w:r>
    </w:p>
    <w:tbl>
      <w:tblPr>
        <w:tblW w:w="6974" w:type="dxa"/>
        <w:jc w:val="left"/>
        <w:tblInd w:w="0" w:type="dxa"/>
        <w:tblCellMar>
          <w:top w:w="28" w:type="dxa"/>
          <w:left w:w="28" w:type="dxa"/>
          <w:bottom w:w="28" w:type="dxa"/>
          <w:right w:w="28" w:type="dxa"/>
        </w:tblCellMar>
      </w:tblPr>
      <w:tblGrid>
        <w:gridCol w:w="560"/>
        <w:gridCol w:w="492"/>
        <w:gridCol w:w="493"/>
        <w:gridCol w:w="523"/>
        <w:gridCol w:w="1155"/>
        <w:gridCol w:w="272"/>
        <w:gridCol w:w="109"/>
        <w:gridCol w:w="109"/>
        <w:gridCol w:w="109"/>
        <w:gridCol w:w="253"/>
        <w:gridCol w:w="560"/>
        <w:gridCol w:w="133"/>
        <w:gridCol w:w="109"/>
        <w:gridCol w:w="109"/>
        <w:gridCol w:w="109"/>
        <w:gridCol w:w="264"/>
        <w:gridCol w:w="320"/>
        <w:gridCol w:w="137"/>
        <w:gridCol w:w="109"/>
        <w:gridCol w:w="109"/>
        <w:gridCol w:w="109"/>
        <w:gridCol w:w="211"/>
        <w:gridCol w:w="466"/>
        <w:gridCol w:w="154"/>
      </w:tblGrid>
      <w:tr>
        <w:trPr/>
        <w:tc>
          <w:tcPr>
            <w:tcW w:w="5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revenue</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Capacity revenue</w:t>
            </w:r>
          </w:p>
        </w:tc>
        <w:tc>
          <w:tcPr>
            <w:tcW w:w="1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contract assets and liabilities included on the Company’s consolidated balance sheets:</w:t>
      </w:r>
    </w:p>
    <w:tbl>
      <w:tblPr>
        <w:tblW w:w="7512" w:type="dxa"/>
        <w:jc w:val="left"/>
        <w:tblInd w:w="0" w:type="dxa"/>
        <w:tblCellMar>
          <w:top w:w="28" w:type="dxa"/>
          <w:left w:w="28" w:type="dxa"/>
          <w:bottom w:w="28" w:type="dxa"/>
          <w:right w:w="28" w:type="dxa"/>
        </w:tblCellMar>
      </w:tblPr>
      <w:tblGrid>
        <w:gridCol w:w="1558"/>
        <w:gridCol w:w="1369"/>
        <w:gridCol w:w="1378"/>
        <w:gridCol w:w="346"/>
        <w:gridCol w:w="765"/>
        <w:gridCol w:w="179"/>
        <w:gridCol w:w="109"/>
        <w:gridCol w:w="109"/>
        <w:gridCol w:w="109"/>
        <w:gridCol w:w="402"/>
        <w:gridCol w:w="891"/>
        <w:gridCol w:w="297"/>
      </w:tblGrid>
      <w:tr>
        <w:trPr/>
        <w:tc>
          <w:tcPr>
            <w:tcW w:w="1558"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 Contracts with customers</w:t>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 Leases</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Standards </w:t>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In March 2020, the FASB issued ASU No. 2020-4, </w:t>
      </w:r>
      <w:r>
        <w:rPr>
          <w:rFonts w:ascii="Times New Roman;sans-serif" w:hAnsi="Times New Roman;sans-serif"/>
          <w:b w:val="false"/>
          <w:i/>
          <w:color w:val="000000"/>
          <w:sz w:val="20"/>
        </w:rPr>
        <w:t>Facilitation of the Effects of Reference Rate Reform on Financial Reporting</w:t>
      </w:r>
      <w:r>
        <w:rPr>
          <w:rFonts w:ascii="Times New Roman;sans-serif" w:hAnsi="Times New Roman;sans-serif"/>
          <w:b w:val="false"/>
          <w:color w:val="000000"/>
          <w:sz w:val="20"/>
        </w:rPr>
        <w:t xml:space="preserve">.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20, 2020 through December 31, 2022. In December 2022, the FASB issued ASU No. 2022-6, </w:t>
      </w:r>
      <w:r>
        <w:rPr>
          <w:rFonts w:ascii="Times New Roman;sans-serif" w:hAnsi="Times New Roman;sans-serif"/>
          <w:b w:val="false"/>
          <w:i/>
          <w:color w:val="000000"/>
          <w:sz w:val="20"/>
        </w:rPr>
        <w:t>Deferral of the Sunset Date of Reference Rate Reform</w:t>
      </w:r>
      <w:r>
        <w:rPr>
          <w:rFonts w:ascii="Times New Roman;sans-serif" w:hAnsi="Times New Roman;sans-serif"/>
          <w:b w:val="false"/>
          <w:color w:val="000000"/>
          <w:sz w:val="20"/>
        </w:rPr>
        <w:t>, to extend the end of the transition period to December 31, 2024. As of March 31, 2023, the Company has amended the majority of the contracts that previously used LIBOR as a reference rate and elected to apply relief to certain modified cash flow interest rate swap and debt agreements. The adoption did not have a material impact on the Company’s financial statements. The Company intends to amend the remaining contracts that use LIBOR as a reference rate no later than June 30, 2023, the LIBOR cessation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both"/>
        <w:rPr/>
      </w:pPr>
      <w:r>
        <w:rPr>
          <w:rFonts w:ascii="Times New Roman;sans-serif" w:hAnsi="Times New Roman;sans-serif"/>
          <w:b/>
          <w:color w:val="000000"/>
          <w:sz w:val="20"/>
        </w:rPr>
        <w:t xml:space="preserve">Note 3 — </w:t>
      </w:r>
      <w:r>
        <w:rPr>
          <w:rFonts w:ascii="Times New Roman;sans-serif" w:hAnsi="Times New Roman;sans-serif"/>
          <w:b/>
          <w:i/>
          <w:color w:val="000000"/>
          <w:sz w:val="20"/>
        </w:rPr>
        <w:t>Acquisitions and Dispositions</w:t>
      </w:r>
    </w:p>
    <w:p>
      <w:pPr>
        <w:pStyle w:val="TextBody"/>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spacing w:lineRule="auto" w:line="288" w:before="0" w:after="180"/>
        <w:ind w:left="0" w:right="0" w:firstLine="450"/>
        <w:jc w:val="both"/>
        <w:rPr/>
      </w:pPr>
      <w:r>
        <w:rPr>
          <w:rFonts w:ascii="Times New Roman;sans-serif" w:hAnsi="Times New Roman;sans-serif"/>
          <w:b/>
          <w:i/>
          <w:color w:val="000000"/>
          <w:sz w:val="20"/>
        </w:rPr>
        <w:t xml:space="preserve">Daggett 3 Drop Down </w:t>
      </w:r>
      <w:r>
        <w:rPr>
          <w:color w:val="000000"/>
        </w:rPr>
        <w:t xml:space="preserve">— </w:t>
      </w:r>
      <w:r>
        <w:rPr>
          <w:rFonts w:ascii="Times New Roman;sans-serif" w:hAnsi="Times New Roman;sans-serif"/>
          <w:b w:val="false"/>
          <w:color w:val="000000"/>
          <w:sz w:val="20"/>
        </w:rPr>
        <w:t xml:space="preserve">On February 17, 2023, the Company, through its indirect subsidiary, Daggett Solar Investment LLC, acquired the Class A membership interests in Daggett TargetCo LLC, the indirect owner of the Daggett 3 solar project, a 300 MW solar project with matching storage capacity that is currently under construction, located in San Bernardino, California, from Clearway Renew LLC, a subsidiary of CEG, for cash consideration of $21 million. Simultaneously, a cash equity investor acquired the Class B membership interests in Daggett TargetCo LLC from Clearway Renew LLC for cash consideration of $129 million. The Company and the cash equity investor then contributed their Class A and B membership interests, respectively, into Daggett Renewable Holdco LLC, a partnership between the Company and the cash equity investor, which consolidates Daggett TargetCo LLC. Daggett TargetCo LLC consolidates, as the indirect owner of the primary beneficiary, a tax equity fund, Daggett TE Holdco LLC, which owns the Daggett 3 solar project, as further described in Note 4, </w:t>
      </w:r>
      <w:r>
        <w:rPr>
          <w:rFonts w:ascii="Times New Roman;sans-serif" w:hAnsi="Times New Roman;sans-serif"/>
          <w:b w:val="false"/>
          <w:i/>
          <w:color w:val="000000"/>
          <w:sz w:val="20"/>
        </w:rPr>
        <w:t>Investments Accounted for by the Equity Method and Variable Interest Entities.</w:t>
      </w:r>
      <w:r>
        <w:rPr>
          <w:color w:val="000000"/>
        </w:rPr>
        <w:t xml:space="preserve"> </w:t>
      </w:r>
      <w:r>
        <w:rPr>
          <w:rFonts w:ascii="Times New Roman;sans-serif" w:hAnsi="Times New Roman;sans-serif"/>
          <w:b w:val="false"/>
          <w:color w:val="000000"/>
          <w:sz w:val="20"/>
        </w:rPr>
        <w:t xml:space="preserve">Daggett 3 has PPAs with investment-grade counterparties that have a 15-year weighted average contract duration that commence when the underlying operating assets reach commercial operations, which is expected to occur for the majority of the operating assets in the second quarter of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Times New Roman;sans-serif" w:hAnsi="Times New Roman;sans-serif"/>
          <w:b w:val="false"/>
          <w:i/>
          <w:color w:val="000000"/>
          <w:sz w:val="20"/>
        </w:rPr>
        <w:t>Business Combinations - Related Issues</w:t>
      </w:r>
      <w:r>
        <w:rPr>
          <w:rFonts w:ascii="Times New Roman;sans-serif" w:hAnsi="Times New Roman;sans-serif"/>
          <w:b w:val="false"/>
          <w:color w:val="000000"/>
          <w:sz w:val="20"/>
        </w:rPr>
        <w:t>. The difference between the cash paid of $21 million and the historical cost of the Company’s net assets acquired of $15 million was recorded as an adjustment to CEG’s contributed capital balance. In addition, the Company reflected $21 million of the Company’s purchase price, which was contributed back to the Company by CEG to pay down the acquired long-term debt, in the line item contributions from CEG, net of distributions in the consolidated statement of members’ equity.</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assets and liabilities transferred in connection with the acquisition as of February 17, 2023:</w:t>
      </w:r>
    </w:p>
    <w:tbl>
      <w:tblPr>
        <w:tblW w:w="4767" w:type="dxa"/>
        <w:jc w:val="left"/>
        <w:tblInd w:w="0" w:type="dxa"/>
        <w:tblCellMar>
          <w:top w:w="28" w:type="dxa"/>
          <w:left w:w="28" w:type="dxa"/>
          <w:bottom w:w="28" w:type="dxa"/>
          <w:right w:w="28" w:type="dxa"/>
        </w:tblCellMar>
      </w:tblPr>
      <w:tblGrid>
        <w:gridCol w:w="1285"/>
        <w:gridCol w:w="1133"/>
        <w:gridCol w:w="1137"/>
        <w:gridCol w:w="109"/>
        <w:gridCol w:w="109"/>
        <w:gridCol w:w="109"/>
        <w:gridCol w:w="257"/>
        <w:gridCol w:w="440"/>
        <w:gridCol w:w="188"/>
      </w:tblGrid>
      <w:tr>
        <w:trPr/>
        <w:tc>
          <w:tcPr>
            <w:tcW w:w="1285"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Daggett 3</w:t>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current and non-current liabilities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 xml:space="preserve">Includes a $181 million construction loan, $75 million sponsor equity bridge loan and $229 million tax equity bridge loan, offset by $5 million in unamortized debt issuance costs. See Note 7, </w:t>
      </w:r>
      <w:r>
        <w:rPr>
          <w:rFonts w:ascii="Times New Roman;sans-serif" w:hAnsi="Times New Roman;sans-serif"/>
          <w:b w:val="false"/>
          <w:i/>
          <w:color w:val="000000"/>
          <w:sz w:val="16"/>
        </w:rPr>
        <w:t>Long-term Debt</w:t>
      </w:r>
      <w:r>
        <w:rPr>
          <w:rFonts w:ascii="Times New Roman;sans-serif" w:hAnsi="Times New Roman;sans-serif"/>
          <w:b w:val="false"/>
          <w:color w:val="000000"/>
          <w:sz w:val="16"/>
        </w:rPr>
        <w:t>, for further discussion of the long-term debt assumed in the acquisition.</w:t>
      </w:r>
    </w:p>
    <w:p>
      <w:pPr>
        <w:pStyle w:val="TextBody"/>
        <w:spacing w:lineRule="auto" w:line="288" w:before="0" w:after="6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6"/>
        </w:rPr>
        <w:t>Includes $32 million of project costs that were subsequently funded by CEG and will be repaid with the proceeds expected to be received when the project reaches substantial completion.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pPr>
      <w:r>
        <w:rPr>
          <w:rFonts w:ascii="Times New Roman;sans-serif" w:hAnsi="Times New Roman;sans-serif"/>
          <w:b/>
          <w:color w:val="000000"/>
          <w:sz w:val="20"/>
        </w:rPr>
        <w:t xml:space="preserve">Note 4 — </w:t>
      </w:r>
      <w:r>
        <w:rPr>
          <w:rFonts w:ascii="Times New Roman;sans-serif" w:hAnsi="Times New Roman;sans-serif"/>
          <w:b/>
          <w:i/>
          <w:color w:val="000000"/>
          <w:sz w:val="20"/>
        </w:rPr>
        <w:t>Investments Accounted for by the Equity Method and Variable Interest Entities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Entities that are not Consolidated</w:t>
      </w:r>
    </w:p>
    <w:p>
      <w:pPr>
        <w:pStyle w:val="TextBody"/>
        <w:spacing w:lineRule="auto" w:line="288" w:before="0" w:after="180"/>
        <w:ind w:left="0" w:right="0" w:firstLine="450"/>
        <w:jc w:val="both"/>
        <w:rPr/>
      </w:pPr>
      <w:r>
        <w:rPr>
          <w:rFonts w:ascii="Times New Roman;sans-serif" w:hAnsi="Times New Roman;sans-serif"/>
          <w:b w:val="false"/>
          <w:color w:val="000000"/>
          <w:sz w:val="20"/>
        </w:rPr>
        <w:t>The Company has an interest in an entity that is considered a VIE under ASC 810, but for which it is not considered the primary beneficiary. The Company accounts for its interest in this entity and entities in which it has a significant investment under the equity method of accounting, as further described under Item 15 — Note 5,</w:t>
      </w:r>
      <w:r>
        <w:rPr>
          <w:color w:val="000000"/>
        </w:rPr>
        <w:t xml:space="preserve"> </w:t>
      </w:r>
      <w:r>
        <w:rPr>
          <w:rFonts w:ascii="Times New Roman;sans-serif" w:hAnsi="Times New Roman;sans-serif"/>
          <w:b w:val="false"/>
          <w:i/>
          <w:color w:val="000000"/>
          <w:sz w:val="20"/>
        </w:rPr>
        <w:t xml:space="preserve">Investments Accounted for by the Equity Method and Variable Interest Entities, </w:t>
      </w:r>
      <w:r>
        <w:rPr>
          <w:rFonts w:ascii="Times New Roman;sans-serif" w:hAnsi="Times New Roman;sans-serif"/>
          <w:b w:val="false"/>
          <w:color w:val="231F20"/>
          <w:sz w:val="20"/>
        </w:rPr>
        <w:t xml:space="preserve">to the consolidated financial statements included in the Company’s </w:t>
      </w:r>
      <w:r>
        <w:rPr>
          <w:rFonts w:ascii="Times New Roman;sans-serif" w:hAnsi="Times New Roman;sans-serif"/>
          <w:b w:val="false"/>
          <w:color w:val="000000"/>
          <w:sz w:val="20"/>
        </w:rPr>
        <w:t>2022</w:t>
      </w:r>
      <w:r>
        <w:rPr>
          <w:color w:val="231F20"/>
        </w:rPr>
        <w:t xml:space="preserve"> </w:t>
      </w:r>
      <w:r>
        <w:rPr>
          <w:rFonts w:ascii="Times New Roman;sans-serif" w:hAnsi="Times New Roman;sans-serif"/>
          <w:b w:val="false"/>
          <w:color w:val="231F20"/>
          <w:sz w:val="20"/>
        </w:rPr>
        <w:t>Form 10</w:t>
      </w:r>
      <w:r>
        <w:rPr>
          <w:rFonts w:ascii="Times New Roman;sans-serif" w:hAnsi="Times New Roman;sans-serif"/>
          <w:b w:val="false"/>
          <w:color w:val="000000"/>
          <w:sz w:val="20"/>
        </w:rPr>
        <w:t>-K.</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maximum exposure to loss as of March 31, 2023 is limited to its equity investment in the unconsolidated entities, as further summarized in the table below:</w:t>
      </w:r>
    </w:p>
    <w:tbl>
      <w:tblPr>
        <w:tblW w:w="3901" w:type="dxa"/>
        <w:jc w:val="left"/>
        <w:tblInd w:w="0" w:type="dxa"/>
        <w:tblCellMar>
          <w:top w:w="28" w:type="dxa"/>
          <w:left w:w="28" w:type="dxa"/>
          <w:bottom w:w="28" w:type="dxa"/>
          <w:right w:w="28" w:type="dxa"/>
        </w:tblCellMar>
      </w:tblPr>
      <w:tblGrid>
        <w:gridCol w:w="498"/>
        <w:gridCol w:w="434"/>
        <w:gridCol w:w="448"/>
        <w:gridCol w:w="285"/>
        <w:gridCol w:w="285"/>
        <w:gridCol w:w="286"/>
        <w:gridCol w:w="422"/>
        <w:gridCol w:w="933"/>
        <w:gridCol w:w="310"/>
      </w:tblGrid>
      <w:tr>
        <w:trPr/>
        <w:tc>
          <w:tcPr>
            <w:tcW w:w="498"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Economic</w:t>
              <w:br/>
              <w:t> Interest</w:t>
            </w:r>
          </w:p>
        </w:tc>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Balance</w:t>
            </w:r>
          </w:p>
        </w:tc>
      </w:tr>
      <w:tr>
        <w:trPr/>
        <w:tc>
          <w:tcPr>
            <w:tcW w:w="13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Avenal</w:t>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Desert Sunlight</w:t>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Elkhorn Ridge</w:t>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GenConn </w:t>
            </w:r>
            <w:r>
              <w:rPr>
                <w:rFonts w:ascii="Times New Roman;sans-serif" w:hAnsi="Times New Roman;sans-serif"/>
                <w:b w:val="false"/>
                <w:color w:val="000000"/>
                <w:sz w:val="13"/>
              </w:rPr>
              <w:t>(a)</w:t>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3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Juan Mesa</w:t>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3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90"/>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GenConn is a variable interest entity.</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Entities that are Consolidated</w:t>
      </w:r>
    </w:p>
    <w:p>
      <w:pPr>
        <w:pStyle w:val="TextBody"/>
        <w:spacing w:lineRule="auto" w:line="288" w:before="0" w:after="180"/>
        <w:ind w:left="0" w:right="0" w:firstLine="450"/>
        <w:jc w:val="both"/>
        <w:rPr/>
      </w:pPr>
      <w:r>
        <w:rPr>
          <w:rFonts w:ascii="Times New Roman;sans-serif" w:hAnsi="Times New Roman;sans-serif"/>
          <w:b w:val="false"/>
          <w:color w:val="000000"/>
          <w:sz w:val="20"/>
        </w:rPr>
        <w:t>As further described under Item 15 — Note 5,</w:t>
      </w:r>
      <w:r>
        <w:rPr>
          <w:color w:val="000000"/>
        </w:rPr>
        <w:t xml:space="preserve"> </w:t>
      </w:r>
      <w:r>
        <w:rPr>
          <w:rFonts w:ascii="Times New Roman;sans-serif" w:hAnsi="Times New Roman;sans-serif"/>
          <w:b w:val="false"/>
          <w:i/>
          <w:color w:val="000000"/>
          <w:sz w:val="20"/>
        </w:rPr>
        <w:t xml:space="preserve">Investments Accounted for by the Equity Method and Variable Interest Entities, </w:t>
      </w:r>
      <w:r>
        <w:rPr>
          <w:rFonts w:ascii="Times New Roman;sans-serif" w:hAnsi="Times New Roman;sans-serif"/>
          <w:b w:val="false"/>
          <w:color w:val="000000"/>
          <w:sz w:val="20"/>
        </w:rPr>
        <w:t xml:space="preserve">to the consolidated financial statements included in the Company’s 2022 Form 10-K, the Company has a controlling financial interest in certain entities which have been identified as VIEs under ASC 810, </w:t>
      </w:r>
      <w:r>
        <w:rPr>
          <w:rFonts w:ascii="Times New Roman;sans-serif" w:hAnsi="Times New Roman;sans-serif"/>
          <w:b w:val="false"/>
          <w:i/>
          <w:color w:val="000000"/>
          <w:sz w:val="20"/>
        </w:rPr>
        <w:t>Consolidations</w:t>
      </w:r>
      <w:r>
        <w:rPr>
          <w:rFonts w:ascii="Times New Roman;sans-serif" w:hAnsi="Times New Roman;sans-serif"/>
          <w:b w:val="false"/>
          <w:color w:val="000000"/>
          <w:sz w:val="20"/>
        </w:rPr>
        <w:t>, or ASC 810. These arrangements are primarily related to tax equity arrangements entered into with third parties in order to monetize certain tax credits associated with wind and solar facilities. The Company also has a controlling financial interest in certain partnership arrangements with third-party investors, which have also been identified as VIEs. Under the Company’s arrangements that have been identified as VIEs, the third-party investors are allocated earnings, tax attributes and distributable cash in accordance with the respective limited liability agreements. Many of these arrangements also provide a mechanism to facilitate achievement of the investor’s specified return by providing incremental cash distributions to the investor at a specified date if the specified return has not yet been achieved.</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below describes material changes to VIEs during the three months ended March 31, 2023.</w:t>
      </w:r>
    </w:p>
    <w:p>
      <w:pPr>
        <w:pStyle w:val="TextBody"/>
        <w:spacing w:lineRule="auto" w:line="288" w:before="0" w:after="180"/>
        <w:ind w:left="0" w:right="0" w:firstLine="450"/>
        <w:jc w:val="both"/>
        <w:rPr/>
      </w:pPr>
      <w:r>
        <w:rPr>
          <w:rFonts w:ascii="Times New Roman;sans-serif" w:hAnsi="Times New Roman;sans-serif"/>
          <w:b/>
          <w:i/>
          <w:color w:val="000000"/>
          <w:sz w:val="20"/>
        </w:rPr>
        <w:t xml:space="preserve">Daggett Renewable Holdco LLC — </w:t>
      </w:r>
      <w:r>
        <w:rPr>
          <w:rFonts w:ascii="Times New Roman;sans-serif" w:hAnsi="Times New Roman;sans-serif"/>
          <w:b w:val="false"/>
          <w:color w:val="000000"/>
          <w:sz w:val="20"/>
        </w:rPr>
        <w:t xml:space="preserve">As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on February 17, 2023, Daggett Solar Investment LLC, an indirect subsidiary of the Company, acquired the Class A membership interests in Daggett TargetCo LLC while a cash equity investor acquired the Class B membership interests. The Company and the cash equity investor then contributed their Class A and B membership interests, respectively, into Daggett Renewable Holdco LLC, a partnership between the Company and the cash equity investor, and concurrently, Daggett TargetCo LLC became a wholly-owned subsidiary of Daggett Renewable Holdco LLC. The Company consolidates Daggett Renewable Holdco LLC as a VIE as the Company is the primary beneficiary, through its role as managing member. The Company recorded the noncontrolling interest of the cash equity investor in Daggett Renewable Holdco LLC at historical carrying amount, with the offset to contributed capital. Daggett TargetCo LLC consolidates, as the indirect owner of the primary beneficiary, a tax equity fund, Daggett TE Holdco LLC, which owns the Daggett 3 solar project. The tax equity investor’s interest is shown as noncontrolling interest and the HLBV method is utilized to allocate the income or losses of Daggett TE Holdco LLC.</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for the Company’s consolidated VIEs consisted of the following as of March 31, 2023:</w:t>
      </w:r>
    </w:p>
    <w:tbl>
      <w:tblPr>
        <w:tblW w:w="10205" w:type="dxa"/>
        <w:jc w:val="left"/>
        <w:tblInd w:w="0" w:type="dxa"/>
        <w:tblCellMar>
          <w:top w:w="28" w:type="dxa"/>
          <w:left w:w="28" w:type="dxa"/>
          <w:bottom w:w="28" w:type="dxa"/>
          <w:right w:w="28" w:type="dxa"/>
        </w:tblCellMar>
      </w:tblPr>
      <w:tblGrid>
        <w:gridCol w:w="839"/>
        <w:gridCol w:w="545"/>
        <w:gridCol w:w="548"/>
        <w:gridCol w:w="256"/>
        <w:gridCol w:w="566"/>
        <w:gridCol w:w="132"/>
        <w:gridCol w:w="109"/>
        <w:gridCol w:w="109"/>
        <w:gridCol w:w="109"/>
        <w:gridCol w:w="299"/>
        <w:gridCol w:w="663"/>
        <w:gridCol w:w="157"/>
        <w:gridCol w:w="109"/>
        <w:gridCol w:w="109"/>
        <w:gridCol w:w="109"/>
        <w:gridCol w:w="234"/>
        <w:gridCol w:w="517"/>
        <w:gridCol w:w="120"/>
        <w:gridCol w:w="109"/>
        <w:gridCol w:w="109"/>
        <w:gridCol w:w="109"/>
        <w:gridCol w:w="325"/>
        <w:gridCol w:w="719"/>
        <w:gridCol w:w="168"/>
        <w:gridCol w:w="109"/>
        <w:gridCol w:w="109"/>
        <w:gridCol w:w="109"/>
        <w:gridCol w:w="356"/>
        <w:gridCol w:w="609"/>
        <w:gridCol w:w="186"/>
        <w:gridCol w:w="109"/>
        <w:gridCol w:w="109"/>
        <w:gridCol w:w="109"/>
        <w:gridCol w:w="335"/>
        <w:gridCol w:w="741"/>
        <w:gridCol w:w="255"/>
      </w:tblGrid>
      <w:tr>
        <w:trPr/>
        <w:tc>
          <w:tcPr>
            <w:tcW w:w="839"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19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Alta TE Holdco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Buckthorn Renewables,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DGPV Funds</w:t>
            </w:r>
            <w:r>
              <w:rPr>
                <w:color w:val="000000"/>
              </w:rPr>
              <w:t xml:space="preserve"> </w:t>
            </w:r>
            <w:r>
              <w:rPr>
                <w:rFonts w:ascii="Times New Roman;sans-serif" w:hAnsi="Times New Roman;sans-serif"/>
                <w:b/>
                <w:color w:val="000000"/>
                <w:sz w:val="12"/>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 xml:space="preserve">Daggett Renewable Holdco LLC </w:t>
            </w:r>
            <w:r>
              <w:rPr>
                <w:rFonts w:ascii="Times New Roman;sans-serif" w:hAnsi="Times New Roman;sans-serif"/>
                <w:b/>
                <w:color w:val="000000"/>
                <w:sz w:val="12"/>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Langford TE Partnership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 xml:space="preserve">Lighthouse Renewable Holdco LLC </w:t>
            </w:r>
            <w:r>
              <w:rPr>
                <w:rFonts w:ascii="Times New Roman;sans-serif" w:hAnsi="Times New Roman;sans-serif"/>
                <w:b/>
                <w:color w:val="000000"/>
                <w:sz w:val="12"/>
              </w:rPr>
              <w:t>(c)</w:t>
            </w:r>
          </w:p>
        </w:tc>
      </w:tr>
      <w:tr>
        <w:trPr/>
        <w:tc>
          <w:tcPr>
            <w:tcW w:w="19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less noncontrolling interest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DGPV Funds is comprised of Clearway &amp; EFS Distributed Solar LLC, DGPV Fund 4 LLC, Golden Puma Fund LLC, Renew Solar CS4 Fund LLC and Chestnut Fund LLC, which are all tax equity funds.</w:t>
      </w:r>
    </w:p>
    <w:p>
      <w:pPr>
        <w:pStyle w:val="TextBody"/>
        <w:spacing w:lineRule="auto" w:line="288" w:before="0" w:after="6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Daggett Renewable Holdco LLC consolidates Daggett TE Holdco LLC, which is a consolidated VIE.</w:t>
      </w:r>
    </w:p>
    <w:p>
      <w:pPr>
        <w:pStyle w:val="TextBody"/>
        <w:spacing w:lineRule="auto" w:line="288" w:before="0" w:after="18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6"/>
        </w:rPr>
        <w:t>Lighthouse Renewable Holdco LLC consolidates Mesquite Star Tax Equity Holdco LLC, Black Rock TE Holdco LLC, Mililani TE Holdco LLC and Waiawa TE Holdco LLC, which are consolidated VIEs.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785"/>
        <w:gridCol w:w="464"/>
        <w:gridCol w:w="467"/>
        <w:gridCol w:w="340"/>
        <w:gridCol w:w="585"/>
        <w:gridCol w:w="178"/>
        <w:gridCol w:w="109"/>
        <w:gridCol w:w="109"/>
        <w:gridCol w:w="109"/>
        <w:gridCol w:w="226"/>
        <w:gridCol w:w="500"/>
        <w:gridCol w:w="116"/>
        <w:gridCol w:w="109"/>
        <w:gridCol w:w="109"/>
        <w:gridCol w:w="109"/>
        <w:gridCol w:w="338"/>
        <w:gridCol w:w="578"/>
        <w:gridCol w:w="176"/>
        <w:gridCol w:w="109"/>
        <w:gridCol w:w="109"/>
        <w:gridCol w:w="109"/>
        <w:gridCol w:w="307"/>
        <w:gridCol w:w="525"/>
        <w:gridCol w:w="160"/>
        <w:gridCol w:w="109"/>
        <w:gridCol w:w="109"/>
        <w:gridCol w:w="109"/>
        <w:gridCol w:w="248"/>
        <w:gridCol w:w="425"/>
        <w:gridCol w:w="128"/>
        <w:gridCol w:w="109"/>
        <w:gridCol w:w="109"/>
        <w:gridCol w:w="109"/>
        <w:gridCol w:w="258"/>
        <w:gridCol w:w="571"/>
        <w:gridCol w:w="133"/>
        <w:gridCol w:w="109"/>
        <w:gridCol w:w="109"/>
        <w:gridCol w:w="109"/>
        <w:gridCol w:w="211"/>
        <w:gridCol w:w="361"/>
        <w:gridCol w:w="163"/>
      </w:tblGrid>
      <w:tr>
        <w:trPr/>
        <w:tc>
          <w:tcPr>
            <w:tcW w:w="785"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10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Lighthouse Renewable Holdco 2 LLC</w:t>
            </w:r>
            <w:r>
              <w:rPr>
                <w:rFonts w:ascii="Times New Roman;sans-serif" w:hAnsi="Times New Roman;sans-serif"/>
                <w:b/>
                <w:color w:val="000000"/>
                <w:sz w:val="12"/>
              </w:rPr>
              <w:t>(a)</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Oahu Solar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40" w:before="100" w:after="283"/>
              <w:jc w:val="center"/>
              <w:rPr>
                <w:rFonts w:ascii="Times New Roman;sans-serif" w:hAnsi="Times New Roman;sans-serif"/>
                <w:b/>
                <w:color w:val="000000"/>
                <w:sz w:val="14"/>
              </w:rPr>
            </w:pPr>
            <w:r>
              <w:rPr>
                <w:rFonts w:ascii="Times New Roman;sans-serif" w:hAnsi="Times New Roman;sans-serif"/>
                <w:b/>
                <w:color w:val="000000"/>
                <w:sz w:val="14"/>
              </w:rPr>
              <w:t>Pinnacle Repowering TE Holdco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Rattlesnake TE Holdco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Rosie TargetCo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Wildorado TE Holdco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Other</w:t>
            </w:r>
            <w:r>
              <w:rPr>
                <w:color w:val="000000"/>
              </w:rPr>
              <w:t xml:space="preserve"> </w:t>
            </w:r>
            <w:r>
              <w:rPr>
                <w:rFonts w:ascii="Times New Roman;sans-serif" w:hAnsi="Times New Roman;sans-serif"/>
                <w:b/>
                <w:color w:val="000000"/>
                <w:sz w:val="12"/>
              </w:rPr>
              <w:t>(b)</w:t>
            </w:r>
          </w:p>
        </w:tc>
      </w:tr>
      <w:tr>
        <w:trPr/>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9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liabilities</w:t>
            </w:r>
          </w:p>
        </w:tc>
        <w:tc>
          <w:tcPr>
            <w:tcW w:w="9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9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less noncontrolling interest</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6"/>
        </w:rPr>
        <w:t>Lighthouse Renewable Holdco 2 LLC consolidates Mesquite Sky TE Holdco LLC, which is a consolidated VIE.</w:t>
      </w:r>
    </w:p>
    <w:p>
      <w:pPr>
        <w:pStyle w:val="TextBody"/>
        <w:spacing w:lineRule="auto" w:line="288" w:before="0" w:after="180"/>
        <w:jc w:val="both"/>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6"/>
        </w:rPr>
        <w:t>Other is comprised of Elbow Creek TE Holdco LLC and Spring Canyon TE Holdco LLC.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both"/>
        <w:rPr/>
      </w:pPr>
      <w:r>
        <w:rPr>
          <w:rFonts w:ascii="Times New Roman;sans-serif" w:hAnsi="Times New Roman;sans-serif"/>
          <w:b/>
          <w:color w:val="000000"/>
          <w:sz w:val="20"/>
        </w:rPr>
        <w:t xml:space="preserve">Note 5 — </w:t>
      </w:r>
      <w:r>
        <w:rPr>
          <w:rFonts w:ascii="Times New Roman;sans-serif" w:hAnsi="Times New Roman;sans-serif"/>
          <w:b/>
          <w:i/>
          <w:color w:val="000000"/>
          <w:sz w:val="20"/>
        </w:rPr>
        <w:t>Fair Value of Financial Instruments</w:t>
      </w:r>
      <w:r>
        <w:rPr>
          <w:color w:val="000000"/>
        </w:rPr>
        <w:t xml:space="preserve">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Accounting under ASC 820</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ASC 820 establishes a fair value hierarchy that prioritizes the inputs to valuation techniques used to measure fair value into three levels as follows:</w:t>
      </w:r>
    </w:p>
    <w:p>
      <w:pPr>
        <w:pStyle w:val="TextBody"/>
        <w:spacing w:lineRule="auto" w:line="288" w:before="0" w:after="60"/>
        <w:ind w:left="0" w:right="0" w:hanging="270"/>
        <w:jc w:val="both"/>
        <w:rPr/>
      </w:pPr>
      <w:r>
        <w:rPr>
          <w:color w:val="000000"/>
        </w:rPr>
        <w:t>•</w:t>
      </w:r>
      <w:r>
        <w:rPr>
          <w:rFonts w:ascii="Times New Roman;sans-serif" w:hAnsi="Times New Roman;sans-serif"/>
          <w:b w:val="false"/>
          <w:color w:val="000000"/>
          <w:sz w:val="20"/>
        </w:rPr>
        <w:t>Level 1—quoted prices (unadjusted) in active markets for identical assets or liabilities that the Company has the ability to access as of the measurement date.</w:t>
      </w:r>
    </w:p>
    <w:p>
      <w:pPr>
        <w:pStyle w:val="TextBody"/>
        <w:spacing w:lineRule="auto" w:line="288" w:before="0" w:after="60"/>
        <w:ind w:left="0" w:right="0" w:hanging="270"/>
        <w:jc w:val="both"/>
        <w:rPr/>
      </w:pPr>
      <w:r>
        <w:rPr>
          <w:color w:val="000000"/>
        </w:rPr>
        <w:t>•</w:t>
      </w:r>
      <w:r>
        <w:rPr>
          <w:rFonts w:ascii="Times New Roman;sans-serif" w:hAnsi="Times New Roman;sans-serif"/>
          <w:b w:val="false"/>
          <w:color w:val="000000"/>
          <w:sz w:val="20"/>
        </w:rPr>
        <w:t>Level 2—inputs other than quoted prices included within Level 1 that are directly observable for the asset or liability or indirectly observable through corroboration with observable market data.</w:t>
      </w:r>
    </w:p>
    <w:p>
      <w:pPr>
        <w:pStyle w:val="TextBody"/>
        <w:spacing w:lineRule="auto" w:line="288" w:before="0" w:after="180"/>
        <w:ind w:left="0" w:right="0" w:hanging="270"/>
        <w:jc w:val="both"/>
        <w:rPr/>
      </w:pPr>
      <w:r>
        <w:rPr>
          <w:color w:val="000000"/>
        </w:rPr>
        <w:t>•</w:t>
      </w:r>
      <w:r>
        <w:rPr>
          <w:rFonts w:ascii="Times New Roman;sans-serif" w:hAnsi="Times New Roman;sans-serif"/>
          <w:b w:val="false"/>
          <w:color w:val="000000"/>
          <w:sz w:val="20"/>
        </w:rPr>
        <w:t>Level 3—unobservable inputs for the asset or liability only used when there is little, if any, market activity for the asset or liability at the measurement date.</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820, the Company determines the level in the fair value hierarchy within which each fair value measurement in its entirety falls, based on the lowest level input that is significant to the fair value measurement.</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cash and cash equivalents, restricted cash, accounts receivable — trade,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estimated fair values of the Company’s recorded financial instruments not carried at fair market value or that do not approximate fair value are as follows:</w:t>
      </w:r>
    </w:p>
    <w:tbl>
      <w:tblPr>
        <w:tblW w:w="10205" w:type="dxa"/>
        <w:jc w:val="left"/>
        <w:tblInd w:w="0" w:type="dxa"/>
        <w:tblCellMar>
          <w:top w:w="28" w:type="dxa"/>
          <w:left w:w="28" w:type="dxa"/>
          <w:bottom w:w="28" w:type="dxa"/>
          <w:right w:w="28" w:type="dxa"/>
        </w:tblCellMar>
      </w:tblPr>
      <w:tblGrid>
        <w:gridCol w:w="1639"/>
        <w:gridCol w:w="1437"/>
        <w:gridCol w:w="1446"/>
        <w:gridCol w:w="507"/>
        <w:gridCol w:w="615"/>
        <w:gridCol w:w="262"/>
        <w:gridCol w:w="122"/>
        <w:gridCol w:w="122"/>
        <w:gridCol w:w="122"/>
        <w:gridCol w:w="324"/>
        <w:gridCol w:w="390"/>
        <w:gridCol w:w="164"/>
        <w:gridCol w:w="109"/>
        <w:gridCol w:w="109"/>
        <w:gridCol w:w="109"/>
        <w:gridCol w:w="507"/>
        <w:gridCol w:w="615"/>
        <w:gridCol w:w="262"/>
        <w:gridCol w:w="138"/>
        <w:gridCol w:w="138"/>
        <w:gridCol w:w="138"/>
        <w:gridCol w:w="316"/>
        <w:gridCol w:w="380"/>
        <w:gridCol w:w="234"/>
      </w:tblGrid>
      <w:tr>
        <w:trPr/>
        <w:tc>
          <w:tcPr>
            <w:tcW w:w="1639"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22"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4522"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4522"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4"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45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 — affiliate</w:t>
            </w:r>
          </w:p>
        </w:tc>
        <w:tc>
          <w:tcPr>
            <w:tcW w:w="5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Long-term debt, including current portion — external </w:t>
            </w:r>
            <w:r>
              <w:rPr>
                <w:rFonts w:ascii="Times New Roman;sans-serif" w:hAnsi="Times New Roman;sans-serif"/>
                <w:b w:val="false"/>
                <w:color w:val="000000"/>
                <w:sz w:val="13"/>
              </w:rPr>
              <w:t>(a)</w:t>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9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Excludes net debt issuance costs, which are recorded as a reduction to long-term debt on the Company’s consolidated balance sheets.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tbl>
      <w:tblPr>
        <w:tblW w:w="8295" w:type="dxa"/>
        <w:jc w:val="left"/>
        <w:tblInd w:w="0" w:type="dxa"/>
        <w:tblCellMar>
          <w:top w:w="28" w:type="dxa"/>
          <w:left w:w="28" w:type="dxa"/>
          <w:bottom w:w="28" w:type="dxa"/>
          <w:right w:w="28" w:type="dxa"/>
        </w:tblCellMar>
      </w:tblPr>
      <w:tblGrid>
        <w:gridCol w:w="1275"/>
        <w:gridCol w:w="1123"/>
        <w:gridCol w:w="11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7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tbl>
      <w:tblPr>
        <w:tblW w:w="8116" w:type="dxa"/>
        <w:jc w:val="left"/>
        <w:tblInd w:w="0" w:type="dxa"/>
        <w:tblCellMar>
          <w:top w:w="28" w:type="dxa"/>
          <w:left w:w="28" w:type="dxa"/>
          <w:bottom w:w="28" w:type="dxa"/>
          <w:right w:w="28" w:type="dxa"/>
        </w:tblCellMar>
      </w:tblPr>
      <w:tblGrid>
        <w:gridCol w:w="962"/>
        <w:gridCol w:w="842"/>
        <w:gridCol w:w="851"/>
        <w:gridCol w:w="109"/>
        <w:gridCol w:w="109"/>
        <w:gridCol w:w="211"/>
        <w:gridCol w:w="406"/>
        <w:gridCol w:w="109"/>
        <w:gridCol w:w="109"/>
        <w:gridCol w:w="109"/>
        <w:gridCol w:w="109"/>
        <w:gridCol w:w="211"/>
        <w:gridCol w:w="466"/>
        <w:gridCol w:w="109"/>
        <w:gridCol w:w="109"/>
        <w:gridCol w:w="180"/>
        <w:gridCol w:w="180"/>
        <w:gridCol w:w="180"/>
        <w:gridCol w:w="180"/>
        <w:gridCol w:w="348"/>
        <w:gridCol w:w="671"/>
        <w:gridCol w:w="180"/>
        <w:gridCol w:w="109"/>
        <w:gridCol w:w="109"/>
        <w:gridCol w:w="109"/>
        <w:gridCol w:w="211"/>
        <w:gridCol w:w="466"/>
        <w:gridCol w:w="109"/>
        <w:gridCol w:w="109"/>
        <w:gridCol w:w="154"/>
      </w:tblGrid>
      <w:tr>
        <w:trPr/>
        <w:tc>
          <w:tcPr>
            <w:tcW w:w="96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1376" w:type="dxa"/>
            <w:gridSpan w:val="8"/>
            <w:tcBorders/>
            <w:shd w:fill="auto" w:val="clea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Fair Value</w:t>
            </w:r>
            <w:r>
              <w:rPr>
                <w:color w:val="000000"/>
              </w:rPr>
              <w:t xml:space="preserve"> </w:t>
            </w:r>
            <w:r>
              <w:rPr>
                <w:rFonts w:ascii="Times New Roman;sans-serif" w:hAnsi="Times New Roman;sans-serif"/>
                <w:b/>
                <w:color w:val="000000"/>
                <w:sz w:val="12"/>
              </w:rPr>
              <w:t>(a)</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Fair Value </w:t>
            </w:r>
            <w:r>
              <w:rPr>
                <w:rFonts w:ascii="Times New Roman;sans-serif" w:hAnsi="Times New Roman;sans-serif"/>
                <w:b/>
                <w:color w:val="000000"/>
                <w:sz w:val="12"/>
              </w:rPr>
              <w:t>(a)</w:t>
            </w:r>
          </w:p>
        </w:tc>
        <w:tc>
          <w:tcPr>
            <w:tcW w:w="1376" w:type="dxa"/>
            <w:gridSpan w:val="8"/>
            <w:tcBorders/>
            <w:shd w:fill="auto" w:val="clea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0"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Other financial instruments </w:t>
            </w:r>
            <w:r>
              <w:rPr>
                <w:rFonts w:ascii="Times New Roman;sans-serif" w:hAnsi="Times New Roman;sans-serif"/>
                <w:b/>
                <w:color w:val="000000"/>
                <w:sz w:val="13"/>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9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8"/>
        </w:rPr>
        <w:t>There were no derivative assets classified as Level 1 or Level 3 and no liabilities classified as Level 1 as of March 31, 2023 and December 31, 2022.</w:t>
      </w:r>
    </w:p>
    <w:p>
      <w:pPr>
        <w:pStyle w:val="TextBody"/>
        <w:spacing w:lineRule="auto" w:line="288" w:before="0" w:after="180"/>
        <w:ind w:left="0" w:right="0" w:firstLine="90"/>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20"/>
        </w:rPr>
        <w:t xml:space="preserve">Includes </w:t>
      </w:r>
      <w:r>
        <w:rPr>
          <w:rFonts w:ascii="Times New Roman;sans-serif" w:hAnsi="Times New Roman;sans-serif"/>
          <w:b w:val="false"/>
          <w:color w:val="000000"/>
          <w:sz w:val="18"/>
        </w:rPr>
        <w:t>SREC contract.</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beginning and ending balances for instruments that are recognized at fair value in the consolidated financial statements using significant unobservable inputs:</w:t>
      </w:r>
    </w:p>
    <w:tbl>
      <w:tblPr>
        <w:tblW w:w="10205" w:type="dxa"/>
        <w:jc w:val="left"/>
        <w:tblInd w:w="0" w:type="dxa"/>
        <w:tblCellMar>
          <w:top w:w="28" w:type="dxa"/>
          <w:left w:w="28" w:type="dxa"/>
          <w:bottom w:w="28" w:type="dxa"/>
          <w:right w:w="28" w:type="dxa"/>
        </w:tblCellMar>
      </w:tblPr>
      <w:tblGrid>
        <w:gridCol w:w="1947"/>
        <w:gridCol w:w="1674"/>
        <w:gridCol w:w="1684"/>
        <w:gridCol w:w="109"/>
        <w:gridCol w:w="109"/>
        <w:gridCol w:w="109"/>
        <w:gridCol w:w="271"/>
        <w:gridCol w:w="271"/>
        <w:gridCol w:w="271"/>
        <w:gridCol w:w="271"/>
        <w:gridCol w:w="528"/>
        <w:gridCol w:w="1324"/>
        <w:gridCol w:w="271"/>
        <w:gridCol w:w="109"/>
        <w:gridCol w:w="109"/>
        <w:gridCol w:w="109"/>
        <w:gridCol w:w="211"/>
        <w:gridCol w:w="509"/>
        <w:gridCol w:w="319"/>
      </w:tblGrid>
      <w:tr>
        <w:trPr/>
        <w:tc>
          <w:tcPr>
            <w:tcW w:w="1947" w:type="dxa"/>
            <w:tcBorders/>
            <w:shd w:fill="auto" w:val="clear"/>
            <w:vAlign w:val="center"/>
          </w:tcPr>
          <w:p>
            <w:pPr>
              <w:pStyle w:val="TableContents"/>
              <w:spacing w:before="0" w:after="283"/>
              <w:rPr>
                <w:sz w:val="4"/>
                <w:szCs w:val="4"/>
              </w:rPr>
            </w:pPr>
            <w:r>
              <w:rPr>
                <w:sz w:val="4"/>
                <w:szCs w:val="4"/>
              </w:rPr>
            </w:r>
          </w:p>
        </w:tc>
        <w:tc>
          <w:tcPr>
            <w:tcW w:w="1674" w:type="dxa"/>
            <w:tcBorders/>
            <w:shd w:fill="auto" w:val="clear"/>
            <w:vAlign w:val="center"/>
          </w:tcPr>
          <w:p>
            <w:pPr>
              <w:pStyle w:val="TableContents"/>
              <w:spacing w:before="0" w:after="283"/>
              <w:rPr>
                <w:sz w:val="4"/>
                <w:szCs w:val="4"/>
              </w:rPr>
            </w:pPr>
            <w:r>
              <w:rPr>
                <w:sz w:val="4"/>
                <w:szCs w:val="4"/>
              </w:rPr>
            </w:r>
          </w:p>
        </w:tc>
        <w:tc>
          <w:tcPr>
            <w:tcW w:w="16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5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66" w:type="dxa"/>
            <w:gridSpan w:val="6"/>
            <w:tcBorders/>
            <w:shd w:fill="auto" w:val="clear"/>
          </w:tcPr>
          <w:p>
            <w:pPr>
              <w:pStyle w:val="TableContents"/>
              <w:spacing w:before="0" w:after="283"/>
              <w:rPr>
                <w:sz w:val="4"/>
                <w:szCs w:val="4"/>
              </w:rPr>
            </w:pPr>
            <w:r>
              <w:rPr>
                <w:sz w:val="4"/>
                <w:szCs w:val="4"/>
              </w:rPr>
            </w:r>
          </w:p>
        </w:tc>
      </w:tr>
      <w:tr>
        <w:trPr/>
        <w:tc>
          <w:tcPr>
            <w:tcW w:w="5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 Significant Unobservable Inputs (Level 3)</w:t>
            </w:r>
          </w:p>
        </w:tc>
        <w:tc>
          <w:tcPr>
            <w:tcW w:w="1366" w:type="dxa"/>
            <w:gridSpan w:val="6"/>
            <w:tcBorders/>
            <w:shd w:fill="auto" w:val="clear"/>
          </w:tcPr>
          <w:p>
            <w:pPr>
              <w:pStyle w:val="TableContents"/>
              <w:spacing w:before="0" w:after="283"/>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c>
          <w:tcPr>
            <w:tcW w:w="21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Additions due to loss of NPNS exception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gains (losses) for the period included in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Ending balance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included in earnings for derivatives and other financial instruments held as of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Derivative and Financial Instruments Fair Value Measurements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are non-exchange-traded and valued using prices provided by external sources. The Company uses quoted observable forward prices to value its commodity contracts. To the extent that observable forward prices are not available, the quoted prices reflect the average of the forward prices from the prior year, adjusted for inflation. As of March 31, 2023, contracts valued with prices provided by models and other valuation techniques make up 100% of derivative liabilities and other financial instruments.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quantifies the significant unobservable inputs used in developing the fair value of the Company’s Level 3 positions:</w:t>
      </w:r>
    </w:p>
    <w:tbl>
      <w:tblPr>
        <w:tblW w:w="10205" w:type="dxa"/>
        <w:jc w:val="left"/>
        <w:tblInd w:w="0" w:type="dxa"/>
        <w:tblCellMar>
          <w:top w:w="28" w:type="dxa"/>
          <w:left w:w="28" w:type="dxa"/>
          <w:bottom w:w="28" w:type="dxa"/>
          <w:right w:w="28" w:type="dxa"/>
        </w:tblCellMar>
      </w:tblPr>
      <w:tblGrid>
        <w:gridCol w:w="579"/>
        <w:gridCol w:w="484"/>
        <w:gridCol w:w="485"/>
        <w:gridCol w:w="196"/>
        <w:gridCol w:w="406"/>
        <w:gridCol w:w="109"/>
        <w:gridCol w:w="258"/>
        <w:gridCol w:w="574"/>
        <w:gridCol w:w="144"/>
        <w:gridCol w:w="440"/>
        <w:gridCol w:w="440"/>
        <w:gridCol w:w="442"/>
        <w:gridCol w:w="828"/>
        <w:gridCol w:w="828"/>
        <w:gridCol w:w="829"/>
        <w:gridCol w:w="213"/>
        <w:gridCol w:w="605"/>
        <w:gridCol w:w="118"/>
        <w:gridCol w:w="221"/>
        <w:gridCol w:w="627"/>
        <w:gridCol w:w="122"/>
        <w:gridCol w:w="268"/>
        <w:gridCol w:w="765"/>
        <w:gridCol w:w="224"/>
      </w:tblGrid>
      <w:tr>
        <w:trPr/>
        <w:tc>
          <w:tcPr>
            <w:tcW w:w="57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24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Input/Range</w:t>
            </w:r>
          </w:p>
        </w:tc>
      </w:tr>
      <w:tr>
        <w:trPr/>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9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13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2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Low</w:t>
            </w:r>
          </w:p>
        </w:tc>
        <w:tc>
          <w:tcPr>
            <w:tcW w:w="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High</w:t>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r>
          </w:p>
        </w:tc>
      </w:tr>
      <w:tr>
        <w:trPr/>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3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Commodity Contracts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24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Forward Market Price (per MWh)</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Financial Instruments</w:t>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24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Forecast annual generation levels of certain DG solar facilities</w:t>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58,539 MWh</w:t>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117,078 MWh</w:t>
            </w:r>
          </w:p>
        </w:tc>
        <w:tc>
          <w:tcPr>
            <w:tcW w:w="12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112,897 MWh</w:t>
            </w:r>
          </w:p>
        </w:tc>
      </w:tr>
    </w:tbl>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impact on the fair value measurements to increases/(decreases) in significant unobservable inputs as of March 31, 2023:</w:t>
      </w:r>
    </w:p>
    <w:tbl>
      <w:tblPr>
        <w:tblW w:w="8370" w:type="dxa"/>
        <w:jc w:val="left"/>
        <w:tblInd w:w="0" w:type="dxa"/>
        <w:tblCellMar>
          <w:top w:w="28" w:type="dxa"/>
          <w:left w:w="28" w:type="dxa"/>
          <w:bottom w:w="28" w:type="dxa"/>
          <w:right w:w="28" w:type="dxa"/>
        </w:tblCellMar>
      </w:tblPr>
      <w:tblGrid>
        <w:gridCol w:w="995"/>
        <w:gridCol w:w="874"/>
        <w:gridCol w:w="876"/>
        <w:gridCol w:w="265"/>
        <w:gridCol w:w="265"/>
        <w:gridCol w:w="266"/>
        <w:gridCol w:w="554"/>
        <w:gridCol w:w="554"/>
        <w:gridCol w:w="556"/>
        <w:gridCol w:w="926"/>
        <w:gridCol w:w="926"/>
        <w:gridCol w:w="1313"/>
      </w:tblGrid>
      <w:tr>
        <w:trPr/>
        <w:tc>
          <w:tcPr>
            <w:tcW w:w="99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Input</w:t>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on Fair Value Measurement</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Forward Market Price Power</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Increase/(Decrease)</w:t>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Lower/(Higher)</w:t>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Forecast Generation Levels</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Increase/(Decrease)</w:t>
            </w:r>
          </w:p>
        </w:tc>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Higher/(Lower)</w:t>
            </w:r>
          </w:p>
        </w:tc>
      </w:tr>
    </w:tbl>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2023, the non-performance reserve was a $35 million gain recorded primarily to total operating revenues in the consolidated statements of operations. It is possible that future market prices could vary from those used in recording assets and liabilities and such variations could be material.</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spacing w:lineRule="auto" w:line="288" w:before="0" w:after="180"/>
        <w:ind w:left="0" w:right="0" w:firstLine="450"/>
        <w:jc w:val="both"/>
        <w:rPr/>
      </w:pPr>
      <w:r>
        <w:rPr>
          <w:rFonts w:ascii="Times New Roman;sans-serif" w:hAnsi="Times New Roman;sans-serif"/>
          <w:b w:val="false"/>
          <w:color w:val="000000"/>
          <w:sz w:val="20"/>
        </w:rPr>
        <w:t xml:space="preserve">In addition to the credit risk discussion as disclosed under Item 15 —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 xml:space="preserve">to the </w:t>
      </w:r>
      <w:r>
        <w:rPr>
          <w:rFonts w:ascii="Times New Roman;sans-serif" w:hAnsi="Times New Roman;sans-serif"/>
          <w:b w:val="false"/>
          <w:color w:val="000000"/>
          <w:sz w:val="20"/>
        </w:rPr>
        <w:t xml:space="preserve">consolidated financial statements included in the </w:t>
      </w:r>
      <w:r>
        <w:rPr>
          <w:rFonts w:ascii="Times New Roman;sans-serif" w:hAnsi="Times New Roman;sans-serif"/>
          <w:b w:val="false"/>
          <w:color w:val="231F20"/>
          <w:sz w:val="20"/>
        </w:rPr>
        <w:t xml:space="preserve">Company’s </w:t>
      </w:r>
      <w:r>
        <w:rPr>
          <w:rFonts w:ascii="Times New Roman;sans-serif" w:hAnsi="Times New Roman;sans-serif"/>
          <w:b w:val="false"/>
          <w:color w:val="000000"/>
          <w:sz w:val="20"/>
        </w:rPr>
        <w:t>2022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180" w:after="180"/>
        <w:jc w:val="both"/>
        <w:rPr/>
      </w:pPr>
      <w:r>
        <w:rPr>
          <w:rFonts w:ascii="Times New Roman;sans-serif" w:hAnsi="Times New Roman;sans-serif"/>
          <w:b/>
          <w:color w:val="000000"/>
          <w:sz w:val="20"/>
        </w:rPr>
        <w:t xml:space="preserve">Note 6 — </w:t>
      </w:r>
      <w:r>
        <w:rPr>
          <w:rFonts w:ascii="Times New Roman;sans-serif" w:hAnsi="Times New Roman;sans-serif"/>
          <w:b/>
          <w:i/>
          <w:color w:val="000000"/>
          <w:sz w:val="20"/>
        </w:rPr>
        <w:t>Derivative Instruments and Hedging Activities</w:t>
      </w:r>
    </w:p>
    <w:p>
      <w:pPr>
        <w:pStyle w:val="TextBody"/>
        <w:spacing w:lineRule="auto" w:line="288" w:before="0" w:after="180"/>
        <w:ind w:left="0" w:right="0" w:firstLine="450"/>
        <w:jc w:val="both"/>
        <w:rPr/>
      </w:pPr>
      <w:r>
        <w:rPr>
          <w:rFonts w:ascii="Times New Roman;sans-serif" w:hAnsi="Times New Roman;sans-serif"/>
          <w:b w:val="false"/>
          <w:color w:val="000000"/>
          <w:sz w:val="20"/>
        </w:rPr>
        <w:t xml:space="preserve">This footnote should be read in conjunction with the complete description under Item 15 — Note 7, </w:t>
      </w:r>
      <w:r>
        <w:rPr>
          <w:rFonts w:ascii="Times New Roman;sans-serif" w:hAnsi="Times New Roman;sans-serif"/>
          <w:b w:val="false"/>
          <w:i/>
          <w:color w:val="000000"/>
          <w:sz w:val="20"/>
        </w:rPr>
        <w:t>Accounting for Derivative Instruments and Hedging Activities</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 xml:space="preserve">to the consolidated financial statements included in the Company’s </w:t>
      </w:r>
      <w:r>
        <w:rPr>
          <w:rFonts w:ascii="Times New Roman;sans-serif" w:hAnsi="Times New Roman;sans-serif"/>
          <w:b w:val="false"/>
          <w:color w:val="000000"/>
          <w:sz w:val="20"/>
        </w:rPr>
        <w:t>2022 Form 10-K.</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in order to hedge the variability of expected future cash interest payments. As of March 31, 2023,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Energy-Related Commodities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energy-related derivative instruments extending through 2033. At March 31, 2023, these contracts were not designated as cash flow or fair value hedges.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Volumetric Underlying Derivative Transactions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notional volume buy/(sell) of the Company’s open derivative transactions broken out by commodity:</w:t>
      </w:r>
    </w:p>
    <w:tbl>
      <w:tblPr>
        <w:tblW w:w="5124" w:type="dxa"/>
        <w:jc w:val="left"/>
        <w:tblInd w:w="0" w:type="dxa"/>
        <w:tblCellMar>
          <w:top w:w="28" w:type="dxa"/>
          <w:left w:w="28" w:type="dxa"/>
          <w:bottom w:w="28" w:type="dxa"/>
          <w:right w:w="28" w:type="dxa"/>
        </w:tblCellMar>
      </w:tblPr>
      <w:tblGrid>
        <w:gridCol w:w="353"/>
        <w:gridCol w:w="311"/>
        <w:gridCol w:w="312"/>
        <w:gridCol w:w="228"/>
        <w:gridCol w:w="228"/>
        <w:gridCol w:w="235"/>
        <w:gridCol w:w="109"/>
        <w:gridCol w:w="109"/>
        <w:gridCol w:w="109"/>
        <w:gridCol w:w="284"/>
        <w:gridCol w:w="829"/>
        <w:gridCol w:w="146"/>
        <w:gridCol w:w="109"/>
        <w:gridCol w:w="109"/>
        <w:gridCol w:w="109"/>
        <w:gridCol w:w="332"/>
        <w:gridCol w:w="970"/>
        <w:gridCol w:w="242"/>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Volume</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Commodity</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0"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97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Dollars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of Derivative Instruments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within the derivative instrument valuation on the consolidated balance sheets:</w:t>
      </w:r>
    </w:p>
    <w:tbl>
      <w:tblPr>
        <w:tblW w:w="10205" w:type="dxa"/>
        <w:jc w:val="left"/>
        <w:tblInd w:w="0" w:type="dxa"/>
        <w:tblCellMar>
          <w:top w:w="28" w:type="dxa"/>
          <w:left w:w="28" w:type="dxa"/>
          <w:bottom w:w="28" w:type="dxa"/>
          <w:right w:w="28" w:type="dxa"/>
        </w:tblCellMar>
      </w:tblPr>
      <w:tblGrid>
        <w:gridCol w:w="1481"/>
        <w:gridCol w:w="1301"/>
        <w:gridCol w:w="1306"/>
        <w:gridCol w:w="358"/>
        <w:gridCol w:w="613"/>
        <w:gridCol w:w="184"/>
        <w:gridCol w:w="109"/>
        <w:gridCol w:w="109"/>
        <w:gridCol w:w="109"/>
        <w:gridCol w:w="425"/>
        <w:gridCol w:w="730"/>
        <w:gridCol w:w="223"/>
        <w:gridCol w:w="109"/>
        <w:gridCol w:w="109"/>
        <w:gridCol w:w="109"/>
        <w:gridCol w:w="315"/>
        <w:gridCol w:w="696"/>
        <w:gridCol w:w="162"/>
        <w:gridCol w:w="109"/>
        <w:gridCol w:w="109"/>
        <w:gridCol w:w="109"/>
        <w:gridCol w:w="361"/>
        <w:gridCol w:w="798"/>
        <w:gridCol w:w="271"/>
      </w:tblGrid>
      <w:tr>
        <w:trPr/>
        <w:tc>
          <w:tcPr>
            <w:tcW w:w="1481"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4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Derivative Assets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Liabilities</w:t>
            </w:r>
          </w:p>
        </w:tc>
      </w:tr>
      <w:tr>
        <w:trPr/>
        <w:tc>
          <w:tcPr>
            <w:tcW w:w="4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1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current</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long-term</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Designated as Cash Flow Hedges</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Cash Flow Hedges: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current</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long-term</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 current</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 long-term</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Cash Flow Hedges</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present derivative assets and liabilities on the balance sheet on a trade-by-trade basis and does not offset amounts at the counterparty level. As of March 31, 2023 and December 31, 2022, the amount of outstanding collateral paid or received was immaterial. The following tables summarize the offsetting of derivatives by counterparty:</w:t>
      </w:r>
    </w:p>
    <w:tbl>
      <w:tblPr>
        <w:tblW w:w="10205" w:type="dxa"/>
        <w:jc w:val="left"/>
        <w:tblInd w:w="0" w:type="dxa"/>
        <w:tblCellMar>
          <w:top w:w="28" w:type="dxa"/>
          <w:left w:w="28" w:type="dxa"/>
          <w:bottom w:w="28" w:type="dxa"/>
          <w:right w:w="28" w:type="dxa"/>
        </w:tblCellMar>
      </w:tblPr>
      <w:tblGrid>
        <w:gridCol w:w="918"/>
        <w:gridCol w:w="805"/>
        <w:gridCol w:w="809"/>
        <w:gridCol w:w="858"/>
        <w:gridCol w:w="2206"/>
        <w:gridCol w:w="441"/>
        <w:gridCol w:w="166"/>
        <w:gridCol w:w="166"/>
        <w:gridCol w:w="166"/>
        <w:gridCol w:w="513"/>
        <w:gridCol w:w="990"/>
        <w:gridCol w:w="264"/>
        <w:gridCol w:w="166"/>
        <w:gridCol w:w="166"/>
        <w:gridCol w:w="166"/>
        <w:gridCol w:w="323"/>
        <w:gridCol w:w="832"/>
        <w:gridCol w:w="250"/>
      </w:tblGrid>
      <w:tr>
        <w:trPr/>
        <w:tc>
          <w:tcPr>
            <w:tcW w:w="918"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Statement of Financial Position</w:t>
            </w:r>
          </w:p>
        </w:tc>
      </w:tr>
      <w:tr>
        <w:trPr/>
        <w:tc>
          <w:tcPr>
            <w:tcW w:w="25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Assets/Liabilities</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25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 contracts</w:t>
            </w:r>
          </w:p>
        </w:tc>
        <w:tc>
          <w:tcPr>
            <w:tcW w:w="7673" w:type="dxa"/>
            <w:gridSpan w:val="1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532" w:type="dxa"/>
            <w:gridSpan w:val="3"/>
            <w:tcBorders/>
            <w:shd w:fill="auto" w:val="clear"/>
            <w:vAlign w:val="center"/>
          </w:tcPr>
          <w:p>
            <w:pPr>
              <w:pStyle w:val="TableContents"/>
              <w:spacing w:before="0" w:after="283"/>
              <w:rPr>
                <w:sz w:val="4"/>
                <w:szCs w:val="4"/>
              </w:rPr>
            </w:pPr>
            <w:r>
              <w:rPr>
                <w:sz w:val="4"/>
                <w:szCs w:val="4"/>
              </w:rPr>
            </w:r>
          </w:p>
        </w:tc>
        <w:tc>
          <w:tcPr>
            <w:tcW w:w="3505"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05" w:type="dxa"/>
            <w:gridSpan w:val="3"/>
            <w:tcBorders/>
            <w:shd w:fill="auto" w:val="clear"/>
            <w:vAlign w:val="center"/>
          </w:tcPr>
          <w:p>
            <w:pPr>
              <w:pStyle w:val="TableContents"/>
              <w:spacing w:before="0" w:after="283"/>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commodity contracts</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contracts</w:t>
            </w:r>
          </w:p>
        </w:tc>
        <w:tc>
          <w:tcPr>
            <w:tcW w:w="35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3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rate contracts</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 instruments</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916"/>
        <w:gridCol w:w="806"/>
        <w:gridCol w:w="809"/>
        <w:gridCol w:w="858"/>
        <w:gridCol w:w="2206"/>
        <w:gridCol w:w="441"/>
        <w:gridCol w:w="166"/>
        <w:gridCol w:w="166"/>
        <w:gridCol w:w="166"/>
        <w:gridCol w:w="513"/>
        <w:gridCol w:w="990"/>
        <w:gridCol w:w="264"/>
        <w:gridCol w:w="166"/>
        <w:gridCol w:w="166"/>
        <w:gridCol w:w="166"/>
        <w:gridCol w:w="323"/>
        <w:gridCol w:w="832"/>
        <w:gridCol w:w="251"/>
      </w:tblGrid>
      <w:tr>
        <w:trPr/>
        <w:tc>
          <w:tcPr>
            <w:tcW w:w="91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in the Statement of Financial Position</w:t>
            </w:r>
          </w:p>
        </w:tc>
      </w:tr>
      <w:tr>
        <w:trPr/>
        <w:tc>
          <w:tcPr>
            <w:tcW w:w="25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Assets/Liabilities</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 contracts</w:t>
            </w:r>
          </w:p>
        </w:tc>
        <w:tc>
          <w:tcPr>
            <w:tcW w:w="7674" w:type="dxa"/>
            <w:gridSpan w:val="1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531" w:type="dxa"/>
            <w:gridSpan w:val="3"/>
            <w:tcBorders/>
            <w:shd w:fill="auto" w:val="clear"/>
            <w:vAlign w:val="center"/>
          </w:tcPr>
          <w:p>
            <w:pPr>
              <w:pStyle w:val="TableContents"/>
              <w:spacing w:before="0" w:after="283"/>
              <w:rPr>
                <w:sz w:val="4"/>
                <w:szCs w:val="4"/>
              </w:rPr>
            </w:pPr>
            <w:r>
              <w:rPr>
                <w:sz w:val="4"/>
                <w:szCs w:val="4"/>
              </w:rPr>
            </w:r>
          </w:p>
        </w:tc>
        <w:tc>
          <w:tcPr>
            <w:tcW w:w="3505"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06" w:type="dxa"/>
            <w:gridSpan w:val="3"/>
            <w:tcBorders/>
            <w:shd w:fill="auto" w:val="clear"/>
            <w:vAlign w:val="center"/>
          </w:tcPr>
          <w:p>
            <w:pPr>
              <w:pStyle w:val="TableContents"/>
              <w:spacing w:before="0" w:after="283"/>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commodity contracts</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contracts</w:t>
            </w:r>
          </w:p>
        </w:tc>
        <w:tc>
          <w:tcPr>
            <w:tcW w:w="7674" w:type="dxa"/>
            <w:gridSpan w:val="15"/>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1" w:type="dxa"/>
            <w:gridSpan w:val="3"/>
            <w:tcBorders/>
            <w:shd w:fill="auto" w:val="clear"/>
            <w:vAlign w:val="center"/>
          </w:tcPr>
          <w:p>
            <w:pPr>
              <w:pStyle w:val="TableContents"/>
              <w:spacing w:before="0" w:after="283"/>
              <w:rPr>
                <w:sz w:val="4"/>
                <w:szCs w:val="4"/>
              </w:rPr>
            </w:pPr>
            <w:r>
              <w:rPr>
                <w:sz w:val="4"/>
                <w:szCs w:val="4"/>
              </w:rPr>
            </w:r>
          </w:p>
        </w:tc>
        <w:tc>
          <w:tcPr>
            <w:tcW w:w="3505"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406" w:type="dxa"/>
            <w:gridSpan w:val="3"/>
            <w:tcBorders/>
            <w:shd w:fill="auto" w:val="clear"/>
            <w:vAlign w:val="center"/>
          </w:tcPr>
          <w:p>
            <w:pPr>
              <w:pStyle w:val="TableContents"/>
              <w:spacing w:before="0" w:after="283"/>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rate contracts</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 instruments</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effects on the Company’s accumulated OCI (OCL) balance attributable to interest rate swaps designated as cash flow hedge derivatives:</w:t>
      </w:r>
    </w:p>
    <w:tbl>
      <w:tblPr>
        <w:tblW w:w="10205" w:type="dxa"/>
        <w:jc w:val="left"/>
        <w:tblInd w:w="0" w:type="dxa"/>
        <w:tblCellMar>
          <w:top w:w="28" w:type="dxa"/>
          <w:left w:w="28" w:type="dxa"/>
          <w:bottom w:w="28" w:type="dxa"/>
          <w:right w:w="28" w:type="dxa"/>
        </w:tblCellMar>
      </w:tblPr>
      <w:tblGrid>
        <w:gridCol w:w="2492"/>
        <w:gridCol w:w="2147"/>
        <w:gridCol w:w="2160"/>
        <w:gridCol w:w="109"/>
        <w:gridCol w:w="109"/>
        <w:gridCol w:w="201"/>
        <w:gridCol w:w="201"/>
        <w:gridCol w:w="201"/>
        <w:gridCol w:w="201"/>
        <w:gridCol w:w="390"/>
        <w:gridCol w:w="668"/>
        <w:gridCol w:w="201"/>
        <w:gridCol w:w="109"/>
        <w:gridCol w:w="109"/>
        <w:gridCol w:w="109"/>
        <w:gridCol w:w="211"/>
        <w:gridCol w:w="429"/>
        <w:gridCol w:w="158"/>
      </w:tblGrid>
      <w:tr>
        <w:trPr/>
        <w:tc>
          <w:tcPr>
            <w:tcW w:w="2492"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sz w:val="4"/>
                <w:szCs w:val="4"/>
              </w:rPr>
            </w:pPr>
            <w:r>
              <w:rPr>
                <w:sz w:val="4"/>
                <w:szCs w:val="4"/>
              </w:rPr>
            </w:r>
          </w:p>
        </w:tc>
        <w:tc>
          <w:tcPr>
            <w:tcW w:w="2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25" w:type="dxa"/>
            <w:gridSpan w:val="6"/>
            <w:tcBorders/>
            <w:shd w:fill="auto" w:val="clear"/>
          </w:tcPr>
          <w:p>
            <w:pPr>
              <w:pStyle w:val="TableContents"/>
              <w:spacing w:before="0" w:after="283"/>
              <w:rPr>
                <w:sz w:val="4"/>
                <w:szCs w:val="4"/>
              </w:rPr>
            </w:pPr>
            <w:r>
              <w:rPr>
                <w:sz w:val="4"/>
                <w:szCs w:val="4"/>
              </w:rPr>
            </w:r>
          </w:p>
        </w:tc>
      </w:tr>
      <w:tr>
        <w:trPr/>
        <w:tc>
          <w:tcPr>
            <w:tcW w:w="6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98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(OCL) 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accumulated OCI (OCL) to income due to realization of previously deferred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of cash flow hedge accounting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(OCL) ending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OCI attributable to Clearway Energy LLC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expected to be realized from OCI during the next 12 months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03"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OCI (OCL) into income are recorded to interest expense.</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Impact of Derivative Instruments on the Consolidated Statements of Operations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Mark-to-market gains/(losses) related to the Company’s derivatives are recorded in the consolidated statements of operations as follows:</w:t>
      </w:r>
    </w:p>
    <w:tbl>
      <w:tblPr>
        <w:tblW w:w="9803" w:type="dxa"/>
        <w:jc w:val="left"/>
        <w:tblInd w:w="0" w:type="dxa"/>
        <w:tblCellMar>
          <w:top w:w="28" w:type="dxa"/>
          <w:left w:w="28" w:type="dxa"/>
          <w:bottom w:w="28" w:type="dxa"/>
          <w:right w:w="28" w:type="dxa"/>
        </w:tblCellMar>
      </w:tblPr>
      <w:tblGrid>
        <w:gridCol w:w="2236"/>
        <w:gridCol w:w="1968"/>
        <w:gridCol w:w="1975"/>
        <w:gridCol w:w="109"/>
        <w:gridCol w:w="109"/>
        <w:gridCol w:w="215"/>
        <w:gridCol w:w="215"/>
        <w:gridCol w:w="215"/>
        <w:gridCol w:w="215"/>
        <w:gridCol w:w="417"/>
        <w:gridCol w:w="861"/>
        <w:gridCol w:w="215"/>
        <w:gridCol w:w="109"/>
        <w:gridCol w:w="109"/>
        <w:gridCol w:w="109"/>
        <w:gridCol w:w="211"/>
        <w:gridCol w:w="361"/>
        <w:gridCol w:w="154"/>
      </w:tblGrid>
      <w:tr>
        <w:trPr/>
        <w:tc>
          <w:tcPr>
            <w:tcW w:w="2236"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53" w:type="dxa"/>
            <w:gridSpan w:val="6"/>
            <w:tcBorders/>
            <w:shd w:fill="auto" w:val="clear"/>
          </w:tcPr>
          <w:p>
            <w:pPr>
              <w:pStyle w:val="TableContents"/>
              <w:spacing w:before="0" w:after="283"/>
              <w:rPr>
                <w:sz w:val="4"/>
                <w:szCs w:val="4"/>
              </w:rPr>
            </w:pPr>
            <w:r>
              <w:rPr>
                <w:sz w:val="4"/>
                <w:szCs w:val="4"/>
              </w:rPr>
            </w:r>
          </w:p>
        </w:tc>
      </w:tr>
      <w:tr>
        <w:trPr/>
        <w:tc>
          <w:tcPr>
            <w:tcW w:w="6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19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Commodity Contracts (Mark-to-market for economic hedging activities) </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9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Relates to long-term commodity contracts at Elbow Creek, Mesquite Star, Mt. Storm, Langford and Mesquite Sky. During the three months ended March 31, 2022, the commodity contract for Langford, which previously met the NPNS exception, no longer qualified for NPNS treatment and, accordingly, is accounted for as a derivative and marked to fair value through operating revenues.</w:t>
      </w:r>
    </w:p>
    <w:p>
      <w:pPr>
        <w:pStyle w:val="TextBody"/>
        <w:spacing w:lineRule="auto" w:line="288" w:before="0" w:after="180"/>
        <w:ind w:left="0" w:right="0" w:firstLine="450"/>
        <w:jc w:val="both"/>
        <w:rPr/>
      </w:pPr>
      <w:r>
        <w:rPr>
          <w:rFonts w:ascii="Times New Roman;sans-serif" w:hAnsi="Times New Roman;sans-serif"/>
          <w:b w:val="false"/>
          <w:color w:val="000000"/>
          <w:sz w:val="20"/>
        </w:rPr>
        <w:t xml:space="preserve">See Note 5,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000000"/>
          <w:sz w:val="20"/>
        </w:rPr>
        <w:t>, for a discussion regarding concentration of credit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180"/>
        <w:jc w:val="both"/>
        <w:rPr/>
      </w:pPr>
      <w:r>
        <w:rPr>
          <w:rFonts w:ascii="Times New Roman;sans-serif" w:hAnsi="Times New Roman;sans-serif"/>
          <w:b/>
          <w:color w:val="000000"/>
          <w:sz w:val="20"/>
        </w:rPr>
        <w:t xml:space="preserve">Note 7 — </w:t>
      </w:r>
      <w:r>
        <w:rPr>
          <w:rFonts w:ascii="Times New Roman;sans-serif" w:hAnsi="Times New Roman;sans-serif"/>
          <w:b/>
          <w:i/>
          <w:color w:val="000000"/>
          <w:sz w:val="20"/>
        </w:rPr>
        <w:t>Long-term Debt</w:t>
      </w:r>
    </w:p>
    <w:p>
      <w:pPr>
        <w:pStyle w:val="TextBody"/>
        <w:spacing w:lineRule="auto" w:line="288" w:before="0" w:after="60"/>
        <w:ind w:left="0" w:right="0" w:firstLine="450"/>
        <w:jc w:val="both"/>
        <w:rPr/>
      </w:pPr>
      <w:r>
        <w:rPr>
          <w:rFonts w:ascii="Times New Roman;sans-serif" w:hAnsi="Times New Roman;sans-serif"/>
          <w:b w:val="false"/>
          <w:color w:val="000000"/>
          <w:sz w:val="20"/>
        </w:rPr>
        <w:t xml:space="preserve">This note should be read in conjunction with the complete description under Item 15 — Note 10,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231F20"/>
          <w:sz w:val="20"/>
        </w:rPr>
        <w:t xml:space="preserve">to the consolidated financial statements included in the Company’s </w:t>
      </w:r>
      <w:r>
        <w:rPr>
          <w:rFonts w:ascii="Times New Roman;sans-serif" w:hAnsi="Times New Roman;sans-serif"/>
          <w:b w:val="false"/>
          <w:color w:val="000000"/>
          <w:sz w:val="20"/>
        </w:rPr>
        <w:t>2022 Form 10-K. The Company’s borrowings, including short-term and long-term portions, consisted of the following:</w:t>
      </w:r>
    </w:p>
    <w:tbl>
      <w:tblPr>
        <w:tblW w:w="10205" w:type="dxa"/>
        <w:jc w:val="left"/>
        <w:tblInd w:w="0" w:type="dxa"/>
        <w:tblCellMar>
          <w:top w:w="28" w:type="dxa"/>
          <w:left w:w="28" w:type="dxa"/>
          <w:bottom w:w="28" w:type="dxa"/>
          <w:right w:w="28" w:type="dxa"/>
        </w:tblCellMar>
      </w:tblPr>
      <w:tblGrid>
        <w:gridCol w:w="1413"/>
        <w:gridCol w:w="1000"/>
        <w:gridCol w:w="1009"/>
        <w:gridCol w:w="230"/>
        <w:gridCol w:w="652"/>
        <w:gridCol w:w="127"/>
        <w:gridCol w:w="109"/>
        <w:gridCol w:w="109"/>
        <w:gridCol w:w="109"/>
        <w:gridCol w:w="250"/>
        <w:gridCol w:w="710"/>
        <w:gridCol w:w="139"/>
        <w:gridCol w:w="109"/>
        <w:gridCol w:w="109"/>
        <w:gridCol w:w="109"/>
        <w:gridCol w:w="546"/>
        <w:gridCol w:w="546"/>
        <w:gridCol w:w="548"/>
        <w:gridCol w:w="109"/>
        <w:gridCol w:w="109"/>
        <w:gridCol w:w="109"/>
        <w:gridCol w:w="519"/>
        <w:gridCol w:w="1115"/>
        <w:gridCol w:w="420"/>
      </w:tblGrid>
      <w:tr>
        <w:trPr/>
        <w:tc>
          <w:tcPr>
            <w:tcW w:w="1413"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rates)</w:t>
            </w:r>
          </w:p>
        </w:tc>
        <w:tc>
          <w:tcPr>
            <w:tcW w:w="1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color w:val="000000"/>
              </w:rPr>
              <w:t> </w:t>
            </w:r>
            <w:r>
              <w:rPr>
                <w:rFonts w:ascii="Times New Roman;sans-serif" w:hAnsi="Times New Roman;sans-serif"/>
                <w:b/>
                <w:color w:val="000000"/>
                <w:sz w:val="16"/>
              </w:rPr>
              <w:t>March 31, 2023 interest rate %</w:t>
            </w:r>
            <w:r>
              <w:rPr>
                <w:color w:val="000000"/>
              </w:rPr>
              <w:t xml:space="preserve"> </w:t>
            </w:r>
            <w:r>
              <w:rPr>
                <w:rFonts w:ascii="Times New Roman;sans-serif" w:hAnsi="Times New Roman;sans-serif"/>
                <w:b/>
                <w:color w:val="000000"/>
                <w:sz w:val="12"/>
              </w:rPr>
              <w:t>(a)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Letters of Credit Outstanding at March 31, 2023</w:t>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Intercompany Note with Clearway, Inc.</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 Senior Notes</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2031 Senior Notes</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5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2032 Senior Notes</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Clearway Energy LLC and Clearway Energy Operating LLC Revolving Credit Facility, due 2028 </w:t>
            </w:r>
            <w:r>
              <w:rPr>
                <w:rFonts w:ascii="Times New Roman;sans-serif" w:hAnsi="Times New Roman;sans-serif"/>
                <w:b w:val="false"/>
                <w:color w:val="000000"/>
                <w:sz w:val="12"/>
              </w:rPr>
              <w:t>(c)</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S+1.850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1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139 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Non-recourse project-level debt:</w:t>
            </w:r>
          </w:p>
        </w:tc>
        <w:tc>
          <w:tcPr>
            <w:tcW w:w="10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Agua Caliente Solar LLC, due 2037</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2.395-3.633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Asset Management LLC, due 2031</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L+2.625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I-V lease financing arrangements, due 2034 and 2035</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5.696-7.015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 Wind Realty Investments LLC, due 2031</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Borrego, due 2024 and 2038</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Buckthorn Solar, due 2025</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L+1.750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Capistrano Wind Portfolio, due 2029 and 2031</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S+2.100-S+2.150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42424"/>
                <w:sz w:val="16"/>
              </w:rPr>
            </w:pPr>
            <w:r>
              <w:rPr>
                <w:rFonts w:ascii="Times New Roman;sans-serif" w:hAnsi="Times New Roman;sans-serif"/>
                <w:b w:val="false"/>
                <w:color w:val="242424"/>
                <w:sz w:val="16"/>
              </w:rPr>
              <w:t>33 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 LLC, due 2027</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L+1.750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Energy Holdings LLC, due 2038</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5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Carlsbad Holdco, LLC, due 2038</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4.210 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due 2037</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2.339-3.775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CVSR Holdco Notes, due 2037</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13 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Daggett 3, due 2023 and 2028</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S+1.262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DG-CS Master Borrower LLC, due 2040</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Marsh Landing, due 2023</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L+2.375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Mililani I, due 2027</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L+1.500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6 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NIMH Solar, due 2024</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S+2.150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Oahu Solar Holdings LLC, due 2026</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L+1.375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10 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Rosie Class B LLC, due 2027</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L+1.750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auto" w:val="clear"/>
            <w:vAlign w:val="center"/>
          </w:tcPr>
          <w:p>
            <w:pPr>
              <w:pStyle w:val="TableContents"/>
              <w:spacing w:before="0" w:after="283"/>
              <w:rPr>
                <w:sz w:val="4"/>
                <w:szCs w:val="4"/>
              </w:rPr>
            </w:pPr>
            <w:r>
              <w:rPr>
                <w:sz w:val="4"/>
                <w:szCs w:val="4"/>
              </w:rPr>
            </w:r>
          </w:p>
        </w:tc>
        <w:tc>
          <w:tcPr>
            <w:tcW w:w="1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 Solar Holdings, due 2036</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5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Viento Funding II, LLC, due 2029 </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S+1.475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25 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Waiawa, due 2028</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S+1.600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Walnut Creek, due 2023</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L+1.875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WCEP Holdings, LLC, due 2023</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L+3.000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 non-recourse project-level debt</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debt issuance costs</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Add premiums </w:t>
            </w:r>
            <w:r>
              <w:rPr>
                <w:rFonts w:ascii="Times New Roman;sans-serif" w:hAnsi="Times New Roman;sans-serif"/>
                <w:b w:val="false"/>
                <w:color w:val="000000"/>
                <w:sz w:val="12"/>
              </w:rPr>
              <w:t>(d)</w:t>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firstLine="90"/>
        <w:jc w:val="both"/>
        <w:rPr/>
      </w:pPr>
      <w:r>
        <w:rPr>
          <w:rFonts w:ascii="Times New Roman;sans-serif" w:hAnsi="Times New Roman;sans-serif"/>
          <w:b w:val="false"/>
          <w:color w:val="000000"/>
          <w:sz w:val="12"/>
        </w:rPr>
        <w:t>(a)</w:t>
      </w:r>
      <w:r>
        <w:rPr>
          <w:color w:val="000000"/>
        </w:rPr>
        <w:t xml:space="preserve"> </w:t>
      </w:r>
      <w:r>
        <w:rPr>
          <w:rFonts w:ascii="Times New Roman;sans-serif" w:hAnsi="Times New Roman;sans-serif"/>
          <w:b w:val="false"/>
          <w:color w:val="000000"/>
          <w:sz w:val="16"/>
        </w:rPr>
        <w:t>As of March 31, 2023, L+ equals 3 month LIBOR plus x%, except Marsh Landing, due 2023 and Walnut Creek, due 2023, where L+ equals 1 month LIBOR plus x%.</w:t>
      </w:r>
    </w:p>
    <w:p>
      <w:pPr>
        <w:pStyle w:val="TextBody"/>
        <w:spacing w:lineRule="auto" w:line="288" w:before="0" w:after="40"/>
        <w:jc w:val="both"/>
        <w:rPr/>
      </w:pPr>
      <w:r>
        <w:rPr>
          <w:rFonts w:ascii="Times New Roman;sans-serif" w:hAnsi="Times New Roman;sans-serif"/>
          <w:b w:val="false"/>
          <w:color w:val="000000"/>
          <w:sz w:val="12"/>
        </w:rPr>
        <w:t>(b)</w:t>
      </w:r>
      <w:r>
        <w:rPr>
          <w:color w:val="000000"/>
        </w:rPr>
        <w:t xml:space="preserve"> </w:t>
      </w:r>
      <w:r>
        <w:rPr>
          <w:rFonts w:ascii="Times New Roman;sans-serif" w:hAnsi="Times New Roman;sans-serif"/>
          <w:b w:val="false"/>
          <w:color w:val="000000"/>
          <w:sz w:val="16"/>
        </w:rPr>
        <w:t>S+ equals SOFR plus x%.</w:t>
      </w:r>
    </w:p>
    <w:p>
      <w:pPr>
        <w:pStyle w:val="TextBody"/>
        <w:spacing w:lineRule="auto" w:line="288" w:before="0" w:after="40"/>
        <w:jc w:val="both"/>
        <w:rPr/>
      </w:pPr>
      <w:r>
        <w:rPr>
          <w:rFonts w:ascii="Times New Roman;sans-serif" w:hAnsi="Times New Roman;sans-serif"/>
          <w:b w:val="false"/>
          <w:color w:val="000000"/>
          <w:sz w:val="12"/>
        </w:rPr>
        <w:t>(c)</w:t>
      </w:r>
      <w:r>
        <w:rPr>
          <w:color w:val="000000"/>
        </w:rPr>
        <w:t xml:space="preserve"> </w:t>
      </w:r>
      <w:r>
        <w:rPr>
          <w:rFonts w:ascii="Times New Roman;sans-serif" w:hAnsi="Times New Roman;sans-serif"/>
          <w:b w:val="false"/>
          <w:color w:val="000000"/>
          <w:sz w:val="16"/>
        </w:rPr>
        <w:t>Applicable rate is determined by the borrower leverage ratio, as defined in the credit agreement.</w:t>
      </w:r>
    </w:p>
    <w:p>
      <w:pPr>
        <w:pStyle w:val="TextBody"/>
        <w:spacing w:lineRule="auto" w:line="288" w:before="0" w:after="180"/>
        <w:jc w:val="both"/>
        <w:rPr/>
      </w:pPr>
      <w:r>
        <w:rPr>
          <w:rFonts w:ascii="Times New Roman;sans-serif" w:hAnsi="Times New Roman;sans-serif"/>
          <w:b w:val="false"/>
          <w:color w:val="000000"/>
          <w:sz w:val="12"/>
        </w:rPr>
        <w:t>(d)</w:t>
      </w:r>
      <w:r>
        <w:rPr>
          <w:color w:val="000000"/>
        </w:rPr>
        <w:t xml:space="preserve"> </w:t>
      </w:r>
      <w:r>
        <w:rPr>
          <w:rFonts w:ascii="Times New Roman;sans-serif" w:hAnsi="Times New Roman;sans-serif"/>
          <w:b w:val="false"/>
          <w:color w:val="000000"/>
          <w:sz w:val="16"/>
        </w:rPr>
        <w:t>Premiums relate to the 2028 Senior Notes.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financing arrangements listed above contain certain covenants, including financial covenants that the Company is required to be in compliance with during the term of the respective arrangement. As of March 31, 2023, the Company was in compliance with all of the required covenants.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below describes material changes to or additions of long-term debt for the three months ended March 31, 2023.</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Clearway Energy LLC and Clearway Energy Operating LLC Revolving Credit Facility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no outstanding borrowings under the revolving credit facility and $139 million in letters of credit outstanding.</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Project-level Debt</w:t>
      </w:r>
    </w:p>
    <w:p>
      <w:pPr>
        <w:pStyle w:val="TextBody"/>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Waiawa</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30, 2023, when the Waiawa solar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 Subsequent to the Waiawa acquisition on October 3, 2022, the Company borrowed an additional $25 million in construction loans that was converted to a term loan in the amount of $47 million on March 30, 2023.</w:t>
      </w:r>
    </w:p>
    <w:p>
      <w:pPr>
        <w:pStyle w:val="TextBody"/>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Daggett 3</w:t>
      </w:r>
    </w:p>
    <w:p>
      <w:pPr>
        <w:pStyle w:val="TextBody"/>
        <w:spacing w:lineRule="auto" w:line="288" w:before="0" w:after="180"/>
        <w:ind w:left="0" w:right="0" w:firstLine="450"/>
        <w:jc w:val="both"/>
        <w:rPr/>
      </w:pPr>
      <w:r>
        <w:rPr>
          <w:rFonts w:ascii="Times New Roman;sans-serif" w:hAnsi="Times New Roman;sans-serif"/>
          <w:b w:val="false"/>
          <w:color w:val="000000"/>
          <w:sz w:val="20"/>
        </w:rPr>
        <w:t xml:space="preserve">On February 17, 2023, as part of the acquisition of Daggett 3, as further described in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the Company assumed the project’s financing agreement, which included a $181 million construction loan that converts to a term loan upon the project reaching substantial completion, $229 million tax equity bridge loan and $75 million sponsor equity bridge loan. The sponsor equity bridge loan was repaid at acquisition date, along with $8 million in associated fees, utilizing all of the proceeds from the Company and cash equity investor, which were contributed back to the Company by CEG. The tax equity bridge loan will be repaid with the final proceeds received from the tax equity investor upon Daggett 3 reaching substantial completion, which is expected to occur in the second half of 2023, along with the $62 million that was contributed into escrow by the tax equity investor at acquisition date. Subsequent to the Daggett 3 acquisition, the Company borrowed an additional $36 million in construction loans.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180"/>
        <w:jc w:val="both"/>
        <w:rPr/>
      </w:pPr>
      <w:r>
        <w:rPr>
          <w:rFonts w:ascii="Times New Roman;sans-serif" w:hAnsi="Times New Roman;sans-serif"/>
          <w:b/>
          <w:color w:val="000000"/>
          <w:sz w:val="20"/>
        </w:rPr>
        <w:t xml:space="preserve">Note 8 — </w:t>
      </w:r>
      <w:r>
        <w:rPr>
          <w:rFonts w:ascii="Times New Roman;sans-serif" w:hAnsi="Times New Roman;sans-serif"/>
          <w:b/>
          <w:i/>
          <w:color w:val="000000"/>
          <w:sz w:val="20"/>
        </w:rPr>
        <w:t>Segment Reporting</w:t>
      </w:r>
      <w:r>
        <w:rPr>
          <w:color w:val="000000"/>
        </w:rPr>
        <w:t xml:space="preserve">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segment structure reflects how management currently operates and allocates resources. The Company’s businesses are segregated based on conventional power generation, renewable businesses which consist of solar, wind and energy storage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tbl>
      <w:tblPr>
        <w:tblW w:w="10205" w:type="dxa"/>
        <w:jc w:val="left"/>
        <w:tblInd w:w="0" w:type="dxa"/>
        <w:tblCellMar>
          <w:top w:w="28" w:type="dxa"/>
          <w:left w:w="28" w:type="dxa"/>
          <w:bottom w:w="28" w:type="dxa"/>
          <w:right w:w="28" w:type="dxa"/>
        </w:tblCellMar>
      </w:tblPr>
      <w:tblGrid>
        <w:gridCol w:w="1832"/>
        <w:gridCol w:w="1404"/>
        <w:gridCol w:w="1380"/>
        <w:gridCol w:w="338"/>
        <w:gridCol w:w="990"/>
        <w:gridCol w:w="176"/>
        <w:gridCol w:w="109"/>
        <w:gridCol w:w="109"/>
        <w:gridCol w:w="109"/>
        <w:gridCol w:w="211"/>
        <w:gridCol w:w="721"/>
        <w:gridCol w:w="109"/>
        <w:gridCol w:w="109"/>
        <w:gridCol w:w="109"/>
        <w:gridCol w:w="109"/>
        <w:gridCol w:w="260"/>
        <w:gridCol w:w="576"/>
        <w:gridCol w:w="136"/>
        <w:gridCol w:w="109"/>
        <w:gridCol w:w="109"/>
        <w:gridCol w:w="109"/>
        <w:gridCol w:w="211"/>
        <w:gridCol w:w="721"/>
        <w:gridCol w:w="159"/>
      </w:tblGrid>
      <w:tr>
        <w:trPr/>
        <w:tc>
          <w:tcPr>
            <w:tcW w:w="1832"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46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Corporate</w:t>
            </w:r>
            <w:r>
              <w:rPr>
                <w:color w:val="000000"/>
              </w:rPr>
              <w:t xml:space="preserve"> </w:t>
            </w:r>
            <w:r>
              <w:rPr>
                <w:rFonts w:ascii="Times New Roman;sans-serif" w:hAnsi="Times New Roman;sans-serif"/>
                <w:b/>
                <w:color w:val="000000"/>
                <w:sz w:val="12"/>
              </w:rPr>
              <w:t>(a)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6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461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461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461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(losses) of unconsolidated affiliates</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Assets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90"/>
        <w:jc w:val="both"/>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Includes eliminations.</w:t>
      </w:r>
    </w:p>
    <w:tbl>
      <w:tblPr>
        <w:tblW w:w="10205" w:type="dxa"/>
        <w:jc w:val="left"/>
        <w:tblInd w:w="0" w:type="dxa"/>
        <w:tblCellMar>
          <w:top w:w="28" w:type="dxa"/>
          <w:left w:w="28" w:type="dxa"/>
          <w:bottom w:w="28" w:type="dxa"/>
          <w:right w:w="28" w:type="dxa"/>
        </w:tblCellMar>
      </w:tblPr>
      <w:tblGrid>
        <w:gridCol w:w="1654"/>
        <w:gridCol w:w="1205"/>
        <w:gridCol w:w="1174"/>
        <w:gridCol w:w="383"/>
        <w:gridCol w:w="845"/>
        <w:gridCol w:w="199"/>
        <w:gridCol w:w="109"/>
        <w:gridCol w:w="109"/>
        <w:gridCol w:w="109"/>
        <w:gridCol w:w="249"/>
        <w:gridCol w:w="568"/>
        <w:gridCol w:w="129"/>
        <w:gridCol w:w="109"/>
        <w:gridCol w:w="109"/>
        <w:gridCol w:w="109"/>
        <w:gridCol w:w="223"/>
        <w:gridCol w:w="382"/>
        <w:gridCol w:w="116"/>
        <w:gridCol w:w="109"/>
        <w:gridCol w:w="109"/>
        <w:gridCol w:w="109"/>
        <w:gridCol w:w="271"/>
        <w:gridCol w:w="523"/>
        <w:gridCol w:w="140"/>
        <w:gridCol w:w="109"/>
        <w:gridCol w:w="109"/>
        <w:gridCol w:w="109"/>
        <w:gridCol w:w="211"/>
        <w:gridCol w:w="466"/>
        <w:gridCol w:w="159"/>
      </w:tblGrid>
      <w:tr>
        <w:trPr/>
        <w:tc>
          <w:tcPr>
            <w:tcW w:w="1654"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0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2"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40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 Generation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Corporate </w:t>
            </w:r>
            <w:r>
              <w:rPr>
                <w:rFonts w:ascii="Times New Roman;sans-serif" w:hAnsi="Times New Roman;sans-serif"/>
                <w:b/>
                <w:color w:val="000000"/>
                <w:sz w:val="10"/>
              </w:rPr>
              <w:t>(a)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3"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2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3"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3"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2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3"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r>
      <w:tr>
        <w:trPr/>
        <w:tc>
          <w:tcPr>
            <w:tcW w:w="4033"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2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90"/>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Includes eliminations.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180" w:after="180"/>
        <w:jc w:val="both"/>
        <w:rPr/>
      </w:pPr>
      <w:r>
        <w:rPr>
          <w:rFonts w:ascii="Times New Roman;sans-serif" w:hAnsi="Times New Roman;sans-serif"/>
          <w:b/>
          <w:color w:val="000000"/>
          <w:sz w:val="20"/>
        </w:rPr>
        <w:t xml:space="preserve">Note 9 — </w:t>
      </w:r>
      <w:r>
        <w:rPr>
          <w:rFonts w:ascii="Times New Roman;sans-serif" w:hAnsi="Times New Roman;sans-serif"/>
          <w:b/>
          <w:i/>
          <w:color w:val="000000"/>
          <w:sz w:val="20"/>
        </w:rPr>
        <w:t>Related Party Transactions</w:t>
      </w:r>
      <w:r>
        <w:rPr>
          <w:color w:val="000000"/>
        </w:rPr>
        <w:t xml:space="preserve">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O&amp;M Services Agreements by and between the Company and Clearway Renewable Operation &amp; Maintenance LLC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$17 million and $15 million for the three months ended March 31, 2023 and 2022, respectively. There was a balance of $11 million and $14 million due to RENOM as of March 31, 2023 and December 31, 2022, respectively.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Administrative Services Agreements by and between the Company and CEG</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$4 million and $3 million for the three months ended March 31, 2023 and 2022, respectively. There was a balance of $1 million and $3 million due to CEG as of March 31, 2023 and December 31, 2022, respectively.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CEG Master Services Agreements</w:t>
      </w:r>
    </w:p>
    <w:p>
      <w:pPr>
        <w:pStyle w:val="TextBody"/>
        <w:spacing w:lineRule="auto" w:line="288" w:before="0" w:after="0"/>
        <w:ind w:left="0" w:right="0" w:firstLine="450"/>
        <w:jc w:val="both"/>
        <w:rPr/>
      </w:pPr>
      <w:r>
        <w:rPr>
          <w:rFonts w:ascii="Times New Roman;sans-serif" w:hAnsi="Times New Roman;sans-serif"/>
          <w:b w:val="false"/>
          <w:color w:val="000000"/>
          <w:sz w:val="20"/>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w:t>
      </w:r>
      <w:r>
        <w:rPr>
          <w:color w:val="000000"/>
        </w:rPr>
        <w:t xml:space="preserve"> </w:t>
      </w:r>
      <w:r>
        <w:rPr>
          <w:rFonts w:ascii="Times New Roman;sans-serif" w:hAnsi="Times New Roman;sans-serif"/>
          <w:b w:val="false"/>
          <w:color w:val="000000"/>
          <w:sz w:val="20"/>
        </w:rPr>
        <w:t xml:space="preserve">and the Company provides certain services to CEG, including accounting, internal audit, tax and treasury services, in exchange for the payment of fees in respect of such services. The Company incurred net expenses of $1 million under these agreements for each of the three months ended March 31, 2023 and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180" w:after="180"/>
        <w:rPr/>
      </w:pPr>
      <w:r>
        <w:rPr>
          <w:rFonts w:ascii="Times New Roman;sans-serif" w:hAnsi="Times New Roman;sans-serif"/>
          <w:b/>
          <w:color w:val="000000"/>
          <w:sz w:val="20"/>
        </w:rPr>
        <w:t xml:space="preserve">Note 10 — </w:t>
      </w:r>
      <w:r>
        <w:rPr>
          <w:rFonts w:ascii="Times New Roman;sans-serif" w:hAnsi="Times New Roman;sans-serif"/>
          <w:b/>
          <w:i/>
          <w:color w:val="000000"/>
          <w:sz w:val="20"/>
        </w:rPr>
        <w:t>Contingencies</w:t>
      </w:r>
      <w:r>
        <w:rPr>
          <w:color w:val="000000"/>
        </w:rPr>
        <w:t xml:space="preserve"> </w:t>
      </w:r>
    </w:p>
    <w:p>
      <w:pPr>
        <w:pStyle w:val="TextBody"/>
        <w:spacing w:lineRule="auto" w:line="288" w:before="0" w:after="180"/>
        <w:ind w:left="0" w:right="0" w:firstLine="450"/>
        <w:jc w:val="both"/>
        <w:rPr/>
      </w:pPr>
      <w:r>
        <w:rPr>
          <w:rFonts w:ascii="Times New Roman;sans-serif" w:hAnsi="Times New Roman;sans-serif"/>
          <w:b w:val="false"/>
          <w:color w:val="000000"/>
          <w:sz w:val="20"/>
        </w:rPr>
        <w:t xml:space="preserve">This note should be read in conjunction with the complete description under Item 15 — Note 14,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the consolidated financial statements included in the Company’s 2022 Form 10-K.</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material legal proceeding is described below. The Company believes that it has a valid defense to this legal proceeding and intends to defend it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 below or reasonably estimate the scope or amount of any associated costs and potential liabilities. As additional information becomes available, management adjusts its assessment and estimate of such contingency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legal proceeding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Buckthorn Solar Litigation</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In response to motions for partial summary judgment filed by each party, the court denied Georgetown’s motion in its entirety, granted Buckthorn Westex’s motion with respect to the fraud by nondisclosure claim and denied Buckthorn Westex’s motion with respect to the breach of contract claim. The case is expected to proceed to trial in October 2023. Buckthorn Westex believes the allegations of Georgetown are meritless, and Buckthorn Westex is vigorously defending its rights under the PPA.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 Management’s Discussion and Analysis of Financial Condition and the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analyzes the Company’s historical financial condition and results of operations.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you read this discussion and analysis, refer to the Company’s consolidated financial statements to this Form 10-Q, which present the results of operations for the three months ended March 31, 2023 and 2022. Also refer to the Company’s 2022 Form 10-K, which includes detailed discussions of various items impacting the Company’s business, results of operations and financial condition.</w:t>
      </w:r>
    </w:p>
    <w:p>
      <w:pPr>
        <w:pStyle w:val="TextBody"/>
        <w:spacing w:lineRule="auto" w:line="288" w:before="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discussion and analysis below has been organized as follows:</w:t>
      </w:r>
    </w:p>
    <w:p>
      <w:pPr>
        <w:pStyle w:val="TextBody"/>
        <w:spacing w:lineRule="auto" w:line="288" w:before="0" w:after="60"/>
        <w:jc w:val="both"/>
        <w:rPr/>
      </w:pPr>
      <w:r>
        <w:rPr>
          <w:color w:val="231F20"/>
        </w:rPr>
        <w:t>•</w:t>
      </w:r>
      <w:r>
        <w:rPr>
          <w:rFonts w:ascii="Times New Roman;sans-serif" w:hAnsi="Times New Roman;sans-serif"/>
          <w:b w:val="false"/>
          <w:color w:val="231F20"/>
          <w:sz w:val="20"/>
        </w:rPr>
        <w:t>Executive Summary, including a description of the business and significant events that are important to understanding the results of operations and financial condition;</w:t>
      </w:r>
    </w:p>
    <w:p>
      <w:pPr>
        <w:pStyle w:val="TextBody"/>
        <w:spacing w:lineRule="auto" w:line="288" w:before="0" w:after="60"/>
        <w:jc w:val="both"/>
        <w:rPr/>
      </w:pPr>
      <w:r>
        <w:rPr>
          <w:color w:val="000000"/>
        </w:rPr>
        <w:t>•</w:t>
      </w:r>
      <w:r>
        <w:rPr>
          <w:rFonts w:ascii="Times New Roman;sans-serif" w:hAnsi="Times New Roman;sans-serif"/>
          <w:b w:val="false"/>
          <w:color w:val="231F20"/>
          <w:sz w:val="20"/>
        </w:rPr>
        <w:t>Results of operations, including an explanation of significant differences between the periods in the specific line items of the consolidated statements of income;</w:t>
      </w:r>
    </w:p>
    <w:p>
      <w:pPr>
        <w:pStyle w:val="TextBody"/>
        <w:spacing w:lineRule="auto" w:line="288" w:before="0" w:after="60"/>
        <w:jc w:val="both"/>
        <w:rPr/>
      </w:pPr>
      <w:r>
        <w:rPr>
          <w:color w:val="231F20"/>
        </w:rPr>
        <w:t>•</w:t>
      </w:r>
      <w:r>
        <w:rPr>
          <w:rFonts w:ascii="Times New Roman;sans-serif" w:hAnsi="Times New Roman;sans-serif"/>
          <w:b w:val="false"/>
          <w:color w:val="231F20"/>
          <w:sz w:val="20"/>
        </w:rPr>
        <w:t xml:space="preserve">Financial condition addressing liquidity position, sources and uses of cash, capital resources and requirements, commitments and off-balance sheet arrangements; </w:t>
      </w:r>
    </w:p>
    <w:p>
      <w:pPr>
        <w:pStyle w:val="TextBody"/>
        <w:spacing w:lineRule="auto" w:line="288" w:before="0" w:after="60"/>
        <w:jc w:val="both"/>
        <w:rPr/>
      </w:pPr>
      <w:r>
        <w:rPr>
          <w:color w:val="231F20"/>
        </w:rPr>
        <w:t>•</w:t>
      </w:r>
      <w:r>
        <w:rPr>
          <w:rFonts w:ascii="Times New Roman;sans-serif" w:hAnsi="Times New Roman;sans-serif"/>
          <w:b w:val="false"/>
          <w:color w:val="000000"/>
          <w:sz w:val="20"/>
        </w:rPr>
        <w:t>Known trends that may affect the Company’s results of operations and financial condition in the future; and</w:t>
      </w:r>
    </w:p>
    <w:p>
      <w:pPr>
        <w:pStyle w:val="TextBody"/>
        <w:spacing w:lineRule="auto" w:line="288" w:before="0" w:after="60"/>
        <w:jc w:val="both"/>
        <w:rPr/>
      </w:pPr>
      <w:r>
        <w:rPr>
          <w:color w:val="000000"/>
        </w:rPr>
        <w:t>•</w:t>
      </w:r>
      <w:r>
        <w:rPr>
          <w:rFonts w:ascii="Times New Roman;sans-serif" w:hAnsi="Times New Roman;sans-serif"/>
          <w:b w:val="false"/>
          <w:color w:val="000000"/>
          <w:sz w:val="20"/>
        </w:rPr>
        <w:t>Critical accounting policies which are most important to both the portrayal of the Company’s financial condition and results of operations, and which require management's most difficult, subjective or complex judgment.</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Introduction and Overview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pStyle w:val="TextBody"/>
        <w:spacing w:lineRule="auto" w:line="288" w:before="0" w:after="180"/>
        <w:ind w:left="0" w:right="0" w:firstLine="450"/>
        <w:jc w:val="both"/>
        <w:rPr/>
      </w:pPr>
      <w:r>
        <w:rPr>
          <w:rFonts w:ascii="Times New Roman;sans-serif" w:hAnsi="Times New Roman;sans-serif"/>
          <w:b w:val="false"/>
          <w:color w:val="000000"/>
          <w:sz w:val="20"/>
        </w:rPr>
        <w:t>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w:t>
      </w:r>
      <w:r>
        <w:rPr>
          <w:color w:val="231F20"/>
        </w:rPr>
        <w:t xml:space="preserve"> </w:t>
      </w:r>
      <w:r>
        <w:rPr>
          <w:rFonts w:ascii="Times New Roman;sans-serif" w:hAnsi="Times New Roman;sans-serif"/>
          <w:b w:val="false"/>
          <w:color w:val="231F20"/>
          <w:sz w:val="20"/>
        </w:rPr>
        <w:t>The majority</w:t>
      </w:r>
      <w:r>
        <w:rPr>
          <w:color w:val="000000"/>
        </w:rPr>
        <w:t xml:space="preserve"> </w:t>
      </w:r>
      <w:r>
        <w:rPr>
          <w:rFonts w:ascii="Times New Roman;sans-serif" w:hAnsi="Times New Roman;sans-serif"/>
          <w:b w:val="false"/>
          <w:color w:val="000000"/>
          <w:sz w:val="20"/>
        </w:rPr>
        <w:t>of the Company’s revenues are derived from long-term contractual arrangements for the output or capacity from these assets. The weighted average remaining contract duration of these offtake agreements was approximately 10 years</w:t>
      </w:r>
      <w:r>
        <w:rPr>
          <w:color w:val="231F20"/>
        </w:rPr>
        <w:t xml:space="preserve"> </w:t>
      </w: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March 31, 2023</w:t>
      </w:r>
      <w:r>
        <w:rPr>
          <w:color w:val="231F20"/>
        </w:rPr>
        <w:t xml:space="preserve"> </w:t>
      </w:r>
      <w:r>
        <w:rPr>
          <w:rFonts w:ascii="Times New Roman;sans-serif" w:hAnsi="Times New Roman;sans-serif"/>
          <w:b w:val="false"/>
          <w:color w:val="231F20"/>
          <w:sz w:val="20"/>
        </w:rPr>
        <w:t>based on CAFD.</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operating assets are comprised of the following projects:</w:t>
      </w:r>
    </w:p>
    <w:tbl>
      <w:tblPr>
        <w:tblW w:w="10205" w:type="dxa"/>
        <w:jc w:val="left"/>
        <w:tblInd w:w="0" w:type="dxa"/>
        <w:tblCellMar>
          <w:top w:w="28" w:type="dxa"/>
          <w:left w:w="28" w:type="dxa"/>
          <w:bottom w:w="28" w:type="dxa"/>
          <w:right w:w="28" w:type="dxa"/>
        </w:tblCellMar>
      </w:tblPr>
      <w:tblGrid>
        <w:gridCol w:w="879"/>
        <w:gridCol w:w="768"/>
        <w:gridCol w:w="777"/>
        <w:gridCol w:w="109"/>
        <w:gridCol w:w="109"/>
        <w:gridCol w:w="109"/>
        <w:gridCol w:w="391"/>
        <w:gridCol w:w="391"/>
        <w:gridCol w:w="870"/>
        <w:gridCol w:w="109"/>
        <w:gridCol w:w="109"/>
        <w:gridCol w:w="109"/>
        <w:gridCol w:w="549"/>
        <w:gridCol w:w="545"/>
        <w:gridCol w:w="546"/>
        <w:gridCol w:w="109"/>
        <w:gridCol w:w="109"/>
        <w:gridCol w:w="109"/>
        <w:gridCol w:w="648"/>
        <w:gridCol w:w="648"/>
        <w:gridCol w:w="650"/>
        <w:gridCol w:w="109"/>
        <w:gridCol w:w="109"/>
        <w:gridCol w:w="109"/>
        <w:gridCol w:w="320"/>
        <w:gridCol w:w="320"/>
        <w:gridCol w:w="322"/>
        <w:gridCol w:w="109"/>
        <w:gridCol w:w="164"/>
      </w:tblGrid>
      <w:tr>
        <w:trPr/>
        <w:tc>
          <w:tcPr>
            <w:tcW w:w="87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Projects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Ownership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Net Capacity (MW) </w:t>
            </w:r>
            <w:r>
              <w:rPr>
                <w:rFonts w:ascii="Times New Roman;sans-serif" w:hAnsi="Times New Roman;sans-serif"/>
                <w:b/>
                <w:color w:val="000000"/>
                <w:sz w:val="12"/>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Counterparty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Conventional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Carlsbad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Diego Gas &amp; Electric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Segundo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2023 - 2026</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GenConn Devon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Connecticut Light &amp;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2040</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GenConn Middletown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Connecticut Light &amp; Power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2041</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Marsh Landing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2023 - 2030</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Walnut Creek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2023 - 2026</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Conventional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Utility Scale Solar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Agua Caliente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Alpine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Avenal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Avra Valley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Tucson Electric Power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Blythe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Borrego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Diego Gas and Electric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Buckthorn Solar</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City of Georgetown, 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2043</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CVSR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Desert Sunlight 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2034</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Desert Sunlight 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Kansas South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Mililani I</w:t>
            </w:r>
            <w:r>
              <w:rPr>
                <w:color w:val="000000"/>
              </w:rPr>
              <w:t xml:space="preserve"> </w:t>
            </w:r>
            <w:r>
              <w:rPr>
                <w:rFonts w:ascii="Times New Roman;sans-serif" w:hAnsi="Times New Roman;sans-serif"/>
                <w:b w:val="false"/>
                <w:color w:val="000000"/>
                <w:sz w:val="12"/>
              </w:rPr>
              <w:t>(b) (c)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2042</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Oahu Solar Projects</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2041</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Roadrunner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 Paso Electric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Rosamond Central</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2035 - 2047</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 High Desert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Utah Solar Portfolio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2036</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Waiawa </w:t>
            </w:r>
            <w:r>
              <w:rPr>
                <w:rFonts w:ascii="Times New Roman;sans-serif" w:hAnsi="Times New Roman;sans-serif"/>
                <w:b w:val="false"/>
                <w:color w:val="000000"/>
                <w:sz w:val="12"/>
              </w:rPr>
              <w:t>(b) (c)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2043</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18"/>
              </w:rPr>
              <w:t xml:space="preserve">Total Utility Scale Solar </w:t>
            </w:r>
            <w:r>
              <w:rPr>
                <w:rFonts w:ascii="Times New Roman;sans-serif" w:hAnsi="Times New Roman;sans-serif"/>
                <w:b/>
                <w:i/>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Distributed Solar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DGPV Fund Projects</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2030 - 2044</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Solar Power Partners (SPP) Projects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2026 - 2037</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DG Projects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8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2023 - 2039</w:t>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18"/>
              </w:rPr>
              <w:t xml:space="preserve">Total Distributed Solar </w:t>
            </w:r>
            <w:r>
              <w:rPr>
                <w:rFonts w:ascii="Times New Roman;sans-serif" w:hAnsi="Times New Roman;sans-serif"/>
                <w:b/>
                <w:i/>
                <w:color w:val="000000"/>
                <w:sz w:val="12"/>
              </w:rPr>
              <w: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63"/>
        <w:gridCol w:w="491"/>
        <w:gridCol w:w="496"/>
        <w:gridCol w:w="109"/>
        <w:gridCol w:w="109"/>
        <w:gridCol w:w="109"/>
        <w:gridCol w:w="332"/>
        <w:gridCol w:w="316"/>
        <w:gridCol w:w="704"/>
        <w:gridCol w:w="109"/>
        <w:gridCol w:w="109"/>
        <w:gridCol w:w="109"/>
        <w:gridCol w:w="443"/>
        <w:gridCol w:w="420"/>
        <w:gridCol w:w="422"/>
        <w:gridCol w:w="109"/>
        <w:gridCol w:w="109"/>
        <w:gridCol w:w="109"/>
        <w:gridCol w:w="1135"/>
        <w:gridCol w:w="1135"/>
        <w:gridCol w:w="1140"/>
        <w:gridCol w:w="109"/>
        <w:gridCol w:w="109"/>
        <w:gridCol w:w="109"/>
        <w:gridCol w:w="309"/>
        <w:gridCol w:w="309"/>
        <w:gridCol w:w="311"/>
        <w:gridCol w:w="109"/>
        <w:gridCol w:w="162"/>
      </w:tblGrid>
      <w:tr>
        <w:trPr/>
        <w:tc>
          <w:tcPr>
            <w:tcW w:w="663"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Projects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Ownership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Net Capacity (MW) </w:t>
            </w:r>
            <w:r>
              <w:rPr>
                <w:rFonts w:ascii="Times New Roman;sans-serif" w:hAnsi="Times New Roman;sans-serif"/>
                <w:b/>
                <w:color w:val="000000"/>
                <w:sz w:val="12"/>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Counterparty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Wind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IV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Alta 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2035</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Alta X</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Alta XI</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Black Rock</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Toyota and AEP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2036</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Buffalo Bear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Western Farmers Electric Co-operative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Capistrano Wind Portfolio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2030 - 2033</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Elbow Creek </w:t>
            </w:r>
            <w:r>
              <w:rPr>
                <w:rFonts w:ascii="Times New Roman;sans-serif" w:hAnsi="Times New Roman;sans-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Elkhorn Ridge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Forward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Constellation NewEnergy,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Goat Wind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Dow Pipeline Company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Langford</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Goldman Sachs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Laredo Ridge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Lookout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Southern Maryland Electric Cooperative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Mesquite Sky</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2033 - 2036</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Mesquite Sta</w:t>
            </w:r>
            <w:r>
              <w:rPr>
                <w:rFonts w:ascii="Times New Roman;sans-serif" w:hAnsi="Times New Roman;sans-serif"/>
                <w:b w:val="false"/>
                <w:color w:val="000000"/>
                <w:sz w:val="18"/>
              </w:rPr>
              <w:t>r</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2032 - 2035</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Mt. Storm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Citigroup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Ocotillo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Odin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Missouri River Energy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Pinnacle</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Maryland Department of General Services and University System of Maryland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Rattlesnake </w:t>
            </w:r>
            <w:r>
              <w:rPr>
                <w:rFonts w:ascii="Times New Roman;sans-serif" w:hAnsi="Times New Roman;sans-serif"/>
                <w:b w:val="false"/>
                <w:color w:val="000000"/>
                <w:sz w:val="12"/>
              </w:rPr>
              <w:t>(b) (e)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Avista Corporation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2040</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San Juan Mesa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Southwestern Public Service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Sleeping Bear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Service Company of Oklahoma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2032</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 Trent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AEP Energy Partners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Spanish Fork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Spring Canyon II</w:t>
            </w:r>
            <w:r>
              <w:rPr>
                <w:color w:val="000000"/>
              </w:rPr>
              <w:t xml:space="preserve"> </w:t>
            </w:r>
            <w:r>
              <w:rPr>
                <w:rFonts w:ascii="Times New Roman;sans-serif" w:hAnsi="Times New Roman;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Platte River Power Authority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Spring Canyon III</w:t>
            </w:r>
            <w:r>
              <w:rPr>
                <w:color w:val="000000"/>
              </w:rPr>
              <w:t xml:space="preserve">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Platte River Power Authority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2039</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Taloga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Oklahoma Gas &amp; Electric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2031</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Wildorado </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18"/>
              </w:rPr>
              <w:t xml:space="preserve">Total Wind </w:t>
            </w:r>
            <w:r>
              <w:rPr>
                <w:rFonts w:ascii="Times New Roman;sans-serif" w:hAnsi="Times New Roman;sans-serif"/>
                <w:b/>
                <w:i/>
                <w:color w:val="000000"/>
                <w:sz w:val="12"/>
              </w:rPr>
              <w: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3,658 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generation capacity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9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Net capacity represents the maximum, or rated, generating capacity of the facility multiplied by the Company’s percentage ownership in the facility as of March 31, 2023.</w:t>
      </w:r>
    </w:p>
    <w:p>
      <w:pPr>
        <w:pStyle w:val="TextBody"/>
        <w:spacing w:lineRule="auto" w:line="288" w:before="0" w:after="60"/>
        <w:ind w:left="0" w:right="0" w:firstLine="9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6"/>
        </w:rPr>
        <w:t xml:space="preserve">Projects are part of tax equity arrangements and ownership percentage is based on cash to be distributed, as further described in Note 4, </w:t>
      </w:r>
      <w:r>
        <w:rPr>
          <w:rFonts w:ascii="Times New Roman;sans-serif" w:hAnsi="Times New Roman;sans-serif"/>
          <w:b w:val="false"/>
          <w:i/>
          <w:color w:val="000000"/>
          <w:sz w:val="16"/>
        </w:rPr>
        <w:t>Investments Accounted for by the Equity Method and Variable Interest Entities.</w:t>
      </w:r>
    </w:p>
    <w:p>
      <w:pPr>
        <w:pStyle w:val="TextBody"/>
        <w:spacing w:lineRule="auto" w:line="288" w:before="0" w:after="60"/>
        <w:jc w:val="both"/>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6"/>
        </w:rPr>
        <w:t>Includes storage capacity that matches the facility’s rated generating capacity.</w:t>
      </w:r>
    </w:p>
    <w:p>
      <w:pPr>
        <w:pStyle w:val="TextBody"/>
        <w:spacing w:lineRule="auto" w:line="288" w:before="0" w:after="60"/>
        <w:jc w:val="both"/>
        <w:rPr/>
      </w:pPr>
      <w:r>
        <w:rPr>
          <w:rFonts w:ascii="Times New Roman;sans-serif" w:hAnsi="Times New Roman;sans-serif"/>
          <w:b w:val="false"/>
          <w:color w:val="000000"/>
          <w:sz w:val="13"/>
        </w:rPr>
        <w:t>(d)</w:t>
      </w:r>
      <w:r>
        <w:rPr>
          <w:color w:val="000000"/>
        </w:rPr>
        <w:t xml:space="preserve"> </w:t>
      </w:r>
      <w:r>
        <w:rPr>
          <w:rFonts w:ascii="Times New Roman;sans-serif" w:hAnsi="Times New Roman;sans-serif"/>
          <w:b w:val="false"/>
          <w:color w:val="000000"/>
          <w:sz w:val="16"/>
        </w:rPr>
        <w:t>Typical average capacity factors are 25% for solar facilities and 25-45% for wind facilities. For the three months ended March 31, 2023, the Company's solar and wind facilities had weighted-average capacity factors of 20% and 34%, respectively. For the three months ended March 31, 2022, the Company’s solar and wind facilities had weighted-average capacity factors of 25% and 32%, respectively. The weight-average capacity factors can vary based on seasonality and weather conditions.</w:t>
      </w:r>
    </w:p>
    <w:p>
      <w:pPr>
        <w:pStyle w:val="TextBody"/>
        <w:spacing w:lineRule="auto" w:line="288" w:before="0" w:after="180"/>
        <w:jc w:val="both"/>
        <w:rPr/>
      </w:pPr>
      <w:r>
        <w:rPr>
          <w:rFonts w:ascii="Times New Roman;sans-serif" w:hAnsi="Times New Roman;sans-serif"/>
          <w:b w:val="false"/>
          <w:color w:val="000000"/>
          <w:sz w:val="13"/>
        </w:rPr>
        <w:t>(e)</w:t>
      </w:r>
      <w:r>
        <w:rPr>
          <w:color w:val="000000"/>
        </w:rPr>
        <w:t xml:space="preserve"> </w:t>
      </w:r>
      <w:r>
        <w:rPr>
          <w:rFonts w:ascii="Times New Roman;sans-serif" w:hAnsi="Times New Roman;sans-serif"/>
          <w:b w:val="false"/>
          <w:color w:val="000000"/>
          <w:sz w:val="16"/>
        </w:rPr>
        <w:t>Rattlesnake has a deliverable capacity of 144 MW.</w:t>
      </w:r>
    </w:p>
    <w:p>
      <w:pPr>
        <w:pStyle w:val="TextBody"/>
        <w:spacing w:before="0" w:after="18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Significant Events</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Drop Down Transactions</w:t>
      </w:r>
    </w:p>
    <w:p>
      <w:pPr>
        <w:pStyle w:val="TextBody"/>
        <w:spacing w:lineRule="auto" w:line="288" w:before="0" w:after="180"/>
        <w:ind w:left="0" w:right="0" w:hanging="360"/>
        <w:jc w:val="both"/>
        <w:rPr/>
      </w:pPr>
      <w:r>
        <w:rPr>
          <w:color w:val="000000"/>
          <w:highlight w:val="white"/>
        </w:rPr>
        <w:t>•</w:t>
      </w:r>
      <w:r>
        <w:rPr>
          <w:rFonts w:ascii="Times New Roman;sans-serif" w:hAnsi="Times New Roman;sans-serif"/>
          <w:b w:val="false"/>
          <w:color w:val="000000"/>
          <w:sz w:val="20"/>
          <w:highlight w:val="white"/>
        </w:rPr>
        <w:t>On May 3, 2023, the Company entered into an agreement with CEG to repower the Cedro Hill wind project, which is included in the Capistrano Wind Portfolio and is located in Bruni, Texas. The Company expects to invest approximately $63 million in net corporate capital, subject to closing adjustments. Contingent upon achieving repowering commercial operations in the second half of 2024, the 160 MW project will sell power to its existing counterparty, an investment-grade utility, for an additional 15 years ending in 2045 under an amended PPA.</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 xml:space="preserve">On February 17, 2023, the Company, through its indirect subsidiary, Daggett Solar Investment LLC, acquired the Class A membership interests in Daggett TargetCo LLC, the indirect owner of the Daggett 3 solar project, a 300 MW solar project with matching storage capacity that is currently under construction, located in San Bernardino, California from Clearway Renew LLC, a subsidiary of CEG, for cash consideration of $21 million. Simultaneously, a cash equity investor acquired the Class B membership interests in Daggett TargetCo LLC from Clearway Renew LLC for cash consideration of $129 million. The Company and the third-party investor then contributed their Class A and B membership interests, respectively, into Daggett Renewable Holdco LLC, a partnership between the Company and the cash equity investor, which consolidates Daggett TargetCo LLC. Daggett TargetCo LLC consolidates, as the indirect owner of the primary beneficiary, a tax equity fund, Daggett TE Holdco LLC, which owns the Daggett 3 solar project. See 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000000"/>
          <w:sz w:val="20"/>
        </w:rPr>
        <w:t>, for further discussion of the transaction.</w:t>
      </w:r>
    </w:p>
    <w:p>
      <w:pPr>
        <w:pStyle w:val="TextBody"/>
        <w:spacing w:before="0" w:after="0"/>
        <w:rPr/>
      </w:pPr>
      <w:r>
        <w:rPr/>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Financing Activities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On March 15, 2023, Clearway Energy Operating LLC refinanced the Amended and Restated Credit Agreement. See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amendment.</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Project-level Financing Activities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In connection with the 2022 Drop Down of Waiawa and the 2023 Drop Down of Daggett 3, the Company assumed non-recourse project-level debt. See Note 7,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for further discussion of the non-recourse project-level debt associated with each project.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Environmental Matters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pStyle w:val="TextBody"/>
        <w:spacing w:lineRule="auto" w:line="288" w:before="0" w:after="180"/>
        <w:ind w:left="0" w:right="0" w:firstLine="450"/>
        <w:jc w:val="both"/>
        <w:rPr/>
      </w:pPr>
      <w:r>
        <w:rPr>
          <w:rFonts w:ascii="Times New Roman;sans-serif" w:hAnsi="Times New Roman;sans-serif"/>
          <w:b w:val="false"/>
          <w:color w:val="000000"/>
          <w:sz w:val="20"/>
        </w:rPr>
        <w:t xml:space="preserve">The Company’s environmental matters are further described in the Company’s 2022 Form 10-K in Item 1, </w:t>
      </w:r>
      <w:r>
        <w:rPr>
          <w:rFonts w:ascii="Times New Roman;sans-serif" w:hAnsi="Times New Roman;sans-serif"/>
          <w:b w:val="false"/>
          <w:i/>
          <w:color w:val="000000"/>
          <w:sz w:val="20"/>
        </w:rPr>
        <w:t xml:space="preserve">Business </w:t>
      </w:r>
      <w:r>
        <w:rPr>
          <w:color w:val="000000"/>
        </w:rPr>
        <w:t xml:space="preserve">— </w:t>
      </w:r>
      <w:r>
        <w:rPr>
          <w:rFonts w:ascii="Times New Roman;sans-serif" w:hAnsi="Times New Roman;sans-serif"/>
          <w:b w:val="false"/>
          <w:i/>
          <w:color w:val="000000"/>
          <w:sz w:val="20"/>
        </w:rPr>
        <w:t>Environmental Matters</w:t>
      </w:r>
      <w:r>
        <w:rPr>
          <w:color w:val="000000"/>
        </w:rPr>
        <w:t xml:space="preserve"> </w:t>
      </w:r>
      <w:r>
        <w:rPr>
          <w:rFonts w:ascii="Times New Roman;sans-serif" w:hAnsi="Times New Roman;sans-serif"/>
          <w:b w:val="false"/>
          <w:color w:val="000000"/>
          <w:sz w:val="20"/>
        </w:rPr>
        <w:t xml:space="preserve">and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spacing w:lineRule="auto" w:line="288" w:before="0" w:after="180"/>
        <w:ind w:left="0" w:right="0" w:firstLine="495"/>
        <w:jc w:val="both"/>
        <w:rPr/>
      </w:pPr>
      <w:r>
        <w:rPr>
          <w:rFonts w:ascii="Times New Roman;sans-serif" w:hAnsi="Times New Roman;sans-serif"/>
          <w:b w:val="false"/>
          <w:color w:val="000000"/>
          <w:sz w:val="20"/>
        </w:rPr>
        <w:t xml:space="preserve">The Company’s regulatory matters are described in the Company’s 2022 Form 10-K in Item 1, </w:t>
      </w:r>
      <w:r>
        <w:rPr>
          <w:rFonts w:ascii="Times New Roman;sans-serif" w:hAnsi="Times New Roman;sans-serif"/>
          <w:b w:val="false"/>
          <w:i/>
          <w:color w:val="000000"/>
          <w:sz w:val="20"/>
        </w:rPr>
        <w:t xml:space="preserve">Business </w:t>
      </w:r>
      <w:r>
        <w:rPr>
          <w:color w:val="000000"/>
        </w:rPr>
        <w:t xml:space="preserve">— </w:t>
      </w:r>
      <w:r>
        <w:rPr>
          <w:rFonts w:ascii="Times New Roman;sans-serif" w:hAnsi="Times New Roman;sans-serif"/>
          <w:b w:val="false"/>
          <w:i/>
          <w:color w:val="000000"/>
          <w:sz w:val="20"/>
        </w:rPr>
        <w:t>Regulatory Matters</w:t>
      </w:r>
      <w:r>
        <w:rPr>
          <w:color w:val="000000"/>
        </w:rPr>
        <w:t xml:space="preserve"> </w:t>
      </w:r>
      <w:r>
        <w:rPr>
          <w:rFonts w:ascii="Times New Roman;sans-serif" w:hAnsi="Times New Roman;sans-serif"/>
          <w:b w:val="false"/>
          <w:color w:val="000000"/>
          <w:sz w:val="20"/>
        </w:rPr>
        <w:t xml:space="preserve">and Item 1A, </w:t>
      </w:r>
      <w:r>
        <w:rPr>
          <w:rFonts w:ascii="Times New Roman;sans-serif" w:hAnsi="Times New Roman;sans-serif"/>
          <w:b w:val="false"/>
          <w:i/>
          <w:color w:val="000000"/>
          <w:sz w:val="20"/>
        </w:rPr>
        <w:t>Risk Factors.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Consolidated Results of Operations </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financial information:</w:t>
      </w:r>
    </w:p>
    <w:tbl>
      <w:tblPr>
        <w:tblW w:w="10205" w:type="dxa"/>
        <w:jc w:val="left"/>
        <w:tblInd w:w="0" w:type="dxa"/>
        <w:tblCellMar>
          <w:top w:w="28" w:type="dxa"/>
          <w:left w:w="28" w:type="dxa"/>
          <w:bottom w:w="28" w:type="dxa"/>
          <w:right w:w="28" w:type="dxa"/>
        </w:tblCellMar>
      </w:tblPr>
      <w:tblGrid>
        <w:gridCol w:w="2149"/>
        <w:gridCol w:w="1772"/>
        <w:gridCol w:w="1782"/>
        <w:gridCol w:w="109"/>
        <w:gridCol w:w="109"/>
        <w:gridCol w:w="155"/>
        <w:gridCol w:w="155"/>
        <w:gridCol w:w="155"/>
        <w:gridCol w:w="155"/>
        <w:gridCol w:w="155"/>
        <w:gridCol w:w="155"/>
        <w:gridCol w:w="302"/>
        <w:gridCol w:w="667"/>
        <w:gridCol w:w="155"/>
        <w:gridCol w:w="109"/>
        <w:gridCol w:w="109"/>
        <w:gridCol w:w="109"/>
        <w:gridCol w:w="211"/>
        <w:gridCol w:w="466"/>
        <w:gridCol w:w="109"/>
        <w:gridCol w:w="109"/>
        <w:gridCol w:w="109"/>
        <w:gridCol w:w="109"/>
        <w:gridCol w:w="211"/>
        <w:gridCol w:w="416"/>
        <w:gridCol w:w="163"/>
      </w:tblGrid>
      <w:tr>
        <w:trPr/>
        <w:tc>
          <w:tcPr>
            <w:tcW w:w="2149"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230" w:type="dxa"/>
            <w:gridSpan w:val="12"/>
            <w:tcBorders/>
            <w:shd w:fill="auto" w:val="clear"/>
          </w:tcPr>
          <w:p>
            <w:pPr>
              <w:pStyle w:val="TableContents"/>
              <w:spacing w:before="0" w:after="283"/>
              <w:rPr>
                <w:sz w:val="4"/>
                <w:szCs w:val="4"/>
              </w:rPr>
            </w:pPr>
            <w:r>
              <w:rPr>
                <w:sz w:val="4"/>
                <w:szCs w:val="4"/>
              </w:rPr>
            </w:r>
          </w:p>
        </w:tc>
      </w:tr>
      <w:tr>
        <w:trPr/>
        <w:tc>
          <w:tcPr>
            <w:tcW w:w="5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Energy and capacity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33333"/>
                <w:sz w:val="20"/>
              </w:rPr>
            </w:pPr>
            <w:r>
              <w:rPr>
                <w:rFonts w:ascii="Times New Roman;sans-serif" w:hAnsi="Times New Roman;sans-serif"/>
                <w:b w:val="false"/>
                <w:color w:val="333333"/>
                <w:sz w:val="20"/>
              </w:rPr>
              <w:t>$</w:t>
            </w:r>
          </w:p>
        </w:tc>
        <w:tc>
          <w:tcPr>
            <w:tcW w:w="6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304 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(47)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for economic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fuels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333333"/>
              </w:rPr>
            </w:pPr>
            <w:r>
              <w:rPr>
                <w:color w:val="333333"/>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83 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 of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333333"/>
                <w:sz w:val="20"/>
              </w:rPr>
            </w:pPr>
            <w:r>
              <w:rPr>
                <w:rFonts w:ascii="Times New Roman;sans-serif" w:hAnsi="Times New Roman;sans-serif"/>
                <w:b w:val="false"/>
                <w:color w:val="333333"/>
                <w:sz w:val="20"/>
              </w:rPr>
              <w:t>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Transaction and integration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earnings of unconsolidated affiliates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0" w:type="dxa"/>
            <w:gridSpan w:val="3"/>
            <w:tcBorders/>
            <w:shd w:fill="auto" w:val="cle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interest (expense)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 and redeemable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Clearway Energy LLC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162" w:type="dxa"/>
        <w:jc w:val="left"/>
        <w:tblInd w:w="0" w:type="dxa"/>
        <w:tblCellMar>
          <w:top w:w="28" w:type="dxa"/>
          <w:left w:w="28" w:type="dxa"/>
          <w:bottom w:w="28" w:type="dxa"/>
          <w:right w:w="28" w:type="dxa"/>
        </w:tblCellMar>
      </w:tblPr>
      <w:tblGrid>
        <w:gridCol w:w="1534"/>
        <w:gridCol w:w="1352"/>
        <w:gridCol w:w="1358"/>
        <w:gridCol w:w="109"/>
        <w:gridCol w:w="109"/>
        <w:gridCol w:w="277"/>
        <w:gridCol w:w="277"/>
        <w:gridCol w:w="277"/>
        <w:gridCol w:w="277"/>
        <w:gridCol w:w="366"/>
        <w:gridCol w:w="277"/>
        <w:gridCol w:w="690"/>
        <w:gridCol w:w="109"/>
        <w:gridCol w:w="109"/>
        <w:gridCol w:w="109"/>
        <w:gridCol w:w="308"/>
        <w:gridCol w:w="308"/>
        <w:gridCol w:w="316"/>
      </w:tblGrid>
      <w:tr>
        <w:trPr/>
        <w:tc>
          <w:tcPr>
            <w:tcW w:w="1534"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259" w:type="dxa"/>
            <w:gridSpan w:val="6"/>
            <w:tcBorders/>
            <w:shd w:fill="auto" w:val="clea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metrics: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Solar MWh generated/sold (in thousands) </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Wind MWh generated/sold (in thousands) </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Renewables MWh generated/sold (in thousands) </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Thermal MWt sold (in thousands) </w:t>
            </w:r>
            <w:r>
              <w:rPr>
                <w:rFonts w:ascii="Times New Roman;sans-serif" w:hAnsi="Times New Roman;sans-serif"/>
                <w:b w:val="false"/>
                <w:color w:val="000000"/>
                <w:sz w:val="13"/>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Thermal MWh sold (in thousands) </w:t>
            </w:r>
            <w:r>
              <w:rPr>
                <w:rFonts w:ascii="Times New Roman;sans-serif" w:hAnsi="Times New Roman;sans-serif"/>
                <w:b w:val="false"/>
                <w:color w:val="000000"/>
                <w:sz w:val="13"/>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Conventional MWh generated (in thousands) </w:t>
            </w:r>
            <w:r>
              <w:rPr>
                <w:rFonts w:ascii="Times New Roman;sans-serif" w:hAnsi="Times New Roman;sans-serif"/>
                <w:b w:val="false"/>
                <w:color w:val="000000"/>
                <w:sz w:val="13"/>
              </w:rPr>
              <w:t>(a) (c)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6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equivalent availability factor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6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90"/>
        <w:jc w:val="both"/>
        <w:rPr/>
      </w:pPr>
      <w:r>
        <w:rPr>
          <w:rFonts w:ascii="Times New Roman;sans-serif" w:hAnsi="Times New Roman;sans-serif"/>
          <w:b w:val="false"/>
          <w:color w:val="000000"/>
          <w:sz w:val="13"/>
        </w:rPr>
        <w:t xml:space="preserve">(a) </w:t>
      </w:r>
      <w:r>
        <w:rPr>
          <w:rFonts w:ascii="Times New Roman;sans-serif" w:hAnsi="Times New Roman;sans-serif"/>
          <w:b w:val="false"/>
          <w:color w:val="000000"/>
          <w:sz w:val="16"/>
        </w:rPr>
        <w:t>Volumes do not include the MWh generated/sold by the Company’s equity method investments.</w:t>
      </w:r>
    </w:p>
    <w:p>
      <w:pPr>
        <w:pStyle w:val="TextBody"/>
        <w:spacing w:lineRule="auto" w:line="288" w:before="0" w:after="0"/>
        <w:ind w:left="0" w:right="0" w:firstLine="90"/>
        <w:jc w:val="both"/>
        <w:rPr/>
      </w:pPr>
      <w:r>
        <w:rPr>
          <w:rFonts w:ascii="Times New Roman;sans-serif" w:hAnsi="Times New Roman;sans-serif"/>
          <w:b w:val="false"/>
          <w:color w:val="000000"/>
          <w:sz w:val="13"/>
        </w:rPr>
        <w:t xml:space="preserve">(b) </w:t>
      </w:r>
      <w:r>
        <w:rPr>
          <w:rFonts w:ascii="Times New Roman;sans-serif" w:hAnsi="Times New Roman;sans-serif"/>
          <w:b w:val="false"/>
          <w:color w:val="000000"/>
          <w:sz w:val="16"/>
        </w:rPr>
        <w:t>On May 1, 2022, the Company completed the sale of 100% of its interests in the Thermal Business to KKR.</w:t>
      </w:r>
    </w:p>
    <w:p>
      <w:pPr>
        <w:pStyle w:val="TextBody"/>
        <w:spacing w:lineRule="auto" w:line="288" w:before="0" w:after="0"/>
        <w:ind w:left="0" w:right="0" w:firstLine="90"/>
        <w:jc w:val="both"/>
        <w:rPr/>
      </w:pPr>
      <w:r>
        <w:rPr>
          <w:rFonts w:ascii="Times New Roman;sans-serif" w:hAnsi="Times New Roman;sans-serif"/>
          <w:b w:val="false"/>
          <w:color w:val="000000"/>
          <w:sz w:val="13"/>
        </w:rPr>
        <w:t xml:space="preserve">(c) </w:t>
      </w:r>
      <w:r>
        <w:rPr>
          <w:rFonts w:ascii="Times New Roman;sans-serif" w:hAnsi="Times New Roman;sans-serif"/>
          <w:b w:val="false"/>
          <w:color w:val="000000"/>
          <w:sz w:val="16"/>
        </w:rPr>
        <w:t xml:space="preserve">Volumes generated are not sold as the Conventional facilities sell capacity rather than energy.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Management’s Discussion of the Results of Operations for the Three Months Ended March 31, 2023 and 2022</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Operating Revenues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increased by $74 million during the three months ended March 31, 2023, compared to the same period in 2022, due to a combination of the drivers summarized in the table below: </w:t>
      </w:r>
    </w:p>
    <w:tbl>
      <w:tblPr>
        <w:tblW w:w="10205" w:type="dxa"/>
        <w:jc w:val="left"/>
        <w:tblInd w:w="0" w:type="dxa"/>
        <w:tblCellMar>
          <w:top w:w="28" w:type="dxa"/>
          <w:left w:w="28" w:type="dxa"/>
          <w:bottom w:w="28" w:type="dxa"/>
          <w:right w:w="28" w:type="dxa"/>
        </w:tblCellMar>
      </w:tblPr>
      <w:tblGrid>
        <w:gridCol w:w="961"/>
        <w:gridCol w:w="734"/>
        <w:gridCol w:w="707"/>
        <w:gridCol w:w="2293"/>
        <w:gridCol w:w="2234"/>
        <w:gridCol w:w="2239"/>
        <w:gridCol w:w="272"/>
        <w:gridCol w:w="466"/>
        <w:gridCol w:w="142"/>
        <w:gridCol w:w="157"/>
      </w:tblGrid>
      <w:tr>
        <w:trPr/>
        <w:tc>
          <w:tcPr>
            <w:tcW w:w="96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293"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5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Renewables Segment</w:t>
            </w:r>
          </w:p>
        </w:tc>
        <w:tc>
          <w:tcPr>
            <w:tcW w:w="676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driven by the acquisition of the Capistrano Wind Portfolio in August 2022.</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primarily by lower solar generation.</w:t>
            </w:r>
          </w:p>
        </w:tc>
        <w:tc>
          <w:tcPr>
            <w:tcW w:w="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Conventional Segment</w:t>
            </w:r>
          </w:p>
        </w:tc>
        <w:tc>
          <w:tcPr>
            <w:tcW w:w="676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by lower availability at El Segundo facility due to the timing of annual planned maintenance outages.</w:t>
            </w:r>
          </w:p>
        </w:tc>
        <w:tc>
          <w:tcPr>
            <w:tcW w:w="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driven by outages at the Walnut Creek and Marsh Landing facilities during the first quarter of 2023, resulting in lower capacity revenue.</w:t>
            </w:r>
          </w:p>
        </w:tc>
        <w:tc>
          <w:tcPr>
            <w:tcW w:w="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Thermal Segment</w:t>
            </w:r>
          </w:p>
        </w:tc>
        <w:tc>
          <w:tcPr>
            <w:tcW w:w="676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Decrease driven by the sale of the Thermal Business on May 1, 2022. </w:t>
            </w:r>
          </w:p>
        </w:tc>
        <w:tc>
          <w:tcPr>
            <w:tcW w:w="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Mark-to-market for economic hedges</w:t>
            </w:r>
          </w:p>
        </w:tc>
        <w:tc>
          <w:tcPr>
            <w:tcW w:w="676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decreases in forward power prices in the ERCOT and PJM markets.</w:t>
            </w:r>
          </w:p>
        </w:tc>
        <w:tc>
          <w:tcPr>
            <w:tcW w:w="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amortization</w:t>
            </w:r>
          </w:p>
        </w:tc>
        <w:tc>
          <w:tcPr>
            <w:tcW w:w="676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amortization of the intangible assets of PPAs related to the acquisition of the Capistrano Wind Portfolio in August 2022.</w:t>
            </w:r>
          </w:p>
        </w:tc>
        <w:tc>
          <w:tcPr>
            <w:tcW w:w="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auto" w:val="clear"/>
            <w:vAlign w:val="center"/>
          </w:tcPr>
          <w:p>
            <w:pPr>
              <w:pStyle w:val="TableContents"/>
              <w:spacing w:before="0" w:after="283"/>
              <w:rPr>
                <w:sz w:val="4"/>
                <w:szCs w:val="4"/>
              </w:rPr>
            </w:pPr>
            <w:r>
              <w:rPr>
                <w:sz w:val="4"/>
                <w:szCs w:val="4"/>
              </w:rPr>
            </w:r>
          </w:p>
        </w:tc>
        <w:tc>
          <w:tcPr>
            <w:tcW w:w="6766"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Cost of Fuels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fuels decreased by $22 million during the three months ended March 31, 2023, compared to the same period in 2022, due to the sale of the Thermal Business on May 1, 2022.</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Operations and Maintenance Expense</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expense increased by $7 million during the three months ended March 31, 2023, compared to the same period in 2022, due to a combination of the drivers summarized in the table below:</w:t>
      </w:r>
    </w:p>
    <w:tbl>
      <w:tblPr>
        <w:tblW w:w="10205" w:type="dxa"/>
        <w:jc w:val="left"/>
        <w:tblInd w:w="0" w:type="dxa"/>
        <w:tblCellMar>
          <w:top w:w="28" w:type="dxa"/>
          <w:left w:w="28" w:type="dxa"/>
          <w:bottom w:w="28" w:type="dxa"/>
          <w:right w:w="28" w:type="dxa"/>
        </w:tblCellMar>
      </w:tblPr>
      <w:tblGrid>
        <w:gridCol w:w="717"/>
        <w:gridCol w:w="610"/>
        <w:gridCol w:w="611"/>
        <w:gridCol w:w="2419"/>
        <w:gridCol w:w="2400"/>
        <w:gridCol w:w="2407"/>
        <w:gridCol w:w="353"/>
        <w:gridCol w:w="427"/>
        <w:gridCol w:w="261"/>
      </w:tblGrid>
      <w:tr>
        <w:trPr/>
        <w:tc>
          <w:tcPr>
            <w:tcW w:w="717"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419"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2407"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1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38" w:type="dxa"/>
            <w:gridSpan w:val="3"/>
            <w:tcBorders/>
            <w:shd w:fill="auto" w:val="clear"/>
            <w:vAlign w:val="center"/>
          </w:tcPr>
          <w:p>
            <w:pPr>
              <w:pStyle w:val="TableContents"/>
              <w:spacing w:before="0" w:after="283"/>
              <w:rPr>
                <w:sz w:val="4"/>
                <w:szCs w:val="4"/>
              </w:rPr>
            </w:pPr>
            <w:r>
              <w:rPr>
                <w:sz w:val="4"/>
                <w:szCs w:val="4"/>
              </w:rPr>
            </w:r>
          </w:p>
        </w:tc>
        <w:tc>
          <w:tcPr>
            <w:tcW w:w="72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Renewables Segment </w:t>
            </w:r>
          </w:p>
        </w:tc>
        <w:tc>
          <w:tcPr>
            <w:tcW w:w="722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the acquisition of the Capistrano Wind Portfolio in August 2022.</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maintenance activities at the wind facilities.</w:t>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Conventional Segment </w:t>
            </w:r>
          </w:p>
        </w:tc>
        <w:tc>
          <w:tcPr>
            <w:tcW w:w="722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timing of annual planned maintenance outages at the El Segundo facility.</w:t>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6"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primarily driven by unplanned outages at the Walnut Creek and Marsh Landing facilities.</w:t>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Thermal Segment</w:t>
            </w:r>
          </w:p>
        </w:tc>
        <w:tc>
          <w:tcPr>
            <w:tcW w:w="722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Decrease primarily driven by the sale of the Thermal Business on May 1, 2022.</w:t>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$8 million during the three months ended March 31, 2023, compared to the same period in 2022, primarily due to higher interest income earned on larger cash balances with investments in money market and time deposit accounts. The larger cash balances at March 31, 2023, compared to March 31, 2022, were as a result of the proceeds received from the sale of the Thermal Business on May 1, 2022.</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$52 million during the three months ended March 31, 2023, compared to the same period in 2022, primarily due to the following:</w:t>
      </w:r>
    </w:p>
    <w:tbl>
      <w:tblPr>
        <w:tblW w:w="10110" w:type="dxa"/>
        <w:jc w:val="left"/>
        <w:tblInd w:w="0" w:type="dxa"/>
        <w:tblCellMar>
          <w:top w:w="28" w:type="dxa"/>
          <w:left w:w="28" w:type="dxa"/>
          <w:bottom w:w="28" w:type="dxa"/>
          <w:right w:w="28" w:type="dxa"/>
        </w:tblCellMar>
      </w:tblPr>
      <w:tblGrid>
        <w:gridCol w:w="3266"/>
        <w:gridCol w:w="2869"/>
        <w:gridCol w:w="2880"/>
        <w:gridCol w:w="318"/>
        <w:gridCol w:w="544"/>
        <w:gridCol w:w="233"/>
      </w:tblGrid>
      <w:tr>
        <w:trPr/>
        <w:tc>
          <w:tcPr>
            <w:tcW w:w="3266"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9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interest expense due to the sale of the Thermal Business on May 1, 2022</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interest expense due to decreased principal balances of Corporate debt, which includes repayment</w:t>
              <w:br/>
              <w:t>of the outstanding borrowings under the Bridge Loan Agreement and the revolving credit facility on May 3,</w:t>
              <w:br/>
              <w:t>2022</w:t>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interest expense due to decreased principal balances of project-level debt</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Noncontrolling Interests and Redeemable Noncontrolling Interests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had a net loss of $30 million attributable to noncontrolling interests and redeemable noncontrolling interests comprised of the following:</w:t>
      </w:r>
    </w:p>
    <w:tbl>
      <w:tblPr>
        <w:tblW w:w="9133" w:type="dxa"/>
        <w:jc w:val="left"/>
        <w:tblInd w:w="0" w:type="dxa"/>
        <w:tblCellMar>
          <w:top w:w="28" w:type="dxa"/>
          <w:left w:w="28" w:type="dxa"/>
          <w:bottom w:w="28" w:type="dxa"/>
          <w:right w:w="28" w:type="dxa"/>
        </w:tblCellMar>
      </w:tblPr>
      <w:tblGrid>
        <w:gridCol w:w="2912"/>
        <w:gridCol w:w="2557"/>
        <w:gridCol w:w="2570"/>
        <w:gridCol w:w="288"/>
        <w:gridCol w:w="596"/>
        <w:gridCol w:w="210"/>
      </w:tblGrid>
      <w:tr>
        <w:trPr/>
        <w:tc>
          <w:tcPr>
            <w:tcW w:w="2912" w:type="dxa"/>
            <w:tcBorders/>
            <w:shd w:fill="auto" w:val="clear"/>
            <w:vAlign w:val="center"/>
          </w:tcPr>
          <w:p>
            <w:pPr>
              <w:pStyle w:val="TableContents"/>
              <w:spacing w:before="0" w:after="283"/>
              <w:rPr>
                <w:sz w:val="4"/>
                <w:szCs w:val="4"/>
              </w:rPr>
            </w:pPr>
            <w:r>
              <w:rPr>
                <w:sz w:val="4"/>
                <w:szCs w:val="4"/>
              </w:rPr>
            </w:r>
          </w:p>
        </w:tc>
        <w:tc>
          <w:tcPr>
            <w:tcW w:w="2557"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8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third-party partnerships</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39"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039"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Company had a net loss of $40 million attributable to noncontrolling interests and redeemable noncontrolling interests comprised of the following:</w:t>
      </w:r>
    </w:p>
    <w:tbl>
      <w:tblPr>
        <w:tblW w:w="9134" w:type="dxa"/>
        <w:jc w:val="left"/>
        <w:tblInd w:w="0" w:type="dxa"/>
        <w:tblCellMar>
          <w:top w:w="28" w:type="dxa"/>
          <w:left w:w="28" w:type="dxa"/>
          <w:bottom w:w="28" w:type="dxa"/>
          <w:right w:w="28" w:type="dxa"/>
        </w:tblCellMar>
      </w:tblPr>
      <w:tblGrid>
        <w:gridCol w:w="2909"/>
        <w:gridCol w:w="2562"/>
        <w:gridCol w:w="2569"/>
        <w:gridCol w:w="288"/>
        <w:gridCol w:w="596"/>
        <w:gridCol w:w="210"/>
      </w:tblGrid>
      <w:tr>
        <w:trPr/>
        <w:tc>
          <w:tcPr>
            <w:tcW w:w="2909" w:type="dxa"/>
            <w:tcBorders/>
            <w:shd w:fill="auto" w:val="clear"/>
            <w:vAlign w:val="center"/>
          </w:tcPr>
          <w:p>
            <w:pPr>
              <w:pStyle w:val="TableContents"/>
              <w:spacing w:before="0" w:after="283"/>
              <w:rPr>
                <w:sz w:val="4"/>
                <w:szCs w:val="4"/>
              </w:rPr>
            </w:pPr>
            <w:r>
              <w:rPr>
                <w:sz w:val="4"/>
                <w:szCs w:val="4"/>
              </w:rPr>
            </w:r>
          </w:p>
        </w:tc>
        <w:tc>
          <w:tcPr>
            <w:tcW w:w="2562" w:type="dxa"/>
            <w:tcBorders/>
            <w:shd w:fill="auto" w:val="clear"/>
            <w:vAlign w:val="center"/>
          </w:tcPr>
          <w:p>
            <w:pPr>
              <w:pStyle w:val="TableContents"/>
              <w:spacing w:before="0" w:after="283"/>
              <w:rPr>
                <w:sz w:val="4"/>
                <w:szCs w:val="4"/>
              </w:rPr>
            </w:pPr>
            <w:r>
              <w:rPr>
                <w:sz w:val="4"/>
                <w:szCs w:val="4"/>
              </w:rPr>
            </w:r>
          </w:p>
        </w:tc>
        <w:tc>
          <w:tcPr>
            <w:tcW w:w="256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8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third-party partnerships</w:t>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attributable to tax equity financing arrangements and the application of the HLBV method</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040"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0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0" w:after="180"/>
        <w:ind w:left="0" w:right="0" w:firstLine="450"/>
        <w:jc w:val="both"/>
        <w:rPr/>
      </w:pPr>
      <w:r>
        <w:rPr>
          <w:rFonts w:ascii="Times New Roman;sans-serif" w:hAnsi="Times New Roman;sans-serif"/>
          <w:b w:val="false"/>
          <w:color w:val="231F20"/>
          <w:sz w:val="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sans-serif" w:hAnsi="Times New Roman;sans-serif"/>
          <w:b w:val="false"/>
          <w:color w:val="000000"/>
          <w:sz w:val="20"/>
        </w:rPr>
        <w:t xml:space="preserve">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Current Liquidity Position</w:t>
      </w:r>
    </w:p>
    <w:p>
      <w:pPr>
        <w:pStyle w:val="TextBody"/>
        <w:spacing w:lineRule="auto" w:line="288" w:before="0" w:after="60"/>
        <w:ind w:left="0" w:right="0" w:firstLine="45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March 31, 2023</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December 31, 2022</w:t>
      </w:r>
      <w:r>
        <w:rPr>
          <w:rFonts w:ascii="Times New Roman;sans-serif" w:hAnsi="Times New Roman;sans-serif"/>
          <w:b w:val="false"/>
          <w:color w:val="231F20"/>
          <w:sz w:val="20"/>
        </w:rPr>
        <w:t>, the Company’s liquidity was approximately $1.57 billion and $1.37 billion, respectively, comprised of cash, restricted cash and availability under the Company’s revolving credit facility.</w:t>
      </w:r>
    </w:p>
    <w:tbl>
      <w:tblPr>
        <w:tblW w:w="10205" w:type="dxa"/>
        <w:jc w:val="left"/>
        <w:tblInd w:w="0" w:type="dxa"/>
        <w:tblCellMar>
          <w:top w:w="28" w:type="dxa"/>
          <w:left w:w="28" w:type="dxa"/>
          <w:bottom w:w="28" w:type="dxa"/>
          <w:right w:w="28" w:type="dxa"/>
        </w:tblCellMar>
      </w:tblPr>
      <w:tblGrid>
        <w:gridCol w:w="2477"/>
        <w:gridCol w:w="2168"/>
        <w:gridCol w:w="2191"/>
        <w:gridCol w:w="109"/>
        <w:gridCol w:w="109"/>
        <w:gridCol w:w="109"/>
        <w:gridCol w:w="276"/>
        <w:gridCol w:w="807"/>
        <w:gridCol w:w="142"/>
        <w:gridCol w:w="109"/>
        <w:gridCol w:w="109"/>
        <w:gridCol w:w="109"/>
        <w:gridCol w:w="319"/>
        <w:gridCol w:w="934"/>
        <w:gridCol w:w="237"/>
      </w:tblGrid>
      <w:tr>
        <w:trPr/>
        <w:tc>
          <w:tcPr>
            <w:tcW w:w="2477"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68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540"/>
        <w:jc w:val="both"/>
        <w:rPr/>
      </w:pPr>
      <w:r>
        <w:rPr>
          <w:rFonts w:ascii="Times New Roman;sans-serif" w:hAnsi="Times New Roman;sans-serif"/>
          <w:b w:val="false"/>
          <w:color w:val="231F20"/>
          <w:sz w:val="20"/>
        </w:rPr>
        <w:t xml:space="preserve">The Company’s liquidity includes $437 million and $339 million of restricted cash balances as of March 31, 2023 and December 31, </w:t>
      </w:r>
      <w:r>
        <w:rPr>
          <w:rFonts w:ascii="Times New Roman;sans-serif" w:hAnsi="Times New Roman;sans-serif"/>
          <w:b w:val="false"/>
          <w:color w:val="000000"/>
          <w:sz w:val="20"/>
        </w:rPr>
        <w:t>2022</w:t>
      </w:r>
      <w:r>
        <w:rPr>
          <w:rFonts w:ascii="Times New Roman;sans-serif" w:hAnsi="Times New Roman;sans-serif"/>
          <w:b w:val="false"/>
          <w:color w:val="231F20"/>
          <w:sz w:val="20"/>
        </w:rPr>
        <w:t xml:space="preserve">, respectively. Restricted cash consists primarily of funds to satisfy the requirements of certain debt arrangements and funds held within the Company’s projects that are restricted in their use. As of </w:t>
      </w:r>
      <w:r>
        <w:rPr>
          <w:rFonts w:ascii="Times New Roman;sans-serif" w:hAnsi="Times New Roman;sans-serif"/>
          <w:b w:val="false"/>
          <w:color w:val="000000"/>
          <w:sz w:val="20"/>
        </w:rPr>
        <w:t>March 31, 2023, these restricted funds were comprised of $143 million designated to fund operating expenses, approximately $168 million designated for current debt service payments and $97 million restricted for reserves including debt service, performance obligations and other reserves, as well as capital expenditures. The remaining $29 million is held in distribution reserve accounts.</w:t>
      </w:r>
    </w:p>
    <w:p>
      <w:pPr>
        <w:pStyle w:val="TextBody"/>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Clearway Energy LLC and Clearway Energy Operating LLC Revolving Credit Facility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pStyle w:val="TextBody"/>
        <w:spacing w:lineRule="auto" w:line="288" w:before="0" w:after="180"/>
        <w:ind w:left="0" w:right="0" w:firstLine="450"/>
        <w:jc w:val="both"/>
        <w:rPr/>
      </w:pPr>
      <w:r>
        <w:rPr>
          <w:rFonts w:ascii="Times New Roman;sans-serif" w:hAnsi="Times New Roman;sans-serif"/>
          <w:b w:val="false"/>
          <w:color w:val="000000"/>
          <w:sz w:val="20"/>
        </w:rPr>
        <w:t xml:space="preserve">As of March 31, 2023, the Company had no outstanding borrowings under the revolving credit facility and $139 million in letters of credit outstanding. </w:t>
      </w:r>
      <w:r>
        <w:rPr>
          <w:rFonts w:ascii="Times New Roman;sans-serif" w:hAnsi="Times New Roman;sans-serif"/>
          <w:b w:val="false"/>
          <w:color w:val="231F20"/>
          <w:sz w:val="20"/>
        </w:rPr>
        <w:t>The facility will continue to be used for general corporate purposes including financing of future acquisitions and posting letters of credit.</w:t>
      </w:r>
    </w:p>
    <w:p>
      <w:pPr>
        <w:pStyle w:val="TextBody"/>
        <w:spacing w:lineRule="auto" w:line="288" w:before="0" w:after="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i/>
          <w:color w:val="231F20"/>
          <w:sz w:val="20"/>
        </w:rPr>
      </w:pPr>
      <w:r>
        <w:rPr>
          <w:rFonts w:ascii="Times New Roman;sans-serif" w:hAnsi="Times New Roman;sans-serif"/>
          <w:b/>
          <w:i/>
          <w:color w:val="231F20"/>
          <w:sz w:val="20"/>
        </w:rPr>
        <w:t>Sources of Liquidity</w:t>
      </w:r>
    </w:p>
    <w:p>
      <w:pPr>
        <w:pStyle w:val="TextBody"/>
        <w:spacing w:lineRule="auto" w:line="276" w:before="0" w:after="180"/>
        <w:ind w:left="0" w:right="0" w:firstLine="450"/>
        <w:jc w:val="both"/>
        <w:rPr/>
      </w:pPr>
      <w:r>
        <w:rPr>
          <w:rFonts w:ascii="Times New Roman;sans-serif" w:hAnsi="Times New Roman;sans-serif"/>
          <w:b w:val="false"/>
          <w:color w:val="231F20"/>
          <w:sz w:val="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Times New Roman;sans-serif" w:hAnsi="Times New Roman;sans-serif"/>
          <w:b w:val="false"/>
          <w:i/>
          <w:color w:val="231F20"/>
          <w:sz w:val="20"/>
        </w:rPr>
        <w:t>Long-term Debt</w:t>
      </w:r>
      <w:r>
        <w:rPr>
          <w:rFonts w:ascii="Times New Roman;sans-serif" w:hAnsi="Times New Roman;sans-serif"/>
          <w:b w:val="false"/>
          <w:color w:val="231F20"/>
          <w:sz w:val="20"/>
        </w:rPr>
        <w:t xml:space="preserve">, to this Form 10-Q and Item 15 — Note 10, </w:t>
      </w:r>
      <w:r>
        <w:rPr>
          <w:rFonts w:ascii="Times New Roman;sans-serif" w:hAnsi="Times New Roman;sans-serif"/>
          <w:b w:val="false"/>
          <w:i/>
          <w:color w:val="231F20"/>
          <w:sz w:val="20"/>
        </w:rPr>
        <w:t>Long-term Debt</w:t>
      </w:r>
      <w:r>
        <w:rPr>
          <w:rFonts w:ascii="Times New Roman;sans-serif" w:hAnsi="Times New Roman;sans-serif"/>
          <w:b w:val="false"/>
          <w:color w:val="231F20"/>
          <w:sz w:val="20"/>
        </w:rPr>
        <w:t xml:space="preserve">, to the consolidated financial statements included in the Company’s </w:t>
      </w:r>
      <w:r>
        <w:rPr>
          <w:rFonts w:ascii="Times New Roman;sans-serif" w:hAnsi="Times New Roman;sans-serif"/>
          <w:b w:val="false"/>
          <w:color w:val="000000"/>
          <w:sz w:val="20"/>
        </w:rPr>
        <w:t>2022 Form 10-K</w:t>
      </w:r>
      <w:r>
        <w:rPr>
          <w:rFonts w:ascii="Times New Roman;sans-serif" w:hAnsi="Times New Roman;sans-serif"/>
          <w:b w:val="false"/>
          <w:color w:val="231F20"/>
          <w:sz w:val="20"/>
        </w:rPr>
        <w:t xml:space="preserve">, the Company’s financing arrangements consist of </w:t>
      </w:r>
      <w:r>
        <w:rPr>
          <w:rFonts w:ascii="Times New Roman;sans-serif" w:hAnsi="Times New Roman;sans-serif"/>
          <w:b w:val="false"/>
          <w:color w:val="000000"/>
          <w:sz w:val="20"/>
        </w:rPr>
        <w:t>corporate level debt, which includes Senior Notes, intercompany borrowings with Clearway, Inc. and the revolving credit facility, the ATM Program and project-level financings for its various assets.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Ratings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March 31, 2023, the Company’s 2028 Senior Notes, 2031 Senior Notes and 2032 Senior Notes were rated BB by S&amp;P and Ba2 by Moody’s.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jc w:val="both"/>
        <w:rPr>
          <w:rFonts w:ascii="Times New Roman;sans-serif" w:hAnsi="Times New Roman;sans-serif"/>
          <w:b/>
          <w:i/>
          <w:color w:val="231F20"/>
          <w:sz w:val="20"/>
        </w:rPr>
      </w:pPr>
      <w:r>
        <w:rPr>
          <w:rFonts w:ascii="Times New Roman;sans-serif" w:hAnsi="Times New Roman;sans-serif"/>
          <w:b/>
          <w:i/>
          <w:color w:val="231F20"/>
          <w:sz w:val="20"/>
        </w:rPr>
        <w:t>Uses of Liquidity</w:t>
      </w:r>
    </w:p>
    <w:p>
      <w:pPr>
        <w:pStyle w:val="TextBody"/>
        <w:spacing w:lineRule="auto" w:line="288" w:before="0" w:after="180"/>
        <w:ind w:left="0" w:right="0" w:firstLine="450"/>
        <w:jc w:val="both"/>
        <w:rPr/>
      </w:pPr>
      <w:r>
        <w:rPr>
          <w:rFonts w:ascii="Times New Roman;sans-serif" w:hAnsi="Times New Roman;sans-serif"/>
          <w:b w:val="false"/>
          <w:color w:val="231F20"/>
          <w:sz w:val="20"/>
        </w:rPr>
        <w:t xml:space="preserve">The Company’s requirements for liquidity and capital resources, other than for operating its facilities, are categorized as: (i) debt service obligations, as described more fully in </w:t>
      </w:r>
      <w:r>
        <w:rPr>
          <w:rFonts w:ascii="Times New Roman;sans-serif" w:hAnsi="Times New Roman;sans-serif"/>
          <w:b w:val="false"/>
          <w:color w:val="000000"/>
          <w:sz w:val="20"/>
        </w:rPr>
        <w:t>Note 7</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color w:val="231F20"/>
        </w:rPr>
        <w:t xml:space="preserve"> </w:t>
      </w:r>
      <w:r>
        <w:rPr>
          <w:rFonts w:ascii="Times New Roman;sans-serif" w:hAnsi="Times New Roman;sans-serif"/>
          <w:b w:val="false"/>
          <w:color w:val="231F20"/>
          <w:sz w:val="20"/>
        </w:rPr>
        <w:t xml:space="preserve">(ii) capital expenditures; (iii) off-balance sheet arrangements; (iv) acquisitions and investments, as described more fully in </w:t>
      </w:r>
      <w:r>
        <w:rPr>
          <w:rFonts w:ascii="Times New Roman;sans-serif" w:hAnsi="Times New Roman;sans-serif"/>
          <w:b w:val="false"/>
          <w:color w:val="000000"/>
          <w:sz w:val="20"/>
        </w:rPr>
        <w:t xml:space="preserve">Note 3, </w:t>
      </w:r>
      <w:r>
        <w:rPr>
          <w:rFonts w:ascii="Times New Roman;sans-serif" w:hAnsi="Times New Roman;sans-serif"/>
          <w:b w:val="false"/>
          <w:i/>
          <w:color w:val="000000"/>
          <w:sz w:val="20"/>
        </w:rPr>
        <w:t>Acquisitions and Dispositions</w:t>
      </w:r>
      <w:r>
        <w:rPr>
          <w:rFonts w:ascii="Times New Roman;sans-serif" w:hAnsi="Times New Roman;sans-serif"/>
          <w:b w:val="false"/>
          <w:color w:val="231F20"/>
          <w:sz w:val="20"/>
        </w:rPr>
        <w:t>; and (v) distributions.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pStyle w:val="TextBody"/>
        <w:spacing w:lineRule="auto" w:line="288" w:before="0" w:after="180"/>
        <w:ind w:left="0" w:right="0" w:firstLine="450"/>
        <w:jc w:val="both"/>
        <w:rPr/>
      </w:pPr>
      <w:r>
        <w:rPr>
          <w:rFonts w:ascii="Times New Roman;sans-serif" w:hAnsi="Times New Roman;sans-serif"/>
          <w:b w:val="false"/>
          <w:color w:val="231F20"/>
          <w:sz w:val="20"/>
        </w:rPr>
        <w:t xml:space="preserve">For the three months ended </w:t>
      </w:r>
      <w:r>
        <w:rPr>
          <w:rFonts w:ascii="Times New Roman;sans-serif" w:hAnsi="Times New Roman;sans-serif"/>
          <w:b w:val="false"/>
          <w:color w:val="000000"/>
          <w:sz w:val="20"/>
        </w:rPr>
        <w:t>March 31, 2023</w:t>
      </w:r>
      <w:r>
        <w:rPr>
          <w:rFonts w:ascii="Times New Roman;sans-serif" w:hAnsi="Times New Roman;sans-serif"/>
          <w:b w:val="false"/>
          <w:color w:val="231F20"/>
          <w:sz w:val="20"/>
        </w:rPr>
        <w:t xml:space="preserve">, the Company used approximately $88 million to fund capital expenditures, including growth </w:t>
      </w:r>
      <w:r>
        <w:rPr>
          <w:rFonts w:ascii="Times New Roman;sans-serif" w:hAnsi="Times New Roman;sans-serif"/>
          <w:b w:val="false"/>
          <w:color w:val="000000"/>
          <w:sz w:val="20"/>
        </w:rPr>
        <w:t>expenditures of $81 million in the Renewables segment, funded through construction-related financing. Renewables segment capital expenditures included $74 million incurred in connection with the Daggett 3 solar project and $7 million incurred in connection with the Waiawa solar project. In addition, the Company incurred $7 million in maintenance capital expenditures. The Company estimates $35 million of maintenance expenditures for 2023. These estimates are subject to continuing review and adjustment. Actual capital expenditures may vary from these estimates.</w:t>
      </w:r>
    </w:p>
    <w:p>
      <w:pPr>
        <w:pStyle w:val="TextBody"/>
        <w:spacing w:lineRule="auto" w:line="276"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 and Investments</w:t>
      </w:r>
    </w:p>
    <w:p>
      <w:pPr>
        <w:pStyle w:val="TextBody"/>
        <w:spacing w:lineRule="auto" w:line="276"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pStyle w:val="TextBody"/>
        <w:spacing w:lineRule="auto" w:line="276" w:before="0" w:after="180"/>
        <w:ind w:left="0" w:right="0" w:firstLine="450"/>
        <w:jc w:val="both"/>
        <w:rPr/>
      </w:pPr>
      <w:r>
        <w:rPr>
          <w:rFonts w:ascii="Times New Roman;sans-serif" w:hAnsi="Times New Roman;sans-serif"/>
          <w:b w:val="false"/>
          <w:i/>
          <w:color w:val="000000"/>
          <w:sz w:val="20"/>
        </w:rPr>
        <w:t xml:space="preserve">Waiawa Drop Down - </w:t>
      </w:r>
      <w:r>
        <w:rPr>
          <w:rFonts w:ascii="Times New Roman;sans-serif" w:hAnsi="Times New Roman;sans-serif"/>
          <w:b w:val="false"/>
          <w:color w:val="000000"/>
          <w:sz w:val="20"/>
        </w:rPr>
        <w:t xml:space="preserve">In connection with the 2022 Drop Down of Waiawa, the Company assumed the project’s financing agreement, which includes a construction loan that converted to a term loan on March 30, 2023 upon the project reaching substantial completion and a tax equity bridge loan that was repaid on March 30, 2023. </w:t>
      </w:r>
    </w:p>
    <w:p>
      <w:pPr>
        <w:pStyle w:val="TextBody"/>
        <w:spacing w:lineRule="auto" w:line="288" w:before="100" w:after="180"/>
        <w:ind w:left="0" w:right="0" w:firstLine="450"/>
        <w:jc w:val="both"/>
        <w:rPr/>
      </w:pPr>
      <w:r>
        <w:rPr>
          <w:rFonts w:ascii="Times New Roman;sans-serif" w:hAnsi="Times New Roman;sans-serif"/>
          <w:b w:val="false"/>
          <w:i/>
          <w:color w:val="000000"/>
          <w:sz w:val="20"/>
        </w:rPr>
        <w:t>Daggett 3 Drop Down</w:t>
      </w:r>
      <w:r>
        <w:rPr>
          <w:color w:val="000000"/>
        </w:rPr>
        <w:t xml:space="preserve"> — </w:t>
      </w:r>
      <w:r>
        <w:rPr>
          <w:rFonts w:ascii="Times New Roman;sans-serif" w:hAnsi="Times New Roman;sans-serif"/>
          <w:b w:val="false"/>
          <w:color w:val="000000"/>
          <w:sz w:val="20"/>
        </w:rPr>
        <w:t>On February 17, 2023, the Company, through its indirect subsidiary, Daggett Solar Investment LLC, acquired the Class A membership interests in Daggett TargetCo LLC, the indirect owner of the Daggett 3 solar project for cash consideration of $21 million and then contributed its Class A membership interests into Daggett Renewable Holdco LLC, a partnership between the Company and a cash equity investor, which consolidates Daggett TargetCo LLC. Daggett TargetCo LLC consolidates, as the indirect owner of the primary beneficiary, a tax equity fund, Daggett TE Holdco LLC, which owns the Daggett 3 solar project. Daggett 3 has PPAs with investment-grade counterparties that have a 15-year weighted average contract duration that commence when the underlying operating assets reach commercial operations, which is expected to occur for the majority of the operating assets in the second quarter of 2023. The acquisition was funded with existing sources of liquidity.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Distributions to Clearway, Inc. and CEG</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distributions paid on the Company’s Class A, B, C and D units during the three months ended March 31, 2023:</w:t>
      </w:r>
    </w:p>
    <w:tbl>
      <w:tblPr>
        <w:tblW w:w="5912" w:type="dxa"/>
        <w:jc w:val="left"/>
        <w:tblInd w:w="0" w:type="dxa"/>
        <w:tblCellMar>
          <w:top w:w="28" w:type="dxa"/>
          <w:left w:w="28" w:type="dxa"/>
          <w:bottom w:w="28" w:type="dxa"/>
          <w:right w:w="28" w:type="dxa"/>
        </w:tblCellMar>
      </w:tblPr>
      <w:tblGrid>
        <w:gridCol w:w="1267"/>
        <w:gridCol w:w="1111"/>
        <w:gridCol w:w="1117"/>
        <w:gridCol w:w="109"/>
        <w:gridCol w:w="109"/>
        <w:gridCol w:w="109"/>
        <w:gridCol w:w="109"/>
        <w:gridCol w:w="109"/>
        <w:gridCol w:w="109"/>
        <w:gridCol w:w="109"/>
        <w:gridCol w:w="109"/>
        <w:gridCol w:w="300"/>
        <w:gridCol w:w="1026"/>
        <w:gridCol w:w="219"/>
      </w:tblGrid>
      <w:tr>
        <w:trPr/>
        <w:tc>
          <w:tcPr>
            <w:tcW w:w="126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 2023</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per Class A, B, C and D unit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3, 2023, the Company declared a distribution on its Class A, Class B, Class C and Class D units of $0.3818 per unit payable on June 15, 2023 to unit holders of record as of June 1, 2023.</w:t>
      </w:r>
    </w:p>
    <w:p>
      <w:pPr>
        <w:pStyle w:val="TextBody"/>
        <w:spacing w:before="0" w:after="0"/>
        <w:ind w:left="0" w:right="0" w:firstLine="450"/>
        <w:jc w:val="both"/>
        <w:rPr/>
      </w:pPr>
      <w:r>
        <w:rPr/>
      </w:r>
    </w:p>
    <w:p>
      <w:pPr>
        <w:pStyle w:val="TextBody"/>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Obligations under Certain Guarantee Contracts</w:t>
      </w:r>
    </w:p>
    <w:p>
      <w:pPr>
        <w:pStyle w:val="TextBody"/>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may enter into guarantee arrangements in the normal course of business to facilitate commercial transactions with third parties.</w:t>
      </w:r>
    </w:p>
    <w:p>
      <w:pPr>
        <w:pStyle w:val="TextBody"/>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Retained or Contingent Interests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material retained or contingent interests in assets transferred to an unconsolidated entity.</w:t>
      </w:r>
    </w:p>
    <w:p>
      <w:pPr>
        <w:pStyle w:val="TextBody"/>
        <w:spacing w:lineRule="auto" w:line="288" w:before="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Obligations Arising Out of a Variable Interest in an Unconsolidated Entity</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has several investments with an ownership interest percentage of 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$320 million as of March 31, 2023. This indebtedness may restrict the ability of these subsidiaries to issue dividends or distributions to the Company.</w:t>
      </w:r>
    </w:p>
    <w:p>
      <w:pPr>
        <w:pStyle w:val="TextBody"/>
        <w:spacing w:lineRule="auto" w:line="288" w:before="0" w:after="18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 and Commercial Commitments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variety of contractual obligations and other commercial commitments that represent prospective cash requirements in addition to the Company’s capital expenditure programs, as disclosed in the Company’s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Cash Flow Discussion</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changes in cash flows for the comparative periods:</w:t>
      </w:r>
    </w:p>
    <w:tbl>
      <w:tblPr>
        <w:tblW w:w="7696" w:type="dxa"/>
        <w:jc w:val="left"/>
        <w:tblInd w:w="0" w:type="dxa"/>
        <w:tblCellMar>
          <w:top w:w="28" w:type="dxa"/>
          <w:left w:w="28" w:type="dxa"/>
          <w:bottom w:w="28" w:type="dxa"/>
          <w:right w:w="28" w:type="dxa"/>
        </w:tblCellMar>
      </w:tblPr>
      <w:tblGrid>
        <w:gridCol w:w="1525"/>
        <w:gridCol w:w="1343"/>
        <w:gridCol w:w="1346"/>
        <w:gridCol w:w="294"/>
        <w:gridCol w:w="503"/>
        <w:gridCol w:w="152"/>
        <w:gridCol w:w="152"/>
        <w:gridCol w:w="152"/>
        <w:gridCol w:w="152"/>
        <w:gridCol w:w="294"/>
        <w:gridCol w:w="503"/>
        <w:gridCol w:w="152"/>
        <w:gridCol w:w="109"/>
        <w:gridCol w:w="109"/>
        <w:gridCol w:w="109"/>
        <w:gridCol w:w="211"/>
        <w:gridCol w:w="436"/>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Provided by Operating Activities</w:t>
      </w:r>
    </w:p>
    <w:tbl>
      <w:tblPr>
        <w:tblW w:w="10205" w:type="dxa"/>
        <w:jc w:val="left"/>
        <w:tblInd w:w="0" w:type="dxa"/>
        <w:tblCellMar>
          <w:top w:w="28" w:type="dxa"/>
          <w:left w:w="28" w:type="dxa"/>
          <w:bottom w:w="28" w:type="dxa"/>
          <w:right w:w="28" w:type="dxa"/>
        </w:tblCellMar>
      </w:tblPr>
      <w:tblGrid>
        <w:gridCol w:w="3358"/>
        <w:gridCol w:w="2895"/>
        <w:gridCol w:w="2906"/>
        <w:gridCol w:w="277"/>
        <w:gridCol w:w="566"/>
        <w:gridCol w:w="203"/>
      </w:tblGrid>
      <w:tr>
        <w:trPr/>
        <w:tc>
          <w:tcPr>
            <w:tcW w:w="3358" w:type="dxa"/>
            <w:tcBorders/>
            <w:shd w:fill="auto" w:val="clear"/>
            <w:vAlign w:val="center"/>
          </w:tcPr>
          <w:p>
            <w:pPr>
              <w:pStyle w:val="TableContents"/>
              <w:spacing w:before="0" w:after="283"/>
              <w:rPr>
                <w:sz w:val="4"/>
                <w:szCs w:val="4"/>
              </w:rPr>
            </w:pPr>
            <w:r>
              <w:rPr>
                <w:sz w:val="4"/>
                <w:szCs w:val="4"/>
              </w:rPr>
            </w:r>
          </w:p>
        </w:tc>
        <w:tc>
          <w:tcPr>
            <w:tcW w:w="2895" w:type="dxa"/>
            <w:tcBorders/>
            <w:shd w:fill="auto" w:val="clear"/>
            <w:vAlign w:val="center"/>
          </w:tcPr>
          <w:p>
            <w:pPr>
              <w:pStyle w:val="TableContents"/>
              <w:spacing w:before="0" w:after="283"/>
              <w:rPr>
                <w:sz w:val="4"/>
                <w:szCs w:val="4"/>
              </w:rPr>
            </w:pPr>
            <w:r>
              <w:rPr>
                <w:sz w:val="4"/>
                <w:szCs w:val="4"/>
              </w:rPr>
            </w:r>
          </w:p>
        </w:tc>
        <w:tc>
          <w:tcPr>
            <w:tcW w:w="290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ind w:left="0" w:right="0" w:hanging="180"/>
              <w:rPr>
                <w:sz w:val="4"/>
                <w:szCs w:val="4"/>
              </w:rPr>
            </w:pPr>
            <w:r>
              <w:rPr>
                <w:sz w:val="4"/>
                <w:szCs w:val="4"/>
              </w:rPr>
            </w:r>
          </w:p>
        </w:tc>
      </w:tr>
      <w:tr>
        <w:trPr/>
        <w:tc>
          <w:tcPr>
            <w:tcW w:w="9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net cash provided by operating activities were driven by:</w:t>
            </w:r>
          </w:p>
        </w:tc>
        <w:tc>
          <w:tcPr>
            <w:tcW w:w="1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operating income adjusted for non-cash items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distributions from unconsolidated affiliates</w:t>
            </w:r>
          </w:p>
        </w:tc>
        <w:tc>
          <w:tcPr>
            <w:tcW w:w="8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working capital primarily driven by the timing of accounts receivable collections and payments of accounts payable</w:t>
            </w:r>
          </w:p>
        </w:tc>
        <w:tc>
          <w:tcPr>
            <w:tcW w:w="8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59"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r>
      <w:tr>
        <w:trPr/>
        <w:tc>
          <w:tcPr>
            <w:tcW w:w="9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9159"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r>
      <w:tr>
        <w:trPr/>
        <w:tc>
          <w:tcPr>
            <w:tcW w:w="9159" w:type="dxa"/>
            <w:gridSpan w:val="3"/>
            <w:tcBorders/>
            <w:shd w:fill="auto" w:val="clear"/>
            <w:vAlign w:val="center"/>
          </w:tcPr>
          <w:p>
            <w:pPr>
              <w:pStyle w:val="TableContents"/>
              <w:spacing w:before="0" w:after="283"/>
              <w:rPr>
                <w:sz w:val="4"/>
                <w:szCs w:val="4"/>
              </w:rPr>
            </w:pPr>
            <w:r>
              <w:rPr>
                <w:sz w:val="4"/>
                <w:szCs w:val="4"/>
              </w:rPr>
            </w:r>
          </w:p>
        </w:tc>
        <w:tc>
          <w:tcPr>
            <w:tcW w:w="104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tbl>
      <w:tblPr>
        <w:tblW w:w="6540" w:type="dxa"/>
        <w:jc w:val="left"/>
        <w:tblInd w:w="0" w:type="dxa"/>
        <w:tblCellMar>
          <w:top w:w="28" w:type="dxa"/>
          <w:left w:w="28" w:type="dxa"/>
          <w:bottom w:w="28" w:type="dxa"/>
          <w:right w:w="28" w:type="dxa"/>
        </w:tblCellMar>
      </w:tblPr>
      <w:tblGrid>
        <w:gridCol w:w="1973"/>
        <w:gridCol w:w="1733"/>
        <w:gridCol w:w="1739"/>
        <w:gridCol w:w="318"/>
        <w:gridCol w:w="544"/>
        <w:gridCol w:w="233"/>
      </w:tblGrid>
      <w:tr>
        <w:trPr/>
        <w:tc>
          <w:tcPr>
            <w:tcW w:w="1973"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ind w:left="0" w:right="0" w:hanging="180"/>
              <w:rPr>
                <w:sz w:val="4"/>
                <w:szCs w:val="4"/>
              </w:rPr>
            </w:pPr>
            <w:r>
              <w:rPr>
                <w:sz w:val="4"/>
                <w:szCs w:val="4"/>
              </w:rPr>
            </w:r>
          </w:p>
        </w:tc>
      </w:tr>
      <w:tr>
        <w:trPr/>
        <w:tc>
          <w:tcPr>
            <w:tcW w:w="5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net cash used in investing activities were driven by:</w:t>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paid for Drop Down Assets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the return of investment from unconsolidated affiliates</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capital expenditures</w:t>
            </w:r>
          </w:p>
        </w:tc>
        <w:tc>
          <w:tcPr>
            <w:tcW w:w="8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Net Cash Provided by (Used in) Financing Activities</w:t>
      </w:r>
    </w:p>
    <w:tbl>
      <w:tblPr>
        <w:tblW w:w="8744" w:type="dxa"/>
        <w:jc w:val="left"/>
        <w:tblInd w:w="0" w:type="dxa"/>
        <w:tblCellMar>
          <w:top w:w="28" w:type="dxa"/>
          <w:left w:w="28" w:type="dxa"/>
          <w:bottom w:w="28" w:type="dxa"/>
          <w:right w:w="28" w:type="dxa"/>
        </w:tblCellMar>
      </w:tblPr>
      <w:tblGrid>
        <w:gridCol w:w="2767"/>
        <w:gridCol w:w="2432"/>
        <w:gridCol w:w="2450"/>
        <w:gridCol w:w="278"/>
        <w:gridCol w:w="614"/>
        <w:gridCol w:w="203"/>
      </w:tblGrid>
      <w:tr>
        <w:trPr/>
        <w:tc>
          <w:tcPr>
            <w:tcW w:w="2767"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ind w:left="0" w:right="0" w:hanging="180"/>
              <w:rPr>
                <w:sz w:val="4"/>
                <w:szCs w:val="4"/>
              </w:rPr>
            </w:pPr>
            <w:r>
              <w:rPr>
                <w:sz w:val="4"/>
                <w:szCs w:val="4"/>
              </w:rPr>
            </w:r>
          </w:p>
        </w:tc>
      </w:tr>
      <w:tr>
        <w:trPr/>
        <w:tc>
          <w:tcPr>
            <w:tcW w:w="7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cash provided by (used in) financing activities were driven by:</w:t>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649"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649"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contributions from noncontrolling interest members and CEG, net of distributions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released from escrow distributed to CEG in 2022</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proceeds from the revolving credit facility, net of payments</w:t>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proceeds from the issuance of long-term debt, net of payments</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payments of distributions</w:t>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Fair Value of Derivative Instruments</w:t>
      </w:r>
    </w:p>
    <w:p>
      <w:pPr>
        <w:pStyle w:val="TextBody"/>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180"/>
        <w:ind w:left="0" w:right="0" w:firstLine="540"/>
        <w:jc w:val="both"/>
        <w:rPr/>
      </w:pPr>
      <w:r>
        <w:rPr>
          <w:rFonts w:ascii="Times New Roman;sans-serif" w:hAnsi="Times New Roman;sans-serif"/>
          <w:b w:val="false"/>
          <w:color w:val="231F20"/>
          <w:sz w:val="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sans-serif" w:hAnsi="Times New Roman;sans-serif"/>
          <w:b w:val="false"/>
          <w:color w:val="000000"/>
          <w:sz w:val="20"/>
        </w:rPr>
        <w:t>March 31, 2023</w:t>
      </w:r>
      <w:r>
        <w:rPr>
          <w:rFonts w:ascii="Times New Roman;sans-serif" w:hAnsi="Times New Roman;sans-serif"/>
          <w:b w:val="false"/>
          <w:color w:val="231F20"/>
          <w:sz w:val="20"/>
        </w:rPr>
        <w:t xml:space="preserve">, based on their level within the fair value hierarchy defined in ASC 820; and indicate the maturities of contracts at </w:t>
      </w:r>
      <w:r>
        <w:rPr>
          <w:rFonts w:ascii="Times New Roman;sans-serif" w:hAnsi="Times New Roman;sans-serif"/>
          <w:b w:val="false"/>
          <w:color w:val="000000"/>
          <w:sz w:val="20"/>
        </w:rPr>
        <w:t>March 31, 2023</w:t>
      </w:r>
      <w:r>
        <w:rPr>
          <w:rFonts w:ascii="Times New Roman;sans-serif" w:hAnsi="Times New Roman;sans-serif"/>
          <w:b w:val="false"/>
          <w:color w:val="231F20"/>
          <w:sz w:val="20"/>
        </w:rPr>
        <w:t xml:space="preserve">. For a full discussion of the Company’s valuation methodology of its contracts, see </w:t>
      </w:r>
      <w:r>
        <w:rPr>
          <w:rFonts w:ascii="Times New Roman;sans-serif" w:hAnsi="Times New Roman;sans-serif"/>
          <w:b w:val="false"/>
          <w:i/>
          <w:color w:val="231F20"/>
          <w:sz w:val="20"/>
        </w:rPr>
        <w:t xml:space="preserve">Derivative Fair Value Measurements </w:t>
      </w:r>
      <w:r>
        <w:rPr>
          <w:rFonts w:ascii="Times New Roman;sans-serif" w:hAnsi="Times New Roman;sans-serif"/>
          <w:b w:val="false"/>
          <w:color w:val="231F20"/>
          <w:sz w:val="20"/>
        </w:rPr>
        <w:t xml:space="preserve">in </w:t>
      </w:r>
      <w:r>
        <w:rPr>
          <w:rFonts w:ascii="Times New Roman;sans-serif" w:hAnsi="Times New Roman;sans-serif"/>
          <w:b w:val="false"/>
          <w:color w:val="000000"/>
          <w:sz w:val="20"/>
        </w:rPr>
        <w:t>Note 5</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231F20"/>
          <w:sz w:val="20"/>
        </w:rPr>
        <w:t>.</w:t>
      </w:r>
    </w:p>
    <w:tbl>
      <w:tblPr>
        <w:tblW w:w="5759" w:type="dxa"/>
        <w:jc w:val="left"/>
        <w:tblInd w:w="0" w:type="dxa"/>
        <w:tblCellMar>
          <w:top w:w="28" w:type="dxa"/>
          <w:left w:w="28" w:type="dxa"/>
          <w:bottom w:w="28" w:type="dxa"/>
          <w:right w:w="28" w:type="dxa"/>
        </w:tblCellMar>
      </w:tblPr>
      <w:tblGrid>
        <w:gridCol w:w="1690"/>
        <w:gridCol w:w="1485"/>
        <w:gridCol w:w="1489"/>
        <w:gridCol w:w="255"/>
        <w:gridCol w:w="654"/>
        <w:gridCol w:w="186"/>
      </w:tblGrid>
      <w:tr>
        <w:trPr/>
        <w:tc>
          <w:tcPr>
            <w:tcW w:w="169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Derivative Activity (Losses) Gains</w:t>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contracts as of December 31, 2022</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realized or otherwise settled during the period</w:t>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acquired during the period</w:t>
            </w:r>
          </w:p>
        </w:tc>
        <w:tc>
          <w:tcPr>
            <w:tcW w:w="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4664" w:type="dxa"/>
            <w:gridSpan w:val="3"/>
            <w:tcBorders/>
            <w:shd w:fill="auto" w:val="clear"/>
            <w:vAlign w:val="center"/>
          </w:tcPr>
          <w:p>
            <w:pPr>
              <w:pStyle w:val="TableContents"/>
              <w:spacing w:before="0" w:after="283"/>
              <w:rPr>
                <w:sz w:val="4"/>
                <w:szCs w:val="4"/>
              </w:rPr>
            </w:pPr>
            <w:r>
              <w:rPr>
                <w:sz w:val="4"/>
                <w:szCs w:val="4"/>
              </w:rPr>
            </w:r>
          </w:p>
        </w:tc>
        <w:tc>
          <w:tcPr>
            <w:tcW w:w="1095" w:type="dxa"/>
            <w:gridSpan w:val="3"/>
            <w:tcBorders/>
            <w:shd w:fill="auto" w:val="clear"/>
            <w:vAlign w:val="center"/>
          </w:tcPr>
          <w:p>
            <w:pPr>
              <w:pStyle w:val="TableContents"/>
              <w:spacing w:before="0" w:after="283"/>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contracts as of March 31, 2023</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101" w:type="dxa"/>
        <w:jc w:val="center"/>
        <w:tblInd w:w="0" w:type="dxa"/>
        <w:tblCellMar>
          <w:top w:w="28" w:type="dxa"/>
          <w:left w:w="28" w:type="dxa"/>
          <w:bottom w:w="28" w:type="dxa"/>
          <w:right w:w="28" w:type="dxa"/>
        </w:tblCellMar>
      </w:tblPr>
      <w:tblGrid>
        <w:gridCol w:w="1003"/>
        <w:gridCol w:w="882"/>
        <w:gridCol w:w="889"/>
        <w:gridCol w:w="322"/>
        <w:gridCol w:w="666"/>
        <w:gridCol w:w="166"/>
        <w:gridCol w:w="109"/>
        <w:gridCol w:w="109"/>
        <w:gridCol w:w="109"/>
        <w:gridCol w:w="389"/>
        <w:gridCol w:w="805"/>
        <w:gridCol w:w="201"/>
        <w:gridCol w:w="109"/>
        <w:gridCol w:w="109"/>
        <w:gridCol w:w="109"/>
        <w:gridCol w:w="406"/>
        <w:gridCol w:w="839"/>
        <w:gridCol w:w="209"/>
        <w:gridCol w:w="109"/>
        <w:gridCol w:w="109"/>
        <w:gridCol w:w="109"/>
        <w:gridCol w:w="272"/>
        <w:gridCol w:w="698"/>
        <w:gridCol w:w="140"/>
        <w:gridCol w:w="109"/>
        <w:gridCol w:w="109"/>
        <w:gridCol w:w="109"/>
        <w:gridCol w:w="211"/>
        <w:gridCol w:w="541"/>
        <w:gridCol w:w="154"/>
      </w:tblGrid>
      <w:tr>
        <w:trPr/>
        <w:tc>
          <w:tcPr>
            <w:tcW w:w="1003"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7"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contracts as of March 31, 2023</w:t>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7"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color w:val="000000"/>
                <w:sz w:val="16"/>
                <w:u w:val="single"/>
              </w:rPr>
            </w:pPr>
            <w:r>
              <w:rPr>
                <w:rFonts w:ascii="Times New Roman;sans-serif" w:hAnsi="Times New Roman;sans-serif"/>
                <w:b/>
                <w:color w:val="000000"/>
                <w:sz w:val="16"/>
                <w:u w:val="single"/>
              </w:rPr>
              <w:t>Fair Value Hierarchy (Losses) Gains</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Year or Less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 Year to 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 Years to 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Greater Than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Fair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7"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774"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has elected to disclose derivative assets and liabilities on a trade-by-trade basis and does not offset amounts at the counterparty master agreement level.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acquisition accounting and determining the fair value of financial instruments.</w:t>
      </w:r>
    </w:p>
    <w:p>
      <w:pPr>
        <w:pStyle w:val="TextBody"/>
        <w:spacing w:lineRule="auto" w:line="288" w:before="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 Accounting Developments</w:t>
      </w:r>
    </w:p>
    <w:p>
      <w:pPr>
        <w:pStyle w:val="TextBody"/>
        <w:spacing w:lineRule="auto" w:line="288" w:before="0" w:after="180"/>
        <w:ind w:left="0" w:right="0" w:firstLine="495"/>
        <w:jc w:val="both"/>
        <w:rPr/>
      </w:pPr>
      <w:r>
        <w:rPr>
          <w:rFonts w:ascii="Times New Roman;sans-serif" w:hAnsi="Times New Roman;sans-serif"/>
          <w:b w:val="false"/>
          <w:color w:val="000000"/>
          <w:sz w:val="20"/>
        </w:rPr>
        <w:t xml:space="preserve">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for a discussion of recent accounting developments.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 Quantitative and Qualitative Disclosures About Market Risk</w:t>
      </w:r>
    </w:p>
    <w:p>
      <w:pPr>
        <w:pStyle w:val="TextBody"/>
        <w:spacing w:lineRule="auto" w:line="288" w:before="0" w:after="180"/>
        <w:ind w:left="0" w:right="0" w:firstLine="450"/>
        <w:jc w:val="both"/>
        <w:rPr/>
      </w:pPr>
      <w:r>
        <w:rPr>
          <w:rFonts w:ascii="Times New Roman;sans-serif" w:hAnsi="Times New Roman;sans-serif"/>
          <w:b w:val="false"/>
          <w:color w:val="231F20"/>
          <w:sz w:val="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sans-serif" w:hAnsi="Times New Roman;sans-serif"/>
          <w:b w:val="false"/>
          <w:color w:val="000000"/>
          <w:sz w:val="20"/>
        </w:rPr>
        <w:t>The following disclosures about market risk provide an update to, and should be read in conjunction with, Item 7A —</w:t>
      </w:r>
      <w:r>
        <w:rPr>
          <w:color w:val="000000"/>
        </w:rPr>
        <w:t xml:space="preserve"> </w:t>
      </w:r>
      <w:r>
        <w:rPr>
          <w:rFonts w:ascii="Times New Roman;sans-serif" w:hAnsi="Times New Roman;sans-serif"/>
          <w:b w:val="false"/>
          <w:i/>
          <w:color w:val="000000"/>
          <w:sz w:val="20"/>
        </w:rPr>
        <w:t xml:space="preserve">Quantitative and Qualitative Disclosures About Market Risk, </w:t>
      </w:r>
      <w:r>
        <w:rPr>
          <w:rFonts w:ascii="Times New Roman;sans-serif" w:hAnsi="Times New Roman;sans-serif"/>
          <w:b w:val="false"/>
          <w:color w:val="000000"/>
          <w:sz w:val="20"/>
        </w:rPr>
        <w:t>of the Company’s 2022 Form 10-K.</w:t>
      </w:r>
    </w:p>
    <w:p>
      <w:pPr>
        <w:pStyle w:val="TextBody"/>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Commodity Price Risk</w:t>
      </w:r>
    </w:p>
    <w:p>
      <w:pPr>
        <w:pStyle w:val="TextBody"/>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Commodity price risks result from exposures to changes in spot prices, forward prices, volatilities and correlations between various commodities, such as electricity and emissions credits. The Company manages the commodity price risk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pStyle w:val="TextBody"/>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Based on a sensitivity analysis using simplified assumptions, the impact of a $0.50 per MWh increase or decrease in power prices across the term of the derivatives contracts would cause a change of approximately $7 million to the net value of power derivatives as of March 31, 2023.</w:t>
      </w:r>
    </w:p>
    <w:p>
      <w:pPr>
        <w:pStyle w:val="TextBody"/>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Interest Rate Risk</w:t>
      </w:r>
    </w:p>
    <w:p>
      <w:pPr>
        <w:pStyle w:val="TextBody"/>
        <w:spacing w:lineRule="auto" w:line="288" w:before="0" w:after="180"/>
        <w:ind w:left="0" w:right="0" w:firstLine="450"/>
        <w:jc w:val="both"/>
        <w:rPr/>
      </w:pPr>
      <w:r>
        <w:rPr>
          <w:rFonts w:ascii="Times New Roman;sans-serif" w:hAnsi="Times New Roman;sans-serif"/>
          <w:b w:val="false"/>
          <w:color w:val="231F20"/>
          <w:sz w:val="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sans-serif" w:hAnsi="Times New Roman;sans-serif"/>
          <w:b w:val="false"/>
          <w:color w:val="000000"/>
          <w:sz w:val="20"/>
        </w:rPr>
        <w:t>Note 6</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Derivative Instruments and Hedging Activities</w:t>
      </w:r>
      <w:r>
        <w:rPr>
          <w:rFonts w:ascii="Times New Roman;sans-serif" w:hAnsi="Times New Roman;sans-serif"/>
          <w:b w:val="false"/>
          <w:color w:val="231F20"/>
          <w:sz w:val="20"/>
        </w:rPr>
        <w:t>, for more information.</w:t>
      </w:r>
    </w:p>
    <w:p>
      <w:pPr>
        <w:pStyle w:val="TextBody"/>
        <w:spacing w:lineRule="auto" w:line="288" w:before="0" w:after="180"/>
        <w:ind w:left="0" w:right="0" w:firstLine="450"/>
        <w:jc w:val="both"/>
        <w:rPr/>
      </w:pPr>
      <w:r>
        <w:rPr>
          <w:rFonts w:ascii="Times New Roman;sans-serif" w:hAnsi="Times New Roman;sans-serif"/>
          <w:b w:val="false"/>
          <w:color w:val="231F20"/>
          <w:sz w:val="20"/>
        </w:rPr>
        <w:t xml:space="preserve">Most of the Company’s project subsidiaries enter into interest rate swaps intended to hedge the risks associated with interest rates on non-recourse project-level debt. See Item 15 — </w:t>
      </w:r>
      <w:r>
        <w:rPr>
          <w:rFonts w:ascii="Times New Roman;sans-serif" w:hAnsi="Times New Roman;sans-serif"/>
          <w:b w:val="false"/>
          <w:color w:val="000000"/>
          <w:sz w:val="20"/>
        </w:rPr>
        <w:t>Note 10</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Long-term Debt</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 xml:space="preserve">to the Company’s </w:t>
      </w:r>
      <w:r>
        <w:rPr>
          <w:rFonts w:ascii="Times New Roman;sans-serif" w:hAnsi="Times New Roman;sans-serif"/>
          <w:b w:val="false"/>
          <w:color w:val="000000"/>
          <w:sz w:val="20"/>
        </w:rPr>
        <w:t>audited consolidated financial statements for the year ended December 31, 2022 included in the 2022 Form 10-K</w:t>
      </w:r>
      <w:r>
        <w:rPr>
          <w:color w:val="231F20"/>
        </w:rPr>
        <w:t xml:space="preserve"> </w:t>
      </w:r>
      <w:r>
        <w:rPr>
          <w:rFonts w:ascii="Times New Roman;sans-serif" w:hAnsi="Times New Roman;sans-serif"/>
          <w:b w:val="false"/>
          <w:color w:val="231F20"/>
          <w:sz w:val="20"/>
        </w:rPr>
        <w:t>for more information about interest rate swaps of the Company’s project subsidiaries.</w:t>
      </w:r>
    </w:p>
    <w:p>
      <w:pPr>
        <w:pStyle w:val="TextBody"/>
        <w:spacing w:lineRule="auto" w:line="288" w:before="0" w:after="180"/>
        <w:ind w:left="0" w:right="0" w:firstLine="450"/>
        <w:jc w:val="both"/>
        <w:rPr/>
      </w:pPr>
      <w:r>
        <w:rPr>
          <w:rFonts w:ascii="Times New Roman;sans-serif" w:hAnsi="Times New Roman;sans-serif"/>
          <w:b w:val="false"/>
          <w:color w:val="231F20"/>
          <w:sz w:val="20"/>
        </w:rPr>
        <w:t xml:space="preserve">If all of the interest rate swaps had been discontinued on </w:t>
      </w:r>
      <w:r>
        <w:rPr>
          <w:rFonts w:ascii="Times New Roman;sans-serif" w:hAnsi="Times New Roman;sans-serif"/>
          <w:b w:val="false"/>
          <w:color w:val="000000"/>
          <w:sz w:val="20"/>
        </w:rPr>
        <w:t>March 31, 2023</w:t>
      </w:r>
      <w:r>
        <w:rPr>
          <w:rFonts w:ascii="Times New Roman;sans-serif" w:hAnsi="Times New Roman;sans-serif"/>
          <w:b w:val="false"/>
          <w:color w:val="231F20"/>
          <w:sz w:val="20"/>
        </w:rPr>
        <w:t xml:space="preserve">, the counterparties would have owed the Company </w:t>
      </w:r>
      <w:r>
        <w:rPr>
          <w:rFonts w:ascii="Times New Roman;sans-serif" w:hAnsi="Times New Roman;sans-serif"/>
          <w:b w:val="false"/>
          <w:color w:val="000000"/>
          <w:sz w:val="20"/>
        </w:rPr>
        <w:t>$98 million.</w:t>
      </w:r>
      <w:r>
        <w:rPr>
          <w:color w:val="231F20"/>
        </w:rPr>
        <w:t xml:space="preserve"> </w:t>
      </w:r>
      <w:r>
        <w:rPr>
          <w:rFonts w:ascii="Times New Roman;sans-serif" w:hAnsi="Times New Roman;sans-serif"/>
          <w:b w:val="false"/>
          <w:color w:val="231F20"/>
          <w:sz w:val="20"/>
        </w:rPr>
        <w:t>Based on the credit ratings of the counterparties, the Company believes its exposure to credit risk due to nonperformance by counterparties to its hedge contracts to be insignificant.</w:t>
      </w:r>
    </w:p>
    <w:p>
      <w:pPr>
        <w:pStyle w:val="TextBody"/>
        <w:spacing w:lineRule="auto" w:line="288" w:before="0" w:after="180"/>
        <w:ind w:left="0" w:right="0" w:firstLine="450"/>
        <w:jc w:val="both"/>
        <w:rPr/>
      </w:pPr>
      <w:r>
        <w:rPr>
          <w:rFonts w:ascii="Times New Roman;sans-serif" w:hAnsi="Times New Roman;sans-serif"/>
          <w:b w:val="false"/>
          <w:color w:val="231F20"/>
          <w:sz w:val="20"/>
        </w:rPr>
        <w:t xml:space="preserve">The Company has long-term debt instruments that subject it to the risk of loss associated with movements in market interest rates. As of </w:t>
      </w:r>
      <w:r>
        <w:rPr>
          <w:rFonts w:ascii="Times New Roman;sans-serif" w:hAnsi="Times New Roman;sans-serif"/>
          <w:b w:val="false"/>
          <w:color w:val="000000"/>
          <w:sz w:val="20"/>
        </w:rPr>
        <w:t>March 31, 2023</w:t>
      </w:r>
      <w:r>
        <w:rPr>
          <w:rFonts w:ascii="Times New Roman;sans-serif" w:hAnsi="Times New Roman;sans-serif"/>
          <w:b w:val="false"/>
          <w:color w:val="231F20"/>
          <w:sz w:val="20"/>
        </w:rPr>
        <w:t>, a change of 1%, or 100 basis points, in interest rates would result in an approximately $1 million change in market interest expense on a rolling twelve-month basis.</w:t>
      </w:r>
    </w:p>
    <w:p>
      <w:pPr>
        <w:pStyle w:val="TextBody"/>
        <w:spacing w:lineRule="auto" w:line="288" w:before="0" w:after="180"/>
        <w:ind w:left="0" w:right="0" w:firstLine="45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March 31, 2023</w:t>
      </w:r>
      <w:r>
        <w:rPr>
          <w:rFonts w:ascii="Times New Roman;sans-serif" w:hAnsi="Times New Roman;sans-serif"/>
          <w:b w:val="false"/>
          <w:color w:val="231F20"/>
          <w:sz w:val="20"/>
        </w:rPr>
        <w:t>, the fair value of the Company’s debt was $6.76 billion and the carrying value was $7.2 billion. The Company estimates that a decrease of 1%, or 100 basis points, in market interest rates would have increased the fair value of its long-term debt by approximately $362 million.</w:t>
      </w:r>
    </w:p>
    <w:p>
      <w:pPr>
        <w:pStyle w:val="TextBody"/>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Liquidity Risk</w:t>
      </w:r>
    </w:p>
    <w:p>
      <w:pPr>
        <w:pStyle w:val="TextBody"/>
        <w:spacing w:lineRule="auto" w:line="288" w:before="0" w:after="18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Liquidity risk arises from the general funding needs of the Company’s activities and in the management of the Company’s assets and liabilities.</w:t>
      </w:r>
    </w:p>
    <w:p>
      <w:pPr>
        <w:pStyle w:val="TextBody"/>
        <w:spacing w:lineRule="auto" w:line="288" w:before="0" w:after="180"/>
        <w:jc w:val="both"/>
        <w:rPr>
          <w:rFonts w:ascii="Times New Roman;sans-serif" w:hAnsi="Times New Roman;sans-serif"/>
          <w:b/>
          <w:i/>
          <w:color w:val="231F20"/>
          <w:sz w:val="20"/>
        </w:rPr>
      </w:pPr>
      <w:r>
        <w:rPr>
          <w:rFonts w:ascii="Times New Roman;sans-serif" w:hAnsi="Times New Roman;sans-serif"/>
          <w:b/>
          <w:i/>
          <w:color w:val="231F20"/>
          <w:sz w:val="20"/>
        </w:rPr>
        <w:t>Counterparty Credit Risk</w:t>
      </w:r>
    </w:p>
    <w:p>
      <w:pPr>
        <w:pStyle w:val="TextBody"/>
        <w:spacing w:lineRule="auto" w:line="288" w:before="0" w:after="180"/>
        <w:ind w:left="0" w:right="0" w:firstLine="450"/>
        <w:jc w:val="both"/>
        <w:rPr/>
      </w:pPr>
      <w:r>
        <w:rPr>
          <w:rFonts w:ascii="Times New Roman;sans-serif" w:hAnsi="Times New Roman;sans-serif"/>
          <w:b w:val="false"/>
          <w:color w:val="231F20"/>
          <w:sz w:val="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sans-serif" w:hAnsi="Times New Roman;sans-serif"/>
          <w:b w:val="false"/>
          <w:color w:val="000000"/>
          <w:sz w:val="20"/>
        </w:rPr>
        <w:t>Note 5</w:t>
      </w:r>
      <w:r>
        <w:rPr>
          <w:rFonts w:ascii="Times New Roman;sans-serif" w:hAnsi="Times New Roman;sans-serif"/>
          <w:b w:val="false"/>
          <w:color w:val="231F20"/>
          <w:sz w:val="20"/>
        </w:rPr>
        <w:t xml:space="preserve">,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231F20"/>
          <w:sz w:val="20"/>
        </w:rPr>
        <w:t>, to the consolidated financial statements for more information about concentration of credit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4 — Controls and Procedures</w:t>
      </w:r>
    </w:p>
    <w:p>
      <w:pPr>
        <w:pStyle w:val="TextBody"/>
        <w:spacing w:lineRule="auto" w:line="288" w:before="0" w:after="180"/>
        <w:jc w:val="both"/>
        <w:rPr/>
      </w:pPr>
      <w:r>
        <w:rPr>
          <w:rFonts w:ascii="Times New Roman;sans-serif" w:hAnsi="Times New Roman;sans-serif"/>
          <w:b w:val="false"/>
          <w:i/>
          <w:color w:val="000000"/>
          <w:sz w:val="20"/>
        </w:rPr>
        <w:t>Conclusion Regarding the Effectiveness of Disclosure Controls</w:t>
      </w:r>
      <w:r>
        <w:rPr>
          <w:color w:val="000000"/>
        </w:rPr>
        <w:t xml:space="preserve"> </w:t>
      </w:r>
      <w:r>
        <w:rPr>
          <w:rFonts w:ascii="Times New Roman;sans-serif" w:hAnsi="Times New Roman;sans-serif"/>
          <w:b w:val="false"/>
          <w:i/>
          <w:color w:val="000000"/>
          <w:sz w:val="20"/>
        </w:rPr>
        <w:t>and</w:t>
      </w:r>
      <w:r>
        <w:rPr>
          <w:color w:val="000000"/>
        </w:rPr>
        <w:t xml:space="preserve"> </w:t>
      </w:r>
      <w:r>
        <w:rPr>
          <w:rFonts w:ascii="Times New Roman;sans-serif" w:hAnsi="Times New Roman;sans-serif"/>
          <w:b w:val="false"/>
          <w:i/>
          <w:color w:val="000000"/>
          <w:sz w:val="20"/>
        </w:rPr>
        <w:t>Procedures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(as such term is defined in Rule 13a-15(f) under the Exchange Act) during the quarter ended March 31, 2023 that materially affected, or are reasonably likely to materially affect, the Company’s internal control over financial reporting.</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 xml:space="preserve">ITEM 1 — LEGAL PROCEEDINGS </w:t>
      </w:r>
    </w:p>
    <w:p>
      <w:pPr>
        <w:pStyle w:val="TextBody"/>
        <w:spacing w:lineRule="auto" w:line="288" w:before="0" w:after="180"/>
        <w:ind w:left="0" w:right="0" w:firstLine="495"/>
        <w:jc w:val="both"/>
        <w:rPr/>
      </w:pPr>
      <w:r>
        <w:rPr>
          <w:rFonts w:ascii="Times New Roman;sans-serif" w:hAnsi="Times New Roman;sans-serif"/>
          <w:b w:val="false"/>
          <w:color w:val="000000"/>
          <w:sz w:val="20"/>
        </w:rPr>
        <w:t xml:space="preserve">For a discussion of the material legal proceedings in which the Company was involved through March 31, 2023, see Note 10,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to this Form 10-Q.</w:t>
      </w:r>
    </w:p>
    <w:p>
      <w:pPr>
        <w:pStyle w:val="TextBody"/>
        <w:spacing w:before="0" w:after="18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ITEM 1A — RISK FACTORS </w:t>
      </w:r>
    </w:p>
    <w:p>
      <w:pPr>
        <w:pStyle w:val="TextBody"/>
        <w:spacing w:lineRule="auto" w:line="288" w:before="0" w:after="180"/>
        <w:ind w:left="0" w:right="0" w:firstLine="450"/>
        <w:jc w:val="both"/>
        <w:rPr/>
      </w:pPr>
      <w:r>
        <w:rPr>
          <w:rFonts w:ascii="Times New Roman;sans-serif" w:hAnsi="Times New Roman;sans-serif"/>
          <w:b w:val="false"/>
          <w:color w:val="000000"/>
          <w:sz w:val="20"/>
        </w:rPr>
        <w:t xml:space="preserve">Information regarding risk factors appears in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Company’s 2022 Form 10-K. There have been no material changes in the Company’s risk factors since those reported in its 2022 Form 10-K.</w:t>
      </w:r>
    </w:p>
    <w:p>
      <w:pPr>
        <w:pStyle w:val="TextBody"/>
        <w:spacing w:before="0" w:after="18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ITEM 2 — UNREGISTERED SALES OF EQUITY SECURITIES AND USE OF PROCEEDS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18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ITEM 3 — DEFAULTS UPON SENIOR SECURITIES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18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 MINE SAFETY DISCLOSURES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18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ITEM 5 — OTHER INFORMATION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 EXHIBITS</w:t>
      </w:r>
    </w:p>
    <w:tbl>
      <w:tblPr>
        <w:tblW w:w="10205" w:type="dxa"/>
        <w:jc w:val="left"/>
        <w:tblInd w:w="0" w:type="dxa"/>
        <w:tblCellMar>
          <w:top w:w="28" w:type="dxa"/>
          <w:left w:w="28" w:type="dxa"/>
          <w:bottom w:w="28" w:type="dxa"/>
          <w:right w:w="28" w:type="dxa"/>
        </w:tblCellMar>
      </w:tblPr>
      <w:tblGrid>
        <w:gridCol w:w="279"/>
        <w:gridCol w:w="246"/>
        <w:gridCol w:w="247"/>
        <w:gridCol w:w="109"/>
        <w:gridCol w:w="109"/>
        <w:gridCol w:w="109"/>
        <w:gridCol w:w="1932"/>
        <w:gridCol w:w="1909"/>
        <w:gridCol w:w="1931"/>
        <w:gridCol w:w="109"/>
        <w:gridCol w:w="109"/>
        <w:gridCol w:w="109"/>
        <w:gridCol w:w="962"/>
        <w:gridCol w:w="891"/>
        <w:gridCol w:w="1154"/>
      </w:tblGrid>
      <w:tr>
        <w:trPr/>
        <w:tc>
          <w:tcPr>
            <w:tcW w:w="27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Method of Filing</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
              <w:r>
                <w:rPr>
                  <w:rStyle w:val="InternetLink"/>
                  <w:rFonts w:ascii="Times New Roman;sans-serif" w:hAnsi="Times New Roman;sans-serif"/>
                  <w:b w:val="false"/>
                  <w:color w:val="0000FF"/>
                  <w:sz w:val="18"/>
                  <w:u w:val="single"/>
                </w:rPr>
                <w:t>Twelfth Supplemental Indenture, dated as of February 14, 2023, among Clearway Energy Operating LLC, the guarantors named therein and Delaware Trust Company.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4.1 to the Company’s Current Report on Form 8-K filed on February 21, 2023.</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
              <w:r>
                <w:rPr>
                  <w:rStyle w:val="InternetLink"/>
                  <w:rFonts w:ascii="Times New Roman;sans-serif" w:hAnsi="Times New Roman;sans-serif"/>
                  <w:b w:val="false"/>
                  <w:color w:val="0000FF"/>
                  <w:sz w:val="18"/>
                  <w:u w:val="single"/>
                </w:rPr>
                <w:t>Fourth Supplemental Indenture, dated as of February 14, 2023, among Clearway Energy Operating LLC, the guarantors named therein and Delaware Trust Company.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4.2 to the Company’s Current Report on Form 8-K filed on February 21, 2023.</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5">
              <w:r>
                <w:rPr>
                  <w:rStyle w:val="InternetLink"/>
                  <w:rFonts w:ascii="Times New Roman;sans-serif" w:hAnsi="Times New Roman;sans-serif"/>
                  <w:b w:val="false"/>
                  <w:color w:val="0000FF"/>
                  <w:sz w:val="18"/>
                  <w:u w:val="single"/>
                </w:rPr>
                <w:t>Third Supplemental Indenture, dated as of February 14, 2023, among Clearway Energy Operating LLC, the guarantors named therein and Delaware Trust Company.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4.3 to the Company’s Current Report on Form 8-K filed on February 21, 2023.</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6">
              <w:r>
                <w:rPr>
                  <w:rStyle w:val="InternetLink"/>
                  <w:rFonts w:ascii="Times New Roman;sans-serif" w:hAnsi="Times New Roman;sans-serif"/>
                  <w:b w:val="false"/>
                  <w:color w:val="0000FF"/>
                  <w:sz w:val="18"/>
                  <w:u w:val="single"/>
                </w:rPr>
                <w:t>Amended and Restated Master Services Agreement, dated as of February 2, 2023, by and among Clearway Energy Group LLC, Clearway Energy, Inc., Clearway Energy LLC and Clearway Energy Operating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10.39 to the Company’s Annual Report on Form 10-K filed on February 23, 2023.</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7">
              <w:r>
                <w:rPr>
                  <w:rStyle w:val="InternetLink"/>
                  <w:rFonts w:ascii="Times New Roman;sans-serif" w:hAnsi="Times New Roman;sans-serif"/>
                  <w:b w:val="false"/>
                  <w:color w:val="0000FF"/>
                  <w:sz w:val="18"/>
                  <w:u w:val="single"/>
                </w:rPr>
                <w:t>Amended and Restated Master Services Agreement, dated as of February 2, 2023, by and among Clearway Energy, Inc., Clearway Energy LLC, Clearway Energy Operating LLC and Clearway Energy Group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10.40 to the Company’s Annual Report on Form 10-K filed on February 23, 2023.</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8">
              <w:r>
                <w:rPr>
                  <w:rStyle w:val="InternetLink"/>
                  <w:rFonts w:ascii="Times New Roman;sans-serif" w:hAnsi="Times New Roman;sans-serif"/>
                  <w:b w:val="false"/>
                  <w:color w:val="0000FF"/>
                  <w:sz w:val="18"/>
                  <w:u w:val="single"/>
                </w:rPr>
                <w:t>Eighth Amendment to Amended and Restated Credit Agreement, entered into as of March 15, 2023, by and among Clearway Energy Operating LLC, Clearway Energy LLC, the guarantors party thereto, JPMorgan Chase Bank, N.A., as administrative agent, and the lenders party thereto.</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Incorporated herein by reference to Exhibit 10.1 to the Company’s Current Report on Form 8-K filed on March 20, 2023.</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learwayllcex31110-q2023q1.htm">
              <w:r>
                <w:rPr>
                  <w:rStyle w:val="InternetLink"/>
                  <w:rFonts w:ascii="Times New Roman;sans-serif" w:hAnsi="Times New Roman;sans-serif"/>
                  <w:b w:val="false"/>
                  <w:color w:val="0000FF"/>
                  <w:sz w:val="18"/>
                  <w:u w:val="single"/>
                </w:rPr>
                <w:t>Rule 13a-14(a)/15d-14(a) certification of Christopher S. Sotos.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learwayllcex31210-q2023q1.htm">
              <w:r>
                <w:rPr>
                  <w:rStyle w:val="InternetLink"/>
                  <w:rFonts w:ascii="Times New Roman;sans-serif" w:hAnsi="Times New Roman;sans-serif"/>
                  <w:b w:val="false"/>
                  <w:color w:val="0000FF"/>
                  <w:sz w:val="18"/>
                  <w:u w:val="single"/>
                </w:rPr>
                <w:t>Rule 13a-14(a)/15d-14(a) certification of Sarah Rubenstein.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learwayllcex3210-q2023q1.htm">
              <w:r>
                <w:rPr>
                  <w:rStyle w:val="InternetLink"/>
                  <w:rFonts w:ascii="Times New Roman;sans-serif" w:hAnsi="Times New Roman;sans-serif"/>
                  <w:b w:val="false"/>
                  <w:color w:val="0000FF"/>
                  <w:sz w:val="18"/>
                  <w:u w:val="single"/>
                </w:rPr>
                <w:t>Section 1350 Certification.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 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(the cover page interactive data file does not appear in Exhibit 104 because its Inline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bl>
    <w:p>
      <w:pPr>
        <w:pStyle w:val="TextBody"/>
        <w:spacing w:lineRule="auto" w:line="268" w:before="0" w:after="0"/>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highlight w:val="white"/>
        </w:rPr>
        <w:t>Schedules and similar attachments to this Exhibit have been omitted pursuant to Item 601(a)(5) of Regulation S-K. The     Company agrees to furnish supplementally a copy of any omitted schedule or exhibit to the U.S. Securities and Exchange Commission upon request.</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327" w:type="dxa"/>
        <w:jc w:val="center"/>
        <w:tblInd w:w="0" w:type="dxa"/>
        <w:tblCellMar>
          <w:top w:w="28" w:type="dxa"/>
          <w:left w:w="28" w:type="dxa"/>
          <w:bottom w:w="28" w:type="dxa"/>
          <w:right w:w="28" w:type="dxa"/>
        </w:tblCellMar>
      </w:tblPr>
      <w:tblGrid>
        <w:gridCol w:w="591"/>
        <w:gridCol w:w="520"/>
        <w:gridCol w:w="523"/>
        <w:gridCol w:w="589"/>
        <w:gridCol w:w="589"/>
        <w:gridCol w:w="589"/>
        <w:gridCol w:w="589"/>
        <w:gridCol w:w="589"/>
        <w:gridCol w:w="589"/>
        <w:gridCol w:w="589"/>
        <w:gridCol w:w="589"/>
        <w:gridCol w:w="609"/>
        <w:gridCol w:w="109"/>
        <w:gridCol w:w="109"/>
        <w:gridCol w:w="15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21"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LLC</w:t>
              <w:br/>
              <w:t>(Registrant)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21"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21"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spacing w:lineRule="auto" w:line="240" w:before="0" w:after="0"/>
              <w:jc w:val="left"/>
              <w:rPr/>
            </w:pPr>
            <w:r>
              <w:rPr>
                <w:rFonts w:ascii="Times New Roman;sans-serif" w:hAnsi="Times New Roman;sans-serif"/>
                <w:b w:val="false"/>
                <w:i/>
                <w:color w:val="000000"/>
                <w:sz w:val="20"/>
              </w:rPr>
              <w:t>(Principal Executive Officer)</w:t>
            </w: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327"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21"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2159" w:type="dxa"/>
            <w:gridSpan w:val="6"/>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2159" w:type="dxa"/>
            <w:gridSpan w:val="6"/>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2159" w:type="dxa"/>
            <w:gridSpan w:val="6"/>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5693" w:type="dxa"/>
            <w:gridSpan w:val="12"/>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1767" w:type="dxa"/>
            <w:gridSpan w:val="3"/>
            <w:tcBorders/>
            <w:shd w:fill="auto" w:val="clear"/>
            <w:vAlign w:val="center"/>
          </w:tcPr>
          <w:p>
            <w:pPr>
              <w:pStyle w:val="TableContents"/>
              <w:spacing w:before="0" w:after="283"/>
              <w:rPr>
                <w:sz w:val="4"/>
                <w:szCs w:val="4"/>
              </w:rPr>
            </w:pPr>
            <w:r>
              <w:rPr>
                <w:sz w:val="4"/>
                <w:szCs w:val="4"/>
              </w:rPr>
            </w:r>
          </w:p>
        </w:tc>
        <w:tc>
          <w:tcPr>
            <w:tcW w:w="2159" w:type="dxa"/>
            <w:gridSpan w:val="6"/>
            <w:tcBorders/>
            <w:shd w:fill="auto" w:val="clea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21"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5321"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spacing w:lineRule="auto" w:line="240" w:before="0" w:after="0"/>
              <w:jc w:val="left"/>
              <w:rPr/>
            </w:pPr>
            <w:r>
              <w:rPr>
                <w:rFonts w:ascii="Times New Roman;sans-serif" w:hAnsi="Times New Roman;sans-serif"/>
                <w:b w:val="false"/>
                <w:i/>
                <w:color w:val="000000"/>
                <w:sz w:val="20"/>
              </w:rPr>
              <w:t>(Principal Financial Officer and Principal Accounting Officer)</w:t>
            </w: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327"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Christopher S. Sotos, certify that: </w:t>
      </w:r>
    </w:p>
    <w:p>
      <w:pPr>
        <w:pStyle w:val="TextBody"/>
        <w:spacing w:before="0" w:after="0"/>
        <w:rPr/>
      </w:pPr>
      <w:r>
        <w:rPr/>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Clearway Energy LLC;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3581" w:type="dxa"/>
        <w:jc w:val="right"/>
        <w:tblInd w:w="0" w:type="dxa"/>
        <w:tblCellMar>
          <w:top w:w="28" w:type="dxa"/>
          <w:left w:w="28" w:type="dxa"/>
          <w:bottom w:w="28" w:type="dxa"/>
          <w:right w:w="28" w:type="dxa"/>
        </w:tblCellMar>
      </w:tblPr>
      <w:tblGrid>
        <w:gridCol w:w="1163"/>
        <w:gridCol w:w="1021"/>
        <w:gridCol w:w="1025"/>
        <w:gridCol w:w="109"/>
        <w:gridCol w:w="109"/>
        <w:gridCol w:w="154"/>
      </w:tblGrid>
      <w:tr>
        <w:trPr/>
        <w:tc>
          <w:tcPr>
            <w:tcW w:w="116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I, Sarah Rubenstein, certify that: </w:t>
      </w:r>
    </w:p>
    <w:p>
      <w:pPr>
        <w:pStyle w:val="TextBody"/>
        <w:spacing w:before="0" w:after="0"/>
        <w:rPr/>
      </w:pPr>
      <w:r>
        <w:rPr/>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Clearway Energy LLC;</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51" w:type="dxa"/>
        <w:jc w:val="right"/>
        <w:tblInd w:w="0" w:type="dxa"/>
        <w:tblCellMar>
          <w:top w:w="28" w:type="dxa"/>
          <w:left w:w="28" w:type="dxa"/>
          <w:bottom w:w="28" w:type="dxa"/>
          <w:right w:w="28" w:type="dxa"/>
        </w:tblCellMar>
      </w:tblPr>
      <w:tblGrid>
        <w:gridCol w:w="1910"/>
        <w:gridCol w:w="1682"/>
        <w:gridCol w:w="1687"/>
        <w:gridCol w:w="109"/>
        <w:gridCol w:w="109"/>
        <w:gridCol w:w="154"/>
      </w:tblGrid>
      <w:tr>
        <w:trPr/>
        <w:tc>
          <w:tcPr>
            <w:tcW w:w="1910"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Clearway Energy LLC on Form 10-Q for the quarter ended March 31, 2023, as filed with the Securities and Exchange Commission on the date hereof (the “Form 10-Q”), each of the undersigned officers of the Company certifies, pursuant to 18 U.S.C. Section 1350, as adopted pursuant to Section 906 of the Sarbanes-Oxley Act of 2002, that, to such officer's knowledge: </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Form 10-Q fully complies with the requirements of Section 13(a) or 15(d) of the Securities Exchange Act of 1934; and </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Form 10-Q fairly presents, in all material respects, the financial condition and results of operations of the Company as of the dates and for the periods expressed in the Form 10-Q. </w:t>
      </w:r>
    </w:p>
    <w:p>
      <w:pPr>
        <w:pStyle w:val="TextBody"/>
        <w:spacing w:before="60" w:after="283"/>
        <w:jc w:val="both"/>
        <w:rPr/>
      </w:pPr>
      <w:r>
        <w:rPr/>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6024" w:type="dxa"/>
        <w:jc w:val="right"/>
        <w:tblInd w:w="0" w:type="dxa"/>
        <w:tblCellMar>
          <w:top w:w="28" w:type="dxa"/>
          <w:left w:w="28" w:type="dxa"/>
          <w:bottom w:w="28" w:type="dxa"/>
          <w:right w:w="28" w:type="dxa"/>
        </w:tblCellMar>
      </w:tblPr>
      <w:tblGrid>
        <w:gridCol w:w="124"/>
        <w:gridCol w:w="109"/>
        <w:gridCol w:w="109"/>
        <w:gridCol w:w="590"/>
        <w:gridCol w:w="590"/>
        <w:gridCol w:w="590"/>
        <w:gridCol w:w="590"/>
        <w:gridCol w:w="590"/>
        <w:gridCol w:w="590"/>
        <w:gridCol w:w="590"/>
        <w:gridCol w:w="590"/>
        <w:gridCol w:w="59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1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SOTOS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Sotos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10"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p>
            <w:pPr>
              <w:pStyle w:val="TableContents"/>
              <w:spacing w:lineRule="auto" w:line="240" w:before="0" w:after="0"/>
              <w:jc w:val="left"/>
              <w:rPr/>
            </w:pPr>
            <w:r>
              <w:rPr>
                <w:rFonts w:ascii="Times New Roman;sans-serif" w:hAnsi="Times New Roman;sans-serif"/>
                <w:b w:val="false"/>
                <w:i/>
                <w:color w:val="000000"/>
                <w:sz w:val="20"/>
              </w:rPr>
              <w:t>(Principal Executive Officer)</w:t>
            </w: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024"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1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2142"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2142"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2142"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5682"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2142"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1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RUBENSTEIN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Rubenstein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10"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spacing w:lineRule="auto" w:line="240" w:before="0" w:after="0"/>
              <w:jc w:val="left"/>
              <w:rPr/>
            </w:pP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18 U.S.C. Section 1350 and is not being filed as part of this Form 10-Q or as a separate disclosure document. </w:t>
      </w:r>
    </w:p>
    <w:p>
      <w:pPr>
        <w:pStyle w:val="TextBody"/>
        <w:spacing w:lineRule="auto" w:line="288"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37757/000110465923023551/tm237377d1_ex4-1.htm" TargetMode="External"/><Relationship Id="rId4" Type="http://schemas.openxmlformats.org/officeDocument/2006/relationships/hyperlink" Target="https://www.sec.gov/Archives/edgar/data/1637757/000110465923023551/tm237377d1_ex4-2.htm" TargetMode="External"/><Relationship Id="rId5" Type="http://schemas.openxmlformats.org/officeDocument/2006/relationships/hyperlink" Target="https://www.sec.gov/Archives/edgar/data/1637757/000110465923023551/tm237377d1_ex4-3.htm" TargetMode="External"/><Relationship Id="rId6" Type="http://schemas.openxmlformats.org/officeDocument/2006/relationships/hyperlink" Target="https://www.sec.gov/Archives/edgar/data/1637757/000163775723000004/clearwayllcex103910-k202.htm" TargetMode="External"/><Relationship Id="rId7" Type="http://schemas.openxmlformats.org/officeDocument/2006/relationships/hyperlink" Target="https://www.sec.gov/Archives/edgar/data/1637757/000163775723000004/clearwayllcex104010-k202.htm" TargetMode="External"/><Relationship Id="rId8" Type="http://schemas.openxmlformats.org/officeDocument/2006/relationships/hyperlink" Target="https://www.sec.gov/Archives/edgar/data/1637757/000110465923034465/tm239757d1_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18064</Words>
  <CharactersWithSpaces>115943</CharactersWithSpaces>
  <Paragraphs>3039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