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23,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September 23, 2021, Clearway Energy, Inc., the parent company of Clearway Energy LLC (the “Company”), and Christopher S. Sotos, the Company’s President and Chief Executive Officer, entered into an amendment and restatement (the “Amended and Restated Employment Agreement”) of Mr. Sotos’ employment agreement, dated as of May 6, 2016 (as previously amended, the “Prior Agreement”). The Amended and Restated Employment Agreement amends and restates the Prior Agreement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 Mr. Sotos’ current annual base salary of $629,330;</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Mr. Sotos is eligible to participate in the Clearway Energy, Inc. Amended and Restated 2013 Equity Incentive Plan (“LTIP”), and that his target LTIP award each year during the employment period will be 250% of his base salary;</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that Mr. Sotos’ employment period under the Amended and Restated Employment Agreement will expire on December 31, 2024, but will automatically renew for additional one-year terms thereafter unless Clearway Energy, Inc. or Mr. Sotos provides the other party timely written notice of such party’s election not to renew (“Non-Renewal Notice”), or the employment period is otherwise terminated;</w:t>
      </w:r>
    </w:p>
    <w:p>
      <w:pPr>
        <w:spacing w:after="0" w:line="165"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a Non-Renewal Notice delivered by Clearway Energy, Inc. will constitute a termination of Mr. Sotos’ employment without “cause” (as defined in the Amended and Restated Employment Agreement) upon the expiration of the employment period;</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a Non-Renewal Notice delivered by Mr. Sotos generally will constitute a termination of Mr. Sotos’ employment by reason of voluntary resignation upon the expiration of the employment period;</w:t>
      </w:r>
    </w:p>
    <w:p>
      <w:pPr>
        <w:spacing w:after="0" w:line="170" w:lineRule="exact"/>
        <w:rPr>
          <w:rFonts w:ascii="Arial" w:cs="Arial" w:eastAsia="Arial" w:hAnsi="Arial"/>
          <w:sz w:val="18"/>
          <w:szCs w:val="18"/>
          <w:color w:val="auto"/>
        </w:rPr>
      </w:pPr>
    </w:p>
    <w:p>
      <w:pPr>
        <w:ind w:left="660" w:right="34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that a relocation of Mr. Sotos’ principal place of employment to a location that is more than 50 miles from his current place of employment will constitute an event under which Mr. Sotos may terminate his employment for “good reason” (as defined in the Amended and Restated Employment Agreement);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certain clarifying changes to the definition of “cause” therein.</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foregoing description of the Amended and Restated Employment Agreement is not complete and is qualified in its entirety by reference to the full text of the Amended and Restated Employment Agreement, a copy of which is filed as Exhibit 10.1 to this Current Report on Form 8-K and is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4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440" w:type="dxa"/>
            <w:vAlign w:val="bottom"/>
          </w:tcPr>
          <w:p>
            <w:pPr>
              <w:spacing w:after="0"/>
              <w:rPr>
                <w:sz w:val="20"/>
                <w:szCs w:val="20"/>
                <w:color w:val="auto"/>
              </w:rPr>
            </w:pPr>
          </w:p>
        </w:tc>
        <w:tc>
          <w:tcPr>
            <w:tcW w:w="9440" w:type="dxa"/>
            <w:vAlign w:val="bottom"/>
            <w:gridSpan w:val="2"/>
          </w:tcPr>
          <w:p>
            <w:pPr>
              <w:ind w:left="4100"/>
              <w:spacing w:after="0"/>
              <w:rPr>
                <w:sz w:val="20"/>
                <w:szCs w:val="20"/>
                <w:color w:val="auto"/>
              </w:rPr>
            </w:pPr>
            <w:r>
              <w:rPr>
                <w:rFonts w:ascii="Arial" w:cs="Arial" w:eastAsia="Arial" w:hAnsi="Arial"/>
                <w:sz w:val="18"/>
                <w:szCs w:val="18"/>
                <w:b w:val="1"/>
                <w:bCs w:val="1"/>
                <w:color w:val="auto"/>
              </w:rPr>
              <w:t>Document</w:t>
            </w:r>
          </w:p>
        </w:tc>
      </w:tr>
      <w:tr>
        <w:trPr>
          <w:trHeight w:val="169"/>
        </w:trPr>
        <w:tc>
          <w:tcPr>
            <w:tcW w:w="1140" w:type="dxa"/>
            <w:vAlign w:val="bottom"/>
            <w:tcBorders>
              <w:top w:val="single" w:sz="8" w:color="auto"/>
            </w:tcBorders>
            <w:gridSpan w:val="3"/>
          </w:tcPr>
          <w:p>
            <w:pPr>
              <w:ind w:left="420"/>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Amended and Restated Employment Agreement, dated September 23, 2021, by and between Clearway Energy, Inc. and Christopher</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Sotos.</w:t>
              </w:r>
            </w:hyperlink>
          </w:p>
        </w:tc>
        <w:tc>
          <w:tcPr>
            <w:tcW w:w="36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40" w:type="dxa"/>
            <w:vAlign w:val="bottom"/>
            <w:gridSpan w:val="2"/>
          </w:tcPr>
          <w:p>
            <w:pPr>
              <w:spacing w:after="0" w:line="20" w:lineRule="exact"/>
              <w:rPr>
                <w:sz w:val="1"/>
                <w:szCs w:val="1"/>
                <w:color w:val="auto"/>
              </w:rPr>
            </w:pPr>
          </w:p>
        </w:tc>
      </w:tr>
      <w:tr>
        <w:trPr>
          <w:trHeight w:val="237"/>
        </w:trPr>
        <w:tc>
          <w:tcPr>
            <w:tcW w:w="740" w:type="dxa"/>
            <w:vAlign w:val="bottom"/>
            <w:gridSpan w:val="2"/>
          </w:tcPr>
          <w:p>
            <w:pPr>
              <w:ind w:left="420"/>
              <w:spacing w:after="0"/>
              <w:rPr>
                <w:sz w:val="20"/>
                <w:szCs w:val="20"/>
                <w:color w:val="auto"/>
              </w:rPr>
            </w:pPr>
            <w:r>
              <w:rPr>
                <w:rFonts w:ascii="Arial" w:cs="Arial" w:eastAsia="Arial" w:hAnsi="Arial"/>
                <w:sz w:val="18"/>
                <w:szCs w:val="18"/>
                <w:color w:val="auto"/>
                <w:w w:val="99"/>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Clearway Energy,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Christopher Sotos</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AMENDED AND RESTATED EMPLOYMENT AGREEMENT (this “Agreement”) is made as of September 23, 2021, between Clearway Energy, Inc. (the “Company”), and Christopher Sotos (“Executive”).</w:t>
      </w:r>
    </w:p>
    <w:p>
      <w:pPr>
        <w:spacing w:after="0" w:line="170"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WHEREAS, the Company and Executive (collectively, the “Parties”) previously entered into that certain employment agreement dated May, 6, 2016 (the “Commencement Date”), and as amended effective January 1, 2018, under which the Company has employed Executive as its President and Chief Executive Officer and Executive (collectively, the “Prior Agreement”); and</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the Parties desire to amend and restate the Prior Agreement to make certain clarifying changes to the terms and conditions set forth therein and Executive is willing to accept his continued employment under the terms and conditions set forth below.</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agree as follows:</w:t>
      </w:r>
    </w:p>
    <w:p>
      <w:pPr>
        <w:spacing w:after="0" w:line="170" w:lineRule="exact"/>
        <w:rPr>
          <w:sz w:val="20"/>
          <w:szCs w:val="20"/>
          <w:color w:val="auto"/>
        </w:rPr>
      </w:pPr>
    </w:p>
    <w:p>
      <w:pPr>
        <w:ind w:right="320" w:firstLine="656"/>
        <w:spacing w:after="0" w:line="263" w:lineRule="auto"/>
        <w:tabs>
          <w:tab w:leader="none" w:pos="109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The Company shall continue to employ Executive, and Executive hereby agrees to continue in employment with the Company, upon the terms and conditions set forth in this Agreement for the period beginning September 23, 2021 (the “Effective Date”), and ending as provided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(the “Employment Period”).</w:t>
      </w:r>
    </w:p>
    <w:p>
      <w:pPr>
        <w:spacing w:after="0" w:line="183" w:lineRule="exact"/>
        <w:rPr>
          <w:rFonts w:ascii="Arial" w:cs="Arial" w:eastAsia="Arial" w:hAnsi="Arial"/>
          <w:sz w:val="18"/>
          <w:szCs w:val="18"/>
          <w:color w:val="auto"/>
        </w:rPr>
      </w:pPr>
    </w:p>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57" w:lineRule="auto"/>
        <w:tabs>
          <w:tab w:leader="none" w:pos="1073"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Employment Period, Executive shall serve as the President and Chief Executive Officer (“CEO”) of the Company and shall have the normal duties, responsibilities, functions and authorities customarily exercised by the President and CEO of a company of similar size and nature as the Company. During the Employment Period, Executive shall render such administrative, financial and other executive and managerial services to the Company and its affiliates which are consistent with Executive’s position, as the Board of Directors of the Company (the “Board”) may from time to time direct.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8" w:right="80" w:firstLine="656"/>
        <w:spacing w:after="0" w:line="283" w:lineRule="auto"/>
        <w:tabs>
          <w:tab w:leader="none" w:pos="1075" w:val="left"/>
        </w:tabs>
        <w:numPr>
          <w:ilvl w:val="1"/>
          <w:numId w:val="6"/>
        </w:numPr>
        <w:rPr>
          <w:rFonts w:ascii="Arial" w:cs="Arial" w:eastAsia="Arial" w:hAnsi="Arial"/>
          <w:sz w:val="16"/>
          <w:szCs w:val="16"/>
          <w:color w:val="auto"/>
        </w:rPr>
      </w:pPr>
      <w:r>
        <w:rPr>
          <w:rFonts w:ascii="Arial" w:cs="Arial" w:eastAsia="Arial" w:hAnsi="Arial"/>
          <w:sz w:val="16"/>
          <w:szCs w:val="16"/>
          <w:color w:val="auto"/>
        </w:rPr>
        <w:t>During the Employment Period, Executive shall report to the Board and shall devote his best efforts and his full business time and attention (except for permitted vacation periods and reasonable periods of illness or other incapacity) to the business and affairs of the Company. Executive shall perform his duties, responsibilities and functions to the Company hereunder to the best of his abilities in a diligent, trustworthy, professional and efficient manner and shall comply with the Company’s policies and procedures in all material respects. In performing his duties and exercising his authority under this Agreement, Executive shall support and implement the business and strategic plans approved from time to time by the Board. During the Employment Period, Executive shall not serve as an officer or director of, or otherwise perform services for compensation for, any other entity without the prior written consent of the Board, which shall not be unreasonably withheld. Executive may serve as an officer or director of, or otherwise participate in, purely educational, welfare, social, religious and civic organizations so long as such activities do not interfere with Executive’s employment. Nothing contained herein shall preclude Executive from (i) engaging in charitable and community activities; (ii) participating in industry and trade organization activities;</w:t>
      </w:r>
    </w:p>
    <w:p>
      <w:pPr>
        <w:spacing w:after="0" w:line="5" w:lineRule="exact"/>
        <w:rPr>
          <w:rFonts w:ascii="Arial" w:cs="Arial" w:eastAsia="Arial" w:hAnsi="Arial"/>
          <w:sz w:val="16"/>
          <w:szCs w:val="16"/>
          <w:color w:val="auto"/>
        </w:rPr>
      </w:pPr>
    </w:p>
    <w:p>
      <w:pPr>
        <w:ind w:left="-8" w:right="60" w:firstLine="8"/>
        <w:spacing w:after="0" w:line="323" w:lineRule="auto"/>
        <w:tabs>
          <w:tab w:leader="none" w:pos="307"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managing his and his family’s personal investments and affairs; and (iv) delivering lectures, fulfilling speaking engagements or teaching at educational institutions; provided that such activities do not materially interfere with the regular performance of his duties and responsibilities under this Agreement.</w:t>
      </w:r>
    </w:p>
    <w:p>
      <w:pPr>
        <w:spacing w:after="0" w:line="138" w:lineRule="exact"/>
        <w:rPr>
          <w:sz w:val="20"/>
          <w:szCs w:val="20"/>
          <w:color w:val="auto"/>
        </w:rPr>
      </w:pPr>
    </w:p>
    <w:p>
      <w:pPr>
        <w:ind w:left="1092" w:hanging="444"/>
        <w:spacing w:after="0"/>
        <w:tabs>
          <w:tab w:leader="none" w:pos="109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25" w:lineRule="exact"/>
        <w:rPr>
          <w:sz w:val="20"/>
          <w:szCs w:val="20"/>
          <w:color w:val="auto"/>
        </w:rPr>
      </w:pPr>
    </w:p>
    <w:p>
      <w:pPr>
        <w:ind w:left="-8" w:firstLine="656"/>
        <w:spacing w:after="0" w:line="293" w:lineRule="auto"/>
        <w:tabs>
          <w:tab w:leader="none" w:pos="1109"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the Effective Date, Executive’s annualized rate of base salary shall be Six Hundred Twenty-Nine Thousand Three-Hundred and Thirty Dollars ($629,330). For each subsequent annual period thereafter, Executive’s annual base salary shall be reviewed by the Board, which shall determine (among other things) whether to grant an increase (such initial annual base salary and the annual base salary as determined from time to time by the Board are referred to herein as the “Base Salary”). The Base Salary (minus all applicable tax withholding) shall be payable by the Company in regular installments in accordance with the Company’s general payroll practices (in effect from time to time) but in any event no less frequently than monthly. For purposes of this Agreement, the Base Salary shall not include any other type of compensation or benefit paid or payable to Executive.</w:t>
      </w:r>
    </w:p>
    <w:p>
      <w:pPr>
        <w:spacing w:after="0" w:line="164" w:lineRule="exact"/>
        <w:rPr>
          <w:rFonts w:ascii="Arial" w:cs="Arial" w:eastAsia="Arial" w:hAnsi="Arial"/>
          <w:sz w:val="16"/>
          <w:szCs w:val="16"/>
          <w:color w:val="auto"/>
        </w:rPr>
      </w:pPr>
    </w:p>
    <w:p>
      <w:pPr>
        <w:ind w:left="1092" w:hanging="444"/>
        <w:spacing w:after="0"/>
        <w:tabs>
          <w:tab w:leader="none" w:pos="109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Bonuses and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20" w:firstLine="644"/>
        <w:spacing w:after="0" w:line="290" w:lineRule="auto"/>
        <w:tabs>
          <w:tab w:leader="none" w:pos="1785"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As of the Effective Date, and for fiscal year 2021, and for each fiscal year thereafter during the Employment Period, subject to achievement of criteria determined by the Board with input from Executive as soon as administratively practicable following the beginning of each such fiscal year, Executive will be entitled to an annual bonus with a target amount equal to one hundred percent (100%) of Executive’s then current Base Salary (the “Annual Bonus”), it being understood that the Company may, from time to time, increase such percentage of Executive’s then current Base Salary for purposes of establishing the target amount of the Annual Bonus. The maximum award opportunity each year is two hundred percent (200%) of the target amount. The Company shall pay the Annual Bonus in a single cash lump-sum (minus all applicable tax withholding) after the end of the Company’s fiscal year in accordance with procedures established by the Board, but in no event later than two and one-half (2½) months after the end of the calendar year during which the last day of the fiscal year occurs.</w:t>
      </w:r>
    </w:p>
    <w:p>
      <w:pPr>
        <w:spacing w:after="0" w:line="3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5" w:name="page6"/>
    <w:bookmarkEnd w:id="5"/>
    <w:p>
      <w:pPr>
        <w:ind w:left="620" w:right="120" w:firstLine="644"/>
        <w:spacing w:after="0" w:line="259" w:lineRule="auto"/>
        <w:tabs>
          <w:tab w:leader="none" w:pos="1803"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Long Term Incentive</w:t>
      </w:r>
      <w:r>
        <w:rPr>
          <w:rFonts w:ascii="Arial" w:cs="Arial" w:eastAsia="Arial" w:hAnsi="Arial"/>
          <w:sz w:val="18"/>
          <w:szCs w:val="18"/>
          <w:color w:val="auto"/>
        </w:rPr>
        <w:t>. Executive shall be eligible to participate in the Clearway Energy, Inc. Amended and Restated 2013 Equity Incentive Plan, as such plan may be amended and/or restated from time to time (or any successor plan thereto), on such terms and conditions as are stated therein. For each fiscal year during the Employment Period, Executive’s annual long term incentive target shall equal two hundred and fifty percent (250%) of Executive’s then Base Salary (the “Target LTIP Award”).</w:t>
      </w:r>
    </w:p>
    <w:p>
      <w:pPr>
        <w:spacing w:after="0" w:line="186" w:lineRule="exact"/>
        <w:rPr>
          <w:rFonts w:ascii="Arial" w:cs="Arial" w:eastAsia="Arial" w:hAnsi="Arial"/>
          <w:sz w:val="18"/>
          <w:szCs w:val="18"/>
          <w:color w:val="auto"/>
        </w:rPr>
      </w:pPr>
    </w:p>
    <w:p>
      <w:pPr>
        <w:ind w:left="-40" w:firstLine="656"/>
        <w:spacing w:after="0" w:line="290" w:lineRule="auto"/>
        <w:tabs>
          <w:tab w:leader="none" w:pos="1033"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Employment Period, the Company shall promptly reimburse Executive for all reasonable business expenses incurred by him in the course of performing his duties and responsibilities under this Agreement which are consistent with the Company’s policies in effect from time to time with respect to travel, entertainment and other business expenses, subject to the Company’s requirements with respect to reporting and documentation of such expenses. During the Employment Period, the Company will promptly reimburse Executive for reasonable fees, costs and expenses incurred for annual tax return preparation, and ongoing tax advice and financial planning, to a maximum of Twelve Thousand Dollars ($12,000) annually; provided that such reimbursements must be made prior to the end of the calendar year following the calendar year in which such expense was incurred. In addition, the Company will promptly reimburse Executive for reasonable fees and costs incurred for purposes of obtaining legal and other advisory services in connection with reviewing and finalizing this Amended and Restated Employment Agreement, to a maximum of Twelve Thousand Dollars ($12,000).</w:t>
      </w:r>
    </w:p>
    <w:p>
      <w:pPr>
        <w:spacing w:after="0" w:line="165" w:lineRule="exact"/>
        <w:rPr>
          <w:rFonts w:ascii="Arial" w:cs="Arial" w:eastAsia="Arial" w:hAnsi="Arial"/>
          <w:sz w:val="16"/>
          <w:szCs w:val="16"/>
          <w:color w:val="auto"/>
        </w:rPr>
      </w:pPr>
    </w:p>
    <w:p>
      <w:pPr>
        <w:ind w:left="-40" w:right="500" w:firstLine="656"/>
        <w:spacing w:after="0" w:line="277" w:lineRule="auto"/>
        <w:tabs>
          <w:tab w:leader="none" w:pos="10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 addition to the Base Salary and any bonuses and incentives payable to Executive pursuant to this </w:t>
      </w:r>
      <w:r>
        <w:rPr>
          <w:rFonts w:ascii="Arial" w:cs="Arial" w:eastAsia="Arial" w:hAnsi="Arial"/>
          <w:sz w:val="18"/>
          <w:szCs w:val="18"/>
          <w:u w:val="single" w:color="auto"/>
          <w:color w:val="auto"/>
        </w:rPr>
        <w:t>Section 3</w:t>
      </w:r>
      <w:r>
        <w:rPr>
          <w:rFonts w:ascii="Arial" w:cs="Arial" w:eastAsia="Arial" w:hAnsi="Arial"/>
          <w:sz w:val="18"/>
          <w:szCs w:val="18"/>
          <w:color w:val="auto"/>
        </w:rPr>
        <w:t>, Executive shall also be entitled to the following benefits during the Employment Period, unless otherwise modified by the Board:</w:t>
      </w:r>
    </w:p>
    <w:p>
      <w:pPr>
        <w:spacing w:after="0" w:line="170" w:lineRule="exact"/>
        <w:rPr>
          <w:rFonts w:ascii="Arial" w:cs="Arial" w:eastAsia="Arial" w:hAnsi="Arial"/>
          <w:sz w:val="18"/>
          <w:szCs w:val="18"/>
          <w:color w:val="auto"/>
        </w:rPr>
      </w:pPr>
    </w:p>
    <w:p>
      <w:pPr>
        <w:ind w:left="620" w:right="140" w:firstLine="644"/>
        <w:spacing w:after="0" w:line="263" w:lineRule="auto"/>
        <w:tabs>
          <w:tab w:leader="none" w:pos="17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participation in the Company’s retirement plans, health and welfare plans and disability insurance plans, under the terms of such plans (in effect from time to time) and to the same extent and under the same conditions such participation and coverages are provided to other senior management of the Company;</w:t>
      </w:r>
    </w:p>
    <w:p>
      <w:pPr>
        <w:spacing w:after="0" w:line="184" w:lineRule="exact"/>
        <w:rPr>
          <w:sz w:val="20"/>
          <w:szCs w:val="20"/>
          <w:color w:val="auto"/>
        </w:rPr>
      </w:pPr>
    </w:p>
    <w:p>
      <w:pPr>
        <w:ind w:left="1800" w:hanging="536"/>
        <w:spacing w:after="0"/>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five (5) weeks paid vacation each calendar year; and</w:t>
      </w:r>
    </w:p>
    <w:p>
      <w:pPr>
        <w:spacing w:after="0" w:line="225" w:lineRule="exact"/>
        <w:rPr>
          <w:rFonts w:ascii="Arial" w:cs="Arial" w:eastAsia="Arial" w:hAnsi="Arial"/>
          <w:sz w:val="18"/>
          <w:szCs w:val="18"/>
          <w:color w:val="auto"/>
        </w:rPr>
      </w:pPr>
    </w:p>
    <w:p>
      <w:pPr>
        <w:ind w:left="1800" w:hanging="536"/>
        <w:spacing w:after="0"/>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coverage under the Company’s director and officer liability insurance policy.</w:t>
      </w:r>
    </w:p>
    <w:p>
      <w:pPr>
        <w:spacing w:after="0" w:line="225" w:lineRule="exact"/>
        <w:rPr>
          <w:rFonts w:ascii="Arial" w:cs="Arial" w:eastAsia="Arial" w:hAnsi="Arial"/>
          <w:sz w:val="18"/>
          <w:szCs w:val="18"/>
          <w:color w:val="auto"/>
        </w:rPr>
      </w:pPr>
    </w:p>
    <w:p>
      <w:pPr>
        <w:ind w:left="-40" w:right="120" w:firstLine="656"/>
        <w:spacing w:after="0" w:line="263" w:lineRule="auto"/>
        <w:tabs>
          <w:tab w:leader="none" w:pos="105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Board Membership</w:t>
      </w:r>
      <w:r>
        <w:rPr>
          <w:rFonts w:ascii="Arial" w:cs="Arial" w:eastAsia="Arial" w:hAnsi="Arial"/>
          <w:sz w:val="18"/>
          <w:szCs w:val="18"/>
          <w:color w:val="auto"/>
        </w:rPr>
        <w:t>. With respect to all regular elections of directors during the Employment Period, the Company shall nominate, and use its reasonable efforts to cause the election of, Executive to serve as a member of the Board. Effective upon the termination of the Employment Period, Executive shall resign as a director of the Company and its affiliates, as the case may be.</w:t>
      </w:r>
    </w:p>
    <w:p>
      <w:pPr>
        <w:spacing w:after="0" w:line="183" w:lineRule="exact"/>
        <w:rPr>
          <w:rFonts w:ascii="Arial" w:cs="Arial" w:eastAsia="Arial" w:hAnsi="Arial"/>
          <w:sz w:val="18"/>
          <w:szCs w:val="18"/>
          <w:color w:val="auto"/>
        </w:rPr>
      </w:pPr>
    </w:p>
    <w:p>
      <w:pPr>
        <w:ind w:left="1060" w:hanging="44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Employment Period; Termination</w:t>
      </w:r>
      <w:r>
        <w:rPr>
          <w:rFonts w:ascii="Arial" w:cs="Arial" w:eastAsia="Arial" w:hAnsi="Arial"/>
          <w:sz w:val="18"/>
          <w:szCs w:val="18"/>
          <w:color w:val="auto"/>
        </w:rPr>
        <w:t>.</w:t>
      </w:r>
    </w:p>
    <w:p>
      <w:pPr>
        <w:spacing w:after="0" w:line="225" w:lineRule="exact"/>
        <w:rPr>
          <w:sz w:val="20"/>
          <w:szCs w:val="20"/>
          <w:color w:val="auto"/>
        </w:rPr>
      </w:pPr>
    </w:p>
    <w:p>
      <w:pPr>
        <w:ind w:left="-40" w:firstLine="656"/>
        <w:spacing w:after="0" w:line="255" w:lineRule="auto"/>
        <w:tabs>
          <w:tab w:leader="none" w:pos="10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Unless renewed by mutual agreement of the Parties, the Employment Period shall end on December 31, 2024, but shall automatically renew on the same terms and conditions set forth herein for additional one year terms unless the Company or Executive gives the other Party written notice of its election not to renew the Employment Period at least ninety (90) days prior to the then current expiration date (a “Non-Renewal Notice”); provided that the Employment Period shall terminate prior to such date (i) upon Executive’s resignation or death, (ii) upon the Company’s termination of Executive’s employment hereunder with or without Cause, or (iii) upon termination of Executive’s employment with the Company as a result of his Disability, in each case as further described in this </w:t>
      </w:r>
      <w:r>
        <w:rPr>
          <w:rFonts w:ascii="Arial" w:cs="Arial" w:eastAsia="Arial" w:hAnsi="Arial"/>
          <w:sz w:val="18"/>
          <w:szCs w:val="18"/>
          <w:u w:val="single" w:color="auto"/>
          <w:color w:val="auto"/>
        </w:rPr>
        <w:t>Section 5</w:t>
      </w:r>
      <w:r>
        <w:rPr>
          <w:rFonts w:ascii="Arial" w:cs="Arial" w:eastAsia="Arial" w:hAnsi="Arial"/>
          <w:sz w:val="18"/>
          <w:szCs w:val="18"/>
          <w:color w:val="auto"/>
        </w:rPr>
        <w:t>, as applicable.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341" w:right="379" w:bottom="1440" w:gutter="0" w:footer="0" w:header="0"/>
        </w:sectPr>
      </w:pPr>
    </w:p>
    <w:bookmarkStart w:id="6" w:name="page7"/>
    <w:bookmarkEnd w:id="6"/>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Termination of the Employment Period may occur as follows:</w:t>
      </w:r>
    </w:p>
    <w:p>
      <w:pPr>
        <w:spacing w:after="0" w:line="225" w:lineRule="exact"/>
        <w:rPr>
          <w:rFonts w:ascii="Arial" w:cs="Arial" w:eastAsia="Arial" w:hAnsi="Arial"/>
          <w:sz w:val="18"/>
          <w:szCs w:val="18"/>
          <w:color w:val="auto"/>
        </w:rPr>
      </w:pPr>
    </w:p>
    <w:p>
      <w:pPr>
        <w:ind w:left="4" w:right="440" w:firstLine="644"/>
        <w:spacing w:after="0" w:line="277" w:lineRule="auto"/>
        <w:tabs>
          <w:tab w:leader="none" w:pos="118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Employment Period shall terminate immediately upon Executive’s resignation (with or without Good Reason (as defined herein)), death or Disability (as defined herein));</w:t>
      </w:r>
    </w:p>
    <w:p>
      <w:pPr>
        <w:spacing w:after="0" w:line="170" w:lineRule="exact"/>
        <w:rPr>
          <w:rFonts w:ascii="Arial" w:cs="Arial" w:eastAsia="Arial" w:hAnsi="Arial"/>
          <w:sz w:val="18"/>
          <w:szCs w:val="18"/>
          <w:color w:val="auto"/>
        </w:rPr>
      </w:pPr>
    </w:p>
    <w:p>
      <w:pPr>
        <w:ind w:left="4" w:right="460" w:firstLine="644"/>
        <w:spacing w:after="0" w:line="279" w:lineRule="auto"/>
        <w:tabs>
          <w:tab w:leader="none" w:pos="1187"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the Employment Period may be terminated by the Company at any time prior to such date with or without Cause (as defined herein), subject to the process described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below, as applicable. Except as otherwise provided herein, including as specified in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below, any termination of the Employment Period by the Company shall be effective as specified in a written notice from the Company to Executive, but in no event more than thirty (30) calendar days from the date of such notice; or</w:t>
      </w:r>
    </w:p>
    <w:p>
      <w:pPr>
        <w:spacing w:after="0" w:line="171" w:lineRule="exact"/>
        <w:rPr>
          <w:rFonts w:ascii="Arial" w:cs="Arial" w:eastAsia="Arial" w:hAnsi="Arial"/>
          <w:sz w:val="17"/>
          <w:szCs w:val="17"/>
          <w:color w:val="auto"/>
        </w:rPr>
      </w:pPr>
    </w:p>
    <w:p>
      <w:pPr>
        <w:ind w:left="4" w:right="280" w:firstLine="644"/>
        <w:spacing w:after="0" w:line="277" w:lineRule="auto"/>
        <w:tabs>
          <w:tab w:leader="none" w:pos="11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the ending of the Employment Period in accordance with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as a result of a delivery of a Non-Renewal Notice by the Company or Executive to the other Party.</w:t>
      </w:r>
    </w:p>
    <w:p>
      <w:pPr>
        <w:spacing w:after="0" w:line="170" w:lineRule="exact"/>
        <w:rPr>
          <w:rFonts w:ascii="Arial" w:cs="Arial" w:eastAsia="Arial" w:hAnsi="Arial"/>
          <w:sz w:val="18"/>
          <w:szCs w:val="18"/>
          <w:color w:val="auto"/>
        </w:rPr>
      </w:pPr>
    </w:p>
    <w:p>
      <w:pPr>
        <w:ind w:left="524" w:hanging="524"/>
        <w:spacing w:after="0"/>
        <w:tabs>
          <w:tab w:leader="none" w:pos="5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this Agreement, the definition of “Good Reason” shall mean:</w:t>
      </w:r>
    </w:p>
    <w:p>
      <w:pPr>
        <w:spacing w:after="0" w:line="225" w:lineRule="exact"/>
        <w:rPr>
          <w:rFonts w:ascii="Arial" w:cs="Arial" w:eastAsia="Arial" w:hAnsi="Arial"/>
          <w:sz w:val="18"/>
          <w:szCs w:val="18"/>
          <w:color w:val="auto"/>
        </w:rPr>
      </w:pPr>
    </w:p>
    <w:p>
      <w:pPr>
        <w:ind w:left="4" w:firstLine="644"/>
        <w:spacing w:after="0" w:line="263" w:lineRule="auto"/>
        <w:tabs>
          <w:tab w:leader="none" w:pos="112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material failure by the Company to comply with any of the provisions of this Agreement, other than any isolated, insubstantial and inadvertent failure not occurring in bad faith, and which is not remedied by the Company within thirty (30) calendar days after receipt of written notice thereof given by Executive;</w:t>
      </w:r>
    </w:p>
    <w:p>
      <w:pPr>
        <w:spacing w:after="0" w:line="183" w:lineRule="exact"/>
        <w:rPr>
          <w:rFonts w:ascii="Arial" w:cs="Arial" w:eastAsia="Arial" w:hAnsi="Arial"/>
          <w:sz w:val="18"/>
          <w:szCs w:val="18"/>
          <w:color w:val="auto"/>
        </w:rPr>
      </w:pPr>
    </w:p>
    <w:p>
      <w:pPr>
        <w:ind w:left="4" w:right="160" w:firstLine="644"/>
        <w:spacing w:after="0" w:line="277" w:lineRule="auto"/>
        <w:tabs>
          <w:tab w:leader="none" w:pos="117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failure to elect Executive to the Board at any regular election of directors during the Employment Period, or any removal of Executive from the Board, for any reason, during the Employment Period;</w:t>
      </w:r>
    </w:p>
    <w:p>
      <w:pPr>
        <w:spacing w:after="0" w:line="170" w:lineRule="exact"/>
        <w:rPr>
          <w:rFonts w:ascii="Arial" w:cs="Arial" w:eastAsia="Arial" w:hAnsi="Arial"/>
          <w:sz w:val="18"/>
          <w:szCs w:val="18"/>
          <w:color w:val="auto"/>
        </w:rPr>
      </w:pPr>
    </w:p>
    <w:p>
      <w:pPr>
        <w:ind w:left="4" w:right="200" w:firstLine="644"/>
        <w:spacing w:after="0" w:line="271" w:lineRule="auto"/>
        <w:tabs>
          <w:tab w:leader="none" w:pos="1182"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reduction of more than fifteen percent (15%) of Executive’s Base Salary, annual incentive target under the Annual Bonus program (“Target Annual Bonus”) or target LTIP awards (“Target LTIP Award”), relative to the highest Base Salary, Target Annual Bonus or Target LTIP Award level for Executive after the Effective Date, excluding across-the-board reductions to Executive’s then effective Base Salary, Target Annual Bonus and/or Target LTIP Award (on a grant value basis) pursuant to a compensation reduction program that applies to substantially all similarly situated executive officers of the Company; provided that, if any reduction of Base Salary, Target Annual Bonus or Target LTIP Award occurs during the period that is within the six (6) months immediately prior to, or twenty-four (24) months immediately following a Change in Control (as defined herein) (without regard to whether the reduction applies on an across-the-board basis as described above), then such reduction shall be deemed to constitute Good Reason.</w:t>
      </w:r>
    </w:p>
    <w:p>
      <w:pPr>
        <w:spacing w:after="0" w:line="39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7" w:name="page8"/>
    <w:bookmarkEnd w:id="7"/>
    <w:p>
      <w:pPr>
        <w:ind w:left="4" w:right="700" w:firstLine="644"/>
        <w:spacing w:after="0" w:line="277" w:lineRule="auto"/>
        <w:tabs>
          <w:tab w:leader="none" w:pos="11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material reduction in Executive’s benefits under or relative level of participation in the Company’s employee benefit or retirement plans, policies, practices, or arrangements in which Executive participates as of the Effective Date;</w:t>
      </w:r>
    </w:p>
    <w:p>
      <w:pPr>
        <w:spacing w:after="0" w:line="170" w:lineRule="exact"/>
        <w:rPr>
          <w:rFonts w:ascii="Arial" w:cs="Arial" w:eastAsia="Arial" w:hAnsi="Arial"/>
          <w:sz w:val="18"/>
          <w:szCs w:val="18"/>
          <w:color w:val="auto"/>
        </w:rPr>
      </w:pPr>
    </w:p>
    <w:p>
      <w:pPr>
        <w:ind w:left="4" w:right="320" w:firstLine="644"/>
        <w:spacing w:after="0" w:line="308" w:lineRule="auto"/>
        <w:tabs>
          <w:tab w:leader="none" w:pos="1122"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material diminution in Executive’s authority, duties, or responsibilities, or the assignment of duties to Executive (including a requirement that Executive is to report to someone other than the Board) which are materially inconsistent with his position;</w:t>
      </w:r>
    </w:p>
    <w:p>
      <w:pPr>
        <w:spacing w:after="0" w:line="146" w:lineRule="exact"/>
        <w:rPr>
          <w:rFonts w:ascii="Arial" w:cs="Arial" w:eastAsia="Arial" w:hAnsi="Arial"/>
          <w:sz w:val="17"/>
          <w:szCs w:val="17"/>
          <w:color w:val="auto"/>
        </w:rPr>
      </w:pPr>
    </w:p>
    <w:p>
      <w:pPr>
        <w:ind w:left="4" w:right="20" w:firstLine="644"/>
        <w:spacing w:after="0" w:line="263" w:lineRule="auto"/>
        <w:tabs>
          <w:tab w:leader="none" w:pos="11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the Company to obtain in writing the obligation to perform or be bound by the terms of this Agreement by any successor to the Company or a purchaser of all or substantially all of the assets of the Company within fifteen (15) calendar days after any Change in Control (as defined herein) or similar transaction; or</w:t>
      </w:r>
    </w:p>
    <w:p>
      <w:pPr>
        <w:spacing w:after="0" w:line="183" w:lineRule="exact"/>
        <w:rPr>
          <w:rFonts w:ascii="Arial" w:cs="Arial" w:eastAsia="Arial" w:hAnsi="Arial"/>
          <w:sz w:val="18"/>
          <w:szCs w:val="18"/>
          <w:color w:val="auto"/>
        </w:rPr>
      </w:pPr>
    </w:p>
    <w:p>
      <w:pPr>
        <w:ind w:left="4" w:right="20" w:firstLine="644"/>
        <w:spacing w:after="0" w:line="308" w:lineRule="auto"/>
        <w:tabs>
          <w:tab w:leader="none" w:pos="1132"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relocation of Executive’s principal place of employment to a location that is more than fifty (50) miles from Executive’s place of employment as of the Effective Date, but only if such new location is not closer to Executive’s primary residence.</w:t>
      </w:r>
    </w:p>
    <w:p>
      <w:pPr>
        <w:spacing w:after="0" w:line="146"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Notwithstanding the foregoing, in no event shall Executive have Good Reason to terminate his employment unless (A) Executive gives written notice to the Company of the existence of the condition constituting Good Reason within ninety (90) calendar days of the initial existence of such condition; (B) the Company does not cure such condition within thirty (30) calendar days of its receipt of such notice; and (C) Executive actually terminates his employment within one hundred eighty (180) calendar days following the initial existence of the condition constituting Good Reason.</w:t>
      </w:r>
    </w:p>
    <w:p>
      <w:pPr>
        <w:spacing w:after="0" w:line="188" w:lineRule="exact"/>
        <w:rPr>
          <w:sz w:val="20"/>
          <w:szCs w:val="20"/>
          <w:color w:val="auto"/>
        </w:rPr>
      </w:pPr>
    </w:p>
    <w:p>
      <w:pPr>
        <w:ind w:left="444" w:hanging="444"/>
        <w:spacing w:after="0"/>
        <w:tabs>
          <w:tab w:leader="none" w:pos="4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this Agreement, the definition of “Cause” shall mean:</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Executive’s conviction of, or an agreement to a plea of nolo contendere to, any felony or other crime involving moral turpitude;</w:t>
      </w:r>
    </w:p>
    <w:p>
      <w:pPr>
        <w:spacing w:after="0" w:line="46" w:lineRule="exact"/>
        <w:rPr>
          <w:rFonts w:ascii="Arial" w:cs="Arial" w:eastAsia="Arial" w:hAnsi="Arial"/>
          <w:sz w:val="16"/>
          <w:szCs w:val="16"/>
          <w:color w:val="auto"/>
        </w:rPr>
      </w:pPr>
    </w:p>
    <w:p>
      <w:pPr>
        <w:ind w:left="1304" w:right="360" w:hanging="656"/>
        <w:spacing w:after="0" w:line="250" w:lineRule="auto"/>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Executive’s willful and continuing refusal to substantially perform Executive’s material duties as reasonably directed by the Board under this or any other agreement (after receipt of written notice from the Board setting forth such duties and responsibilities to be performed);</w:t>
      </w:r>
    </w:p>
    <w:p>
      <w:pPr>
        <w:spacing w:after="0" w:line="1" w:lineRule="exact"/>
        <w:rPr>
          <w:rFonts w:ascii="Arial" w:cs="Arial" w:eastAsia="Arial" w:hAnsi="Arial"/>
          <w:sz w:val="18"/>
          <w:szCs w:val="18"/>
          <w:color w:val="auto"/>
        </w:rPr>
      </w:pPr>
    </w:p>
    <w:p>
      <w:pPr>
        <w:ind w:left="1304" w:right="560" w:hanging="656"/>
        <w:spacing w:after="0" w:line="250" w:lineRule="auto"/>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carrying out Executive’s duties, Executive engages in conduct that constitutes willful gross neglect or willful gross misconduct which, in either case, results in demonstrable harm to the business, operations, prospects, or reputation of the Company;</w:t>
      </w:r>
    </w:p>
    <w:p>
      <w:pPr>
        <w:spacing w:after="0" w:line="1" w:lineRule="exact"/>
        <w:rPr>
          <w:rFonts w:ascii="Arial" w:cs="Arial" w:eastAsia="Arial" w:hAnsi="Arial"/>
          <w:sz w:val="18"/>
          <w:szCs w:val="18"/>
          <w:color w:val="auto"/>
        </w:rPr>
      </w:pPr>
    </w:p>
    <w:p>
      <w:pPr>
        <w:ind w:left="1304" w:hanging="656"/>
        <w:spacing w:after="0"/>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Executive’s material breach of any written agreement between Executive and the Company;</w:t>
      </w:r>
    </w:p>
    <w:p>
      <w:pPr>
        <w:spacing w:after="0" w:line="9" w:lineRule="exact"/>
        <w:rPr>
          <w:rFonts w:ascii="Arial" w:cs="Arial" w:eastAsia="Arial" w:hAnsi="Arial"/>
          <w:sz w:val="18"/>
          <w:szCs w:val="18"/>
          <w:color w:val="auto"/>
        </w:rPr>
      </w:pPr>
    </w:p>
    <w:p>
      <w:pPr>
        <w:ind w:left="1304" w:hanging="656"/>
        <w:spacing w:after="0"/>
        <w:tabs>
          <w:tab w:leader="none" w:pos="1304" w:val="left"/>
        </w:tabs>
        <w:numPr>
          <w:ilvl w:val="1"/>
          <w:numId w:val="17"/>
        </w:numPr>
        <w:rPr>
          <w:rFonts w:ascii="Arial" w:cs="Arial" w:eastAsia="Arial" w:hAnsi="Arial"/>
          <w:sz w:val="17"/>
          <w:szCs w:val="17"/>
          <w:color w:val="auto"/>
        </w:rPr>
      </w:pPr>
      <w:r>
        <w:rPr>
          <w:rFonts w:ascii="Arial" w:cs="Arial" w:eastAsia="Arial" w:hAnsi="Arial"/>
          <w:sz w:val="17"/>
          <w:szCs w:val="17"/>
          <w:color w:val="auto"/>
        </w:rPr>
        <w:t>Executive’s material violation of the Company’s Code of Conduct or any material provision of a written Company policy; or</w:t>
      </w:r>
    </w:p>
    <w:p>
      <w:pPr>
        <w:spacing w:after="0" w:line="20" w:lineRule="exact"/>
        <w:rPr>
          <w:rFonts w:ascii="Arial" w:cs="Arial" w:eastAsia="Arial" w:hAnsi="Arial"/>
          <w:sz w:val="17"/>
          <w:szCs w:val="17"/>
          <w:color w:val="auto"/>
        </w:rPr>
      </w:pPr>
    </w:p>
    <w:p>
      <w:pPr>
        <w:ind w:left="1304" w:hanging="656"/>
        <w:spacing w:after="0" w:line="260" w:lineRule="auto"/>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other material breach of this Agreement which is not cured to the Board’s reasonable satisfaction within thirty (30) calendar days after written notice thereof to Executive.</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341" w:right="359" w:bottom="1440" w:gutter="0" w:footer="0" w:header="0"/>
        </w:sectPr>
      </w:pPr>
    </w:p>
    <w:bookmarkStart w:id="8" w:name="page9"/>
    <w:bookmarkEnd w:id="8"/>
    <w:p>
      <w:pPr>
        <w:ind w:left="600"/>
        <w:spacing w:after="0" w:line="293" w:lineRule="auto"/>
        <w:rPr>
          <w:sz w:val="20"/>
          <w:szCs w:val="20"/>
          <w:color w:val="auto"/>
        </w:rPr>
      </w:pPr>
      <w:r>
        <w:rPr>
          <w:rFonts w:ascii="Arial" w:cs="Arial" w:eastAsia="Arial" w:hAnsi="Arial"/>
          <w:sz w:val="16"/>
          <w:szCs w:val="16"/>
          <w:color w:val="auto"/>
        </w:rPr>
        <w:t>Notwithstanding the foregoing, there shall be no termination for Cause pursuant to clauses (i) through (vi) above, unless a written notice, containing a detailed description of the grounds constituting Cause hereunder, is delivered to Executive stating the basis for the termination within thirty (30) calendar days of the initial existence of the condition. Upon receipt of such notice, Executive shall be given thirty (30) calendar days to fully cure and remedy the neglect or conduct that is the basis of such claim. If Executive fails to fully cure and remedy such neglect or misconduct within such thirty (30) calendar day period, Executive shall have an opportunity to be heard before the full Board. After such hearing, a termination for Cause shall only occur if there is a vote of three-quarters (3/4) of the Board to terminate Executive for Cause.</w:t>
      </w:r>
    </w:p>
    <w:p>
      <w:pPr>
        <w:spacing w:after="0" w:line="164" w:lineRule="exact"/>
        <w:rPr>
          <w:sz w:val="20"/>
          <w:szCs w:val="20"/>
          <w:color w:val="auto"/>
        </w:rPr>
      </w:pPr>
    </w:p>
    <w:p>
      <w:pPr>
        <w:ind w:left="-60" w:right="60" w:firstLine="656"/>
        <w:spacing w:after="0" w:line="308" w:lineRule="auto"/>
        <w:tabs>
          <w:tab w:leader="none" w:pos="1013"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 purposes of this Agreement, a termination of the Employment Period as a result of the Company’s delivery of a Non-Renewal Notice to Executive shall be deemed to constitute an involuntary termination of Executive’s employment with the Company without Cause.</w:t>
      </w:r>
    </w:p>
    <w:p>
      <w:pPr>
        <w:spacing w:after="0" w:line="146" w:lineRule="exact"/>
        <w:rPr>
          <w:sz w:val="20"/>
          <w:szCs w:val="20"/>
          <w:color w:val="auto"/>
        </w:rPr>
      </w:pPr>
    </w:p>
    <w:p>
      <w:pPr>
        <w:ind w:left="1040" w:hanging="44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sz w:val="20"/>
          <w:szCs w:val="20"/>
          <w:color w:val="auto"/>
        </w:rPr>
      </w:pPr>
    </w:p>
    <w:p>
      <w:pPr>
        <w:ind w:left="1020" w:hanging="42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Involuntary Termination without Cause Voluntary Termination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0" w:right="40" w:firstLine="644"/>
        <w:spacing w:after="0" w:line="274" w:lineRule="auto"/>
        <w:tabs>
          <w:tab w:leader="none" w:pos="1778"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Entitlement to Severance Benefits.</w:t>
      </w:r>
      <w:r>
        <w:rPr>
          <w:rFonts w:ascii="Arial" w:cs="Arial" w:eastAsia="Arial" w:hAnsi="Arial"/>
          <w:sz w:val="17"/>
          <w:szCs w:val="17"/>
          <w:color w:val="auto"/>
        </w:rPr>
        <w:t xml:space="preserve"> In the event (A) Executive’s employment with the Company is involuntarily terminated by the Company without Cause (including, for the avoidance of doubt, the Company’s delivery of a Notice of Non-Renewal to Executive), or</w:t>
      </w:r>
    </w:p>
    <w:p>
      <w:pPr>
        <w:ind w:left="600" w:right="4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(B) Executive’s employment with the Company is voluntarily terminated by Executive for Good Reason (the date occurrence of each such event under the above clauses (A) or (B), being the “Separation Date”), Executive shall be entitled to the severance benefits set forth below in </w:t>
      </w:r>
      <w:r>
        <w:rPr>
          <w:rFonts w:ascii="Arial" w:cs="Arial" w:eastAsia="Arial" w:hAnsi="Arial"/>
          <w:sz w:val="17"/>
          <w:szCs w:val="17"/>
          <w:u w:val="single" w:color="auto"/>
          <w:color w:val="auto"/>
        </w:rPr>
        <w:t>Section 6(a)(ii)</w:t>
      </w:r>
      <w:r>
        <w:rPr>
          <w:rFonts w:ascii="Arial" w:cs="Arial" w:eastAsia="Arial" w:hAnsi="Arial"/>
          <w:sz w:val="17"/>
          <w:szCs w:val="17"/>
          <w:color w:val="auto"/>
        </w:rPr>
        <w:t xml:space="preserve">; provided, however, if such termination of employment occurs within six (6) months immediately prior to, or twenty-four (24) months immediately following a Change in Control (as defined herein) of the Company, Executive shall in lieu of the severance benefits provided under </w:t>
      </w:r>
      <w:r>
        <w:rPr>
          <w:rFonts w:ascii="Arial" w:cs="Arial" w:eastAsia="Arial" w:hAnsi="Arial"/>
          <w:sz w:val="17"/>
          <w:szCs w:val="17"/>
          <w:u w:val="single" w:color="auto"/>
          <w:color w:val="auto"/>
        </w:rPr>
        <w:t>Section 6(a)(ii)</w:t>
      </w:r>
      <w:r>
        <w:rPr>
          <w:rFonts w:ascii="Arial" w:cs="Arial" w:eastAsia="Arial" w:hAnsi="Arial"/>
          <w:sz w:val="17"/>
          <w:szCs w:val="17"/>
          <w:color w:val="auto"/>
        </w:rPr>
        <w:t xml:space="preserve"> hereof become entitled to the severance benefits set forth below in </w:t>
      </w:r>
      <w:r>
        <w:rPr>
          <w:rFonts w:ascii="Arial" w:cs="Arial" w:eastAsia="Arial" w:hAnsi="Arial"/>
          <w:sz w:val="17"/>
          <w:szCs w:val="17"/>
          <w:u w:val="single" w:color="auto"/>
          <w:color w:val="auto"/>
        </w:rPr>
        <w:t>Section 6(a)(iii).</w:t>
      </w:r>
    </w:p>
    <w:p>
      <w:pPr>
        <w:spacing w:after="0" w:line="178" w:lineRule="exact"/>
        <w:rPr>
          <w:rFonts w:ascii="Arial" w:cs="Arial" w:eastAsia="Arial" w:hAnsi="Arial"/>
          <w:sz w:val="17"/>
          <w:szCs w:val="17"/>
          <w:color w:val="auto"/>
        </w:rPr>
      </w:pPr>
    </w:p>
    <w:p>
      <w:pPr>
        <w:ind w:left="600" w:right="20" w:firstLine="644"/>
        <w:spacing w:after="0" w:line="257" w:lineRule="auto"/>
        <w:tabs>
          <w:tab w:leader="none" w:pos="1783"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Severance absent a Change in Control</w:t>
      </w:r>
      <w:r>
        <w:rPr>
          <w:rFonts w:ascii="Arial" w:cs="Arial" w:eastAsia="Arial" w:hAnsi="Arial"/>
          <w:sz w:val="18"/>
          <w:szCs w:val="18"/>
          <w:color w:val="auto"/>
        </w:rPr>
        <w:t xml:space="preserve">. As a condition to the payment of the following severance benefits under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within forty-five (45) calendar days of the occurrence of the Separation Date that is not within six (6) months immediately prior to, or twenty-four (24) months immediately following a Change in Control, Executive shall execute and deliver, and the applicable revocation period shall have expired with respect to, the “Release” in the form substantially similar to that attached hereto as Exhibit A, in consideration for which the Company agrees to the following: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80" w:top="341" w:right="379" w:bottom="1440" w:gutter="0" w:footer="0" w:header="0"/>
        </w:sectPr>
      </w:pPr>
    </w:p>
    <w:bookmarkStart w:id="9" w:name="page10"/>
    <w:bookmarkEnd w:id="9"/>
    <w:p>
      <w:pPr>
        <w:ind w:left="840" w:hanging="656"/>
        <w:spacing w:after="0" w:line="263"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shall pay Executive, upon the date that is forty-five (45) calendar days following the Separation Date, a lump-sum cash payment (minus applicable tax withholding) in an amount no less than one and one-half (1½) times Executive’s annual Base Salary in effect as of the Separation Date;</w:t>
      </w:r>
    </w:p>
    <w:p>
      <w:pPr>
        <w:spacing w:after="0" w:line="183" w:lineRule="exact"/>
        <w:rPr>
          <w:rFonts w:ascii="Arial" w:cs="Arial" w:eastAsia="Arial" w:hAnsi="Arial"/>
          <w:sz w:val="18"/>
          <w:szCs w:val="18"/>
          <w:color w:val="auto"/>
        </w:rPr>
      </w:pPr>
    </w:p>
    <w:p>
      <w:pPr>
        <w:ind w:left="840" w:right="60" w:hanging="656"/>
        <w:spacing w:after="0" w:line="273"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Company shall pay Executive, upon the date that annual bonus payments are generally made to the Company’s executive officers, a lump-sum cash payment (minus applicable tax withholding), if at all, in an amount at least equal to the Annual Bonus payment Executive would have earned (i.e., contingent on satisfaction of the performance goals that are applicable to such Annual Bonus), if any, as set forth in </w:t>
      </w:r>
      <w:r>
        <w:rPr>
          <w:rFonts w:ascii="Arial" w:cs="Arial" w:eastAsia="Arial" w:hAnsi="Arial"/>
          <w:sz w:val="17"/>
          <w:szCs w:val="17"/>
          <w:u w:val="single" w:color="auto"/>
          <w:color w:val="auto"/>
        </w:rPr>
        <w:t>Section 3(b)(i)</w:t>
      </w:r>
      <w:r>
        <w:rPr>
          <w:rFonts w:ascii="Arial" w:cs="Arial" w:eastAsia="Arial" w:hAnsi="Arial"/>
          <w:sz w:val="17"/>
          <w:szCs w:val="17"/>
          <w:color w:val="auto"/>
        </w:rPr>
        <w:t xml:space="preserve"> of this Agreement if his termination of employment had not occurred, adjusted on a pro rata basis based on the number of days Executive was actually employed by the Company during the fiscal year to which such target bonus opportunity relates;</w:t>
      </w:r>
    </w:p>
    <w:p>
      <w:pPr>
        <w:spacing w:after="0" w:line="177" w:lineRule="exact"/>
        <w:rPr>
          <w:rFonts w:ascii="Arial" w:cs="Arial" w:eastAsia="Arial" w:hAnsi="Arial"/>
          <w:sz w:val="17"/>
          <w:szCs w:val="17"/>
          <w:color w:val="auto"/>
        </w:rPr>
      </w:pPr>
    </w:p>
    <w:p>
      <w:pPr>
        <w:ind w:left="840" w:right="60" w:hanging="656"/>
        <w:spacing w:after="0" w:line="275"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In the event that the Separation Date occurs under this </w:t>
      </w:r>
      <w:r>
        <w:rPr>
          <w:rFonts w:ascii="Arial" w:cs="Arial" w:eastAsia="Arial" w:hAnsi="Arial"/>
          <w:sz w:val="17"/>
          <w:szCs w:val="17"/>
          <w:u w:val="single" w:color="auto"/>
          <w:color w:val="auto"/>
        </w:rPr>
        <w:t>Section 6(a)(ii)</w:t>
      </w:r>
      <w:r>
        <w:rPr>
          <w:rFonts w:ascii="Arial" w:cs="Arial" w:eastAsia="Arial" w:hAnsi="Arial"/>
          <w:sz w:val="17"/>
          <w:szCs w:val="17"/>
          <w:color w:val="auto"/>
        </w:rPr>
        <w:t xml:space="preserve"> following the close of the fiscal year but prior to the payment of the bonus applicable for such year (if any), the Company shall pay Executive, upon the date that is forty-five (45) calendar following the Separation Date, a lump-sum cash payment (minus applicable tax withholding) in an amount equal to the amount of such bonus (if any) that Executive would have received for such prior fiscal year, had Executive’s employment with the Company continued and he was employed through such date on which such bonus would be paid;</w:t>
      </w:r>
    </w:p>
    <w:p>
      <w:pPr>
        <w:spacing w:after="0" w:line="176" w:lineRule="exact"/>
        <w:rPr>
          <w:rFonts w:ascii="Arial" w:cs="Arial" w:eastAsia="Arial" w:hAnsi="Arial"/>
          <w:sz w:val="17"/>
          <w:szCs w:val="17"/>
          <w:color w:val="auto"/>
        </w:rPr>
      </w:pPr>
    </w:p>
    <w:p>
      <w:pPr>
        <w:ind w:left="840" w:hanging="656"/>
        <w:spacing w:after="0" w:line="290" w:lineRule="auto"/>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eighteen (18) months from the Separation Date (the “Benefits Continuation Period”), the Company shall reimburse Executive for the portion of the monthly premium cost that would have been paid by the Company for the same level of health and dental coverage that Executive had in effect immediately prior to his termination if Executive were actively employed by the Company in the event Executive elects for himself and his dependents (as applicable) to participate in continuation coverage for the Company’s health and dental plans under the Consolidated Omnibus Budget and Reconciliation Act of 1985, as amended (“COBRA”); provided, however, that if it is not commercially feasible to offer COBRA to Executive, the Board, in its discretion, may reimburse Executive for similar reasonable costs incurred by Executive in obtaining health and dental coverage for himself and his dependents (as applicable) during the Benefits Continuation Period;</w:t>
      </w:r>
    </w:p>
    <w:p>
      <w:pPr>
        <w:spacing w:after="0" w:line="165" w:lineRule="exact"/>
        <w:rPr>
          <w:rFonts w:ascii="Arial" w:cs="Arial" w:eastAsia="Arial" w:hAnsi="Arial"/>
          <w:sz w:val="16"/>
          <w:szCs w:val="16"/>
          <w:color w:val="auto"/>
        </w:rPr>
      </w:pPr>
    </w:p>
    <w:p>
      <w:pPr>
        <w:ind w:left="840" w:hanging="65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Company shall pay Executive the amounts described in </w:t>
      </w:r>
      <w:r>
        <w:rPr>
          <w:rFonts w:ascii="Arial" w:cs="Arial" w:eastAsia="Arial" w:hAnsi="Arial"/>
          <w:sz w:val="18"/>
          <w:szCs w:val="18"/>
          <w:u w:val="single" w:color="auto"/>
          <w:color w:val="auto"/>
        </w:rPr>
        <w:t>Section 6(e)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840" w:right="80" w:hanging="656"/>
        <w:spacing w:after="0" w:line="263"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shall treat all outstanding awards of restricted stock, stock options and other equity awards granted to Executive under the LTIP (“Outstanding LTIP Awards”) in accordance with the terms of the plans or agreements under which such awards were created or maintained.</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0" w:name="page11"/>
    <w:bookmarkEnd w:id="10"/>
    <w:p>
      <w:pPr>
        <w:ind w:left="-460" w:right="20" w:firstLine="644"/>
        <w:spacing w:after="0" w:line="301" w:lineRule="auto"/>
        <w:tabs>
          <w:tab w:leader="none" w:pos="72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Severance with a Change in Control</w:t>
      </w:r>
      <w:r>
        <w:rPr>
          <w:rFonts w:ascii="Arial" w:cs="Arial" w:eastAsia="Arial" w:hAnsi="Arial"/>
          <w:sz w:val="16"/>
          <w:szCs w:val="16"/>
          <w:color w:val="auto"/>
        </w:rPr>
        <w:t xml:space="preserve">. As a condition to the payment of the following severance benefits under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within forty-five (45) calendar days of the occurrence of the Separation Date that is within the six (6) months immediately prior to, or twenty-four (24) months immediately following a Change in Control, Executive shall execute and deliver, and the applicable revocation period shall have expired with respect to, the “Release” in the form attached hereto as Exhibit A, in consideration for which the Company agrees to the following:</w:t>
      </w:r>
    </w:p>
    <w:p>
      <w:pPr>
        <w:spacing w:after="0" w:line="157" w:lineRule="exact"/>
        <w:rPr>
          <w:sz w:val="20"/>
          <w:szCs w:val="20"/>
          <w:color w:val="auto"/>
        </w:rPr>
      </w:pPr>
    </w:p>
    <w:p>
      <w:pPr>
        <w:ind w:left="840" w:hanging="656"/>
        <w:spacing w:after="0" w:line="291" w:lineRule="auto"/>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shall pay Executive, upon the date that is forty-five (45) calendar days following the Separation Date, a lump-sum cash payment (minus applicable tax withholding) in an amount no less than three (3) times the sum of the following:</w:t>
      </w:r>
    </w:p>
    <w:p>
      <w:pPr>
        <w:ind w:left="840" w:right="1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(x) Executive’s annual Base Salary in effect as of the Separation Date, or if higher, Executive’s annual Base Salary in effect immediately prior to the Change in Control, and (y) Executive’s target Annual Bonus opportunity as set forth in </w:t>
      </w:r>
      <w:r>
        <w:rPr>
          <w:rFonts w:ascii="Arial" w:cs="Arial" w:eastAsia="Arial" w:hAnsi="Arial"/>
          <w:sz w:val="18"/>
          <w:szCs w:val="18"/>
          <w:u w:val="single" w:color="auto"/>
          <w:color w:val="auto"/>
        </w:rPr>
        <w:t>Section 3(b)(i)</w:t>
      </w:r>
      <w:r>
        <w:rPr>
          <w:rFonts w:ascii="Arial" w:cs="Arial" w:eastAsia="Arial" w:hAnsi="Arial"/>
          <w:sz w:val="18"/>
          <w:szCs w:val="18"/>
          <w:color w:val="auto"/>
        </w:rPr>
        <w:t xml:space="preserve"> of this Agreement;</w:t>
      </w:r>
    </w:p>
    <w:p>
      <w:pPr>
        <w:spacing w:after="0" w:line="189" w:lineRule="exact"/>
        <w:rPr>
          <w:rFonts w:ascii="Arial" w:cs="Arial" w:eastAsia="Arial" w:hAnsi="Arial"/>
          <w:sz w:val="16"/>
          <w:szCs w:val="16"/>
          <w:color w:val="auto"/>
        </w:rPr>
      </w:pPr>
    </w:p>
    <w:p>
      <w:pPr>
        <w:ind w:left="840" w:hanging="656"/>
        <w:spacing w:after="0" w:line="301" w:lineRule="auto"/>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Company shall pay Executive, upon the date that is forty-five (45) calendar days following the Separation Date, a lump-sum cash payment (minus applicable tax withholding), in an amount at least equal to Executive’s then target Annual Bonus opportunity as established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 xml:space="preserve"> of this Agreement, adjusted on a pro rata basis based on the number of days Executive was actually employed by the Company during the fiscal year to which such target bonus opportunity relates;</w:t>
      </w:r>
    </w:p>
    <w:p>
      <w:pPr>
        <w:spacing w:after="0" w:line="157" w:lineRule="exact"/>
        <w:rPr>
          <w:rFonts w:ascii="Arial" w:cs="Arial" w:eastAsia="Arial" w:hAnsi="Arial"/>
          <w:sz w:val="16"/>
          <w:szCs w:val="16"/>
          <w:color w:val="auto"/>
        </w:rPr>
      </w:pPr>
    </w:p>
    <w:p>
      <w:pPr>
        <w:ind w:left="840" w:right="80" w:hanging="656"/>
        <w:spacing w:after="0" w:line="296" w:lineRule="auto"/>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In the event that the Separation Date occurs under this </w:t>
      </w:r>
      <w:r>
        <w:rPr>
          <w:rFonts w:ascii="Arial" w:cs="Arial" w:eastAsia="Arial" w:hAnsi="Arial"/>
          <w:sz w:val="16"/>
          <w:szCs w:val="16"/>
          <w:u w:val="single" w:color="auto"/>
          <w:color w:val="auto"/>
        </w:rPr>
        <w:t>Section 6(a)(iii)</w:t>
      </w:r>
      <w:r>
        <w:rPr>
          <w:rFonts w:ascii="Arial" w:cs="Arial" w:eastAsia="Arial" w:hAnsi="Arial"/>
          <w:sz w:val="16"/>
          <w:szCs w:val="16"/>
          <w:color w:val="auto"/>
        </w:rPr>
        <w:t xml:space="preserve"> following the close of the fiscal year but prior to the payment of the bonus applicable for such year (if any), the Company shall pay Executive, upon the date that is forty-five (45) calendar days following the Separation Date, a lump-sum cash payment (minus applicable tax withholding), in an amount equal to the amount of such bonus (if any) that Executive would have received for such prior fiscal year, had Executive’s employment with the Company continued and he was employed through such date on which such bonus would be paid;</w:t>
      </w:r>
    </w:p>
    <w:p>
      <w:pPr>
        <w:spacing w:after="0" w:line="161" w:lineRule="exact"/>
        <w:rPr>
          <w:rFonts w:ascii="Arial" w:cs="Arial" w:eastAsia="Arial" w:hAnsi="Arial"/>
          <w:sz w:val="16"/>
          <w:szCs w:val="16"/>
          <w:color w:val="auto"/>
        </w:rPr>
      </w:pPr>
    </w:p>
    <w:p>
      <w:pPr>
        <w:ind w:left="840" w:right="40" w:hanging="656"/>
        <w:spacing w:after="0" w:line="291" w:lineRule="auto"/>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duration of the Benefits Continuation Period, the Company shall reimburse Executive for the portion of the monthly premium cost that would have been paid by the Company for the same level of health and dental coverage that Executive had in effect immediately prior to his termination if Executive were actively employed by the Company if Executive elects in the event Executive elects for himself and his dependents (as applicable) to participate in benefits continuation coverage for the Company’s health and dental plans under COBRA; provided, however, that if it is not commercially feasible to offer COBRA to Executive, the Board, in its discretion, may reimburse Executive for similar reasonable costs incurred by Executive in obtaining health and dental coverage for himself and his dependents (as applicable) during the Benefits Continuation Period;</w:t>
      </w:r>
    </w:p>
    <w:p>
      <w:pPr>
        <w:spacing w:after="0" w:line="3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1" w:name="page12"/>
    <w:bookmarkEnd w:id="11"/>
    <w:p>
      <w:pPr>
        <w:ind w:left="840" w:hanging="656"/>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Company shall pay Executive the amounts described in </w:t>
      </w:r>
      <w:r>
        <w:rPr>
          <w:rFonts w:ascii="Arial" w:cs="Arial" w:eastAsia="Arial" w:hAnsi="Arial"/>
          <w:sz w:val="18"/>
          <w:szCs w:val="18"/>
          <w:u w:val="single" w:color="auto"/>
          <w:color w:val="auto"/>
        </w:rPr>
        <w:t>Section 6(e)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840" w:right="220" w:hanging="656"/>
        <w:spacing w:after="0" w:line="272" w:lineRule="auto"/>
        <w:tabs>
          <w:tab w:leader="none" w:pos="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the extent any Outstanding LTIP Awards include a vesting provision therein that is based on the applicable termination of employment occurring within a period of six (6) months prior to and twelve (12) months following a Change in Control, such period shall be deemed to be, and reformed hereunder as, six (6) months prior to and twenty-four (24) months following a Change in Control, it being understood that (x) such Outstanding LTIP Awards shall otherwise be administered in accordance with the terms of the plans or agreements under which such awards were created or maintained, and (y) nothing in this paragraph shall otherwise modify the applicable termination of employment definition set forth in such Outstanding LTIP Awards that shall apply thereunder for such vesting purposes.</w:t>
      </w:r>
    </w:p>
    <w:p>
      <w:pPr>
        <w:spacing w:after="0" w:line="177" w:lineRule="exact"/>
        <w:rPr>
          <w:sz w:val="20"/>
          <w:szCs w:val="20"/>
          <w:color w:val="auto"/>
        </w:rPr>
      </w:pPr>
    </w:p>
    <w:p>
      <w:pPr>
        <w:ind w:left="-460" w:right="20" w:firstLine="644"/>
        <w:spacing w:after="0" w:line="255" w:lineRule="auto"/>
        <w:tabs>
          <w:tab w:leader="none" w:pos="6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to the contrary, the benefit reimbursement provided pursuant to </w:t>
      </w:r>
      <w:r>
        <w:rPr>
          <w:rFonts w:ascii="Arial" w:cs="Arial" w:eastAsia="Arial" w:hAnsi="Arial"/>
          <w:sz w:val="18"/>
          <w:szCs w:val="18"/>
          <w:u w:val="single" w:color="auto"/>
          <w:color w:val="auto"/>
        </w:rPr>
        <w:t>Section 6(a)(ii)(D)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6(a)(iii)(D)</w:t>
      </w:r>
      <w:r>
        <w:rPr>
          <w:rFonts w:ascii="Arial" w:cs="Arial" w:eastAsia="Arial" w:hAnsi="Arial"/>
          <w:sz w:val="18"/>
          <w:szCs w:val="18"/>
          <w:color w:val="auto"/>
        </w:rPr>
        <w:t xml:space="preserve"> shall be discontinued prior to the end of the Benefits Continuation Period in the event Executive becomes eligible for benefits from a subsequent employer similar to those benefits Executive was receiving pursuant to the Benefits Continuation Period as determined by the Company in good faith. Executive shall have a duty to inform the Company as to the terms and conditions of any subsequent employment and the corresponding benefits earned from such employment, and shall provide, or cause to be provided, to the Company in writing correct, complete and timely information concerning the same.</w:t>
      </w:r>
    </w:p>
    <w:p>
      <w:pPr>
        <w:spacing w:after="0" w:line="192" w:lineRule="exact"/>
        <w:rPr>
          <w:rFonts w:ascii="Arial" w:cs="Arial" w:eastAsia="Arial" w:hAnsi="Arial"/>
          <w:sz w:val="18"/>
          <w:szCs w:val="18"/>
          <w:color w:val="auto"/>
        </w:rPr>
      </w:pPr>
    </w:p>
    <w:p>
      <w:pPr>
        <w:ind w:left="-460" w:firstLine="644"/>
        <w:spacing w:after="0" w:line="257" w:lineRule="auto"/>
        <w:tabs>
          <w:tab w:leader="none" w:pos="6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if Executive is a “specified employee” (within the meaning of Section 409A of the Internal Revenue Code of 1986, as amended (the “Code”)) as of his termination of employment, then to the extent necessary to comply with the requirements of Section 409A of the Code, no payments due Executive under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shall be made earlier than the date that is six </w:t>
      </w:r>
      <w:r>
        <w:rPr>
          <w:rFonts w:ascii="Arial" w:cs="Arial" w:eastAsia="Arial" w:hAnsi="Arial"/>
          <w:sz w:val="18"/>
          <w:szCs w:val="18"/>
          <w:u w:val="single" w:color="auto"/>
          <w:color w:val="auto"/>
        </w:rPr>
        <w:t>(6)</w:t>
      </w:r>
      <w:r>
        <w:rPr>
          <w:rFonts w:ascii="Arial" w:cs="Arial" w:eastAsia="Arial" w:hAnsi="Arial"/>
          <w:sz w:val="18"/>
          <w:szCs w:val="18"/>
          <w:color w:val="auto"/>
        </w:rPr>
        <w:t xml:space="preserve"> months following Executive’s termination of employment, at which time all payments that would otherwise have been made or provided to Executive within that six </w:t>
      </w:r>
      <w:r>
        <w:rPr>
          <w:rFonts w:ascii="Arial" w:cs="Arial" w:eastAsia="Arial" w:hAnsi="Arial"/>
          <w:sz w:val="18"/>
          <w:szCs w:val="18"/>
          <w:u w:val="single" w:color="auto"/>
          <w:color w:val="auto"/>
        </w:rPr>
        <w:t>(6)</w:t>
      </w:r>
      <w:r>
        <w:rPr>
          <w:rFonts w:ascii="Arial" w:cs="Arial" w:eastAsia="Arial" w:hAnsi="Arial"/>
          <w:sz w:val="18"/>
          <w:szCs w:val="18"/>
          <w:color w:val="auto"/>
        </w:rPr>
        <w:t xml:space="preserve"> month period shall be paid to Executive in a lump sum.</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2" w:name="page13"/>
    <w:bookmarkEnd w:id="12"/>
    <w:p>
      <w:pPr>
        <w:ind w:left="652" w:hanging="652"/>
        <w:spacing w:after="0"/>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purposes of this Agreement, “Change in Control” shall mean the first to occur of any of the following events:</w:t>
      </w:r>
    </w:p>
    <w:p>
      <w:pPr>
        <w:spacing w:after="0" w:line="225" w:lineRule="exact"/>
        <w:rPr>
          <w:rFonts w:ascii="Arial" w:cs="Arial" w:eastAsia="Arial" w:hAnsi="Arial"/>
          <w:sz w:val="18"/>
          <w:szCs w:val="18"/>
          <w:color w:val="auto"/>
        </w:rPr>
      </w:pPr>
    </w:p>
    <w:p>
      <w:pPr>
        <w:ind w:left="652" w:right="260" w:firstLine="644"/>
        <w:spacing w:after="0" w:line="274" w:lineRule="auto"/>
        <w:tabs>
          <w:tab w:leader="none" w:pos="1775" w:val="left"/>
        </w:tabs>
        <w:numPr>
          <w:ilvl w:val="2"/>
          <w:numId w:val="26"/>
        </w:numPr>
        <w:rPr>
          <w:rFonts w:ascii="Arial" w:cs="Arial" w:eastAsia="Arial" w:hAnsi="Arial"/>
          <w:sz w:val="17"/>
          <w:szCs w:val="17"/>
          <w:color w:val="auto"/>
        </w:rPr>
      </w:pPr>
      <w:r>
        <w:rPr>
          <w:rFonts w:ascii="Arial" w:cs="Arial" w:eastAsia="Arial" w:hAnsi="Arial"/>
          <w:sz w:val="17"/>
          <w:szCs w:val="17"/>
          <w:color w:val="auto"/>
        </w:rPr>
        <w:t>Any “person” (as that term is used in Sections 13 and 14(d)(2) of the Securities Exchange Act of 1934 (“Exchange Act”)) other than Clearway Energy Group LLC or one of its subsidiaries or affiliates (A) becomes the “beneficial owner” (as that term is used in</w:t>
      </w:r>
    </w:p>
    <w:p>
      <w:pPr>
        <w:ind w:left="652"/>
        <w:spacing w:after="0" w:line="252" w:lineRule="auto"/>
        <w:rPr>
          <w:rFonts w:ascii="Arial" w:cs="Arial" w:eastAsia="Arial" w:hAnsi="Arial"/>
          <w:sz w:val="17"/>
          <w:szCs w:val="17"/>
          <w:color w:val="auto"/>
        </w:rPr>
      </w:pPr>
      <w:r>
        <w:rPr>
          <w:rFonts w:ascii="Arial" w:cs="Arial" w:eastAsia="Arial" w:hAnsi="Arial"/>
          <w:sz w:val="18"/>
          <w:szCs w:val="18"/>
          <w:color w:val="auto"/>
        </w:rPr>
        <w:t>Section 13(d) of the Exchange Act), directly or indirectly, of fifty percent (50%) or more of either (x) the Company’s then-outstanding common stock (“Outstanding Company Common Stock”) or (y) the Company’s then-outstanding capital stock entitled to vote in the election of directors (“Outstanding Company Voting Securities”),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w:t>
      </w:r>
    </w:p>
    <w:p>
      <w:pPr>
        <w:spacing w:after="0" w:line="193" w:lineRule="exact"/>
        <w:rPr>
          <w:rFonts w:ascii="Arial" w:cs="Arial" w:eastAsia="Arial" w:hAnsi="Arial"/>
          <w:sz w:val="17"/>
          <w:szCs w:val="17"/>
          <w:color w:val="auto"/>
        </w:rPr>
      </w:pPr>
    </w:p>
    <w:p>
      <w:pPr>
        <w:ind w:left="652" w:right="20" w:firstLine="644"/>
        <w:spacing w:after="0" w:line="271" w:lineRule="auto"/>
        <w:tabs>
          <w:tab w:leader="none" w:pos="1835" w:val="left"/>
        </w:tabs>
        <w:numPr>
          <w:ilvl w:val="2"/>
          <w:numId w:val="26"/>
        </w:numPr>
        <w:rPr>
          <w:rFonts w:ascii="Arial" w:cs="Arial" w:eastAsia="Arial" w:hAnsi="Arial"/>
          <w:sz w:val="17"/>
          <w:szCs w:val="17"/>
          <w:color w:val="auto"/>
        </w:rPr>
      </w:pPr>
      <w:r>
        <w:rPr>
          <w:rFonts w:ascii="Arial" w:cs="Arial" w:eastAsia="Arial" w:hAnsi="Arial"/>
          <w:sz w:val="17"/>
          <w:szCs w:val="17"/>
          <w:color w:val="auto"/>
        </w:rPr>
        <w:t>Persons who on the Effective Date constitute the Board (the “Incumbent Directors”) cease for any reason, including without limitation, as a result of a tender offer, proxy contest, merger, or similar transaction,</w:t>
      </w:r>
      <w:r>
        <w:rPr>
          <w:rFonts w:ascii="Arial" w:cs="Arial" w:eastAsia="Arial" w:hAnsi="Arial"/>
          <w:sz w:val="17"/>
          <w:szCs w:val="17"/>
          <w:u w:val="single" w:color="auto"/>
          <w:color w:val="auto"/>
        </w:rPr>
        <w:t>,</w:t>
      </w:r>
      <w:r>
        <w:rPr>
          <w:rFonts w:ascii="Arial" w:cs="Arial" w:eastAsia="Arial" w:hAnsi="Arial"/>
          <w:sz w:val="17"/>
          <w:szCs w:val="17"/>
          <w:color w:val="auto"/>
        </w:rPr>
        <w:t xml:space="preserve"> to constitute at least a majority thereof; provided that any person becoming a director of the Company subsequent to the Effective Date shall be considered an Incumbent Director if such person’s election or nomination for election was approved by a vote of at least a majority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w:t>
      </w:r>
    </w:p>
    <w:p>
      <w:pPr>
        <w:spacing w:after="0" w:line="178" w:lineRule="exact"/>
        <w:rPr>
          <w:rFonts w:ascii="Arial" w:cs="Arial" w:eastAsia="Arial" w:hAnsi="Arial"/>
          <w:sz w:val="17"/>
          <w:szCs w:val="17"/>
          <w:color w:val="auto"/>
        </w:rPr>
      </w:pPr>
    </w:p>
    <w:p>
      <w:pPr>
        <w:ind w:left="652" w:firstLine="644"/>
        <w:spacing w:after="0" w:line="270" w:lineRule="auto"/>
        <w:tabs>
          <w:tab w:leader="none" w:pos="1840" w:val="left"/>
        </w:tabs>
        <w:numPr>
          <w:ilvl w:val="2"/>
          <w:numId w:val="26"/>
        </w:numPr>
        <w:rPr>
          <w:rFonts w:ascii="Arial" w:cs="Arial" w:eastAsia="Arial" w:hAnsi="Arial"/>
          <w:sz w:val="17"/>
          <w:szCs w:val="17"/>
          <w:color w:val="auto"/>
        </w:rPr>
      </w:pPr>
      <w:r>
        <w:rPr>
          <w:rFonts w:ascii="Arial" w:cs="Arial" w:eastAsia="Arial" w:hAnsi="Arial"/>
          <w:sz w:val="17"/>
          <w:szCs w:val="17"/>
          <w:color w:val="auto"/>
        </w:rPr>
        <w:t>Consummation of a reorganization, merger, consolidation, or sale or other disposition of all or substantially all of the assets of the Company (a “Business Combination”), in each case, unless, following such Business Combination, all or substantially all of the individuals and entities who were the beneficial owners, respectively, of Outstanding Company Common Stock and of the combined voting power of Outstanding Company Voting Securities immediately prior to such Business Combination beneficially own, directly or indirectly, more than fifty percent (50%) of the then outstanding shares of common stock and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the same proportions as their ownership, immediately prior to such Business Combination, of the Outstanding Company Common Stock and Outstanding Company Voting Securities; or</w:t>
      </w:r>
    </w:p>
    <w:p>
      <w:pPr>
        <w:spacing w:after="0" w:line="180" w:lineRule="exact"/>
        <w:rPr>
          <w:rFonts w:ascii="Arial" w:cs="Arial" w:eastAsia="Arial" w:hAnsi="Arial"/>
          <w:sz w:val="17"/>
          <w:szCs w:val="17"/>
          <w:color w:val="auto"/>
        </w:rPr>
      </w:pPr>
    </w:p>
    <w:p>
      <w:pPr>
        <w:ind w:left="952" w:hanging="304"/>
        <w:spacing w:after="0"/>
        <w:tabs>
          <w:tab w:leader="none" w:pos="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13" w:name="page14"/>
    <w:bookmarkEnd w:id="13"/>
    <w:p>
      <w:pPr>
        <w:ind w:left="-80" w:right="160" w:firstLine="656"/>
        <w:spacing w:after="0" w:line="259" w:lineRule="auto"/>
        <w:tabs>
          <w:tab w:leader="none" w:pos="99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Termination for Cause; Voluntary Resignation</w:t>
      </w:r>
      <w:r>
        <w:rPr>
          <w:rFonts w:ascii="Arial" w:cs="Arial" w:eastAsia="Arial" w:hAnsi="Arial"/>
          <w:sz w:val="18"/>
          <w:szCs w:val="18"/>
          <w:color w:val="auto"/>
        </w:rPr>
        <w:t xml:space="preserve">. In the event Executive’s employment with the Company is terminated (i) by the Board involuntarily for Cause, or (ii) by Executive’s resignation from the Company for any reason other than Good Reason, death, or Disability, the Company agrees to the following, including for the avoidance of doubt, Executive’s delivery of a Non-Renewal Notice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absent a Change in Control:</w:t>
      </w:r>
    </w:p>
    <w:p>
      <w:pPr>
        <w:spacing w:after="0" w:line="186" w:lineRule="exact"/>
        <w:rPr>
          <w:rFonts w:ascii="Arial" w:cs="Arial" w:eastAsia="Arial" w:hAnsi="Arial"/>
          <w:sz w:val="18"/>
          <w:szCs w:val="18"/>
          <w:color w:val="auto"/>
        </w:rPr>
      </w:pPr>
    </w:p>
    <w:p>
      <w:pPr>
        <w:ind w:left="1880" w:hanging="656"/>
        <w:spacing w:after="0"/>
        <w:tabs>
          <w:tab w:leader="none" w:pos="1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Company shall pay Executive the amounts described in </w:t>
      </w:r>
      <w:r>
        <w:rPr>
          <w:rFonts w:ascii="Arial" w:cs="Arial" w:eastAsia="Arial" w:hAnsi="Arial"/>
          <w:sz w:val="18"/>
          <w:szCs w:val="18"/>
          <w:u w:val="single" w:color="auto"/>
          <w:color w:val="auto"/>
        </w:rPr>
        <w:t>Section 6(e)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880" w:right="300" w:hanging="656"/>
        <w:spacing w:after="0" w:line="277" w:lineRule="auto"/>
        <w:tabs>
          <w:tab w:leader="none" w:pos="1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treat all Outstanding LTIP Awards in accordance with the terms of the plans or agreements under which such awards were created or maintained.</w:t>
      </w:r>
    </w:p>
    <w:p>
      <w:pPr>
        <w:spacing w:after="0" w:line="170" w:lineRule="exact"/>
        <w:rPr>
          <w:rFonts w:ascii="Arial" w:cs="Arial" w:eastAsia="Arial" w:hAnsi="Arial"/>
          <w:sz w:val="18"/>
          <w:szCs w:val="18"/>
          <w:color w:val="auto"/>
        </w:rPr>
      </w:pPr>
    </w:p>
    <w:p>
      <w:pPr>
        <w:ind w:left="-80" w:firstLine="656"/>
        <w:spacing w:after="0" w:line="277" w:lineRule="auto"/>
        <w:tabs>
          <w:tab w:leader="none" w:pos="100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i w:val="1"/>
          <w:iCs w:val="1"/>
          <w:color w:val="auto"/>
        </w:rPr>
        <w:t>.</w:t>
      </w:r>
      <w:r>
        <w:rPr>
          <w:rFonts w:ascii="Arial" w:cs="Arial" w:eastAsia="Arial" w:hAnsi="Arial"/>
          <w:sz w:val="18"/>
          <w:szCs w:val="18"/>
          <w:color w:val="auto"/>
        </w:rPr>
        <w:t xml:space="preserve"> In the event that Executive’s employment with the Company is terminated as a result of Executive’s death or Disability, the Company agrees to the following:</w:t>
      </w:r>
    </w:p>
    <w:p>
      <w:pPr>
        <w:spacing w:after="0" w:line="170" w:lineRule="exact"/>
        <w:rPr>
          <w:sz w:val="20"/>
          <w:szCs w:val="20"/>
          <w:color w:val="auto"/>
        </w:rPr>
      </w:pPr>
    </w:p>
    <w:p>
      <w:pPr>
        <w:ind w:left="580" w:right="40" w:firstLine="644"/>
        <w:spacing w:after="0" w:line="259" w:lineRule="auto"/>
        <w:tabs>
          <w:tab w:leader="none" w:pos="17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Company shall pay Executive, upon the date that is fifteen (15) calendar days after such termination of employment, a lump-sum cash payment (minus applicable tax withholding) in an amount at least equal to Executive’s then target bonus opportunity as set forth in </w:t>
      </w:r>
      <w:r>
        <w:rPr>
          <w:rFonts w:ascii="Arial" w:cs="Arial" w:eastAsia="Arial" w:hAnsi="Arial"/>
          <w:sz w:val="18"/>
          <w:szCs w:val="18"/>
          <w:u w:val="single" w:color="auto"/>
          <w:color w:val="auto"/>
        </w:rPr>
        <w:t>Section 3(b)(i)</w:t>
      </w:r>
      <w:r>
        <w:rPr>
          <w:rFonts w:ascii="Arial" w:cs="Arial" w:eastAsia="Arial" w:hAnsi="Arial"/>
          <w:sz w:val="18"/>
          <w:szCs w:val="18"/>
          <w:color w:val="auto"/>
        </w:rPr>
        <w:t xml:space="preserve"> of this Agreement participating, adjusted on a pro rata basis based on the number of days Executive was actually employed during the fiscal year to which such target bonus opportunity relates;</w:t>
      </w:r>
    </w:p>
    <w:p>
      <w:pPr>
        <w:spacing w:after="0" w:line="186" w:lineRule="exact"/>
        <w:rPr>
          <w:rFonts w:ascii="Arial" w:cs="Arial" w:eastAsia="Arial" w:hAnsi="Arial"/>
          <w:sz w:val="18"/>
          <w:szCs w:val="18"/>
          <w:color w:val="auto"/>
        </w:rPr>
      </w:pPr>
    </w:p>
    <w:p>
      <w:pPr>
        <w:ind w:left="580" w:firstLine="644"/>
        <w:spacing w:after="0" w:line="275" w:lineRule="auto"/>
        <w:tabs>
          <w:tab w:leader="none" w:pos="1763"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In the event that Executive’s death or termination due to Disability occurs under this </w:t>
      </w:r>
      <w:r>
        <w:rPr>
          <w:rFonts w:ascii="Arial" w:cs="Arial" w:eastAsia="Arial" w:hAnsi="Arial"/>
          <w:sz w:val="17"/>
          <w:szCs w:val="17"/>
          <w:u w:val="single" w:color="auto"/>
          <w:color w:val="auto"/>
        </w:rPr>
        <w:t>Section 6(d)</w:t>
      </w:r>
      <w:r>
        <w:rPr>
          <w:rFonts w:ascii="Arial" w:cs="Arial" w:eastAsia="Arial" w:hAnsi="Arial"/>
          <w:sz w:val="17"/>
          <w:szCs w:val="17"/>
          <w:color w:val="auto"/>
        </w:rPr>
        <w:t xml:space="preserve"> following the close of the fiscal year but prior to the payment of the bonus applicable for such year (if any), the Company shall pay Executive upon the date that is fifteen (15) calendar days after such termination of employment, a lump-sum cash payment (minus applicable tax withholding) in an amount equal to the amount of such bonus (if any) that Executive would have received for such prior fiscal year, had Executive’s employment with the Company continued and he was employed through such date on which such bonus would be paid;</w:t>
      </w:r>
    </w:p>
    <w:p>
      <w:pPr>
        <w:spacing w:after="0" w:line="176" w:lineRule="exact"/>
        <w:rPr>
          <w:rFonts w:ascii="Arial" w:cs="Arial" w:eastAsia="Arial" w:hAnsi="Arial"/>
          <w:sz w:val="17"/>
          <w:szCs w:val="17"/>
          <w:color w:val="auto"/>
        </w:rPr>
      </w:pPr>
    </w:p>
    <w:p>
      <w:pPr>
        <w:ind w:left="1760" w:hanging="536"/>
        <w:spacing w:after="0"/>
        <w:tabs>
          <w:tab w:leader="none" w:pos="1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Company shall pay Executive the amounts described in </w:t>
      </w:r>
      <w:r>
        <w:rPr>
          <w:rFonts w:ascii="Arial" w:cs="Arial" w:eastAsia="Arial" w:hAnsi="Arial"/>
          <w:sz w:val="18"/>
          <w:szCs w:val="18"/>
          <w:u w:val="single" w:color="auto"/>
          <w:color w:val="auto"/>
        </w:rPr>
        <w:t>Section 6(e)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580" w:right="40" w:firstLine="644"/>
        <w:spacing w:after="0" w:line="277" w:lineRule="auto"/>
        <w:tabs>
          <w:tab w:leader="none" w:pos="17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treat all Outstanding LTIP Awards in accordance with the terms of the plans or agreements under which such awards were created or maintained.</w:t>
      </w:r>
    </w:p>
    <w:p>
      <w:pPr>
        <w:spacing w:after="0" w:line="170" w:lineRule="exact"/>
        <w:rPr>
          <w:sz w:val="20"/>
          <w:szCs w:val="20"/>
          <w:color w:val="auto"/>
        </w:rPr>
      </w:pPr>
    </w:p>
    <w:p>
      <w:pPr>
        <w:ind w:left="580" w:right="60"/>
        <w:spacing w:after="0" w:line="257" w:lineRule="auto"/>
        <w:rPr>
          <w:sz w:val="20"/>
          <w:szCs w:val="20"/>
          <w:color w:val="auto"/>
        </w:rPr>
      </w:pPr>
      <w:r>
        <w:rPr>
          <w:rFonts w:ascii="Arial" w:cs="Arial" w:eastAsia="Arial" w:hAnsi="Arial"/>
          <w:sz w:val="18"/>
          <w:szCs w:val="18"/>
          <w:color w:val="auto"/>
        </w:rPr>
        <w:t>For purposes of this Agreement, “Disability” shall mean “disabled” as defined in Section 409A(a)(2)(C) of the Code and the regulations promulgated thereunder. Executive shall cooperate in all respects with the Company if a question arises as to whether he has become disabled (including, without limitation, submitting to an examination by a medical doctor or other health care specialists selected by the Company and reasonably acceptable to Executive and authorizing such medical doctor or such other health care specialist to discuss Executive’s condition with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00" w:top="341" w:right="419" w:bottom="1440" w:gutter="0" w:footer="0" w:header="0"/>
        </w:sectPr>
      </w:pPr>
    </w:p>
    <w:bookmarkStart w:id="14" w:name="page15"/>
    <w:bookmarkEnd w:id="14"/>
    <w:p>
      <w:pPr>
        <w:ind w:left="-20" w:right="120" w:firstLine="656"/>
        <w:spacing w:after="0" w:line="277" w:lineRule="auto"/>
        <w:tabs>
          <w:tab w:leader="none" w:pos="10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Other Payments Upon Termination</w:t>
      </w:r>
      <w:r>
        <w:rPr>
          <w:rFonts w:ascii="Arial" w:cs="Arial" w:eastAsia="Arial" w:hAnsi="Arial"/>
          <w:sz w:val="18"/>
          <w:szCs w:val="18"/>
          <w:color w:val="auto"/>
        </w:rPr>
        <w:t>. In the case of any termination of Executive’s employment with the Company, Executive or his estate or legal representative shall be entitled to receive from the Company:</w:t>
      </w:r>
    </w:p>
    <w:p>
      <w:pPr>
        <w:spacing w:after="0" w:line="170" w:lineRule="exact"/>
        <w:rPr>
          <w:rFonts w:ascii="Arial" w:cs="Arial" w:eastAsia="Arial" w:hAnsi="Arial"/>
          <w:sz w:val="18"/>
          <w:szCs w:val="18"/>
          <w:color w:val="auto"/>
        </w:rPr>
      </w:pPr>
    </w:p>
    <w:p>
      <w:pPr>
        <w:ind w:left="1820" w:hanging="536"/>
        <w:spacing w:after="0"/>
        <w:tabs>
          <w:tab w:leader="none" w:pos="18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To the extent not theretofore paid, Executive’s Base Salary through the date of termination to the extent not theretofore paid;</w:t>
      </w:r>
    </w:p>
    <w:p>
      <w:pPr>
        <w:spacing w:after="0" w:line="236" w:lineRule="exact"/>
        <w:rPr>
          <w:rFonts w:ascii="Arial" w:cs="Arial" w:eastAsia="Arial" w:hAnsi="Arial"/>
          <w:sz w:val="17"/>
          <w:szCs w:val="17"/>
          <w:color w:val="auto"/>
        </w:rPr>
      </w:pPr>
    </w:p>
    <w:p>
      <w:pPr>
        <w:ind w:left="640" w:firstLine="644"/>
        <w:spacing w:after="0" w:line="255" w:lineRule="auto"/>
        <w:tabs>
          <w:tab w:leader="none" w:pos="1819"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To the extent not theretofore paid and not otherwise addressed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the amount of any bonus, incentive compensation, deferred compensation and other compensation earned or accrued by Executive as of the date of termination under any compensation and benefit plans, programs or arrangements maintained in force by the Company and to the extent provided for (if at all) under the terms thereof (for this purpose, Executive’s Annual Bonus, if any, for any fiscal year shall be deemed to have accrued only on the last day of such fiscal year; provided that, except as otherwise required by applicable law, no such accrual shall occur in the event of termination of Executive’s employment pursuant to </w:t>
      </w:r>
      <w:r>
        <w:rPr>
          <w:rFonts w:ascii="Arial" w:cs="Arial" w:eastAsia="Arial" w:hAnsi="Arial"/>
          <w:sz w:val="18"/>
          <w:szCs w:val="18"/>
          <w:u w:val="single" w:color="auto"/>
          <w:color w:val="auto"/>
        </w:rPr>
        <w:t>Section 6(c)</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40" w:firstLine="644"/>
        <w:spacing w:after="0" w:line="277" w:lineRule="auto"/>
        <w:tabs>
          <w:tab w:leader="none" w:pos="182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the extent not theretofore paid, any vacation pay, expense reimbursements and other cash entitlements accrued by Executive, in accordance with Company policy, as of the date of termination;</w:t>
      </w:r>
    </w:p>
    <w:p>
      <w:pPr>
        <w:spacing w:after="0" w:line="170" w:lineRule="exact"/>
        <w:rPr>
          <w:rFonts w:ascii="Arial" w:cs="Arial" w:eastAsia="Arial" w:hAnsi="Arial"/>
          <w:sz w:val="18"/>
          <w:szCs w:val="18"/>
          <w:color w:val="auto"/>
        </w:rPr>
      </w:pPr>
    </w:p>
    <w:p>
      <w:pPr>
        <w:ind w:left="640" w:right="280" w:firstLine="644"/>
        <w:spacing w:after="0" w:line="342" w:lineRule="auto"/>
        <w:tabs>
          <w:tab w:leader="none" w:pos="1763"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benefits accrued by Executive under all benefit plans and qualified and nonqualified retirement, pension, 401(k) and similar plans and arrangements of the Company, in such manner and at such time as are provided under the terms of such plans and arrangements.</w:t>
      </w:r>
    </w:p>
    <w:p>
      <w:pPr>
        <w:spacing w:after="0" w:line="124" w:lineRule="exact"/>
        <w:rPr>
          <w:sz w:val="20"/>
          <w:szCs w:val="20"/>
          <w:color w:val="auto"/>
        </w:rPr>
      </w:pPr>
    </w:p>
    <w:p>
      <w:pPr>
        <w:ind w:left="640" w:right="1000"/>
        <w:spacing w:after="0" w:line="308" w:lineRule="auto"/>
        <w:rPr>
          <w:sz w:val="20"/>
          <w:szCs w:val="20"/>
          <w:color w:val="auto"/>
        </w:rPr>
      </w:pPr>
      <w:r>
        <w:rPr>
          <w:rFonts w:ascii="Arial" w:cs="Arial" w:eastAsia="Arial" w:hAnsi="Arial"/>
          <w:sz w:val="17"/>
          <w:szCs w:val="17"/>
          <w:color w:val="auto"/>
        </w:rPr>
        <w:t xml:space="preserve">In the event Executive becomes entitled to receive the benefits described in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hereof, such benefits shall be in lieu of other compensation to which Executive may have been entitled pursuant to any severance plan or similar arrangement.</w:t>
      </w:r>
    </w:p>
    <w:p>
      <w:pPr>
        <w:spacing w:after="0" w:line="146" w:lineRule="exact"/>
        <w:rPr>
          <w:sz w:val="20"/>
          <w:szCs w:val="20"/>
          <w:color w:val="auto"/>
        </w:rPr>
      </w:pPr>
    </w:p>
    <w:p>
      <w:pPr>
        <w:jc w:val="both"/>
        <w:ind w:left="-20" w:right="60" w:firstLine="656"/>
        <w:spacing w:after="0" w:line="263" w:lineRule="auto"/>
        <w:tabs>
          <w:tab w:leader="none" w:pos="107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Other Payments</w:t>
      </w:r>
      <w:r>
        <w:rPr>
          <w:rFonts w:ascii="Arial" w:cs="Arial" w:eastAsia="Arial" w:hAnsi="Arial"/>
          <w:sz w:val="18"/>
          <w:szCs w:val="18"/>
          <w:color w:val="auto"/>
        </w:rPr>
        <w:t>. Except as provided in (a), (b), (c) or (d) above, all of Executive’s rights to salary, bonuses, employee benefits and other compensation hereunder which would have accrued or become payable after the termination of the Employment Period shall cease upon such termination, other than those expressly required under applicable law.</w:t>
      </w:r>
    </w:p>
    <w:p>
      <w:pPr>
        <w:spacing w:after="0" w:line="183" w:lineRule="exact"/>
        <w:rPr>
          <w:rFonts w:ascii="Arial" w:cs="Arial" w:eastAsia="Arial" w:hAnsi="Arial"/>
          <w:sz w:val="18"/>
          <w:szCs w:val="18"/>
          <w:color w:val="auto"/>
        </w:rPr>
      </w:pPr>
    </w:p>
    <w:p>
      <w:pPr>
        <w:ind w:left="-20" w:right="560" w:firstLine="656"/>
        <w:spacing w:after="0" w:line="308" w:lineRule="auto"/>
        <w:tabs>
          <w:tab w:leader="none" w:pos="106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 Mitigation, Et Cetera</w:t>
      </w:r>
      <w:r>
        <w:rPr>
          <w:rFonts w:ascii="Arial" w:cs="Arial" w:eastAsia="Arial" w:hAnsi="Arial"/>
          <w:sz w:val="17"/>
          <w:szCs w:val="17"/>
          <w:color w:val="auto"/>
        </w:rPr>
        <w:t>. In the event of Executive’s termination of employment for whatever reason or in the event of breach of this Agreement by the Company, Executive shall be under no obligation to seek other employment or to otherwise mitigate his damages.</w:t>
      </w:r>
    </w:p>
    <w:p>
      <w:pPr>
        <w:spacing w:after="0" w:line="146" w:lineRule="exact"/>
        <w:rPr>
          <w:rFonts w:ascii="Arial" w:cs="Arial" w:eastAsia="Arial" w:hAnsi="Arial"/>
          <w:sz w:val="17"/>
          <w:szCs w:val="17"/>
          <w:color w:val="auto"/>
        </w:rPr>
      </w:pPr>
    </w:p>
    <w:p>
      <w:pPr>
        <w:ind w:left="-20" w:right="20" w:firstLine="656"/>
        <w:spacing w:after="0" w:line="259" w:lineRule="auto"/>
        <w:tabs>
          <w:tab w:leader="none" w:pos="106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Offset</w:t>
      </w:r>
      <w:r>
        <w:rPr>
          <w:rFonts w:ascii="Arial" w:cs="Arial" w:eastAsia="Arial" w:hAnsi="Arial"/>
          <w:sz w:val="18"/>
          <w:szCs w:val="18"/>
          <w:color w:val="auto"/>
        </w:rPr>
        <w:t>. The Company may offset, to the fullest extent of the law, any amounts due to the Company from Executive, or advanced or loaned to Executive by the Company, from any monies owed to Executive or Executive’s estate by reason of his termination of employment; provided that in no event will the payment of any amount that constitutes “deferred compensation” under Section 409A of the Code and the regulations promulgated thereunder be offset.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15" w:name="page16"/>
    <w:bookmarkEnd w:id="15"/>
    <w:p>
      <w:pPr>
        <w:ind w:firstLine="656"/>
        <w:spacing w:after="0" w:line="255" w:lineRule="auto"/>
        <w:tabs>
          <w:tab w:leader="none" w:pos="113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Notwithstanding any other provision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to the contrary, to the extent any benefits provided pursuant to Section 6 during the first six months after Executive’s termination are not paid pursuant to a qualified plan, a bona fide sick leave or vacation plan, a disability plan, a death benefit plan or a plan providing medical expense reimbursements which are non-taxable or a separation pay plan (within the meaning of the regulations under Section 409A of the Code) and Executive is a “specified employee” within the meaning of Section 409A of the Code, Executive shall pay the cost of such coverage during the first six (6) months following such termination and shall be reimbursed for the cost of such coverage after the lapse of such six (6)-month period.</w:t>
      </w:r>
    </w:p>
    <w:p>
      <w:pPr>
        <w:spacing w:after="0" w:line="192" w:lineRule="exact"/>
        <w:rPr>
          <w:sz w:val="20"/>
          <w:szCs w:val="20"/>
          <w:color w:val="auto"/>
        </w:rPr>
      </w:pPr>
    </w:p>
    <w:p>
      <w:pPr>
        <w:ind w:left="1100" w:hanging="444"/>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68" w:lineRule="auto"/>
        <w:tabs>
          <w:tab w:leader="none" w:pos="115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 agrees that (i) if Executive is made a party, or is threatened to be made a party, to any threatened or actual action, suit or proceeding, whether civil, criminal, administrative, investigative, appellate or other (each, a “Proceeding”) by reason of the fact that he is or was a director, officer, employee, agent, manager, consultant or representative of the Company or is or was serving at the, request of the Company as a director, officer, member, employee, agent, manager, consultant or representative of another entity or (ii) if any claim, demand, request, investigation, dispute, controversy, threat, discovery request or request for testimony or information (each, a “Claim”) is made, or threatened to be made, that arises out of or relates to Executive’s service in any of the foregoing capacities, then Executive shall promptly be indemnified and held harmless by the Company to the fullest extent legally permitted or authorized by the Company’s certificate of incorporation, bylaws or Board resolutions or, if greater, by the laws of the State of Delaware, against any and all costs, expenses, liabilities and losses (including, without limitation, attorney’s fees, judgments, interest, expenses of investigation, penalties, fines, excise taxes or penalties and amounts paid or to be paid in settlement) incurred or suffered by Executive in connection therewith, and such indemnification shall continue as to Executive even if he has ceased to be a director, member, employee, agent, manager, consultant or representative of the Company or other entity and shall inure to the benefit of Executive’s heirs, executors and administrators. The Company shall advance to Executive all attorneys’ fees, costs and expenses incurred by him in connection with any such Proceeding or Claim within fifteen (15) calendar days after receiving written notice requesting such an advance. Such notice shall include, to the extent required by applicable law, an undertaking by Executive to repay the amount advanced if he is ultimately determined not to be entitled to indemnification against such costs and expenses. Executive shall have the right to select counsel of his choosing.</w:t>
      </w:r>
    </w:p>
    <w:p>
      <w:pPr>
        <w:spacing w:after="0" w:line="181" w:lineRule="exact"/>
        <w:rPr>
          <w:rFonts w:ascii="Arial" w:cs="Arial" w:eastAsia="Arial" w:hAnsi="Arial"/>
          <w:sz w:val="17"/>
          <w:szCs w:val="17"/>
          <w:color w:val="auto"/>
        </w:rPr>
      </w:pPr>
    </w:p>
    <w:p>
      <w:pPr>
        <w:ind w:right="240" w:firstLine="656"/>
        <w:spacing w:after="0" w:line="279" w:lineRule="auto"/>
        <w:tabs>
          <w:tab w:leader="none" w:pos="1173"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Neither the failure of the Company (including the Board, independent legal counsel or stockholders) to have made a determination in connection with any request for indemnification or advancement under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that Executive has satisfied any applicable standard of conduct nor a determination by the Company (including the Board, independent legal counsel or stockholders) that Executive has not met any applicable standard of conduct, shall create a presumption that Executive has or has not met an applicable standard of conduct.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60" w:firstLine="656"/>
        <w:spacing w:after="0" w:line="288" w:lineRule="auto"/>
        <w:tabs>
          <w:tab w:leader="none" w:pos="103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280G Best Net</w:t>
      </w:r>
      <w:r>
        <w:rPr>
          <w:rFonts w:ascii="Arial" w:cs="Arial" w:eastAsia="Arial" w:hAnsi="Arial"/>
          <w:sz w:val="16"/>
          <w:szCs w:val="16"/>
          <w:color w:val="auto"/>
        </w:rPr>
        <w:t>. In the event that any payment or benefit made or provided to or for the benefit of Executive in connection with this Agreement or his employment with the Company or the termination thereof (a “Payment”) is determined to be subject to any excise tax (“Excise Tax”) imposed by Section 4999 of the Code and the regulations and other guidance promulgated thereunder, then such payment or benefit shall be reduced to the minimum extent necessary to avoid the imposition of such tax, but only if such reduction would cause the amount to be retained by Executive, in the reasonable judgment of Executive’s personal tax advisor, to be greater than would be the case if Executive were required to pay such excise tax. The determination of whether any Payment is subject to an Excise Tax and, if so, the amount and time of any reduction required hereunder shall be made by an independent auditor (the “Auditor”) jointly selected by the Parties and paid by the Company. Unless Executive agrees otherwise in writing, the Auditor shall be a nationally recognized United States public accounting firm that has not, during the two years preceding the date of its selection, acted in any way on behalf of the Company or any of its affiliates. If the Parties cannot agree on the firm to serve as the Auditor, then the Parties shall each select one accounting firm and those two firms shall jointly select the accounting firm to serve as the Auditor.</w:t>
      </w:r>
    </w:p>
    <w:p>
      <w:pPr>
        <w:spacing w:after="0" w:line="168" w:lineRule="exact"/>
        <w:rPr>
          <w:rFonts w:ascii="Arial" w:cs="Arial" w:eastAsia="Arial" w:hAnsi="Arial"/>
          <w:sz w:val="16"/>
          <w:szCs w:val="16"/>
          <w:color w:val="auto"/>
        </w:rPr>
      </w:pPr>
    </w:p>
    <w:p>
      <w:pPr>
        <w:ind w:left="1040" w:hanging="44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ind w:left="-60" w:firstLine="656"/>
        <w:spacing w:after="0" w:line="268" w:lineRule="auto"/>
        <w:tabs>
          <w:tab w:leader="none" w:pos="1103"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Executive acknowledges that the information, observations and data (including trade secrets) obtained by him while employed by the Company concerning the business or affairs of the Company or any of its affiliates (“Confidential Information”) are the property of the Company or such affiliate. Therefore, except in the course of Executive’s duties to the Company or as may be compelled by law or appropriate legal process, Executive agrees that he shall not disclose to any person or entity or use for his own purposes any Confidential Information or any confidential or proprietary information of other persons or entities in the possession of the Company and its affiliates (“Third Party Information”), without the prior written consent of the Board, unless and to the extent that the Confidential Information or Third Party Information becomes generally known to and available for use by the public other than as a result of Executive’s acts or omissions. Except in the course of Executive’s duties to the Company or as may be compelled by law or appropriate legal process, Executive will not, during his employment by the Company, or permanently thereafter, directly or indirectly use, divulge, disseminate, disclose, lecture upon, or publish any Confidential Information, without having first obtained written permission from the Board to do so. Executive shall deliver to the Company at the termination of the Employment Period,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 Notwithstanding the foregoing, the Company hereby waives the right to assert an “inevitable disclosure” argument in any legal proceeding against Employee after the termination of his employment.</w:t>
      </w:r>
    </w:p>
    <w:p>
      <w:pPr>
        <w:spacing w:after="0" w:line="184" w:lineRule="exact"/>
        <w:rPr>
          <w:rFonts w:ascii="Arial" w:cs="Arial" w:eastAsia="Arial" w:hAnsi="Arial"/>
          <w:sz w:val="17"/>
          <w:szCs w:val="17"/>
          <w:color w:val="auto"/>
        </w:rPr>
      </w:pPr>
    </w:p>
    <w:p>
      <w:pPr>
        <w:ind w:left="-60" w:right="20" w:firstLine="656"/>
        <w:spacing w:after="0" w:line="271" w:lineRule="auto"/>
        <w:tabs>
          <w:tab w:leader="none" w:pos="1113"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Executive shall be prohibited from using or disclosing any confidential information or trade secrets that Executive may have learned through any prior employment. If at any time during his employment with the Company or any of its affiliates, Executive believes he is being asked to engage in work that will, or will be likely to, jeopardize any confidentiality, or other obligations Executive may have to former employers, Executive shall immediately advise the Board so that Executive’s duties can be modified appropriately. Executive represents and warrants to the Company that Executive took nothing with him which belonged to any former employer when Executive left his prior position and that Executive has nothing that contains any information which belongs to any former employer. If at any time Executive discovers this is incorrect, Executive shall promptly return any such materials to Executive’s former employer. The Company does not want any such materials, and Executive shall not be permitted to use or refer to any such materials in the performance of Executive’s duties hereunder.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908" w:right="399" w:bottom="1440" w:gutter="0" w:footer="0" w:header="0"/>
        </w:sectPr>
      </w:pPr>
    </w:p>
    <w:bookmarkStart w:id="17" w:name="page18"/>
    <w:bookmarkEnd w:id="17"/>
    <w:p>
      <w:pPr>
        <w:ind w:right="40" w:firstLine="656"/>
        <w:spacing w:after="0" w:line="254" w:lineRule="auto"/>
        <w:tabs>
          <w:tab w:leader="none" w:pos="11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the foregoing, nothing herein prohibits Executive from reporting possible violations of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or state law or regulation. Executive does not need the prior authorization of the Company to make any such reports or disclosures, and Executive is not required to notify the Company that he has made such reports or disclosures. Executive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192" w:lineRule="exact"/>
        <w:rPr>
          <w:sz w:val="20"/>
          <w:szCs w:val="20"/>
          <w:color w:val="auto"/>
        </w:rPr>
      </w:pPr>
    </w:p>
    <w:p>
      <w:pPr>
        <w:ind w:firstLine="656"/>
        <w:spacing w:after="0" w:line="269" w:lineRule="auto"/>
        <w:tabs>
          <w:tab w:leader="none" w:pos="118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Intellectual Property, Inventions and Patents</w:t>
      </w:r>
      <w:r>
        <w:rPr>
          <w:rFonts w:ascii="Arial" w:cs="Arial" w:eastAsia="Arial" w:hAnsi="Arial"/>
          <w:sz w:val="17"/>
          <w:szCs w:val="17"/>
          <w:color w:val="auto"/>
        </w:rPr>
        <w:t>. Executive acknowledges that all discoveries, concepts, ideas, inventions, innovations, improvements, developments, methods, trade secrets,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Executive (whether alone or jointly with others) while employed by the Company and its affiliates (“Work Product”), belong to the Company or such affiliate. Executive shall promptly disclose such Work Product to the Board and, at the Company’s expense, perform all actions reasonably requested by the Board (whether during or after the Employment Period) to establish and confirm such ownership (including, without limitation, assignments, consents, powers of attorney and other instruments). Executive acknowledges that all applicable Work Product shall be deemed to constitute “works made for hire” under the U.S. Copyright Act of 1976, as amended. To the extent any Work Product is not deemed a work made for hire, then Executive hereby assigns to the Company or such affiliate all right, title and interest in and to such Work Product, including all related intellectual property rights.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1172" w:hanging="524"/>
        <w:spacing w:after="0"/>
        <w:tabs>
          <w:tab w:leader="none" w:pos="117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Non-Compete, Non-Solicitation</w:t>
      </w:r>
      <w:r>
        <w:rPr>
          <w:rFonts w:ascii="Arial" w:cs="Arial" w:eastAsia="Arial" w:hAnsi="Arial"/>
          <w:sz w:val="18"/>
          <w:szCs w:val="18"/>
          <w:color w:val="auto"/>
        </w:rPr>
        <w:t>.</w:t>
      </w:r>
    </w:p>
    <w:p>
      <w:pPr>
        <w:spacing w:after="0" w:line="225" w:lineRule="exact"/>
        <w:rPr>
          <w:sz w:val="20"/>
          <w:szCs w:val="20"/>
          <w:color w:val="auto"/>
        </w:rPr>
      </w:pPr>
    </w:p>
    <w:p>
      <w:pPr>
        <w:ind w:left="-8" w:right="20" w:firstLine="656"/>
        <w:spacing w:after="0" w:line="287" w:lineRule="auto"/>
        <w:tabs>
          <w:tab w:leader="none" w:pos="1155"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In further consideration of the compensation to be paid to Executive hereunder, Executive acknowledges that during the course of his employment with the Company and its affiliates he shall become familiar with the Company’s trade secrets and with other Confidential Information concerning the Company and its affiliates and that his services shall be of special, unique and extraordinary value to the Company and its affiliates, and therefore, Executive agrees that, during the Employment Period and for one (1) year thereafter (the “Noncompete Period”), he shall not directly or indirectly own any interest in, manage, control, participate in, consult with, render services for, be employed in an executive, managerial or administrative capacity by, or in any manner engage in any company engaged in a business that competes with any business of the Company, as such business exists or is in process during the Employment Period or on the date of the termination of the Employment Period within any geographical area in which the Company engages or has definitive plans to engage in such businesses. Nothing herein shall prohibit Executive from being a passive owner of not more than two percent (2%) of the outstanding stock of any class of a corporation which is publicly traded, so long as Executive has no active participation in the business of such corporation. Notwithstanding the foregoing, the provisions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shall not apply in the case of any material breach of the Company’s obligations under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which remains uncured for more than twenty (20) calendar days after notice is received from Executive of such breach, which such notice shall include a detailed description of the grounds constituting such breach.</w:t>
      </w:r>
    </w:p>
    <w:p>
      <w:pPr>
        <w:spacing w:after="0" w:line="167" w:lineRule="exact"/>
        <w:rPr>
          <w:rFonts w:ascii="Arial" w:cs="Arial" w:eastAsia="Arial" w:hAnsi="Arial"/>
          <w:sz w:val="16"/>
          <w:szCs w:val="16"/>
          <w:color w:val="auto"/>
        </w:rPr>
      </w:pPr>
    </w:p>
    <w:p>
      <w:pPr>
        <w:ind w:left="-8" w:right="120" w:firstLine="656"/>
        <w:spacing w:after="0" w:line="291" w:lineRule="auto"/>
        <w:tabs>
          <w:tab w:leader="none" w:pos="116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During the Noncompete Period, Executive shall not directly or indirectly through another person or entity (i) induce or attempt to induce any employee of the Company to leave the employ thereof, or in any way interfere with the relationship between the Company and any employee thereof,</w:t>
      </w:r>
    </w:p>
    <w:p>
      <w:pPr>
        <w:ind w:left="-8" w:firstLine="8"/>
        <w:spacing w:after="0" w:line="253" w:lineRule="auto"/>
        <w:tabs>
          <w:tab w:leader="none" w:pos="2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hire any person who was an employee of the Company during the last six (6) months of the Employment Period; or (iii) induce or attempt to induce any customer, supplier, licensee, licensor, franchisee or other business relation of the Company to cease doing business with the Company, or in any way interfere with the relationship between any such customer, supplier, licensee or business relation and the Company (including, without limitation, making any negative or disparaging statements or communications regarding the Company).</w:t>
      </w:r>
    </w:p>
    <w:p>
      <w:pPr>
        <w:spacing w:after="0" w:line="192" w:lineRule="exact"/>
        <w:rPr>
          <w:rFonts w:ascii="Arial" w:cs="Arial" w:eastAsia="Arial" w:hAnsi="Arial"/>
          <w:sz w:val="18"/>
          <w:szCs w:val="18"/>
          <w:color w:val="auto"/>
        </w:rPr>
      </w:pPr>
    </w:p>
    <w:p>
      <w:pPr>
        <w:ind w:left="-8" w:right="20" w:firstLine="656"/>
        <w:spacing w:after="0" w:line="257" w:lineRule="auto"/>
        <w:tabs>
          <w:tab w:leader="none" w:pos="1155"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If, at the time of enforcement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 Executive acknowledges that the restrictions contained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are reasonable and that he has reviewed the provisions of this Agreement with his legal counsel.</w:t>
      </w:r>
    </w:p>
    <w:p>
      <w:pPr>
        <w:spacing w:after="0" w:line="187" w:lineRule="exact"/>
        <w:rPr>
          <w:rFonts w:ascii="Arial" w:cs="Arial" w:eastAsia="Arial" w:hAnsi="Arial"/>
          <w:sz w:val="18"/>
          <w:szCs w:val="18"/>
          <w:color w:val="auto"/>
        </w:rPr>
      </w:pPr>
    </w:p>
    <w:p>
      <w:pPr>
        <w:ind w:left="-8" w:right="40" w:firstLine="656"/>
        <w:spacing w:after="0" w:line="273" w:lineRule="auto"/>
        <w:tabs>
          <w:tab w:leader="none" w:pos="1165"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In the event of the breach or a threatened breath by Executive of any of the provisions of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the Company would suffer irreparable harm, and in addition and supplementary to other rights and remedies existing in its favor, the Company shall, in addition to any recovery of monetary amounts, including any severance amounts provided hereunder,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Executive of </w:t>
      </w:r>
      <w:r>
        <w:rPr>
          <w:rFonts w:ascii="Arial" w:cs="Arial" w:eastAsia="Arial" w:hAnsi="Arial"/>
          <w:sz w:val="17"/>
          <w:szCs w:val="17"/>
          <w:u w:val="single" w:color="auto"/>
          <w:color w:val="auto"/>
        </w:rPr>
        <w:t>Section 11(a)</w:t>
      </w:r>
      <w:r>
        <w:rPr>
          <w:rFonts w:ascii="Arial" w:cs="Arial" w:eastAsia="Arial" w:hAnsi="Arial"/>
          <w:sz w:val="17"/>
          <w:szCs w:val="17"/>
          <w:color w:val="auto"/>
        </w:rPr>
        <w:t>, the Noncompete Period shall be automatically extended by the amount of time between the initial occurrence of the breach or violation and when such breach or violation has been duly cured.</w:t>
      </w: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9" w:name="page20"/>
    <w:bookmarkEnd w:id="19"/>
    <w:p>
      <w:pPr>
        <w:ind w:firstLine="656"/>
        <w:spacing w:after="0" w:line="272" w:lineRule="auto"/>
        <w:tabs>
          <w:tab w:leader="none" w:pos="118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Executive’s Representations</w:t>
      </w:r>
      <w:r>
        <w:rPr>
          <w:rFonts w:ascii="Arial" w:cs="Arial" w:eastAsia="Arial" w:hAnsi="Arial"/>
          <w:sz w:val="17"/>
          <w:szCs w:val="17"/>
          <w:color w:val="auto"/>
        </w:rPr>
        <w:t>. Executive hereby represents and warrants to the Company that (a) the execution, delivery and performance of this Agreement by Executive do not and shall not conflict with, breach, violate or cause a default under any contract, agreement, instrument, order, judgment or decree to which Executive is a party or by which he is bound which has not been waived, (b) Executive is not a party to or bound by any employment agreement, noncompete agreement or confidentiality agreement with any other person or entity which has not been waived, and (c) on the Effective Date and the Commencement Date, this Agreement shall be the valid and binding obligation of Executive, enforceable in accordance with its terms. Executive hereby acknowledges and represents that he has consulted with independent legal counsel regarding his rights and obligations under this Agreement and that he fully understands the terms and conditions contained herein.</w:t>
      </w:r>
    </w:p>
    <w:p>
      <w:pPr>
        <w:spacing w:after="0" w:line="177" w:lineRule="exact"/>
        <w:rPr>
          <w:rFonts w:ascii="Arial" w:cs="Arial" w:eastAsia="Arial" w:hAnsi="Arial"/>
          <w:sz w:val="17"/>
          <w:szCs w:val="17"/>
          <w:color w:val="auto"/>
        </w:rPr>
      </w:pPr>
    </w:p>
    <w:p>
      <w:pPr>
        <w:ind w:right="460" w:firstLine="656"/>
        <w:spacing w:after="0" w:line="277" w:lineRule="auto"/>
        <w:tabs>
          <w:tab w:leader="none" w:pos="11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28</w:t>
      </w:r>
      <w:r>
        <w:rPr>
          <w:rFonts w:ascii="Arial" w:cs="Arial" w:eastAsia="Arial" w:hAnsi="Arial"/>
          <w:sz w:val="18"/>
          <w:szCs w:val="18"/>
          <w:color w:val="auto"/>
        </w:rPr>
        <w:t>, inclusive, shall survive and continue in full force in accordance with their terms notwithstanding the termination of the Employment Period.</w:t>
      </w:r>
    </w:p>
    <w:p>
      <w:pPr>
        <w:spacing w:after="0" w:line="170" w:lineRule="exact"/>
        <w:rPr>
          <w:rFonts w:ascii="Arial" w:cs="Arial" w:eastAsia="Arial" w:hAnsi="Arial"/>
          <w:sz w:val="18"/>
          <w:szCs w:val="18"/>
          <w:color w:val="auto"/>
        </w:rPr>
      </w:pPr>
    </w:p>
    <w:p>
      <w:pPr>
        <w:ind w:right="140" w:firstLine="656"/>
        <w:spacing w:after="0" w:line="286" w:lineRule="auto"/>
        <w:tabs>
          <w:tab w:leader="none" w:pos="118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communication or request provided for in this Agreement shall be in writing and shall be either personally delivered (with a written acknowledgement of receipt), sent by nationally recognized overnight courier service (with a written acknowledgement of receipt by the overnight courier) or mailed by certified or registered mail, return receipt requested, to the recipient at the address below indicated: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Executive: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Sotos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on file with the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R. Ford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Lead Independent Director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NJ 08540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SVP General Counsel and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NJ 08540</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or such other address or to the attention of such other person as the recipient party shall have specified by ten (10) calendar days prior written notice to the sending party. Any notice under this Agreement shall be deemed to have been given when (i) when personally delivered, (ii) two (2) business days after being sent by overnight courier or (iii) three (3) business days after mailing by certified or registered mail.</w:t>
      </w:r>
    </w:p>
    <w:p>
      <w:pPr>
        <w:spacing w:after="0" w:line="165" w:lineRule="exact"/>
        <w:rPr>
          <w:sz w:val="20"/>
          <w:szCs w:val="20"/>
          <w:color w:val="auto"/>
        </w:rPr>
      </w:pPr>
    </w:p>
    <w:p>
      <w:pPr>
        <w:ind w:right="120" w:firstLine="656"/>
        <w:spacing w:after="0" w:line="257" w:lineRule="auto"/>
        <w:tabs>
          <w:tab w:leader="none" w:pos="118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 w:name="page21"/>
    <w:bookmarkEnd w:id="20"/>
    <w:p>
      <w:pPr>
        <w:ind w:left="-20" w:right="180" w:firstLine="656"/>
        <w:spacing w:after="0" w:line="263"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those documents expressly referred to herein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83" w:lineRule="exact"/>
        <w:rPr>
          <w:rFonts w:ascii="Arial" w:cs="Arial" w:eastAsia="Arial" w:hAnsi="Arial"/>
          <w:sz w:val="18"/>
          <w:szCs w:val="18"/>
          <w:color w:val="auto"/>
        </w:rPr>
      </w:pPr>
    </w:p>
    <w:p>
      <w:pPr>
        <w:ind w:left="-20" w:right="360" w:firstLine="656"/>
        <w:spacing w:after="0" w:line="277"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to express their mutual intent, and no rule of strict construction shall be applied against any Party.</w:t>
      </w:r>
    </w:p>
    <w:p>
      <w:pPr>
        <w:spacing w:after="0" w:line="170" w:lineRule="exact"/>
        <w:rPr>
          <w:rFonts w:ascii="Arial" w:cs="Arial" w:eastAsia="Arial" w:hAnsi="Arial"/>
          <w:sz w:val="18"/>
          <w:szCs w:val="18"/>
          <w:color w:val="auto"/>
        </w:rPr>
      </w:pPr>
    </w:p>
    <w:p>
      <w:pPr>
        <w:ind w:left="-20" w:right="120" w:firstLine="656"/>
        <w:spacing w:after="0" w:line="277"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is deemed to be an original and all of which taken together constitute one and the same agreement.</w:t>
      </w:r>
    </w:p>
    <w:p>
      <w:pPr>
        <w:spacing w:after="0" w:line="170" w:lineRule="exact"/>
        <w:rPr>
          <w:rFonts w:ascii="Arial" w:cs="Arial" w:eastAsia="Arial" w:hAnsi="Arial"/>
          <w:sz w:val="18"/>
          <w:szCs w:val="18"/>
          <w:color w:val="auto"/>
        </w:rPr>
      </w:pPr>
    </w:p>
    <w:p>
      <w:pPr>
        <w:ind w:left="-20" w:firstLine="656"/>
        <w:spacing w:after="0" w:line="270" w:lineRule="auto"/>
        <w:tabs>
          <w:tab w:leader="none" w:pos="1168"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Agreement shall be binding upon and inure to the benefit of the beneficiaries, heirs and representatives of Executive and the successors and assigns of the Company. The Company shall require any successor (whether direct or indirect, by purchase, merger, reorganization, consolidation, acquisition of property or stock, liquidation, or otherwise) to all or a majority of its assets, by agreement in form and substance satisfactory to Executive, expressly to assume and agree to perform this Agreement in the same manner and to the same extent that the Company would be required to perform this Agreement if no such succession had taken place. Regardless whether such agreement is executed, this Agreement shall be binding upon any successor of the Company in accordance with the operation of law and such successor shall be deemed the “Company” for purposes of this Agreement. Executive may not assign his rights (except by will or the laws of descent and distribution) or delegate his duties or obligations hereunder. Except as provided by this </w:t>
      </w:r>
      <w:r>
        <w:rPr>
          <w:rFonts w:ascii="Arial" w:cs="Arial" w:eastAsia="Arial" w:hAnsi="Arial"/>
          <w:sz w:val="17"/>
          <w:szCs w:val="17"/>
          <w:u w:val="single" w:color="auto"/>
          <w:color w:val="auto"/>
        </w:rPr>
        <w:t>Section 19</w:t>
      </w:r>
      <w:r>
        <w:rPr>
          <w:rFonts w:ascii="Arial" w:cs="Arial" w:eastAsia="Arial" w:hAnsi="Arial"/>
          <w:sz w:val="17"/>
          <w:szCs w:val="17"/>
          <w:color w:val="auto"/>
        </w:rPr>
        <w:t>, this Agreement is not assignable by any Party and no payment to be made hereunder shall be subject to anticipation, alienation, sale, transfer, assignment, pledge, encumbrance or other charge.</w:t>
      </w:r>
    </w:p>
    <w:p>
      <w:pPr>
        <w:spacing w:after="0" w:line="180" w:lineRule="exact"/>
        <w:rPr>
          <w:rFonts w:ascii="Arial" w:cs="Arial" w:eastAsia="Arial" w:hAnsi="Arial"/>
          <w:sz w:val="17"/>
          <w:szCs w:val="17"/>
          <w:color w:val="auto"/>
        </w:rPr>
      </w:pPr>
    </w:p>
    <w:p>
      <w:pPr>
        <w:ind w:left="-20" w:right="260" w:firstLine="656"/>
        <w:spacing w:after="0" w:line="259"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All issues and questions concerning the construction, validity, enforcement and interpretation of this Agreement and the exhibits and schedules hereto shall be governed by, and construed in accordance with, the laws of the State of New Jersey, without giving effect to any choice of law or conflict of law rules or provisions (whether of the State of New Jersey or any other jurisdiction) that would cause the application of the laws of any jurisdiction other than the State of New Jersey.</w:t>
      </w:r>
    </w:p>
    <w:p>
      <w:pPr>
        <w:spacing w:after="0" w:line="186" w:lineRule="exact"/>
        <w:rPr>
          <w:rFonts w:ascii="Arial" w:cs="Arial" w:eastAsia="Arial" w:hAnsi="Arial"/>
          <w:sz w:val="18"/>
          <w:szCs w:val="18"/>
          <w:color w:val="auto"/>
        </w:rPr>
      </w:pPr>
    </w:p>
    <w:p>
      <w:pPr>
        <w:ind w:left="-20" w:right="20" w:firstLine="656"/>
        <w:spacing w:after="0" w:line="279" w:lineRule="auto"/>
        <w:tabs>
          <w:tab w:leader="none" w:pos="1168"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Amendment and Waiver</w:t>
      </w:r>
      <w:r>
        <w:rPr>
          <w:rFonts w:ascii="Arial" w:cs="Arial" w:eastAsia="Arial" w:hAnsi="Arial"/>
          <w:sz w:val="17"/>
          <w:szCs w:val="17"/>
          <w:color w:val="auto"/>
        </w:rPr>
        <w:t>. The provisions of this Agreement may be amended, modified or waived only with the prior written consent of the Company and Executive, and no course of conduct or course of dealing or failure or delay by any Party in enforcing or exercising any of the provisions of this Agreement (including, without limitation, the Company’s right to terminate the Employment Period for Cause) shall affect the validity, binding effect or enforceability of this Agreement or be deemed to be an implied waiver of any provision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1" w:name="page22"/>
    <w:bookmarkEnd w:id="21"/>
    <w:p>
      <w:pPr>
        <w:ind w:left="-40" w:right="300" w:firstLine="656"/>
        <w:spacing w:after="0" w:line="301" w:lineRule="auto"/>
        <w:tabs>
          <w:tab w:leader="none" w:pos="114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may, at its discretion, apply for and procure in its own name and for its own benefit life and/or disability insurance on Executive in any amount or amounts considered advisable. Executive agrees to cooperate in any medical or other examination, supply any information and execute and deliver any applications or other instruments in writing as may be reasonably necessary to obtain and constitute such insurance. Executive hereby represents that he has no reason to believe that his life is not insurable at rates now prevailing for healthy men of his age.</w:t>
      </w:r>
    </w:p>
    <w:p>
      <w:pPr>
        <w:spacing w:after="0" w:line="157" w:lineRule="exact"/>
        <w:rPr>
          <w:rFonts w:ascii="Arial" w:cs="Arial" w:eastAsia="Arial" w:hAnsi="Arial"/>
          <w:sz w:val="16"/>
          <w:szCs w:val="16"/>
          <w:color w:val="auto"/>
        </w:rPr>
      </w:pPr>
    </w:p>
    <w:p>
      <w:pPr>
        <w:ind w:left="-40" w:right="140" w:firstLine="656"/>
        <w:spacing w:after="0" w:line="254" w:lineRule="auto"/>
        <w:tabs>
          <w:tab w:leader="none" w:pos="114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Indemnification and Reimbursement of Payments on Behalf of Executive</w:t>
      </w:r>
      <w:r>
        <w:rPr>
          <w:rFonts w:ascii="Arial" w:cs="Arial" w:eastAsia="Arial" w:hAnsi="Arial"/>
          <w:sz w:val="18"/>
          <w:szCs w:val="18"/>
          <w:color w:val="auto"/>
        </w:rPr>
        <w:t>. The Company and its affiliates shall be entitled to deduct or withhold from any amounts owing from the Company or any of its affiliates to Executive any federal, state, local or foreign withholding taxes, excise tax, or employment taxes (“Taxes”) imposed with respect to Executive’s compensation or other payments from the Company or any of its affiliates or Executive’s ownership interest in the Company (including, without limitation, wages, bonuses, dividends, the receipt or exercise of equity options and/or the receipt or vesting of restricted equity). In the event the Company or any of its affiliates does not make such deductions or withholdings at the written request of Executive, Executive shall indemnify the Company and its affiliates for any amounts paid with respect to any such Taxes, together with any interest, penalties and related expenses thereto.</w:t>
      </w:r>
    </w:p>
    <w:p>
      <w:pPr>
        <w:spacing w:after="0" w:line="194" w:lineRule="exact"/>
        <w:rPr>
          <w:rFonts w:ascii="Arial" w:cs="Arial" w:eastAsia="Arial" w:hAnsi="Arial"/>
          <w:sz w:val="18"/>
          <w:szCs w:val="18"/>
          <w:color w:val="auto"/>
        </w:rPr>
      </w:pPr>
    </w:p>
    <w:p>
      <w:pPr>
        <w:ind w:left="-40" w:firstLine="656"/>
        <w:spacing w:after="0" w:line="269" w:lineRule="auto"/>
        <w:tabs>
          <w:tab w:leader="none" w:pos="114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xml:space="preserve">. EACH OF THE PARTIES IRREVOCABLY SUBMITS TO THE EXCLUSIVE JURISDICTION OF THE STATE COURTS OF NEW JERSEY OR THE UNITED STATES DISTRICT COURT FOR THE DISTRICT OF NEW JERSEY, FOR THE PURPOSES OF ANY SUIT, ACTION OR OTHER PROCEEDING ARISING OUT OF THIS AGREEMENT, ANY RELATED AGREEMENT OR ANY TRANSACTION CONTEMPLATED HEREBY OR THEREBY. EACH OF THE PARTIES HERETO FURTHER AGREES THAT SERVICE OF ANY PROCESS, SUMMONS, NOTICE OR DOCUMENT IN COMPLIANCE WITH THE PROVISIONS OF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(NOTICE) SHALL BE EFFECTIVE SERVICE OF PROCESS FOR ANY ACTION, SUIT OR PROCEEDING WITH RESPECT TO ANY MATTERS TO WHICH IT HAS SUBMITTED TO JURISDICTION IN THIS </w:t>
      </w:r>
      <w:r>
        <w:rPr>
          <w:rFonts w:ascii="Arial" w:cs="Arial" w:eastAsia="Arial" w:hAnsi="Arial"/>
          <w:sz w:val="17"/>
          <w:szCs w:val="17"/>
          <w:u w:val="single" w:color="auto"/>
          <w:color w:val="auto"/>
        </w:rPr>
        <w:t>SECTION 24</w:t>
      </w:r>
      <w:r>
        <w:rPr>
          <w:rFonts w:ascii="Arial" w:cs="Arial" w:eastAsia="Arial" w:hAnsi="Arial"/>
          <w:sz w:val="17"/>
          <w:szCs w:val="17"/>
          <w:color w:val="auto"/>
        </w:rPr>
        <w:t>. EACH OF THE PARTIES HERETO IRREVOCABLY AND UNCONDITIONALLY WAIVES ANY OBJECTION TO THE LAYING OF VENUE OF ANY ACTION, SUIT OR PROCEEDING ARISING OUT OF THIS AGREEMENT, ANY RELATED DOCUMENT OR THE TRANSACTIONS CONTEMPLATED HEREBY AND THEREBY IN THE STATE COURTS OF NEW JERSEY OR THE UNITED STATES DISTRICT COURT FOR THE DISTRICT OF NEW JERSEY, AND HEREBY AND THEREBY FURTHER IRREVOCABLY AND UNCONDITIONALLY WAIVES AND AGREES NOT TO PLEAD OR CLAIM IN ANY SUCH COURT THAT ANY SUCH ACTION, SUIT OR PROCEEDING BROUGHT IN ANY SUCH COURT HAS BEEN BROUGHT IN AN INCONVENIENT FORUM.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1124" w:right="359" w:bottom="1440" w:gutter="0" w:footer="0" w:header="0"/>
        </w:sectPr>
      </w:pPr>
    </w:p>
    <w:bookmarkStart w:id="22" w:name="page23"/>
    <w:bookmarkEnd w:id="22"/>
    <w:p>
      <w:pPr>
        <w:ind w:left="-40" w:right="40" w:firstLine="656"/>
        <w:spacing w:after="0" w:line="259" w:lineRule="auto"/>
        <w:tabs>
          <w:tab w:leader="none" w:pos="114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6" w:lineRule="exact"/>
        <w:rPr>
          <w:rFonts w:ascii="Arial" w:cs="Arial" w:eastAsia="Arial" w:hAnsi="Arial"/>
          <w:sz w:val="18"/>
          <w:szCs w:val="18"/>
          <w:color w:val="auto"/>
        </w:rPr>
      </w:pPr>
    </w:p>
    <w:p>
      <w:pPr>
        <w:ind w:left="-40" w:firstLine="656"/>
        <w:spacing w:after="0" w:line="259" w:lineRule="auto"/>
        <w:tabs>
          <w:tab w:leader="none" w:pos="114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Corporate Opportunity</w:t>
      </w:r>
      <w:r>
        <w:rPr>
          <w:rFonts w:ascii="Arial" w:cs="Arial" w:eastAsia="Arial" w:hAnsi="Arial"/>
          <w:sz w:val="18"/>
          <w:szCs w:val="18"/>
          <w:color w:val="auto"/>
        </w:rPr>
        <w:t xml:space="preserve">. During the Employment Period, Executive shall submit to the Board all business, commercial and investment opportunities or offers presented to Executive that relate to the business of the Company or its affiliates (“Corporate Opportunities”), if Executive wishes to accept or pursue, directly or indirectly, such Corporate Opportunities on Executive’s own behalf.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not apply to purchases of publicly traded stock by Executive.</w:t>
      </w:r>
    </w:p>
    <w:p>
      <w:pPr>
        <w:spacing w:after="0" w:line="186" w:lineRule="exact"/>
        <w:rPr>
          <w:rFonts w:ascii="Arial" w:cs="Arial" w:eastAsia="Arial" w:hAnsi="Arial"/>
          <w:sz w:val="18"/>
          <w:szCs w:val="18"/>
          <w:color w:val="auto"/>
        </w:rPr>
      </w:pPr>
    </w:p>
    <w:p>
      <w:pPr>
        <w:ind w:left="-40" w:right="20" w:firstLine="656"/>
        <w:spacing w:after="0" w:line="259" w:lineRule="auto"/>
        <w:tabs>
          <w:tab w:leader="none" w:pos="114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Legal Costs</w:t>
      </w:r>
      <w:r>
        <w:rPr>
          <w:rFonts w:ascii="Arial" w:cs="Arial" w:eastAsia="Arial" w:hAnsi="Arial"/>
          <w:sz w:val="18"/>
          <w:szCs w:val="18"/>
          <w:color w:val="auto"/>
        </w:rPr>
        <w:t>. Except as otherwise agreed to by the Parties, the Company shall pay Executive for costs of litigation or other disputes during Executive’s lifetime including, without limitation, reasonable attorneys’ fees incurred by Executive in asserting any claims or defenses under this Agreement, except that Executive shall bear his own costs of such litigation or disputes (including, without limitation attorneys’ fees) only to the extent the court finds in favor of the Company with respect to any claims or defenses asserted by Executive.</w:t>
      </w:r>
    </w:p>
    <w:p>
      <w:pPr>
        <w:spacing w:after="0" w:line="186" w:lineRule="exact"/>
        <w:rPr>
          <w:rFonts w:ascii="Arial" w:cs="Arial" w:eastAsia="Arial" w:hAnsi="Arial"/>
          <w:sz w:val="18"/>
          <w:szCs w:val="18"/>
          <w:color w:val="auto"/>
        </w:rPr>
      </w:pPr>
    </w:p>
    <w:p>
      <w:pPr>
        <w:ind w:left="-40" w:firstLine="656"/>
        <w:spacing w:after="0" w:line="269" w:lineRule="auto"/>
        <w:tabs>
          <w:tab w:leader="none" w:pos="114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Executive’s Cooperation</w:t>
      </w:r>
      <w:r>
        <w:rPr>
          <w:rFonts w:ascii="Arial" w:cs="Arial" w:eastAsia="Arial" w:hAnsi="Arial"/>
          <w:sz w:val="17"/>
          <w:szCs w:val="17"/>
          <w:color w:val="auto"/>
        </w:rPr>
        <w:t xml:space="preserve">. During the Employment Period and thereafter,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during the Employment Period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come into Executive’s possession during the Employment Period); provided, however, that any such request by the Company shall not be unduly burdensome or interfere with Executive’s personal schedule or ability to engage in gainful employment. In the event the Company requires Executive’s cooperation in accordance with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the Company shall reimburse Executive for reasonable out-of-pocket expenses (including travel, lodging, meals, attorneys’ fees) incurred by Executive during Executive’s lifetime in connection with such cooperation, subject to reasonable documentation. In addition, the Company shall compensate Executive at a rate of $500 per hour for the time, that Executive reasonably spends complying with his obligations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after the termination of the Employment Period. Such reimbursement and compensation shall be paid within fifteen (15) calendar days after submission of same to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23" w:name="page24"/>
    <w:bookmarkEnd w:id="23"/>
    <w:p>
      <w:pPr>
        <w:ind w:right="80" w:firstLine="656"/>
        <w:spacing w:after="0" w:line="269" w:lineRule="auto"/>
        <w:tabs>
          <w:tab w:leader="none" w:pos="118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To the extent applicable, it is intended that this Agreement comply with the provisions of Section 409A of the Code and the regulations and other guidance promulgated thereunder (“Section 409A”), so as to prevent inclusion in gross income of any amounts payable or benefits provided hereunder in a taxable year that is prior to the taxable year or years in which such amounts or benefits would otherwise actually be distributed, provided or otherwise made available to Executive. This Agreement shall be construed, administered, and governed in a manner consistent with this intent and the following provisions of this paragraph shall control over any contrary provisions of this agreement. In furtherance thereof, to the extent that any provision hereof would otherwise result in Executive being subject to the payment of tax, interest, and tax penalty under Section 409A, Executive and the Company agree to amend this agreement in a manner that brings this Agreement in compliance with Section 409A. Notwithstanding the foregoing, in no event shall the Company be responsible for reimbursing or indemnifying Executive for any violation of Section 409A. Payments and benefits that are paid or provided under this Agreement upon Executive’s termination or severance of employment that constitute deferred compensation under Section 409A shall be paid or provided only at the time of a termination or severance of Executive’s employment that constitutes a “separation from service” within the meaning of Section 409A. For purposes of Section 409A, each payment under this Agreement shall be treated as a right to a separate payment and not part of a series of payments.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Clearway Energy, Inc.</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Christopher Sotos</w:t>
            </w:r>
          </w:p>
        </w:tc>
      </w:tr>
      <w:tr>
        <w:trPr>
          <w:trHeight w:val="432"/>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Jonathan Bram</w:t>
            </w: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Christopher Sotos</w:t>
            </w: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Jonathan Bram, Chairman of the Board</w:t>
            </w: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634"/>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GENERAL RELEASE</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consideration of the payments and benefits (the “Severance Payment”) paid or to be paid to me pursuant to and in accordance with the terms of my Amended and Restated Employment Agreement with Clearway Energy, Inc. dated September 23, 2021 (the “Agreement”), on behalf of myself, my heirs, executors, administrators, successors, and assigns, I hereby fully and forever RELEASE and DISCHARGE CLEARWAY ENERGY, INC., its affiliates and their officers, directors, agents, employees, representatives, successors and assigns (hereinafter, collectively called the “Company”), from any and all claims and causes of action arising out of or relating in any way to my employment with the Company, including, but not limited to, the offer of employment and termination of my employment, and I agree that I will not in any manner institute, prosecute or pursue any complaints, claims, charges, liabilities, claims for relief, demands, suits, actions or causes of action against the Company that are covered by this RELEASE.</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Notwithstanding the foregoing, expressly excluded from this RELEASE are any claims or causes of action which I may have (i) seeking enforcement of my rights under the Agreement, including, without limitation, Sections 6, 7 and 27 thereof, or any other plan, policy or arrangement of the Company, (ii) seeking to obtain contribution as permitted by applicable law in the event of the entry of judgment against me as a result of any act or failure to act for which both I and the Company are held to be jointly liable, (iii) arising out of or relating in any way to acts or omissions after the date of this RELEASE or otherwise not covered by this RELEASE, and (iv) which cannot be waived by law. I shall also retain the right to seek indemnification from the Company, to the extent permitted under applicable law and Section 7 of the Agreement.</w:t>
      </w:r>
    </w:p>
    <w:p>
      <w:pPr>
        <w:spacing w:after="0" w:line="178" w:lineRule="exact"/>
        <w:rPr>
          <w:sz w:val="20"/>
          <w:szCs w:val="20"/>
          <w:color w:val="auto"/>
        </w:rPr>
      </w:pPr>
    </w:p>
    <w:p>
      <w:pPr>
        <w:ind w:firstLine="656"/>
        <w:spacing w:after="0" w:line="269" w:lineRule="auto"/>
        <w:tabs>
          <w:tab w:leader="none" w:pos="8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understand and agree that, except as specifically provided above, this RELEASE is a full and complete waiver of all claims relating to my employment with the Company, including, but not limited to, claims of wrongful discharge, breach of contract, breach of the covenant of good faith and fair dealing, violation of public policy, defamation, personal injury and emotional distress, claims under Title VII of the Civil Rights Act of 1964, as amended, the Civil Rights Act of 1991, the Age Discrimination in Employment Act of 1967, as amended by the Older Workers Benefit Protection Act of 1990, the Americans With Disabilities Act, the Rehabilitation Act of 1973, as amended, the Equal Pay Act of 1963, Section 1981 of the Civil Rights Act of 1866, any of the Delaware State employment, discrimination or wage payment laws, the Fair Labor Standards Act of 1938, as amended, the Family and Medical Leave Act of 1993, and the Employee Retirement Income Security Act of 1974, as amended, claims arising from any legal restrictions on the Company’s right to terminate employees (including, without limitation, claims arising under various contract, tort, public policy or wrongful discharge theories under any federal, state or local law, or under the federal Worker Adjustment and Retraining Notification Act of 1988, as amended, or any similar state or local law), and any claims for attorney’s fees or costs.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2. I understand that I have received or will receive, regardless of the execution of this RELEASE, all amounts due to me pursuant to</w:t>
      </w:r>
    </w:p>
    <w:p>
      <w:pPr>
        <w:spacing w:after="0" w:line="2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Sections 6(e) and 7 of the Agreement. I further understand and agree that the Company will not provide me with any additional payments or benefits under the Agreement (including, without limitation, payments under Section 6(a) of the Agreement) unless I execute this RELEASE. In consideration of the execution of this RELEASE, I will receive additional payments and benefits specified in Section 6(a) of the Agreement.</w:t>
      </w:r>
    </w:p>
    <w:p>
      <w:pPr>
        <w:spacing w:after="0" w:line="173" w:lineRule="exact"/>
        <w:rPr>
          <w:sz w:val="20"/>
          <w:szCs w:val="20"/>
          <w:color w:val="auto"/>
        </w:rPr>
      </w:pPr>
    </w:p>
    <w:p>
      <w:pPr>
        <w:ind w:right="60" w:firstLine="656"/>
        <w:spacing w:after="0" w:line="279" w:lineRule="auto"/>
        <w:tabs>
          <w:tab w:leader="none" w:pos="8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addition, and in further consideration of the foregoing, I acknowledge and agree that if I hereafter discover facts different from or in addition to those which I now know or believe to be true that this RELEASE shall be and remain effective in all respects notwithstanding such different or additional facts or the discovery thereof. I understand that this RELEASE does not waive or release any rights or claims that I may have under the Age Discrimination in Employment Act of 1967, as amended, which arise after the date I sign this RELEASE.</w:t>
      </w:r>
    </w:p>
    <w:p>
      <w:pPr>
        <w:spacing w:after="0" w:line="171" w:lineRule="exact"/>
        <w:rPr>
          <w:rFonts w:ascii="Arial" w:cs="Arial" w:eastAsia="Arial" w:hAnsi="Arial"/>
          <w:sz w:val="17"/>
          <w:szCs w:val="17"/>
          <w:color w:val="auto"/>
        </w:rPr>
      </w:pPr>
    </w:p>
    <w:p>
      <w:pPr>
        <w:ind w:right="100" w:firstLine="656"/>
        <w:spacing w:after="0" w:line="259" w:lineRule="auto"/>
        <w:tabs>
          <w:tab w:leader="none" w:pos="8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part of my existing and continuing obligation to the Company, I have returned or, within seven (7) days of my termination will return to the Company all Confidential Information and Third Party Information (as such terms are defined in the Agreement) in accordance with the terms of the Agreement. I affirm my obligation to keep all Confidential Information confidential and not to disclose it to any third party as required by Section 9 of the Agreement.</w:t>
      </w:r>
    </w:p>
    <w:p>
      <w:pPr>
        <w:spacing w:after="0" w:line="186" w:lineRule="exact"/>
        <w:rPr>
          <w:rFonts w:ascii="Arial" w:cs="Arial" w:eastAsia="Arial" w:hAnsi="Arial"/>
          <w:sz w:val="18"/>
          <w:szCs w:val="18"/>
          <w:color w:val="auto"/>
        </w:rPr>
      </w:pPr>
    </w:p>
    <w:p>
      <w:pPr>
        <w:ind w:right="20" w:firstLine="656"/>
        <w:spacing w:after="0" w:line="255"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agree not to disclose, either directly or indirectly, any information whatsoever regarding (i) any of the terms or the existence of this RELEASE and my benefits under the Agreement or (ii) any other claim I may have against the Company, to any person or organization, including but not limited to members of the press and media, present and former employees of the Company, companies who do business with the Company; or other members of the public. Notwithstanding the preceding sentence, I may reveal such terms of this RELEASE and the Severance Payment to my spouse, accountants or attorneys or as are necessary to comply with a request made by the Internal Revenue Service, as otherwise compelled by a court or agency of competent jurisdiction, as allowed and/or required by law.</w:t>
      </w:r>
    </w:p>
    <w:p>
      <w:pPr>
        <w:spacing w:after="0" w:line="192" w:lineRule="exact"/>
        <w:rPr>
          <w:rFonts w:ascii="Arial" w:cs="Arial" w:eastAsia="Arial" w:hAnsi="Arial"/>
          <w:sz w:val="18"/>
          <w:szCs w:val="18"/>
          <w:color w:val="auto"/>
        </w:rPr>
      </w:pPr>
    </w:p>
    <w:p>
      <w:pPr>
        <w:ind w:left="840" w:hanging="184"/>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RELEASE shall be governed by the laws of the State of Delaware.</w:t>
      </w:r>
    </w:p>
    <w:p>
      <w:pPr>
        <w:spacing w:after="0" w:line="225" w:lineRule="exact"/>
        <w:rPr>
          <w:rFonts w:ascii="Arial" w:cs="Arial" w:eastAsia="Arial" w:hAnsi="Arial"/>
          <w:sz w:val="18"/>
          <w:szCs w:val="18"/>
          <w:color w:val="auto"/>
        </w:rPr>
      </w:pPr>
    </w:p>
    <w:p>
      <w:pPr>
        <w:ind w:firstLine="656"/>
        <w:spacing w:after="0" w:line="275" w:lineRule="auto"/>
        <w:tabs>
          <w:tab w:leader="none" w:pos="82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This RELEASE contains the entire agreement between the Company and me with respect to any matters referred to in the RELEASE and shall supersede any all other agreements, whether written or oral, with respect to such matters. I understand and agree that this RELEASE shall not be deemed or construed at any time as an admission of liability or wrongdoing by either myself or the Company. Notwithstanding the foregoing, it is understood and agreed that my termination will be treated for all purposes as a termination without Cause or for Good Reason under Section 6(a) of the Agreement and that I shall be entitled to all payments and benefits under the Agreement consistent with such a termination.</w:t>
      </w:r>
    </w:p>
    <w:p>
      <w:pPr>
        <w:spacing w:after="0" w:line="176" w:lineRule="exact"/>
        <w:rPr>
          <w:rFonts w:ascii="Arial" w:cs="Arial" w:eastAsia="Arial" w:hAnsi="Arial"/>
          <w:sz w:val="17"/>
          <w:szCs w:val="17"/>
          <w:color w:val="auto"/>
        </w:rPr>
      </w:pPr>
    </w:p>
    <w:p>
      <w:pPr>
        <w:ind w:right="260" w:firstLine="656"/>
        <w:spacing w:after="0" w:line="263"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any one or more of the provisions contained in this RELEASE is, for any reason, held to be unenforceable, that holding will not affect any other provision of this RELEASE, but, with respect only to the jurisdiction holding the provision to be unenforceable, this RELEASE shall then be construed as if such unenforceable provision or provisions had never been contained therein.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ind w:firstLine="656"/>
        <w:spacing w:after="0" w:line="277" w:lineRule="auto"/>
        <w:tabs>
          <w:tab w:leader="none" w:pos="8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Before executing this RELEASE, I obtained sufficient information to intelligently exercise my own judgment about the terms of the RELEASE. The Company has informed me in writing to consult an attorney before signing this RELEASE, if I wish.</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 also understand for a period of seven (7) days after I sign this RELEASE, I may revoke this RELEASE and that the RELEASE will not become effective until seven (7) days after I sign it, and only then if I do not revoke it. In order to revoke this RELEASE, I must deliver, or cause to be delivered, to [Name]; Chairman of the Board by First Class mail or facsimile [Fax Number], by no later than seven (7) days after I execute this RELEASE, a letter stating that I am revoking it.</w:t>
      </w:r>
    </w:p>
    <w:p>
      <w:pPr>
        <w:spacing w:after="0" w:line="187" w:lineRule="exact"/>
        <w:rPr>
          <w:sz w:val="20"/>
          <w:szCs w:val="20"/>
          <w:color w:val="auto"/>
        </w:rPr>
      </w:pPr>
    </w:p>
    <w:p>
      <w:pPr>
        <w:ind w:right="160" w:firstLine="656"/>
        <w:spacing w:after="0" w:line="342" w:lineRule="auto"/>
        <w:tabs>
          <w:tab w:leader="none" w:pos="9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My severance and other termination benefits under the Agreement will be paid in accordance with the terms of the Agreement. If I choose to revoke this RELEASE within seven (7) days after I sign it, such benefits will not be due and payable, and the RELEASE will have no effect.</w:t>
      </w:r>
    </w:p>
    <w:p>
      <w:pPr>
        <w:spacing w:after="0" w:line="123" w:lineRule="exact"/>
        <w:rPr>
          <w:rFonts w:ascii="Arial" w:cs="Arial" w:eastAsia="Arial" w:hAnsi="Arial"/>
          <w:sz w:val="16"/>
          <w:szCs w:val="16"/>
          <w:color w:val="auto"/>
        </w:rPr>
      </w:pPr>
    </w:p>
    <w:p>
      <w:pPr>
        <w:ind w:right="20" w:firstLine="656"/>
        <w:spacing w:after="0" w:line="257" w:lineRule="auto"/>
        <w:tabs>
          <w:tab w:leader="none" w:pos="9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I fail to comply with my agreement not to institute, prosecute or pursue any complaints, claims, charges, liabilities, claims for relief, demands suits or causes of actions against the Company (except as set forth in the second unnumbered paragraph at the beginning of this Release above, including, without limitation, any claims or causes of actions I may have as a result of any acts or omissions that occur after the date of this Release), or if I materially and willfully fail to comply with the terms of Section 4 or 5 of this RELEASE, I will forfeit the additional payments and benefits due under the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EMPLOYEE’S ACCEPTANCE OF RELEASE:</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BEFORE SIGNING MY NAME TO THIS RELEASE, I STATE THAT: I HAVE READ IT; UNDERSTAND IT AND KNOW THAT I AM GIVING UP IMPORTANT RIGHTS; I AM AWARE OF MY RIGHT TO CONSULT WITH AN ATTORNEY BEFORE SIGNING IT; AND I HAVE SIGNED IT KNOWINGLY AND VOLUNTARILY. EXCEPT FOR THE MATTERS EXPRESSLY STATED IN THIS RELEASE, THE COMPANY HAS NEITHER MADE ANY REPRESENTATION NOR OFFERED ME ANY INDUCEMENT TO SIGN THIS RELEASE.</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&amp; CEO</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4"/>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1"/>
    </w:lvl>
    <w:lvl w:ilvl="1">
      <w:lvlJc w:val="left"/>
      <w:lvlText w:val="(%2)"/>
      <w:numFmt w:val="lowerLetter"/>
      <w:start w:val="2"/>
    </w:lvl>
  </w:abstractNum>
  <w:abstractNum w:abstractNumId="6">
    <w:nsid w:val="836C40E"/>
    <w:multiLevelType w:val="hybridMultilevel"/>
    <w:lvl w:ilvl="0">
      <w:lvlJc w:val="left"/>
      <w:lvlText w:val="(%1)"/>
      <w:numFmt w:val="lowerLetter"/>
      <w:start w:val="61"/>
    </w:lvl>
    <w:lvl w:ilvl="1">
      <w:lvlJc w:val="left"/>
      <w:lvlText w:val="%2"/>
      <w:numFmt w:val="lowerLetter"/>
      <w:start w:val="1"/>
    </w:lvl>
  </w:abstractNum>
  <w:abstractNum w:abstractNumId="7">
    <w:nsid w:val="2901D82"/>
    <w:multiLevelType w:val="hybridMultilevel"/>
    <w:lvl w:ilvl="0">
      <w:lvlJc w:val="left"/>
      <w:lvlText w:val="%1."/>
      <w:numFmt w:val="decimal"/>
      <w:start w:val="3"/>
    </w:lvl>
  </w:abstractNum>
  <w:abstractNum w:abstractNumId="8">
    <w:nsid w:val="3A95F874"/>
    <w:multiLevelType w:val="hybridMultilevel"/>
    <w:lvl w:ilvl="0">
      <w:lvlJc w:val="left"/>
      <w:lvlText w:val="(%1)"/>
      <w:numFmt w:val="lowerLetter"/>
      <w:start w:val="1"/>
    </w:lvl>
    <w:lvl w:ilvl="1">
      <w:lvlJc w:val="left"/>
      <w:lvlText w:val="(%2)"/>
      <w:numFmt w:val="lowerLetter"/>
      <w:start w:val="9"/>
    </w:lvl>
  </w:abstractNum>
  <w:abstractNum w:abstractNumId="9">
    <w:nsid w:val="8138641"/>
    <w:multiLevelType w:val="hybridMultilevel"/>
    <w:lvl w:ilvl="0">
      <w:lvlJc w:val="left"/>
      <w:lvlText w:val="%1"/>
      <w:numFmt w:val="lowerLetter"/>
      <w:start w:val="1"/>
    </w:lvl>
    <w:lvl w:ilvl="1">
      <w:lvlJc w:val="left"/>
      <w:lvlText w:val="(%2)"/>
      <w:numFmt w:val="lowerLetter"/>
      <w:start w:val="35"/>
    </w:lvl>
  </w:abstractNum>
  <w:abstractNum w:abstractNumId="10">
    <w:nsid w:val="1E7FF521"/>
    <w:multiLevelType w:val="hybridMultilevel"/>
    <w:lvl w:ilvl="0">
      <w:lvlJc w:val="left"/>
      <w:lvlText w:val="(%1)"/>
      <w:numFmt w:val="lowerLetter"/>
      <w:start w:val="3"/>
    </w:lvl>
    <w:lvl w:ilvl="1">
      <w:lvlJc w:val="left"/>
      <w:lvlText w:val="(%2)"/>
      <w:numFmt w:val="lowerLetter"/>
      <w:start w:val="9"/>
    </w:lvl>
  </w:abstractNum>
  <w:abstractNum w:abstractNumId="11">
    <w:nsid w:val="7C3DBD3D"/>
    <w:multiLevelType w:val="hybridMultilevel"/>
    <w:lvl w:ilvl="0">
      <w:lvlJc w:val="left"/>
      <w:lvlText w:val="%1"/>
      <w:numFmt w:val="decimal"/>
      <w:start w:val="1"/>
    </w:lvl>
    <w:lvl w:ilvl="1">
      <w:lvlJc w:val="left"/>
      <w:lvlText w:val="(%2)"/>
      <w:numFmt w:val="lowerRoman"/>
      <w:start w:val="2"/>
    </w:lvl>
  </w:abstractNum>
  <w:abstractNum w:abstractNumId="12">
    <w:nsid w:val="737B8DDC"/>
    <w:multiLevelType w:val="hybridMultilevel"/>
    <w:lvl w:ilvl="0">
      <w:lvlJc w:val="left"/>
      <w:lvlText w:val="%1."/>
      <w:numFmt w:val="decimal"/>
      <w:start w:val="4"/>
    </w:lvl>
    <w:lvl w:ilvl="1">
      <w:lvlJc w:val="left"/>
      <w:lvlText w:val="%2"/>
      <w:numFmt w:val="lowerRoman"/>
      <w:start w:val="1"/>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Letter"/>
      <w:start w:val="2"/>
    </w:lvl>
    <w:lvl w:ilvl="1">
      <w:lvlJc w:val="left"/>
      <w:lvlText w:val="(%2)"/>
      <w:numFmt w:val="lowerRoman"/>
      <w:start w:val="1"/>
    </w:lvl>
  </w:abstractNum>
  <w:abstractNum w:abstractNumId="15">
    <w:nsid w:val="4516DDE9"/>
    <w:multiLevelType w:val="hybridMultilevel"/>
    <w:lvl w:ilvl="0">
      <w:lvlJc w:val="left"/>
      <w:lvlText w:val="(%1)"/>
      <w:numFmt w:val="lowerRoman"/>
      <w:start w:val="4"/>
    </w:lvl>
  </w:abstractNum>
  <w:abstractNum w:abstractNumId="16">
    <w:nsid w:val="3006C83E"/>
    <w:multiLevelType w:val="hybridMultilevel"/>
    <w:lvl w:ilvl="0">
      <w:lvlJc w:val="left"/>
      <w:lvlText w:val="(%1)"/>
      <w:numFmt w:val="lowerLetter"/>
      <w:start w:val="4"/>
    </w:lvl>
    <w:lvl w:ilvl="1">
      <w:lvlJc w:val="left"/>
      <w:lvlText w:val="(%2)"/>
      <w:numFmt w:val="lowerRoman"/>
      <w:start w:val="1"/>
    </w:lvl>
  </w:abstractNum>
  <w:abstractNum w:abstractNumId="17">
    <w:nsid w:val="614FD4A1"/>
    <w:multiLevelType w:val="hybridMultilevel"/>
    <w:lvl w:ilvl="0">
      <w:lvlJc w:val="left"/>
      <w:lvlText w:val="(%1)"/>
      <w:numFmt w:val="lowerLetter"/>
      <w:start w:val="5"/>
    </w:lvl>
  </w:abstractNum>
  <w:abstractNum w:abstractNumId="18">
    <w:nsid w:val="419AC241"/>
    <w:multiLevelType w:val="hybridMultilevel"/>
    <w:lvl w:ilvl="0">
      <w:lvlJc w:val="left"/>
      <w:lvlText w:val="%1."/>
      <w:numFmt w:val="decimal"/>
      <w:start w:val="6"/>
    </w:lvl>
  </w:abstractNum>
  <w:abstractNum w:abstractNumId="19">
    <w:nsid w:val="5577F8E1"/>
    <w:multiLevelType w:val="hybridMultilevel"/>
    <w:lvl w:ilvl="0">
      <w:lvlJc w:val="left"/>
      <w:lvlText w:val="(%1)"/>
      <w:numFmt w:val="lowerLetter"/>
      <w:start w:val="1"/>
    </w:lvl>
    <w:lvl w:ilvl="1">
      <w:lvlJc w:val="left"/>
      <w:lvlText w:val="(%2)"/>
      <w:numFmt w:val="lowerRoman"/>
      <w:start w:val="1"/>
    </w:lvl>
  </w:abstractNum>
  <w:abstractNum w:abstractNumId="20">
    <w:nsid w:val="440BADFC"/>
    <w:multiLevelType w:val="hybridMultilevel"/>
    <w:lvl w:ilvl="0">
      <w:lvlJc w:val="left"/>
      <w:lvlText w:val="(%1)"/>
      <w:numFmt w:val="upperLetter"/>
      <w:start w:val="1"/>
    </w:lvl>
  </w:abstractNum>
  <w:abstractNum w:abstractNumId="21">
    <w:nsid w:val="5072367"/>
    <w:multiLevelType w:val="hybridMultilevel"/>
    <w:lvl w:ilvl="0">
      <w:lvlJc w:val="left"/>
      <w:lvlText w:val="(%1)"/>
      <w:numFmt w:val="lowerRoman"/>
      <w:start w:val="3"/>
    </w:lvl>
  </w:abstractNum>
  <w:abstractNum w:abstractNumId="22">
    <w:nsid w:val="3804823E"/>
    <w:multiLevelType w:val="hybridMultilevel"/>
    <w:lvl w:ilvl="0">
      <w:lvlJc w:val="left"/>
      <w:lvlText w:val="(%1)"/>
      <w:numFmt w:val="upperLetter"/>
      <w:start w:val="1"/>
    </w:lvl>
  </w:abstractNum>
  <w:abstractNum w:abstractNumId="23">
    <w:nsid w:val="77465F01"/>
    <w:multiLevelType w:val="hybridMultilevel"/>
    <w:lvl w:ilvl="0">
      <w:lvlJc w:val="left"/>
      <w:lvlText w:val="(%1)"/>
      <w:numFmt w:val="upperLetter"/>
      <w:start w:val="5"/>
    </w:lvl>
  </w:abstractNum>
  <w:abstractNum w:abstractNumId="24">
    <w:nsid w:val="7724C67E"/>
    <w:multiLevelType w:val="hybridMultilevel"/>
    <w:lvl w:ilvl="0">
      <w:lvlJc w:val="left"/>
      <w:lvlText w:val="(%1)"/>
      <w:numFmt w:val="lowerRoman"/>
      <w:start w:val="5"/>
    </w:lvl>
  </w:abstractNum>
  <w:abstractNum w:abstractNumId="25">
    <w:nsid w:val="5C482A97"/>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26">
    <w:nsid w:val="2463B9EA"/>
    <w:multiLevelType w:val="hybridMultilevel"/>
    <w:lvl w:ilvl="0">
      <w:lvlJc w:val="left"/>
      <w:lvlText w:val="(%1)"/>
      <w:numFmt w:val="lowerLetter"/>
      <w:start w:val="3"/>
    </w:lvl>
    <w:lvl w:ilvl="1">
      <w:lvlJc w:val="left"/>
      <w:lvlText w:val="(%2)"/>
      <w:numFmt w:val="upperLetter"/>
      <w:start w:val="1"/>
    </w:lvl>
  </w:abstractNum>
  <w:abstractNum w:abstractNumId="27">
    <w:nsid w:val="5E884ADC"/>
    <w:multiLevelType w:val="hybridMultilevel"/>
    <w:lvl w:ilvl="0">
      <w:lvlJc w:val="left"/>
      <w:lvlText w:val="(%1)"/>
      <w:numFmt w:val="lowerRoman"/>
      <w:start w:val="1"/>
    </w:lvl>
  </w:abstractNum>
  <w:abstractNum w:abstractNumId="28">
    <w:nsid w:val="51EAD36B"/>
    <w:multiLevelType w:val="hybridMultilevel"/>
    <w:lvl w:ilvl="0">
      <w:lvlJc w:val="left"/>
      <w:lvlText w:val="(%1)"/>
      <w:numFmt w:val="lowerLetter"/>
      <w:start w:val="5"/>
    </w:lvl>
    <w:lvl w:ilvl="1">
      <w:lvlJc w:val="left"/>
      <w:lvlText w:val="(%2)"/>
      <w:numFmt w:val="lowerRoman"/>
      <w:start w:val="1"/>
    </w:lvl>
  </w:abstractNum>
  <w:abstractNum w:abstractNumId="29">
    <w:nsid w:val="2D517796"/>
    <w:multiLevelType w:val="hybridMultilevel"/>
    <w:lvl w:ilvl="0">
      <w:lvlJc w:val="left"/>
      <w:lvlText w:val="(%1)"/>
      <w:numFmt w:val="lowerLetter"/>
      <w:start w:val="6"/>
    </w:lvl>
  </w:abstractNum>
  <w:abstractNum w:abstractNumId="30">
    <w:nsid w:val="580BD78F"/>
    <w:multiLevelType w:val="hybridMultilevel"/>
    <w:lvl w:ilvl="0">
      <w:lvlJc w:val="left"/>
      <w:lvlText w:val="(%1)"/>
      <w:numFmt w:val="lowerRoman"/>
      <w:start w:val="1"/>
    </w:lvl>
  </w:abstractNum>
  <w:abstractNum w:abstractNumId="31">
    <w:nsid w:val="153EA438"/>
    <w:multiLevelType w:val="hybridMultilevel"/>
    <w:lvl w:ilvl="0">
      <w:lvlJc w:val="left"/>
      <w:lvlText w:val="%1."/>
      <w:numFmt w:val="decimal"/>
      <w:start w:val="7"/>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decimal"/>
      <w:start w:val="8"/>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3"/>
    </w:lvl>
  </w:abstractNum>
  <w:abstractNum w:abstractNumId="36">
    <w:nsid w:val="1D4ED43B"/>
    <w:multiLevelType w:val="hybridMultilevel"/>
    <w:lvl w:ilvl="0">
      <w:lvlJc w:val="left"/>
      <w:lvlText w:val="%1."/>
      <w:numFmt w:val="decimal"/>
      <w:start w:val="10"/>
    </w:lvl>
  </w:abstractNum>
  <w:abstractNum w:abstractNumId="37">
    <w:nsid w:val="725A06FB"/>
    <w:multiLevelType w:val="hybridMultilevel"/>
    <w:lvl w:ilvl="0">
      <w:lvlJc w:val="left"/>
      <w:lvlText w:val="%1."/>
      <w:numFmt w:val="decimal"/>
      <w:start w:val="11"/>
    </w:lvl>
  </w:abstractNum>
  <w:abstractNum w:abstractNumId="38">
    <w:nsid w:val="2CD89A32"/>
    <w:multiLevelType w:val="hybridMultilevel"/>
    <w:lvl w:ilvl="0">
      <w:lvlJc w:val="left"/>
      <w:lvlText w:val="%1"/>
      <w:numFmt w:val="lowerLetter"/>
      <w:start w:val="1"/>
    </w:lvl>
    <w:lvl w:ilvl="1">
      <w:lvlJc w:val="left"/>
      <w:lvlText w:val="(%2)"/>
      <w:numFmt w:val="lowerLetter"/>
      <w:start w:val="1"/>
    </w:lvl>
  </w:abstractNum>
  <w:abstractNum w:abstractNumId="39">
    <w:nsid w:val="57E4CCAF"/>
    <w:multiLevelType w:val="hybridMultilevel"/>
    <w:lvl w:ilvl="0">
      <w:lvlJc w:val="left"/>
      <w:lvlText w:val="(%1)"/>
      <w:numFmt w:val="lowerLetter"/>
      <w:start w:val="35"/>
    </w:lvl>
    <w:lvl w:ilvl="1">
      <w:lvlJc w:val="left"/>
      <w:lvlText w:val="(%2)"/>
      <w:numFmt w:val="lowerLetter"/>
      <w:start w:val="3"/>
    </w:lvl>
  </w:abstractNum>
  <w:abstractNum w:abstractNumId="40">
    <w:nsid w:val="7A6D8D3C"/>
    <w:multiLevelType w:val="hybridMultilevel"/>
    <w:lvl w:ilvl="0">
      <w:lvlJc w:val="left"/>
      <w:lvlText w:val="%1."/>
      <w:numFmt w:val="decimal"/>
      <w:start w:val="12"/>
    </w:lvl>
  </w:abstractNum>
  <w:abstractNum w:abstractNumId="41">
    <w:nsid w:val="4B588F54"/>
    <w:multiLevelType w:val="hybridMultilevel"/>
    <w:lvl w:ilvl="0">
      <w:lvlJc w:val="left"/>
      <w:lvlText w:val="%1."/>
      <w:numFmt w:val="decimal"/>
      <w:start w:val="15"/>
    </w:lvl>
  </w:abstractNum>
  <w:abstractNum w:abstractNumId="42">
    <w:nsid w:val="542289EC"/>
    <w:multiLevelType w:val="hybridMultilevel"/>
    <w:lvl w:ilvl="0">
      <w:lvlJc w:val="left"/>
      <w:lvlText w:val="%1."/>
      <w:numFmt w:val="decimal"/>
      <w:start w:val="16"/>
    </w:lvl>
  </w:abstractNum>
  <w:abstractNum w:abstractNumId="43">
    <w:nsid w:val="6DE91B18"/>
    <w:multiLevelType w:val="hybridMultilevel"/>
    <w:lvl w:ilvl="0">
      <w:lvlJc w:val="left"/>
      <w:lvlText w:val="%1."/>
      <w:numFmt w:val="decimal"/>
      <w:start w:val="22"/>
    </w:lvl>
  </w:abstractNum>
  <w:abstractNum w:abstractNumId="44">
    <w:nsid w:val="38437FDB"/>
    <w:multiLevelType w:val="hybridMultilevel"/>
    <w:lvl w:ilvl="0">
      <w:lvlJc w:val="left"/>
      <w:lvlText w:val="%1."/>
      <w:numFmt w:val="decimal"/>
      <w:start w:val="25"/>
    </w:lvl>
  </w:abstractNum>
  <w:abstractNum w:abstractNumId="45">
    <w:nsid w:val="7644A45C"/>
    <w:multiLevelType w:val="hybridMultilevel"/>
    <w:lvl w:ilvl="0">
      <w:lvlJc w:val="left"/>
      <w:lvlText w:val="%1."/>
      <w:numFmt w:val="decimal"/>
      <w:start w:val="29"/>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3"/>
    </w:lvl>
  </w:abstractNum>
  <w:abstractNum w:abstractNumId="48">
    <w:nsid w:val="579478FE"/>
    <w:multiLevelType w:val="hybridMultilevel"/>
    <w:lvl w:ilvl="0">
      <w:lvlJc w:val="left"/>
      <w:lvlText w:val="%1."/>
      <w:numFmt w:val="decimal"/>
      <w:start w:val="9"/>
    </w:lvl>
  </w:abstractNum>
  <w:abstractNum w:abstractNumId="49">
    <w:nsid w:val="749ABB4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2021-09-23T17:39:25Z</dcterms:created>
  <dcterms:modified xsi:type="dcterms:W3CDTF">2021-09-23T17:39:25Z</dcterms:modified>
</cp:coreProperties>
</file>