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SVP &amp; CAO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78"/>
              <w:spacing w:after="0"/>
              <w:rPr>
                <w:sz w:val="20"/>
                <w:szCs w:val="20"/>
                <w:color w:val="auto"/>
              </w:rPr>
            </w:pPr>
            <w:r>
              <w:rPr>
                <w:rFonts w:ascii="Times New Roman" w:cs="Times New Roman" w:eastAsia="Times New Roman" w:hAnsi="Times New Roman"/>
                <w:sz w:val="17"/>
                <w:szCs w:val="17"/>
                <w:color w:val="0000FF"/>
              </w:rPr>
              <w:t>11/02/2022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635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25,784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 2020, Ms. Rubenstein was issued 5,122 Restricted Stock Units ("RSUs") by Clearway Energy, Inc. (f/k/a NRG Yield, Inc.) under Clearway Energy Inc.'s Amended and Restated 2013Equity Incentive Plan (the "LTIP"). These RSUs vest ratably over a three-year period beginning on the first anniversary of the date of the grant. Each RSU is equivalent in value to one share of Class C Common Stock of Clearway Energy Inc., par value $.01 per share. On November 2, 2022, 1,706 shares vested. Ms. Rubenstein elected to satisfy her tax obligation upon the exchange of common stock for RSUs having a value on the date of the exchange equal to the withholding obligation. This form reflects the surrender of 635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149 DERs converted to Class C Common Stock, resulting in the reporting person holding 850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11/04/2022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2022-11-04T16:29:12Z</dcterms:created>
  <dcterms:modified xsi:type="dcterms:W3CDTF">2022-11-04T16:29:12Z</dcterms:modified>
</cp:coreProperties>
</file>