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1032510</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4, 2025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CLEARWAY ENERGY, INC.</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9" w:lineRule="exact"/>
        <w:rPr>
          <w:sz w:val="24"/>
          <w:szCs w:val="24"/>
          <w:color w:val="auto"/>
        </w:rPr>
      </w:pPr>
    </w:p>
    <w:tbl>
      <w:tblPr>
        <w:tblLayout w:type="fixed"/>
        <w:tblInd w:w="320" w:type="dxa"/>
        <w:tblCellMar>
          <w:top w:w="0" w:type="dxa"/>
          <w:left w:w="0" w:type="dxa"/>
          <w:bottom w:w="0" w:type="dxa"/>
          <w:right w:w="0" w:type="dxa"/>
        </w:tblCellMar>
      </w:tblPr>
      <w:tr>
        <w:trPr>
          <w:trHeight w:val="247"/>
        </w:trPr>
        <w:tc>
          <w:tcPr>
            <w:tcW w:w="364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212"/>
              <w:spacing w:after="0"/>
              <w:rPr>
                <w:sz w:val="20"/>
                <w:szCs w:val="20"/>
                <w:color w:val="auto"/>
              </w:rPr>
            </w:pPr>
            <w:r>
              <w:rPr>
                <w:rFonts w:ascii="Times New Roman" w:cs="Times New Roman" w:eastAsia="Times New Roman" w:hAnsi="Times New Roman"/>
                <w:sz w:val="18"/>
                <w:szCs w:val="18"/>
                <w:b w:val="1"/>
                <w:bCs w:val="1"/>
                <w:color w:val="auto"/>
              </w:rPr>
              <w:t>001-36002</w:t>
            </w:r>
          </w:p>
        </w:tc>
        <w:tc>
          <w:tcPr>
            <w:tcW w:w="3280" w:type="dxa"/>
            <w:vAlign w:val="bottom"/>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46-1777204</w:t>
            </w:r>
          </w:p>
        </w:tc>
        <w:tc>
          <w:tcPr>
            <w:tcW w:w="0" w:type="dxa"/>
            <w:vAlign w:val="bottom"/>
          </w:tcPr>
          <w:p>
            <w:pPr>
              <w:spacing w:after="0"/>
              <w:rPr>
                <w:sz w:val="1"/>
                <w:szCs w:val="1"/>
                <w:color w:val="auto"/>
              </w:rPr>
            </w:pPr>
          </w:p>
        </w:tc>
      </w:tr>
      <w:tr>
        <w:trPr>
          <w:trHeight w:val="198"/>
        </w:trPr>
        <w:tc>
          <w:tcPr>
            <w:tcW w:w="3640" w:type="dxa"/>
            <w:vAlign w:val="bottom"/>
          </w:tcPr>
          <w:p>
            <w:pPr>
              <w:jc w:val="center"/>
              <w:ind w:right="312"/>
              <w:spacing w:after="0" w:line="198" w:lineRule="exact"/>
              <w:rPr>
                <w:sz w:val="20"/>
                <w:szCs w:val="20"/>
                <w:color w:val="auto"/>
              </w:rPr>
            </w:pPr>
            <w:r>
              <w:rPr>
                <w:rFonts w:ascii="Times New Roman" w:cs="Times New Roman" w:eastAsia="Times New Roman" w:hAnsi="Times New Roman"/>
                <w:sz w:val="18"/>
                <w:szCs w:val="18"/>
                <w:color w:val="auto"/>
                <w:w w:val="98"/>
              </w:rPr>
              <w:t>(State or other jurisdiction of incorporation or</w:t>
            </w:r>
          </w:p>
        </w:tc>
        <w:tc>
          <w:tcPr>
            <w:tcW w:w="3080" w:type="dxa"/>
            <w:vAlign w:val="bottom"/>
            <w:vMerge w:val="restart"/>
          </w:tcPr>
          <w:p>
            <w:pPr>
              <w:jc w:val="center"/>
              <w:ind w:right="212"/>
              <w:spacing w:after="0"/>
              <w:rPr>
                <w:sz w:val="20"/>
                <w:szCs w:val="20"/>
                <w:color w:val="auto"/>
              </w:rPr>
            </w:pPr>
            <w:r>
              <w:rPr>
                <w:rFonts w:ascii="Times New Roman" w:cs="Times New Roman" w:eastAsia="Times New Roman" w:hAnsi="Times New Roman"/>
                <w:sz w:val="18"/>
                <w:szCs w:val="18"/>
                <w:color w:val="auto"/>
                <w:w w:val="97"/>
              </w:rPr>
              <w:t>(Commission File Number)</w:t>
            </w:r>
          </w:p>
        </w:tc>
        <w:tc>
          <w:tcPr>
            <w:tcW w:w="3280" w:type="dxa"/>
            <w:vAlign w:val="bottom"/>
            <w:vMerge w:val="restart"/>
          </w:tcPr>
          <w:p>
            <w:pPr>
              <w:jc w:val="center"/>
              <w:ind w:left="612"/>
              <w:spacing w:after="0"/>
              <w:rPr>
                <w:sz w:val="20"/>
                <w:szCs w:val="20"/>
                <w:color w:val="auto"/>
              </w:rPr>
            </w:pPr>
            <w:r>
              <w:rPr>
                <w:rFonts w:ascii="Times New Roman" w:cs="Times New Roman" w:eastAsia="Times New Roman" w:hAnsi="Times New Roman"/>
                <w:sz w:val="18"/>
                <w:szCs w:val="18"/>
                <w:color w:val="auto"/>
                <w:w w:val="98"/>
              </w:rPr>
              <w:t>(I.R.S. Employer Identification No.)</w:t>
            </w:r>
          </w:p>
        </w:tc>
        <w:tc>
          <w:tcPr>
            <w:tcW w:w="0" w:type="dxa"/>
            <w:vAlign w:val="bottom"/>
          </w:tcPr>
          <w:p>
            <w:pPr>
              <w:spacing w:after="0"/>
              <w:rPr>
                <w:sz w:val="1"/>
                <w:szCs w:val="1"/>
                <w:color w:val="auto"/>
              </w:rPr>
            </w:pPr>
          </w:p>
        </w:tc>
      </w:tr>
      <w:tr>
        <w:trPr>
          <w:trHeight w:val="134"/>
        </w:trPr>
        <w:tc>
          <w:tcPr>
            <w:tcW w:w="36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8"/>
                <w:szCs w:val="18"/>
                <w:color w:val="auto"/>
                <w:w w:val="97"/>
              </w:rPr>
              <w:t>organization)</w:t>
            </w:r>
          </w:p>
        </w:tc>
        <w:tc>
          <w:tcPr>
            <w:tcW w:w="3080" w:type="dxa"/>
            <w:vAlign w:val="bottom"/>
            <w:vMerge w:val="continue"/>
          </w:tcPr>
          <w:p>
            <w:pPr>
              <w:spacing w:after="0"/>
              <w:rPr>
                <w:sz w:val="11"/>
                <w:szCs w:val="11"/>
                <w:color w:val="auto"/>
              </w:rPr>
            </w:pPr>
          </w:p>
        </w:tc>
        <w:tc>
          <w:tcPr>
            <w:tcW w:w="3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64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Carnegie Center, Suite 300, Princeton, New Jersey 08540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25" w:lineRule="exact"/>
        <w:rPr>
          <w:sz w:val="24"/>
          <w:szCs w:val="24"/>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1" w:lineRule="exact"/>
        <w:rPr>
          <w:sz w:val="24"/>
          <w:szCs w:val="24"/>
          <w:color w:val="auto"/>
        </w:rPr>
      </w:pPr>
    </w:p>
    <w:p>
      <w:pPr>
        <w:ind w:left="380" w:hanging="33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380" w:hanging="33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18" w:lineRule="exact"/>
        <w:rPr>
          <w:rFonts w:ascii="MS PGothic" w:cs="MS PGothic" w:eastAsia="MS PGothic" w:hAnsi="MS PGothic"/>
          <w:sz w:val="18"/>
          <w:szCs w:val="18"/>
          <w:color w:val="auto"/>
        </w:rPr>
      </w:pPr>
    </w:p>
    <w:p>
      <w:pPr>
        <w:ind w:left="380" w:hanging="33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30" w:lineRule="exact"/>
        <w:rPr>
          <w:rFonts w:ascii="MS PGothic" w:cs="MS PGothic" w:eastAsia="MS PGothic" w:hAnsi="MS PGothic"/>
          <w:sz w:val="18"/>
          <w:szCs w:val="18"/>
          <w:color w:val="auto"/>
        </w:rPr>
      </w:pPr>
    </w:p>
    <w:p>
      <w:pPr>
        <w:ind w:right="2960" w:firstLine="46"/>
        <w:spacing w:after="0" w:line="264" w:lineRule="auto"/>
        <w:tabs>
          <w:tab w:leader="none" w:pos="37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14"/>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Class A Common Stock, par value $0.01</w:t>
            </w:r>
          </w:p>
        </w:tc>
        <w:tc>
          <w:tcPr>
            <w:tcW w:w="2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CWEN.A</w:t>
            </w:r>
          </w:p>
        </w:tc>
        <w:tc>
          <w:tcPr>
            <w:tcW w:w="47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New York Stock Exchange</w:t>
            </w:r>
          </w:p>
        </w:tc>
      </w:tr>
      <w:tr>
        <w:trPr>
          <w:trHeight w:val="232"/>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 C Common Stock, par value $0.01</w:t>
            </w:r>
          </w:p>
        </w:tc>
        <w:tc>
          <w:tcPr>
            <w:tcW w:w="25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CWEN</w:t>
            </w:r>
          </w:p>
        </w:tc>
        <w:tc>
          <w:tcPr>
            <w:tcW w:w="47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New York Stock Exchange</w:t>
            </w:r>
          </w:p>
        </w:tc>
      </w:tr>
    </w:tbl>
    <w:p>
      <w:pPr>
        <w:spacing w:after="0" w:line="312" w:lineRule="exact"/>
        <w:rPr>
          <w:sz w:val="24"/>
          <w:szCs w:val="24"/>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10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242" w:lineRule="exact"/>
        <w:rPr>
          <w:sz w:val="24"/>
          <w:szCs w:val="24"/>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887095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6" w:lineRule="exact"/>
        <w:rPr>
          <w:sz w:val="20"/>
          <w:szCs w:val="20"/>
          <w:color w:val="auto"/>
        </w:rPr>
      </w:pPr>
    </w:p>
    <w:p>
      <w:pPr>
        <w:jc w:val="both"/>
        <w:ind w:firstLine="202"/>
        <w:spacing w:after="0" w:line="255" w:lineRule="auto"/>
        <w:rPr>
          <w:sz w:val="20"/>
          <w:szCs w:val="20"/>
          <w:color w:val="auto"/>
        </w:rPr>
      </w:pPr>
      <w:r>
        <w:rPr>
          <w:rFonts w:ascii="Times New Roman" w:cs="Times New Roman" w:eastAsia="Times New Roman" w:hAnsi="Times New Roman"/>
          <w:sz w:val="18"/>
          <w:szCs w:val="18"/>
          <w:color w:val="auto"/>
        </w:rPr>
        <w:t xml:space="preserve">On November 4, 2025, Clearway Energy, Inc. issued a press release announcing its financial results for the quarter ended September 30, 2025. A copy of the press release is furnished as Exhibit 99.1 to this report on Form 8-K and is hereby incorporated by reference. </w:t>
      </w:r>
      <w:r>
        <w:rPr>
          <w:rFonts w:ascii="Times New Roman" w:cs="Times New Roman" w:eastAsia="Times New Roman" w:hAnsi="Times New Roman"/>
          <w:sz w:val="18"/>
          <w:szCs w:val="18"/>
          <w:color w:val="212529"/>
        </w:rPr>
        <w:t>In accordance with General Instruction B.2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of Form 8-K, the information set forth in this Item 2.02 and in the attached exhibit are deemed to be furnished and shall not be deemed to be “filed” for purposes of Section 18 of the Securities Exchange Act of 1934, as amended (the “Exchange Act”).</w:t>
      </w:r>
    </w:p>
    <w:p>
      <w:pPr>
        <w:spacing w:after="0" w:line="20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Exhibits</w:t>
      </w:r>
    </w:p>
    <w:p>
      <w:pPr>
        <w:spacing w:after="0" w:line="244"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8"/>
          <w:szCs w:val="18"/>
          <w:color w:val="212529"/>
        </w:rPr>
        <w:t>In accordance with General Instruction B.2 of Form 8-K, the information set forth in the attached exhibit is deemed to be furnished and shall not be deemed to be “filed” for purposes of Section 18 of the Exchange Act.</w:t>
      </w:r>
    </w:p>
    <w:p>
      <w:pPr>
        <w:sectPr>
          <w:pgSz w:w="11900" w:h="16838" w:orient="portrait"/>
          <w:cols w:equalWidth="0" w:num="1">
            <w:col w:w="11240"/>
          </w:cols>
          <w:pgMar w:left="320" w:top="1273" w:right="339" w:bottom="1440" w:gutter="0" w:footer="0" w:header="0"/>
        </w:sectPr>
      </w:pP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44450</wp:posOffset>
            </wp:positionV>
            <wp:extent cx="12636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99.1</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wp:posOffset>
            </wp:positionV>
            <wp:extent cx="51549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5493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Press Release, dated November 4, 2025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11" w:lineRule="exact"/>
        <w:rPr>
          <w:sz w:val="20"/>
          <w:szCs w:val="20"/>
          <w:color w:val="auto"/>
        </w:rPr>
      </w:pPr>
    </w:p>
    <w:p>
      <w:pPr>
        <w:sectPr>
          <w:pgSz w:w="11900" w:h="16838" w:orient="portrait"/>
          <w:cols w:equalWidth="0" w:num="2">
            <w:col w:w="1760" w:space="720"/>
            <w:col w:w="8760"/>
          </w:cols>
          <w:pgMar w:left="320" w:top="12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type w:val="continuous"/>
        </w:sectPr>
      </w:pPr>
    </w:p>
    <w:bookmarkStart w:id="2" w:name="page3"/>
    <w:bookmarkEnd w:id="2"/>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37"/>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65" w:lineRule="exact"/>
        <w:rPr>
          <w:sz w:val="20"/>
          <w:szCs w:val="20"/>
          <w:color w:val="auto"/>
        </w:rPr>
      </w:pPr>
    </w:p>
    <w:tbl>
      <w:tblPr>
        <w:tblLayout w:type="fixed"/>
        <w:tblInd w:w="562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P. Malcarney</w:t>
            </w:r>
          </w:p>
        </w:tc>
      </w:tr>
      <w:tr>
        <w:trPr>
          <w:trHeight w:val="214"/>
        </w:trPr>
        <w:tc>
          <w:tcPr>
            <w:tcW w:w="54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P. Malcarney</w:t>
            </w:r>
          </w:p>
        </w:tc>
      </w:tr>
      <w:tr>
        <w:trPr>
          <w:trHeight w:val="232"/>
        </w:trPr>
        <w:tc>
          <w:tcPr>
            <w:tcW w:w="5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720725</wp:posOffset>
            </wp:positionV>
            <wp:extent cx="2400935" cy="320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00935" cy="32004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Clearway Energy, Inc. Reports Third Quarter 2025 Financial Results</w:t>
      </w:r>
    </w:p>
    <w:p>
      <w:pPr>
        <w:spacing w:after="0" w:line="250" w:lineRule="exact"/>
        <w:rPr>
          <w:sz w:val="20"/>
          <w:szCs w:val="20"/>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Solid third quarter results enabling the company to narrow it 2025 financial guidance range</w:t>
      </w:r>
    </w:p>
    <w:p>
      <w:pPr>
        <w:spacing w:after="0" w:line="37" w:lineRule="exact"/>
        <w:rPr>
          <w:rFonts w:ascii="Times New Roman" w:cs="Times New Roman" w:eastAsia="Times New Roman" w:hAnsi="Times New Roman"/>
          <w:sz w:val="18"/>
          <w:szCs w:val="18"/>
          <w:b w:val="1"/>
          <w:bCs w:val="1"/>
          <w:color w:val="auto"/>
        </w:rPr>
      </w:pPr>
    </w:p>
    <w:p>
      <w:pPr>
        <w:ind w:left="640" w:hanging="316"/>
        <w:spacing w:after="0"/>
        <w:tabs>
          <w:tab w:leader="none" w:pos="640" w:val="left"/>
        </w:tabs>
        <w:numPr>
          <w:ilvl w:val="0"/>
          <w:numId w:val="2"/>
        </w:numPr>
        <w:rPr>
          <w:rFonts w:ascii="Arial" w:cs="Arial" w:eastAsia="Arial" w:hAnsi="Arial"/>
          <w:sz w:val="21"/>
          <w:szCs w:val="21"/>
          <w:color w:val="auto"/>
        </w:rPr>
      </w:pPr>
      <w:r>
        <w:rPr>
          <w:rFonts w:ascii="Times New Roman" w:cs="Times New Roman" w:eastAsia="Times New Roman" w:hAnsi="Times New Roman"/>
          <w:sz w:val="18"/>
          <w:szCs w:val="18"/>
          <w:b w:val="1"/>
          <w:bCs w:val="1"/>
          <w:color w:val="auto"/>
        </w:rPr>
        <w:t>Sponsor-enabled growth and repowerings for 2026/2027 COD on track with over 2 GW of projects now on identified opportunities list</w:t>
      </w:r>
    </w:p>
    <w:p>
      <w:pPr>
        <w:spacing w:after="0" w:line="13" w:lineRule="exact"/>
        <w:rPr>
          <w:rFonts w:ascii="Arial" w:cs="Arial" w:eastAsia="Arial" w:hAnsi="Arial"/>
          <w:sz w:val="21"/>
          <w:szCs w:val="21"/>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Signed binding 3rd party M&amp;A agreement for operational solar portfolio</w:t>
      </w:r>
    </w:p>
    <w:p>
      <w:pPr>
        <w:spacing w:after="0" w:line="4" w:lineRule="exact"/>
        <w:rPr>
          <w:rFonts w:ascii="Times New Roman" w:cs="Times New Roman" w:eastAsia="Times New Roman" w:hAnsi="Times New Roman"/>
          <w:sz w:val="18"/>
          <w:szCs w:val="18"/>
          <w:b w:val="1"/>
          <w:bCs w:val="1"/>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Opportunistically raised $50MM of equity through equity issuance program</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PRINCETON, NJ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November 4, 2025</w:t>
      </w:r>
      <w:r>
        <w:rPr>
          <w:rFonts w:ascii="Times New Roman" w:cs="Times New Roman" w:eastAsia="Times New Roman" w:hAnsi="Times New Roman"/>
          <w:sz w:val="18"/>
          <w:szCs w:val="18"/>
          <w:color w:val="auto"/>
        </w:rPr>
        <w:t>— Clearway Energy, Inc. (NYSE: CWEN, CWEN.A) today reported third quarter 2025 financial results,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Income of $60 million, Adjusted EBITDA of $385 million, Cash from Operating Activities of $225 million, and Cash Available for Distribution (CAFD) of $166 million.</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third quarter, our team operated our fleet with excellence, allowing us to reiterate and narrow our 2025 guidance range. Additionally, continued execution across our redundant growth pathways, including the Deriva solar portfolio acquisition, now allows us to set our sights on delivering at the top end or better of our 2027 financial target range. Following our annual strategic planning process, we are pleased to announce the establishment of our 2030 financial target range to further demonstrate the longevity of our robust earnings power for years to come. We are also pleased to announce that our investment opportunity set for 2026 and 2027 has expanded to now include over 2 GW of identified investment opportunities, with the combination of our repowering program and sponsor-enabled drop-downs providing transparent building blocks toward achieving our 2030 target,” said Craig Cornelius, Clearway Energy, Inc.’s President and Chief Executive Officer.</w:t>
      </w:r>
    </w:p>
    <w:p>
      <w:pPr>
        <w:spacing w:after="0" w:line="2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Adjusted EBITDA and Cash Available for Distribution used in this press release are non-GAAP measures and are explained in greater detail under “Non-GAAP Financial Information”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Overview of Financial and Operating Results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1"/>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Results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1"/>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1: Net Income/(Loss)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4"/>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760" w:type="dxa"/>
            <w:vAlign w:val="bottom"/>
            <w:gridSpan w:val="4"/>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0" w:type="dxa"/>
            <w:vAlign w:val="bottom"/>
            <w:gridSpan w:val="5"/>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9/30/25</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9/30/24</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9/30/25</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9/30/24</w:t>
            </w:r>
          </w:p>
        </w:tc>
      </w:tr>
      <w:tr>
        <w:trPr>
          <w:trHeight w:val="219"/>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Generation</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Renewables &amp; Storage</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6"/>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9"/>
        </w:trPr>
        <w:tc>
          <w:tcPr>
            <w:tcW w:w="4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Income/(Loss)</w:t>
            </w:r>
          </w:p>
        </w:tc>
        <w:tc>
          <w:tcPr>
            <w:tcW w:w="1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9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2: Adjusted EBITDA</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4"/>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760" w:type="dxa"/>
            <w:vAlign w:val="bottom"/>
            <w:gridSpan w:val="4"/>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0" w:type="dxa"/>
            <w:vAlign w:val="bottom"/>
            <w:gridSpan w:val="5"/>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9/30/25</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9/30/24</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9/30/25</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9/30/24</w:t>
            </w:r>
          </w:p>
        </w:tc>
      </w:tr>
      <w:tr>
        <w:trPr>
          <w:trHeight w:val="219"/>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Generation</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Renewables &amp; Storage</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6"/>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9"/>
        </w:trPr>
        <w:tc>
          <w:tcPr>
            <w:tcW w:w="4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837"/>
        </w:trPr>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jc w:val="right"/>
              <w:ind w:right="293"/>
              <w:spacing w:after="0"/>
              <w:rPr>
                <w:sz w:val="20"/>
                <w:szCs w:val="20"/>
                <w:color w:val="auto"/>
              </w:rPr>
            </w:pPr>
            <w:r>
              <w:rPr>
                <w:rFonts w:ascii="Times New Roman" w:cs="Times New Roman" w:eastAsia="Times New Roman" w:hAnsi="Times New Roman"/>
                <w:sz w:val="16"/>
                <w:szCs w:val="16"/>
                <w:color w:val="auto"/>
                <w:w w:val="74"/>
              </w:rPr>
              <w:t>1</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Table 3: Cash from Operating Activities and Cash Available for Distribution (CAFD)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gridSpan w:val="4"/>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9/30/25</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9/30/24</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9/30/25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9/30/24</w:t>
            </w:r>
          </w:p>
        </w:tc>
      </w:tr>
      <w:tr>
        <w:trPr>
          <w:trHeight w:val="219"/>
        </w:trPr>
        <w:tc>
          <w:tcPr>
            <w:tcW w:w="4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19"/>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Available for Distribution (CAFD)</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r>
    </w:tbl>
    <w:p>
      <w:pPr>
        <w:spacing w:after="0" w:line="200" w:lineRule="exact"/>
        <w:rPr>
          <w:sz w:val="20"/>
          <w:szCs w:val="20"/>
          <w:color w:val="auto"/>
        </w:rPr>
      </w:pPr>
    </w:p>
    <w:p>
      <w:pPr>
        <w:spacing w:after="0" w:line="32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For the third quarter of 2025, the Company reported Net Income of $60 million, Adjusted EBITDA of $385 million, Cash from Operating Activities of $225 million, and CAFD of $166 million. Net Income increased versus 2024 primarily due to lower tax expenses. Adjusted EBITDA results in the third quarter were higher than 2024 due to the contribution of growth investments and higher wind resource at certain facilities. CAFD results in the third quarter of 2025 were higher than 2024 primarily due to higher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Operational Performance</w:t>
            </w: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70"/>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4: Selected Operating Results</w:t>
            </w:r>
            <w:r>
              <w:rPr>
                <w:rFonts w:ascii="Times New Roman" w:cs="Times New Roman" w:eastAsia="Times New Roman" w:hAnsi="Times New Roman"/>
                <w:sz w:val="22"/>
                <w:szCs w:val="22"/>
                <w:b w:val="1"/>
                <w:bCs w:val="1"/>
                <w:color w:val="auto"/>
                <w:vertAlign w:val="superscript"/>
              </w:rPr>
              <w:t>1</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(MWh in thousands)</w:t>
            </w:r>
          </w:p>
        </w:tc>
        <w:tc>
          <w:tcPr>
            <w:tcW w:w="344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320" w:type="dxa"/>
            <w:vAlign w:val="bottom"/>
            <w:gridSpan w:val="3"/>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43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9/30/25</w:t>
            </w:r>
          </w:p>
        </w:tc>
        <w:tc>
          <w:tcPr>
            <w:tcW w:w="16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9/30/24</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9/30/25</w:t>
            </w:r>
          </w:p>
        </w:tc>
        <w:tc>
          <w:tcPr>
            <w:tcW w:w="16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9/30/24</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Generation Equivalent Availability Factor</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92.5 %</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92.3 %</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90.3 %</w:t>
            </w:r>
          </w:p>
        </w:tc>
      </w:tr>
      <w:tr>
        <w:trPr>
          <w:trHeight w:val="226"/>
        </w:trPr>
        <w:tc>
          <w:tcPr>
            <w:tcW w:w="4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Solar MWh generated/sold</w:t>
            </w: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2,930</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2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7,318</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w:t>
            </w:r>
          </w:p>
        </w:tc>
      </w:tr>
      <w:tr>
        <w:trPr>
          <w:trHeight w:val="226"/>
        </w:trPr>
        <w:tc>
          <w:tcPr>
            <w:tcW w:w="4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Wind MWh generated/sold</w:t>
            </w:r>
          </w:p>
        </w:tc>
        <w:tc>
          <w:tcPr>
            <w:tcW w:w="15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2,221</w:t>
            </w:r>
          </w:p>
        </w:tc>
        <w:tc>
          <w:tcPr>
            <w:tcW w:w="16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7,905</w:t>
            </w:r>
          </w:p>
        </w:tc>
        <w:tc>
          <w:tcPr>
            <w:tcW w:w="16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r>
      <w:tr>
        <w:trPr>
          <w:trHeight w:val="232"/>
        </w:trPr>
        <w:tc>
          <w:tcPr>
            <w:tcW w:w="4340" w:type="dxa"/>
            <w:vAlign w:val="bottom"/>
            <w:tcBorders>
              <w:bottom w:val="single" w:sz="8" w:color="auto"/>
            </w:tcBorders>
          </w:tcPr>
          <w:p>
            <w:pPr>
              <w:ind w:left="20"/>
              <w:spacing w:after="0" w:line="232" w:lineRule="exact"/>
              <w:rPr>
                <w:sz w:val="20"/>
                <w:szCs w:val="20"/>
                <w:color w:val="auto"/>
              </w:rPr>
            </w:pPr>
            <w:r>
              <w:rPr>
                <w:rFonts w:ascii="Times New Roman" w:cs="Times New Roman" w:eastAsia="Times New Roman" w:hAnsi="Times New Roman"/>
                <w:sz w:val="18"/>
                <w:szCs w:val="18"/>
                <w:color w:val="auto"/>
              </w:rPr>
              <w:t>Renewables &amp; Storage generated/sold</w:t>
            </w:r>
            <w:r>
              <w:rPr>
                <w:rFonts w:ascii="Times New Roman" w:cs="Times New Roman" w:eastAsia="Times New Roman" w:hAnsi="Times New Roman"/>
                <w:sz w:val="22"/>
                <w:szCs w:val="22"/>
                <w:color w:val="auto"/>
                <w:vertAlign w:val="superscript"/>
              </w:rPr>
              <w:t>2</w:t>
            </w:r>
          </w:p>
        </w:tc>
        <w:tc>
          <w:tcPr>
            <w:tcW w:w="140" w:type="dxa"/>
            <w:vAlign w:val="bottom"/>
          </w:tcPr>
          <w:p>
            <w:pPr>
              <w:spacing w:after="0"/>
              <w:rPr>
                <w:sz w:val="20"/>
                <w:szCs w:val="20"/>
                <w:color w:val="auto"/>
              </w:rPr>
            </w:pPr>
          </w:p>
        </w:tc>
        <w:tc>
          <w:tcPr>
            <w:tcW w:w="1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5,151</w:t>
            </w:r>
          </w:p>
        </w:tc>
        <w:tc>
          <w:tcPr>
            <w:tcW w:w="16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15,223</w:t>
            </w:r>
          </w:p>
        </w:tc>
        <w:tc>
          <w:tcPr>
            <w:tcW w:w="16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14,477</w:t>
            </w:r>
          </w:p>
        </w:tc>
      </w:tr>
    </w:tbl>
    <w:p>
      <w:pPr>
        <w:spacing w:after="0" w:line="3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third quarter of 2025, availability at the Flexible Generation segment was higher than the third quarter of 2024 primarily due to outages at certain facilities in 2024. Generation in the Renewables &amp; Storage segment during the third quarter of 2025 was 4% higher than the third quarter of 2024 primarily due to the contribution of growth investments.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1"/>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5: Liquidity</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1"/>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20" w:type="dxa"/>
            <w:vAlign w:val="bottom"/>
          </w:tcPr>
          <w:p>
            <w:pPr>
              <w:spacing w:after="0"/>
              <w:rPr>
                <w:sz w:val="21"/>
                <w:szCs w:val="21"/>
                <w:color w:val="auto"/>
              </w:rPr>
            </w:pP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9/30/2025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12/31/2024</w:t>
            </w:r>
          </w:p>
        </w:tc>
      </w:tr>
      <w:tr>
        <w:trPr>
          <w:trHeight w:val="206"/>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6"/>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Clearway Energy, Inc. and Clearway Energy LLC, excluding subsidiaries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6"/>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Subsidiaries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1"/>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7"/>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accounts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6"/>
        </w:trPr>
        <w:tc>
          <w:tcPr>
            <w:tcW w:w="7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Reserves, including debt service, distributions, performance obligations and other reserves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19"/>
        </w:trPr>
        <w:tc>
          <w:tcPr>
            <w:tcW w:w="7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Revolving credit facility availability</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44"/>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Liquidity</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Total liquidity as of September 30, 2025, was $834 million, which was $496 million lower than as of December 31, 2024, primarily due to the execution of growth investments.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September 30, 2025</w:t>
      </w:r>
      <w:r>
        <w:rPr>
          <w:rFonts w:ascii="Times New Roman" w:cs="Times New Roman" w:eastAsia="Times New Roman" w:hAnsi="Times New Roman"/>
          <w:sz w:val="18"/>
          <w:szCs w:val="18"/>
          <w:color w:val="231F20"/>
        </w:rPr>
        <w:t xml:space="preserve">, the Company’s liquidity included </w:t>
      </w:r>
      <w:r>
        <w:rPr>
          <w:rFonts w:ascii="Times New Roman" w:cs="Times New Roman" w:eastAsia="Times New Roman" w:hAnsi="Times New Roman"/>
          <w:sz w:val="18"/>
          <w:szCs w:val="18"/>
          <w:color w:val="000000"/>
        </w:rPr>
        <w:t>$390 million</w:t>
      </w:r>
      <w:r>
        <w:rPr>
          <w:rFonts w:ascii="Times New Roman" w:cs="Times New Roman" w:eastAsia="Times New Roman" w:hAnsi="Times New Roman"/>
          <w:sz w:val="18"/>
          <w:szCs w:val="18"/>
          <w:color w:val="231F20"/>
        </w:rPr>
        <w:t xml:space="preserve"> of restricted cash. Restricted cash consists primarily of funds to satisfy the requirements of certain debt arrangements and funds held within the Company’s projects that are restricted in their use. As </w:t>
      </w:r>
      <w:r>
        <w:rPr>
          <w:rFonts w:ascii="Times New Roman" w:cs="Times New Roman" w:eastAsia="Times New Roman" w:hAnsi="Times New Roman"/>
          <w:sz w:val="18"/>
          <w:szCs w:val="18"/>
          <w:color w:val="000000"/>
        </w:rPr>
        <w:t>of September 30, 2025, these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restricted funds were comprised of $185 million designated to fund operating expenses, approximately $79 million designated for current debt service payments, and $84 million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2223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3770" cy="8255"/>
                    </a:xfrm>
                    <a:prstGeom prst="rect">
                      <a:avLst/>
                    </a:prstGeom>
                    <a:noFill/>
                  </pic:spPr>
                </pic:pic>
              </a:graphicData>
            </a:graphic>
          </wp:anchor>
        </w:drawing>
      </w:r>
    </w:p>
    <w:p>
      <w:pPr>
        <w:spacing w:after="0" w:line="183" w:lineRule="exact"/>
        <w:rPr>
          <w:sz w:val="20"/>
          <w:szCs w:val="20"/>
          <w:color w:val="auto"/>
        </w:rPr>
      </w:pPr>
    </w:p>
    <w:p>
      <w:pPr>
        <w:ind w:left="100" w:hanging="94"/>
        <w:spacing w:after="0"/>
        <w:tabs>
          <w:tab w:leader="none" w:pos="10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equity method investments</w:t>
      </w:r>
    </w:p>
    <w:p>
      <w:pPr>
        <w:ind w:left="100" w:hanging="94"/>
        <w:spacing w:after="0" w:line="192" w:lineRule="auto"/>
        <w:tabs>
          <w:tab w:leader="none" w:pos="10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Generation sold excludes MWh that are reimbursable for economic curtailment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875" w:right="339" w:bottom="1440" w:gutter="0" w:footer="0" w:header="0"/>
        </w:sectPr>
      </w:pPr>
    </w:p>
    <w:bookmarkStart w:id="5" w:name="page6"/>
    <w:bookmarkEnd w:id="5"/>
    <w:p>
      <w:pPr>
        <w:jc w:val="both"/>
        <w:spacing w:after="0" w:line="274" w:lineRule="auto"/>
        <w:rPr>
          <w:sz w:val="20"/>
          <w:szCs w:val="20"/>
          <w:color w:val="auto"/>
        </w:rPr>
      </w:pPr>
      <w:r>
        <w:rPr>
          <w:rFonts w:ascii="Times New Roman" w:cs="Times New Roman" w:eastAsia="Times New Roman" w:hAnsi="Times New Roman"/>
          <w:sz w:val="18"/>
          <w:szCs w:val="18"/>
          <w:color w:val="auto"/>
        </w:rPr>
        <w:t>reserves for debt service, performance obligations and other items including capital expenditures. The remaining $42 million is held in distribution reserve accounts.</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As of September 30, 2025, the Company had $405 million in outstanding borrowings under its revolving credit facility, primarily as a result of growth investments. As of October 31, 2025, the Company had $215 million in outstanding borrowings under the revolving credit facility. </w:t>
      </w:r>
      <w:r>
        <w:rPr>
          <w:rFonts w:ascii="Times New Roman" w:cs="Times New Roman" w:eastAsia="Times New Roman" w:hAnsi="Times New Roman"/>
          <w:sz w:val="18"/>
          <w:szCs w:val="18"/>
          <w:color w:val="231F20"/>
        </w:rPr>
        <w:t>The facility will continue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be used for general corporate purposes including financing of future investments or acquisitions and posting letters of credit.</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Potential future sources of liquidity include excess operating cash flow, availability under the revolving credit facility, asset dispositions, and, subject to market conditions, new corporate debt and equity financings.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Investments and Strategic Announcements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 Juan Mesa Wind Repowering</w:t>
      </w:r>
    </w:p>
    <w:p>
      <w:pPr>
        <w:spacing w:after="0" w:line="2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2025, San Juan Mesa, a wind project located in Roosevelt County, New Mexico, with a repowering targeted in 2027, finalized a development service agreement with Clearway Group to manage the repowering. The Company will potentially invest approximately $50 million in long-term corporate capital, subject to closing adjustments, and the investment decision to repower the project is subject to negotiation both with Clearway Group, and the review and approval by the Company’s Independent Directors.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 Slope Solar Plus Storage Project</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fourth quarter of 2025, Clearway Group signed a 20-year PPA with an investment grade utility for the 520 MW Royal Slope solar plus storage project located in Grant County, Washington. The project is targeting a 2027 COD. The potential investment for Clearway Energy, Inc. is subject to receiving an offer from Clearway Group and negotiation both with Clearway Group, and the review and approval by the Company’s Independent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 Solar Portfolio</w:t>
      </w:r>
    </w:p>
    <w:p>
      <w:pPr>
        <w:spacing w:after="0" w:line="2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October 3, 2025, the Company entered into a binding agreement to acquire a 613 MW operational solar portfolio located in eight states, from a third party. For 12 facilities in the portfolio located in the Western U.S. and comprising of 227 MW, the Company will co-invest in a 50/50 joint venture with a third-party cash equity investor. The weighted average remaining contract duration of the overall portfolio is approximately 10 years. After factoring in estimated closing adjustments and proceeds from facility-level financings, including the third party cash equity investor in a subset of the portfolio, the Company expects its net capital commitment to acquire the portfolio to be between $210 million and $230 million. The consummation of the transaction is subject to customary closing conditions and certain third-party approvals and is expected in the first half of 2026.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Updates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C Share Equity Issuances</w:t>
      </w:r>
    </w:p>
    <w:p>
      <w:pPr>
        <w:spacing w:after="0" w:line="23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Since August 4, 2025, the Company raised gross proceeds of approximately $50 million through the sale of Class C common stock under the Company's equity issuance programs at a weighted average price of $31.62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24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On November 3, 2025, Clearway Energy, Inc.’s Board of Directors declared a quarterly dividend on Class A and Class C common stock of $0.4528 per share payable on December 15, 2025, to stockholders of record as of December 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Clearway Energy, Inc.’s quarterly operating results are impacted by seasonal factors, as well as weather variability which can impact renewable energy resource throughout the year.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877" w:right="339" w:bottom="1440" w:gutter="0" w:footer="0" w:header="0"/>
        </w:sectPr>
      </w:pPr>
    </w:p>
    <w:bookmarkStart w:id="6" w:name="page7"/>
    <w:bookmarkEnd w:id="6"/>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summer capacity and energy prices from flexible generation assets;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solar insolation during the summer months;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wind resources during the spring and summer months;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 resource throughout the year</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payments which are made either quarterly or semi-annually;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maintenance capital expenditures and the impact of both unforced and forced outages;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distributions from unconsolidated affiliates</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takes into consideration the timing of these factors to ensure sufficient funds are available for distributions and operating activities on a quarterly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narrowing its 2025 full year CAFD guidance to a range of $420 million to $440 million. The midpoint of the 2025 financial guidance range is based on median renewable energy production estimates for the full year, while the range reflects a range of potential distributions of outcomes on resource and performance for the remainder of the year. The guidance range also factors in completing committed growth investments on currently forecasted schedules.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is establishing a 2026 full year CAFD guidance range of $470 million to $510 million. The midpoint of the 2026 financial guidance range is based on median renewable energy production estimates for the full year, while the range reflects a range of potential distributions of outcomes on resource and performance in the fiscal year. The guidance range also factors in completing committed growth investments on currently forecasted schedules.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November 4, 2025, Clearway Energy, Inc. will host a conference call at 5:00 p.m.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Clearway Energy, Inc. is one of the largest owners of clean energy generation assets in the US and is leading the transition to a world powered by clean energy. Our portfolio comprises approximately 12.7 GW of gross capacity in 27 states, including 9.9 GW of wind, solar, and energy storage and over 2.8 GW of dispatchable power generation providing critical grid reliability services. Through our diversified and primarily contracted clean energy portfolio, Clearway Energy endeavors to provide our investors with stable and growing dividend income. Clearway Energy, Inc.’s Class C and Class A common stock are traded on the New York Stock Exchange under the symbols CWEN and CWEN.A, respectively. Clearway Energy, Inc. is sponsored by our controlling investor, Clearway Energy Group LLC. For more information, visit investor.clearwayenergy.com.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Clearway Energy, Inc.’s (the “Company’s”) dividend expectations and its operations, its facilities and its financial results, statements regarding the likelihood, terms, timing and/or consummation of the transactions described in this news release, the potential benefits, opportunities, and results with respect to the transactions, including the Company’s future relationship and arrangements with Global Infrastructure Partners, TotalEnergies, and Clearway Energy Group(collectively and together with their affiliates, “Related Persons”),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Although the Company believes that the expectations are reasonable at this time, it can give no assurance that these expectations will prove to be correct, and actual results may vary materially. Factors that could cause actual results to differ materially from those contemplated in this news release include, among others, the Company's ability to maintain and grow</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116" w:right="339" w:bottom="1440" w:gutter="0" w:footer="0" w:header="0"/>
        </w:sectPr>
      </w:pPr>
    </w:p>
    <w:bookmarkStart w:id="7" w:name="page8"/>
    <w:bookmarkEnd w:id="7"/>
    <w:p>
      <w:pPr>
        <w:jc w:val="both"/>
        <w:spacing w:after="0" w:line="263" w:lineRule="auto"/>
        <w:rPr>
          <w:sz w:val="20"/>
          <w:szCs w:val="20"/>
          <w:color w:val="auto"/>
        </w:rPr>
      </w:pPr>
      <w:r>
        <w:rPr>
          <w:rFonts w:ascii="Times New Roman" w:cs="Times New Roman" w:eastAsia="Times New Roman" w:hAnsi="Times New Roman"/>
          <w:sz w:val="17"/>
          <w:szCs w:val="17"/>
          <w:color w:val="auto"/>
        </w:rPr>
        <w:t>its quarterly dividend; potential risks relating to the Company's relationships with CEG and its owners; the Company’s ability to successfully identify, evaluate and consummate investment opportunities, as well as acquisitions from, and dispositions to, third parties; risks related to the Company's ability to acquire assets, including risks that offered or committed transactions from Related Persons may not be approved, on the terms proposed or otherwise, by the Corporate Governance, Conflicts, and Nominating Committee of the Company’s Board of Directors (the “GCN”), or if approved, timely consummated; the Company’s ability to borrow additional funds and access capital markets due to its indebtedness, corporate structure, market conditions or otherwise; changes in law, including judicial decisions; 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contracts to sell power and procure fuel on acceptable terms and prices; government regulations; operating and financial restrictions placed on the Company that are contained in the facility-level debt facilities and other agreements of the Company and its subsidiaries; and cyber terrorism and inadequate cybersecurity. Furthermore, any dividends are subject to available capital, market conditions, and compliance with associated laws and regulations.</w:t>
      </w:r>
    </w:p>
    <w:p>
      <w:pPr>
        <w:spacing w:after="0" w:line="2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this news release contains reference to certain offered and committed transactions with Related Persons, which transactions are subject to the review, negotiation and approval of the GCN. Transactions referred to as “offered” (or any variation thereof) have been presented to the Company by the Related Persons, but the terms remain subject to review and negotiation by the GCN. Transactions may have been recently offered or undergone more extensive negotiations. Unless otherwise noted, no assumptions should be made with respect to the stage of negotiation of an offered transaction, nor should any assumptions be made that any offered transaction will be approved, committed or ultimately consummated on the terms described herein. Transactions referred to as “committed” or “signed” (or any variation thereof) represent transactions which have been approved by the GCN and for which definitive agreements have been delivered; however, such transactions have not yet been consummated and remain subject to various risks and uncertainties (including financing, third party consents and arrangements and regulatory approvals). The Company provides information regarding offered and committed transactions believing that such information is useful to an understanding of the Company’s business and operations; however, given the uncertainty of such transactions, undue reliance should not be placed on any expectations regarding such transactions and the Company can give no assurance that such expectations will prove to be correct, as actual results may vary materially.</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Cash Available for Distribution are estimates as of today’s date, November 4, 2025, and are based on assumptions believed to be reasonable as of this date. The Company expressly disclaims any current intention to update such guidance. The foregoing review of factors that could cause The Company's actual results to differ materially from those contemplated in the forward-looking statements included in this news release should not be construed as exhaustive and should be considered in connection with information regarding risks and uncertainties that may affect the Company's future results included in The Company's filings with the Securities and Exchange Commission at www.sec.gov. In addition, The Company makes available free of charge at www.clearwayenergy.com, copies of materials it files with, or furnishes to, the Securities and Exchange Commission.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3" w:lineRule="exact"/>
        <w:rPr>
          <w:sz w:val="20"/>
          <w:szCs w:val="20"/>
          <w:color w:val="auto"/>
        </w:rPr>
      </w:pPr>
    </w:p>
    <w:p>
      <w:pPr>
        <w:ind w:left="64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Investors:</w:t>
      </w:r>
      <w:r>
        <w:rPr>
          <w:sz w:val="20"/>
          <w:szCs w:val="20"/>
          <w:color w:val="auto"/>
        </w:rPr>
        <w:tab/>
      </w:r>
      <w:r>
        <w:rPr>
          <w:rFonts w:ascii="Times New Roman" w:cs="Times New Roman" w:eastAsia="Times New Roman" w:hAnsi="Times New Roman"/>
          <w:sz w:val="18"/>
          <w:szCs w:val="18"/>
          <w:b w:val="1"/>
          <w:bCs w:val="1"/>
          <w:color w:val="auto"/>
        </w:rPr>
        <w:t>Media:</w:t>
      </w:r>
    </w:p>
    <w:p>
      <w:pPr>
        <w:spacing w:after="0" w:line="27" w:lineRule="exact"/>
        <w:rPr>
          <w:sz w:val="20"/>
          <w:szCs w:val="20"/>
          <w:color w:val="auto"/>
        </w:rPr>
      </w:pPr>
    </w:p>
    <w:p>
      <w:pPr>
        <w:ind w:left="180"/>
        <w:spacing w:after="0"/>
        <w:tabs>
          <w:tab w:leader="none" w:pos="1680" w:val="left"/>
        </w:tabs>
        <w:rPr>
          <w:sz w:val="20"/>
          <w:szCs w:val="20"/>
          <w:color w:val="auto"/>
        </w:rPr>
      </w:pPr>
      <w:r>
        <w:rPr>
          <w:rFonts w:ascii="Times New Roman" w:cs="Times New Roman" w:eastAsia="Times New Roman" w:hAnsi="Times New Roman"/>
          <w:sz w:val="18"/>
          <w:szCs w:val="18"/>
          <w:color w:val="auto"/>
        </w:rPr>
        <w:t>Akil Marsh</w:t>
      </w:r>
      <w:r>
        <w:rPr>
          <w:sz w:val="20"/>
          <w:szCs w:val="20"/>
          <w:color w:val="auto"/>
        </w:rPr>
        <w:tab/>
      </w:r>
      <w:r>
        <w:rPr>
          <w:rFonts w:ascii="Times New Roman" w:cs="Times New Roman" w:eastAsia="Times New Roman" w:hAnsi="Times New Roman"/>
          <w:sz w:val="17"/>
          <w:szCs w:val="17"/>
          <w:color w:val="auto"/>
        </w:rPr>
        <w:t>Zadie Oleksiw</w:t>
      </w:r>
    </w:p>
    <w:p>
      <w:pPr>
        <w:spacing w:after="0" w:line="5" w:lineRule="exact"/>
        <w:rPr>
          <w:sz w:val="20"/>
          <w:szCs w:val="20"/>
          <w:color w:val="auto"/>
        </w:rPr>
      </w:pPr>
    </w:p>
    <w:p>
      <w:pPr>
        <w:ind w:left="180"/>
        <w:spacing w:after="0"/>
        <w:tabs>
          <w:tab w:leader="none" w:pos="3160" w:val="left"/>
        </w:tabs>
        <w:rPr>
          <w:sz w:val="20"/>
          <w:szCs w:val="20"/>
          <w:color w:val="auto"/>
        </w:rPr>
      </w:pPr>
      <w:r>
        <w:rPr>
          <w:rFonts w:ascii="Times New Roman" w:cs="Times New Roman" w:eastAsia="Times New Roman" w:hAnsi="Times New Roman"/>
          <w:sz w:val="18"/>
          <w:szCs w:val="18"/>
          <w:color w:val="auto"/>
        </w:rPr>
        <w:t>investor.relations@clearwayenergy.com</w:t>
      </w:r>
      <w:r>
        <w:rPr>
          <w:sz w:val="20"/>
          <w:szCs w:val="20"/>
          <w:color w:val="auto"/>
        </w:rPr>
        <w:tab/>
      </w:r>
      <w:r>
        <w:rPr>
          <w:rFonts w:ascii="Times New Roman" w:cs="Times New Roman" w:eastAsia="Times New Roman" w:hAnsi="Times New Roman"/>
          <w:sz w:val="17"/>
          <w:szCs w:val="17"/>
          <w:color w:val="auto"/>
        </w:rPr>
        <w:t>media@clearwayenergy.com</w:t>
      </w:r>
    </w:p>
    <w:p>
      <w:pPr>
        <w:spacing w:after="0" w:line="5" w:lineRule="exact"/>
        <w:rPr>
          <w:sz w:val="20"/>
          <w:szCs w:val="20"/>
          <w:color w:val="auto"/>
        </w:rPr>
      </w:pPr>
    </w:p>
    <w:p>
      <w:pPr>
        <w:ind w:left="180"/>
        <w:spacing w:after="0"/>
        <w:tabs>
          <w:tab w:leader="none" w:pos="1880" w:val="left"/>
        </w:tabs>
        <w:rPr>
          <w:sz w:val="20"/>
          <w:szCs w:val="20"/>
          <w:color w:val="auto"/>
        </w:rPr>
      </w:pPr>
      <w:r>
        <w:rPr>
          <w:rFonts w:ascii="Times New Roman" w:cs="Times New Roman" w:eastAsia="Times New Roman" w:hAnsi="Times New Roman"/>
          <w:sz w:val="18"/>
          <w:szCs w:val="18"/>
          <w:color w:val="auto"/>
        </w:rPr>
        <w:t>609-608-1500</w:t>
      </w:r>
      <w:r>
        <w:rPr>
          <w:sz w:val="20"/>
          <w:szCs w:val="20"/>
          <w:color w:val="auto"/>
        </w:rPr>
        <w:tab/>
      </w:r>
      <w:r>
        <w:rPr>
          <w:rFonts w:ascii="Times New Roman" w:cs="Times New Roman" w:eastAsia="Times New Roman" w:hAnsi="Times New Roman"/>
          <w:sz w:val="17"/>
          <w:szCs w:val="17"/>
          <w:color w:val="auto"/>
        </w:rPr>
        <w:t>202-836-5754</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58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06"/>
        </w:trPr>
        <w:tc>
          <w:tcPr>
            <w:tcW w:w="546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460" w:type="dxa"/>
            <w:vAlign w:val="bottom"/>
          </w:tcPr>
          <w:p>
            <w:pPr>
              <w:ind w:left="140"/>
              <w:spacing w:after="0" w:line="172"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2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9"/>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6"/>
        </w:trPr>
        <w:tc>
          <w:tcPr>
            <w:tcW w:w="546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6"/>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52"/>
        </w:trPr>
        <w:tc>
          <w:tcPr>
            <w:tcW w:w="546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7"/>
                <w:szCs w:val="17"/>
                <w:color w:val="auto"/>
              </w:rPr>
              <w:t>Less: Net loss attributable to noncontrolling interests and redeemable</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Inc.</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4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b w:val="1"/>
                <w:bCs w:val="1"/>
                <w:color w:val="auto"/>
              </w:rPr>
              <w:t>Earnings Per Share Attributable to Clearway Energy, Inc. Class A and</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Class C Common Stockholders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81" w:right="339" w:bottom="1440" w:gutter="0" w:footer="0" w:header="0"/>
        </w:sectPr>
      </w:pPr>
    </w:p>
    <w:p>
      <w:pPr>
        <w:ind w:left="300" w:right="540" w:hanging="158"/>
        <w:spacing w:after="0" w:line="231" w:lineRule="auto"/>
        <w:rPr>
          <w:sz w:val="20"/>
          <w:szCs w:val="20"/>
          <w:color w:val="auto"/>
        </w:rPr>
      </w:pPr>
      <w:r>
        <w:rPr>
          <w:rFonts w:ascii="Times New Roman" w:cs="Times New Roman" w:eastAsia="Times New Roman" w:hAnsi="Times New Roman"/>
          <w:sz w:val="18"/>
          <w:szCs w:val="18"/>
          <w:color w:val="auto"/>
        </w:rPr>
        <w:t>Weighted average number of Class A common shares outstanding - basic and diluted</w:t>
      </w:r>
    </w:p>
    <w:p>
      <w:pPr>
        <w:spacing w:after="0" w:line="8" w:lineRule="exact"/>
        <w:rPr>
          <w:sz w:val="20"/>
          <w:szCs w:val="20"/>
          <w:color w:val="auto"/>
        </w:rPr>
      </w:pPr>
    </w:p>
    <w:p>
      <w:pPr>
        <w:ind w:left="300" w:right="560" w:hanging="158"/>
        <w:spacing w:after="0" w:line="234" w:lineRule="auto"/>
        <w:rPr>
          <w:sz w:val="20"/>
          <w:szCs w:val="20"/>
          <w:color w:val="auto"/>
        </w:rPr>
      </w:pPr>
      <w:r>
        <w:rPr>
          <w:rFonts w:ascii="Times New Roman" w:cs="Times New Roman" w:eastAsia="Times New Roman" w:hAnsi="Times New Roman"/>
          <w:sz w:val="18"/>
          <w:szCs w:val="18"/>
          <w:color w:val="auto"/>
        </w:rPr>
        <w:t>Weighted average number of Class C common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7134860" cy="260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8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35</w:t>
            </w:r>
          </w:p>
        </w:tc>
        <w:tc>
          <w:tcPr>
            <w:tcW w:w="14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0"/>
        </w:trPr>
        <w:tc>
          <w:tcPr>
            <w:tcW w:w="8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83</w:t>
            </w:r>
          </w:p>
        </w:tc>
        <w:tc>
          <w:tcPr>
            <w:tcW w:w="14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83</w:t>
            </w:r>
          </w:p>
        </w:tc>
        <w:tc>
          <w:tcPr>
            <w:tcW w:w="14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83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1" w:lineRule="exact"/>
        <w:rPr>
          <w:sz w:val="20"/>
          <w:szCs w:val="20"/>
          <w:color w:val="auto"/>
        </w:rPr>
      </w:pPr>
    </w:p>
    <w:p>
      <w:pPr>
        <w:sectPr>
          <w:pgSz w:w="11900" w:h="16838" w:orient="portrait"/>
          <w:cols w:equalWidth="0" w:num="2">
            <w:col w:w="5860" w:space="720"/>
            <w:col w:w="466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52"/>
        </w:trPr>
        <w:tc>
          <w:tcPr>
            <w:tcW w:w="5460" w:type="dxa"/>
            <w:vAlign w:val="bottom"/>
          </w:tcPr>
          <w:p>
            <w:pPr>
              <w:ind w:left="20"/>
              <w:spacing w:after="0" w:line="153" w:lineRule="exact"/>
              <w:rPr>
                <w:sz w:val="20"/>
                <w:szCs w:val="20"/>
                <w:color w:val="auto"/>
              </w:rPr>
            </w:pPr>
            <w:r>
              <w:rPr>
                <w:rFonts w:ascii="Times New Roman" w:cs="Times New Roman" w:eastAsia="Times New Roman" w:hAnsi="Times New Roman"/>
                <w:sz w:val="17"/>
                <w:szCs w:val="17"/>
                <w:b w:val="1"/>
                <w:bCs w:val="1"/>
                <w:color w:val="auto"/>
              </w:rPr>
              <w:t>Earnings Per Weighted Average Class A and Class C Common Share -</w:t>
            </w: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r>
      <w:tr>
        <w:trPr>
          <w:trHeight w:val="212"/>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0.4456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0.4171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54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1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0.4456</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0.4171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1.3152</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1.2306</w:t>
            </w: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57"/>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074"/>
              <w:spacing w:after="0"/>
              <w:rPr>
                <w:sz w:val="20"/>
                <w:szCs w:val="20"/>
                <w:color w:val="auto"/>
              </w:rPr>
            </w:pPr>
            <w:r>
              <w:rPr>
                <w:rFonts w:ascii="Times New Roman" w:cs="Times New Roman" w:eastAsia="Times New Roman" w:hAnsi="Times New Roman"/>
                <w:sz w:val="16"/>
                <w:szCs w:val="16"/>
                <w:color w:val="auto"/>
                <w:w w:val="74"/>
              </w:rPr>
              <w:t>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40"/>
          </w:cols>
          <w:pgMar w:left="320" w:top="981" w:right="339" w:bottom="1440" w:gutter="0" w:footer="0" w:header="0"/>
          <w:type w:val="continuous"/>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463"/>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62"/>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443"/>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40"/>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center"/>
              <w:ind w:left="682"/>
              <w:spacing w:after="0"/>
              <w:rPr>
                <w:sz w:val="20"/>
                <w:szCs w:val="20"/>
                <w:color w:val="auto"/>
              </w:rPr>
            </w:pPr>
            <w:r>
              <w:rPr>
                <w:rFonts w:ascii="Times New Roman" w:cs="Times New Roman" w:eastAsia="Times New Roman" w:hAnsi="Times New Roman"/>
                <w:sz w:val="16"/>
                <w:szCs w:val="16"/>
                <w:color w:val="auto"/>
                <w:w w:val="99"/>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5520" w:type="dxa"/>
            <w:vAlign w:val="bottom"/>
            <w:gridSpan w:val="2"/>
            <w:shd w:val="clear" w:color="auto" w:fill="CCEEFF"/>
          </w:tcPr>
          <w:p>
            <w:pPr>
              <w:ind w:left="120"/>
              <w:spacing w:after="0" w:line="174" w:lineRule="exact"/>
              <w:rPr>
                <w:sz w:val="20"/>
                <w:szCs w:val="20"/>
                <w:color w:val="auto"/>
              </w:rPr>
            </w:pPr>
            <w:r>
              <w:rPr>
                <w:rFonts w:ascii="Times New Roman" w:cs="Times New Roman" w:eastAsia="Times New Roman" w:hAnsi="Times New Roman"/>
                <w:sz w:val="18"/>
                <w:szCs w:val="18"/>
                <w:color w:val="auto"/>
              </w:rPr>
              <w:t>Unrealized loss on derivatives and changes in accumulated OCI/OCL, net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5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of income tax benefit of $—, $(2), $(5) and $(2)</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ind w:left="64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55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left="64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82"/>
              <w:spacing w:after="0"/>
              <w:rPr>
                <w:sz w:val="20"/>
                <w:szCs w:val="20"/>
                <w:color w:val="auto"/>
              </w:rPr>
            </w:pPr>
            <w:r>
              <w:rPr>
                <w:rFonts w:ascii="Times New Roman" w:cs="Times New Roman" w:eastAsia="Times New Roman" w:hAnsi="Times New Roman"/>
                <w:sz w:val="16"/>
                <w:szCs w:val="16"/>
                <w:color w:val="auto"/>
                <w:w w:val="99"/>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20" w:type="dxa"/>
            <w:vAlign w:val="bottom"/>
            <w:gridSpan w:val="2"/>
          </w:tcPr>
          <w:p>
            <w:pPr>
              <w:ind w:left="120"/>
              <w:spacing w:after="0" w:line="172" w:lineRule="exact"/>
              <w:rPr>
                <w:sz w:val="20"/>
                <w:szCs w:val="20"/>
                <w:color w:val="auto"/>
              </w:rPr>
            </w:pPr>
            <w:r>
              <w:rPr>
                <w:rFonts w:ascii="Times New Roman" w:cs="Times New Roman" w:eastAsia="Times New Roman" w:hAnsi="Times New Roman"/>
                <w:sz w:val="18"/>
                <w:szCs w:val="18"/>
                <w:color w:val="auto"/>
              </w:rPr>
              <w:t>Less: Comprehensive loss attributable to noncontrolling interests and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55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64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Clearway Energy, Inc.</w:t>
            </w: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center"/>
              <w:ind w:left="682"/>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7</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875" w:right="35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CLEARWAY ENERGY, INC.</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6"/>
                <w:szCs w:val="16"/>
                <w:color w:val="auto"/>
              </w:rPr>
            </w:pPr>
          </w:p>
        </w:tc>
        <w:tc>
          <w:tcPr>
            <w:tcW w:w="14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7660" w:type="dxa"/>
            <w:vAlign w:val="bottom"/>
            <w:vMerge w:val="restart"/>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vMerge w:val="continue"/>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0"/>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0"/>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0" w:type="dxa"/>
            <w:vAlign w:val="bottom"/>
          </w:tcPr>
          <w:p>
            <w:pPr>
              <w:spacing w:after="0"/>
              <w:rPr>
                <w:sz w:val="1"/>
                <w:szCs w:val="1"/>
                <w:color w:val="auto"/>
              </w:rPr>
            </w:pPr>
          </w:p>
        </w:tc>
      </w:tr>
      <w:tr>
        <w:trPr>
          <w:trHeight w:val="208"/>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9,944</w:t>
            </w:r>
          </w:p>
        </w:tc>
        <w:tc>
          <w:tcPr>
            <w:tcW w:w="0" w:type="dxa"/>
            <w:vAlign w:val="bottom"/>
          </w:tcPr>
          <w:p>
            <w:pPr>
              <w:spacing w:after="0"/>
              <w:rPr>
                <w:sz w:val="1"/>
                <w:szCs w:val="1"/>
                <w:color w:val="auto"/>
              </w:rPr>
            </w:pPr>
          </w:p>
        </w:tc>
      </w:tr>
      <w:tr>
        <w:trPr>
          <w:trHeight w:val="191"/>
        </w:trPr>
        <w:tc>
          <w:tcPr>
            <w:tcW w:w="7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0"/>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Intangible assets for power purchase agreements, net</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0"/>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Right-of-use assets, net</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assets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3,711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0" w:type="dxa"/>
            <w:vAlign w:val="bottom"/>
          </w:tcPr>
          <w:p>
            <w:pPr>
              <w:spacing w:after="0"/>
              <w:rPr>
                <w:sz w:val="1"/>
                <w:szCs w:val="1"/>
                <w:color w:val="auto"/>
              </w:rPr>
            </w:pPr>
          </w:p>
        </w:tc>
      </w:tr>
      <w:tr>
        <w:trPr>
          <w:trHeight w:val="233"/>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1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 trade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interest expense</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194"/>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08"/>
        </w:trPr>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9,590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8,047</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10,277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8,765</w:t>
            </w:r>
          </w:p>
        </w:tc>
        <w:tc>
          <w:tcPr>
            <w:tcW w:w="0" w:type="dxa"/>
            <w:vAlign w:val="bottom"/>
          </w:tcPr>
          <w:p>
            <w:pPr>
              <w:spacing w:after="0"/>
              <w:rPr>
                <w:sz w:val="1"/>
                <w:szCs w:val="1"/>
                <w:color w:val="auto"/>
              </w:rPr>
            </w:pPr>
          </w:p>
        </w:tc>
      </w:tr>
      <w:tr>
        <w:trPr>
          <w:trHeight w:val="208"/>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subsidiaries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7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766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66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500,000,000, Class B 500,000,000, Class C 1,000,000,000, Class D 1,000,000,000); 202,195,425 shares issued and</w:t>
            </w: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66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outstanding (Class A 34,613,853, Class B 42,738,750, Class C 83,266,680, Class D 41,576,142) at September 30,</w:t>
            </w: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66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2025 and 202,147,579 shares issued and outstanding (Class A 34,613,853, Class B 42,738,750, Class C 82,833,226,</w:t>
            </w:r>
          </w:p>
        </w:tc>
        <w:tc>
          <w:tcPr>
            <w:tcW w:w="14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Class D 41,961,750) at December 31, 2024</w:t>
            </w:r>
          </w:p>
        </w:tc>
        <w:tc>
          <w:tcPr>
            <w:tcW w:w="14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5,564</w:t>
            </w:r>
          </w:p>
        </w:tc>
        <w:tc>
          <w:tcPr>
            <w:tcW w:w="0" w:type="dxa"/>
            <w:vAlign w:val="bottom"/>
          </w:tcPr>
          <w:p>
            <w:pPr>
              <w:spacing w:after="0"/>
              <w:rPr>
                <w:sz w:val="1"/>
                <w:szCs w:val="1"/>
                <w:color w:val="auto"/>
              </w:rPr>
            </w:pPr>
          </w:p>
        </w:tc>
      </w:tr>
      <w:tr>
        <w:trPr>
          <w:trHeight w:val="233"/>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536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540" w:top="561" w:right="5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60" w:type="dxa"/>
            <w:vAlign w:val="bottom"/>
            <w:tcBorders>
              <w:bottom w:val="single" w:sz="8" w:color="CCEEFF"/>
            </w:tcBorders>
            <w:vMerge w:val="continue"/>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4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0"/>
        </w:trPr>
        <w:tc>
          <w:tcPr>
            <w:tcW w:w="5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1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5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5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Reduction in carrying amount of right-of-use assets</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deferred income taxes</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5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derivative instruments and amortization of accumulated OCI/OCL</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other working capital</w:t>
            </w:r>
          </w:p>
        </w:tc>
        <w:tc>
          <w:tcPr>
            <w:tcW w:w="3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19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 of Drop Down Assets, net of cash acquired</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0" w:type="dxa"/>
            <w:vAlign w:val="bottom"/>
          </w:tcPr>
          <w:p>
            <w:pPr>
              <w:spacing w:after="0"/>
              <w:rPr>
                <w:sz w:val="1"/>
                <w:szCs w:val="1"/>
                <w:color w:val="auto"/>
              </w:rPr>
            </w:pPr>
          </w:p>
        </w:tc>
      </w:tr>
      <w:tr>
        <w:trPr>
          <w:trHeight w:val="210"/>
        </w:trPr>
        <w:tc>
          <w:tcPr>
            <w:tcW w:w="5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Return of investment from unconsolidated affiliates</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0"/>
        </w:trPr>
        <w:tc>
          <w:tcPr>
            <w:tcW w:w="5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Decrease in note receivable — affiliate</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3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0" w:type="dxa"/>
            <w:vAlign w:val="bottom"/>
          </w:tcPr>
          <w:p>
            <w:pPr>
              <w:spacing w:after="0"/>
              <w:rPr>
                <w:sz w:val="1"/>
                <w:szCs w:val="1"/>
                <w:color w:val="auto"/>
              </w:rPr>
            </w:pPr>
          </w:p>
        </w:tc>
      </w:tr>
      <w:tr>
        <w:trPr>
          <w:trHeight w:val="19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1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of dividends and distributions</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26"/>
        </w:trPr>
        <w:tc>
          <w:tcPr>
            <w:tcW w:w="5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Pro-rata distributions to CEG</w:t>
            </w:r>
          </w:p>
        </w:tc>
        <w:tc>
          <w:tcPr>
            <w:tcW w:w="3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Buyout of noncontrolling interest</w:t>
            </w:r>
          </w:p>
        </w:tc>
        <w:tc>
          <w:tcPr>
            <w:tcW w:w="3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the revolving credit facility</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for the revolving credit facility</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the issuance of long-term debt</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1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5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for long-term debt</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0" w:type="dxa"/>
            <w:vAlign w:val="bottom"/>
          </w:tcPr>
          <w:p>
            <w:pPr>
              <w:spacing w:after="0"/>
              <w:rPr>
                <w:sz w:val="1"/>
                <w:szCs w:val="1"/>
                <w:color w:val="auto"/>
              </w:rPr>
            </w:pPr>
          </w:p>
        </w:tc>
      </w:tr>
      <w:tr>
        <w:trPr>
          <w:trHeight w:val="214"/>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3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Cash Equivalents and Restricted Cash</w:t>
            </w: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11"/>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3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0" w:type="dxa"/>
            <w:vAlign w:val="bottom"/>
          </w:tcPr>
          <w:p>
            <w:pPr>
              <w:spacing w:after="0"/>
              <w:rPr>
                <w:sz w:val="1"/>
                <w:szCs w:val="1"/>
                <w:color w:val="auto"/>
              </w:rPr>
            </w:pPr>
          </w:p>
        </w:tc>
      </w:tr>
      <w:tr>
        <w:trPr>
          <w:trHeight w:val="232"/>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3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2840"/>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0"/>
        </w:trPr>
        <w:tc>
          <w:tcPr>
            <w:tcW w:w="54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6" w:right="339" w:bottom="1440" w:gutter="0" w:footer="0" w:header="0"/>
        </w:sectPr>
      </w:pPr>
    </w:p>
    <w:bookmarkStart w:id="12" w:name="page13"/>
    <w:bookmarkEnd w:id="12"/>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11"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1"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p>
      <w:pPr>
        <w:spacing w:after="0" w:line="111"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1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Paid-In</w:t>
            </w:r>
          </w:p>
        </w:tc>
        <w:tc>
          <w:tcPr>
            <w:tcW w:w="16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Stockholder</w:t>
            </w:r>
          </w:p>
        </w:tc>
        <w:tc>
          <w:tcPr>
            <w:tcW w:w="0" w:type="dxa"/>
            <w:vAlign w:val="bottom"/>
          </w:tcPr>
          <w:p>
            <w:pPr>
              <w:spacing w:after="0"/>
              <w:rPr>
                <w:sz w:val="1"/>
                <w:szCs w:val="1"/>
                <w:color w:val="auto"/>
              </w:rPr>
            </w:pPr>
          </w:p>
        </w:tc>
      </w:tr>
      <w:tr>
        <w:trPr>
          <w:trHeight w:val="167"/>
        </w:trPr>
        <w:tc>
          <w:tcPr>
            <w:tcW w:w="41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1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1"/>
        </w:trPr>
        <w:tc>
          <w:tcPr>
            <w:tcW w:w="4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4"/>
        </w:trPr>
        <w:tc>
          <w:tcPr>
            <w:tcW w:w="418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Unrealized loss on derivatives and changes in accumulated OCI, net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of tax</w:t>
            </w: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to CEG, net of contributions, cash</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Contributions from noncontrolling interests, net of distributions, cash</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interests, non-cash</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Transfers of assets under common control</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Non-cash adjustments for change in tax basis</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2025</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180" w:type="dxa"/>
            <w:vAlign w:val="bottom"/>
          </w:tcPr>
          <w:p>
            <w:pPr>
              <w:ind w:left="200"/>
              <w:spacing w:after="0" w:line="137" w:lineRule="exact"/>
              <w:rPr>
                <w:sz w:val="20"/>
                <w:szCs w:val="20"/>
                <w:color w:val="auto"/>
              </w:rPr>
            </w:pPr>
            <w:r>
              <w:rPr>
                <w:rFonts w:ascii="Times New Roman" w:cs="Times New Roman" w:eastAsia="Times New Roman" w:hAnsi="Times New Roman"/>
                <w:sz w:val="14"/>
                <w:szCs w:val="14"/>
                <w:color w:val="auto"/>
              </w:rPr>
              <w:t>Unrealized loss on derivatives and changes in accumulated OCI, net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 tax</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Contributions from CEG, net of distributions, cash</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Contributions from noncontrolling interests, net of distributions, cash</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Pro-rata distributions to CEG, cash</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Transfers of assets under common control</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Non-cash adjustments for change in tax basis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2025</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4"/>
        </w:trPr>
        <w:tc>
          <w:tcPr>
            <w:tcW w:w="418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Unrealized loss on derivatives and changes in accumulated OCL, net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of tax</w:t>
            </w: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Contributions from CEG, net of distributions, cash</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Contributions from noncontrolling interests, net of distributions, cash</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Transfer of assets under common control</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0"/>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Buyout of noncontrolling interest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Non-cash adjustments for change in tax basis</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September 30,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3,666</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700"/>
          </w:cols>
          <w:pgMar w:left="960" w:top="756"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ind w:right="1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100" w:type="dxa"/>
            <w:vAlign w:val="bottom"/>
          </w:tcPr>
          <w:p>
            <w:pPr>
              <w:spacing w:after="0"/>
              <w:rPr>
                <w:sz w:val="11"/>
                <w:szCs w:val="11"/>
                <w:color w:val="auto"/>
              </w:rPr>
            </w:pPr>
          </w:p>
        </w:tc>
        <w:tc>
          <w:tcPr>
            <w:tcW w:w="70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1"/>
                <w:szCs w:val="11"/>
                <w:color w:val="auto"/>
              </w:rPr>
            </w:pPr>
          </w:p>
        </w:tc>
        <w:tc>
          <w:tcPr>
            <w:tcW w:w="84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7"/>
        </w:trPr>
        <w:tc>
          <w:tcPr>
            <w:tcW w:w="4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4"/>
                <w:szCs w:val="14"/>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7"/>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0" w:type="dxa"/>
            <w:vAlign w:val="bottom"/>
          </w:tcPr>
          <w:p>
            <w:pPr>
              <w:spacing w:after="0"/>
              <w:rPr>
                <w:sz w:val="1"/>
                <w:szCs w:val="1"/>
                <w:color w:val="auto"/>
              </w:rPr>
            </w:pPr>
          </w:p>
        </w:tc>
      </w:tr>
      <w:tr>
        <w:trPr>
          <w:trHeight w:val="191"/>
        </w:trPr>
        <w:tc>
          <w:tcPr>
            <w:tcW w:w="4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4"/>
        </w:trPr>
        <w:tc>
          <w:tcPr>
            <w:tcW w:w="424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Unrealized (loss) gain on derivatives and changes in accumulated</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OCI, net of tax</w:t>
            </w: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to CEG, net of contributions, cash</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Contributions from noncontrolling interests, net of distributions, cash</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Transfers of assets under common control</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Non-cash adjustments for change in tax basis</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based compensation</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2"/>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2024</w:t>
            </w: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5,045</w:t>
            </w:r>
          </w:p>
        </w:tc>
        <w:tc>
          <w:tcPr>
            <w:tcW w:w="0" w:type="dxa"/>
            <w:vAlign w:val="bottom"/>
          </w:tcPr>
          <w:p>
            <w:pPr>
              <w:spacing w:after="0"/>
              <w:rPr>
                <w:sz w:val="1"/>
                <w:szCs w:val="1"/>
                <w:color w:val="auto"/>
              </w:rPr>
            </w:pPr>
          </w:p>
        </w:tc>
      </w:tr>
      <w:tr>
        <w:trPr>
          <w:trHeight w:val="191"/>
        </w:trPr>
        <w:tc>
          <w:tcPr>
            <w:tcW w:w="4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424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Unrealized gain on derivatives and changes in accumulated OCI, net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of tax</w:t>
            </w: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Contributions from CEG, net of distributions, cash</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Contributions from noncontrolling interest, net of distributions, cash</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0" w:type="dxa"/>
            <w:vAlign w:val="bottom"/>
          </w:tcPr>
          <w:p>
            <w:pPr>
              <w:spacing w:after="0"/>
              <w:rPr>
                <w:sz w:val="1"/>
                <w:szCs w:val="1"/>
                <w:color w:val="auto"/>
              </w:rPr>
            </w:pPr>
          </w:p>
        </w:tc>
      </w:tr>
      <w:tr>
        <w:trPr>
          <w:trHeight w:val="137"/>
        </w:trPr>
        <w:tc>
          <w:tcPr>
            <w:tcW w:w="4240" w:type="dxa"/>
            <w:vAlign w:val="bottom"/>
          </w:tcPr>
          <w:p>
            <w:pPr>
              <w:ind w:left="200"/>
              <w:spacing w:after="0" w:line="137" w:lineRule="exact"/>
              <w:rPr>
                <w:sz w:val="20"/>
                <w:szCs w:val="20"/>
                <w:color w:val="auto"/>
              </w:rPr>
            </w:pPr>
            <w:r>
              <w:rPr>
                <w:rFonts w:ascii="Times New Roman" w:cs="Times New Roman" w:eastAsia="Times New Roman" w:hAnsi="Times New Roman"/>
                <w:sz w:val="14"/>
                <w:szCs w:val="14"/>
                <w:color w:val="auto"/>
              </w:rPr>
              <w:t>Distributions to noncontrolling interests, net of contributions, non-</w:t>
            </w:r>
          </w:p>
        </w:tc>
        <w:tc>
          <w:tcPr>
            <w:tcW w:w="80" w:type="dxa"/>
            <w:vAlign w:val="bottom"/>
          </w:tcPr>
          <w:p>
            <w:pPr>
              <w:spacing w:after="0"/>
              <w:rPr>
                <w:sz w:val="11"/>
                <w:szCs w:val="11"/>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w:t>
            </w: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Transfers of assets under common control</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Non-cash adjustment for change in tax basis</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 based compensation</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2024</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37"/>
        </w:trPr>
        <w:tc>
          <w:tcPr>
            <w:tcW w:w="4240" w:type="dxa"/>
            <w:vAlign w:val="bottom"/>
          </w:tcPr>
          <w:p>
            <w:pPr>
              <w:ind w:left="200"/>
              <w:spacing w:after="0" w:line="137" w:lineRule="exact"/>
              <w:rPr>
                <w:sz w:val="20"/>
                <w:szCs w:val="20"/>
                <w:color w:val="auto"/>
              </w:rPr>
            </w:pPr>
            <w:r>
              <w:rPr>
                <w:rFonts w:ascii="Times New Roman" w:cs="Times New Roman" w:eastAsia="Times New Roman" w:hAnsi="Times New Roman"/>
                <w:sz w:val="14"/>
                <w:szCs w:val="14"/>
                <w:color w:val="auto"/>
              </w:rPr>
              <w:t>Unrealized loss on derivatives and changes in accumulated OCI, net of</w:t>
            </w:r>
          </w:p>
        </w:tc>
        <w:tc>
          <w:tcPr>
            <w:tcW w:w="80" w:type="dxa"/>
            <w:vAlign w:val="bottom"/>
          </w:tcPr>
          <w:p>
            <w:pPr>
              <w:spacing w:after="0"/>
              <w:rPr>
                <w:sz w:val="11"/>
                <w:szCs w:val="11"/>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0"/>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tax</w:t>
            </w: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Contributions from CEG, cash</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interests, net of contributions, cash</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 based compensation</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September 30, 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880"/>
          </w:cols>
          <w:pgMar w:left="500" w:top="756"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9"/>
          <w:szCs w:val="19"/>
          <w:b w:val="1"/>
          <w:bCs w:val="1"/>
          <w:color w:val="auto"/>
        </w:rPr>
        <w:t>Appendix Table A-1: Three Months Ended September 30, 2025, Segment Adjusted EBITDA Reconciliation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vMerge w:val="restart"/>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74"/>
              <w:spacing w:after="0" w:line="148"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vMerge w:val="restart"/>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418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5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1"/>
        </w:trPr>
        <w:tc>
          <w:tcPr>
            <w:tcW w:w="418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Mark to Market (MtM) (Gain)/Loss on economic</w:t>
            </w: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hedges</w:t>
            </w:r>
          </w:p>
        </w:tc>
        <w:tc>
          <w:tcPr>
            <w:tcW w:w="5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1"/>
        </w:trPr>
        <w:tc>
          <w:tcPr>
            <w:tcW w:w="418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5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9"/>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Appendix Table A-2: Three Months Ended September 30, 2024, Segment Adjusted EBITDA Reconciliation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vMerge w:val="restart"/>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75"/>
              <w:spacing w:after="0" w:line="148"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vMerge w:val="restart"/>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418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72"/>
        </w:trPr>
        <w:tc>
          <w:tcPr>
            <w:tcW w:w="4180" w:type="dxa"/>
            <w:vAlign w:val="bottom"/>
            <w:gridSpan w:val="2"/>
          </w:tcPr>
          <w:p>
            <w:pPr>
              <w:ind w:left="180"/>
              <w:spacing w:after="0" w:line="172" w:lineRule="exact"/>
              <w:rPr>
                <w:sz w:val="20"/>
                <w:szCs w:val="20"/>
                <w:color w:val="auto"/>
              </w:rPr>
            </w:pPr>
            <w:r>
              <w:rPr>
                <w:rFonts w:ascii="Times New Roman" w:cs="Times New Roman" w:eastAsia="Times New Roman" w:hAnsi="Times New Roman"/>
                <w:sz w:val="18"/>
                <w:szCs w:val="18"/>
                <w:color w:val="auto"/>
              </w:rPr>
              <w:t>Mark to Market (MtM) (Gain)/Loss on economic</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hedges</w:t>
            </w:r>
          </w:p>
        </w:tc>
        <w:tc>
          <w:tcPr>
            <w:tcW w:w="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72"/>
        </w:trPr>
        <w:tc>
          <w:tcPr>
            <w:tcW w:w="4180" w:type="dxa"/>
            <w:vAlign w:val="bottom"/>
            <w:gridSpan w:val="2"/>
          </w:tcPr>
          <w:p>
            <w:pPr>
              <w:ind w:left="180"/>
              <w:spacing w:after="0" w:line="172"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9"/>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0139"/>
          </w:cols>
          <w:pgMar w:left="320" w:top="749"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9"/>
          <w:szCs w:val="19"/>
          <w:b w:val="1"/>
          <w:bCs w:val="1"/>
          <w:color w:val="auto"/>
        </w:rPr>
        <w:t>Appendix Table A-3: Nine Months Ended September 30, 2025, Segment Adjusted EBITDA Reconciliation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vMerge w:val="restart"/>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74"/>
              <w:spacing w:after="0" w:line="148"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vMerge w:val="restart"/>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418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5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1"/>
        </w:trPr>
        <w:tc>
          <w:tcPr>
            <w:tcW w:w="418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Mark to Market (MtM) (Gain)/Loss on economic</w:t>
            </w: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hedges</w:t>
            </w: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1"/>
        </w:trPr>
        <w:tc>
          <w:tcPr>
            <w:tcW w:w="418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5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9"/>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853</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Appendix Table A-4: Nine Months Ended September 30, 2024, Segment Adjusted EBITDA Reconciliation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94"/>
              <w:spacing w:after="0" w:line="148"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vMerge w:val="restart"/>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418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2"/>
        </w:trPr>
        <w:tc>
          <w:tcPr>
            <w:tcW w:w="4180" w:type="dxa"/>
            <w:vAlign w:val="bottom"/>
            <w:gridSpan w:val="2"/>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Mark to Market (MtM) (Gain)/Loss on economic</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hedges</w:t>
            </w: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72"/>
        </w:trPr>
        <w:tc>
          <w:tcPr>
            <w:tcW w:w="4180" w:type="dxa"/>
            <w:vAlign w:val="bottom"/>
            <w:gridSpan w:val="2"/>
          </w:tcPr>
          <w:p>
            <w:pPr>
              <w:ind w:left="180"/>
              <w:spacing w:after="0" w:line="172"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9"/>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w:t>
            </w: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1"/>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749"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9"/>
          <w:szCs w:val="19"/>
          <w:b w:val="1"/>
          <w:bCs w:val="1"/>
          <w:color w:val="auto"/>
        </w:rPr>
        <w:t>Appendix Table A-5: Cash Available for Distribution Reconciliation</w:t>
      </w:r>
    </w:p>
    <w:p>
      <w:pPr>
        <w:spacing w:after="0" w:line="39" w:lineRule="exact"/>
        <w:rPr>
          <w:sz w:val="20"/>
          <w:szCs w:val="20"/>
          <w:color w:val="auto"/>
        </w:rPr>
      </w:pPr>
    </w:p>
    <w:p>
      <w:pPr>
        <w:ind w:right="640"/>
        <w:spacing w:after="0" w:line="270" w:lineRule="auto"/>
        <w:rPr>
          <w:sz w:val="20"/>
          <w:szCs w:val="20"/>
          <w:color w:val="auto"/>
        </w:rPr>
      </w:pPr>
      <w:r>
        <w:rPr>
          <w:rFonts w:ascii="Times New Roman" w:cs="Times New Roman" w:eastAsia="Times New Roman" w:hAnsi="Times New Roman"/>
          <w:sz w:val="19"/>
          <w:szCs w:val="19"/>
          <w:color w:val="auto"/>
        </w:rPr>
        <w:t>The following table summarizes the calculation of Cash Available for Distribution and provides a reconciliation to Cash from Operating Activities:</w:t>
      </w:r>
    </w:p>
    <w:tbl>
      <w:tblPr>
        <w:tblLayout w:type="fixed"/>
        <w:tblInd w:w="0" w:type="dxa"/>
        <w:tblCellMar>
          <w:top w:w="0" w:type="dxa"/>
          <w:left w:w="0" w:type="dxa"/>
          <w:bottom w:w="0" w:type="dxa"/>
          <w:right w:w="0" w:type="dxa"/>
        </w:tblCellMar>
      </w:tblPr>
      <w:tr>
        <w:trPr>
          <w:trHeight w:val="226"/>
        </w:trPr>
        <w:tc>
          <w:tcPr>
            <w:tcW w:w="5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420" w:type="dxa"/>
            <w:vAlign w:val="bottom"/>
            <w:gridSpan w:val="4"/>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9/30/25</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9/30/24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9/30/25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9/30/24</w:t>
            </w:r>
          </w:p>
        </w:tc>
      </w:tr>
      <w:tr>
        <w:trPr>
          <w:trHeight w:val="219"/>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w:t>
            </w:r>
          </w:p>
        </w:tc>
      </w:tr>
      <w:tr>
        <w:trPr>
          <w:trHeight w:val="245"/>
        </w:trPr>
        <w:tc>
          <w:tcPr>
            <w:tcW w:w="5280" w:type="dxa"/>
            <w:vAlign w:val="bottom"/>
          </w:tcPr>
          <w:p>
            <w:pPr>
              <w:ind w:left="180"/>
              <w:spacing w:after="0" w:line="245" w:lineRule="exact"/>
              <w:rPr>
                <w:sz w:val="20"/>
                <w:szCs w:val="20"/>
                <w:color w:val="auto"/>
              </w:rPr>
            </w:pPr>
            <w:r>
              <w:rPr>
                <w:rFonts w:ascii="Times New Roman" w:cs="Times New Roman" w:eastAsia="Times New Roman" w:hAnsi="Times New Roman"/>
                <w:sz w:val="18"/>
                <w:szCs w:val="18"/>
                <w:color w:val="auto"/>
              </w:rPr>
              <w:t>Cash interest paid</w:t>
            </w:r>
            <w:r>
              <w:rPr>
                <w:rFonts w:ascii="Times New Roman" w:cs="Times New Roman" w:eastAsia="Times New Roman" w:hAnsi="Times New Roman"/>
                <w:sz w:val="22"/>
                <w:szCs w:val="22"/>
                <w:color w:val="auto"/>
                <w:vertAlign w:val="superscript"/>
              </w:rPr>
              <w:t>3</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Adjustments to reflect sale-type leases and payments for lease expenses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6"/>
        </w:trPr>
        <w:tc>
          <w:tcPr>
            <w:tcW w:w="5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r>
      <w:tr>
        <w:trPr>
          <w:trHeight w:val="21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2"/>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r>
              <w:rPr>
                <w:rFonts w:ascii="Times New Roman" w:cs="Times New Roman" w:eastAsia="Times New Roman" w:hAnsi="Times New Roman"/>
                <w:sz w:val="22"/>
                <w:szCs w:val="22"/>
                <w:color w:val="auto"/>
                <w:vertAlign w:val="superscript"/>
              </w:rPr>
              <w:t>4</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2"/>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contributions (to)/from non-controlling interest</w:t>
            </w:r>
            <w:r>
              <w:rPr>
                <w:rFonts w:ascii="Times New Roman" w:cs="Times New Roman" w:eastAsia="Times New Roman" w:hAnsi="Times New Roman"/>
                <w:sz w:val="22"/>
                <w:szCs w:val="22"/>
                <w:color w:val="auto"/>
                <w:vertAlign w:val="superscript"/>
              </w:rPr>
              <w:t>5</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receipts from notes receivable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2"/>
        </w:trPr>
        <w:tc>
          <w:tcPr>
            <w:tcW w:w="5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Principal amortization of indebtedness</w:t>
            </w:r>
            <w:r>
              <w:rPr>
                <w:rFonts w:ascii="Times New Roman" w:cs="Times New Roman" w:eastAsia="Times New Roman" w:hAnsi="Times New Roman"/>
                <w:sz w:val="22"/>
                <w:szCs w:val="22"/>
                <w:color w:val="auto"/>
                <w:vertAlign w:val="superscript"/>
              </w:rPr>
              <w:t>6</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9"/>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 before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r>
      <w:tr>
        <w:trPr>
          <w:trHeight w:val="219"/>
        </w:trPr>
        <w:tc>
          <w:tcPr>
            <w:tcW w:w="5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impact of drop downs from timing of construction debt service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9"/>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160020</wp:posOffset>
            </wp:positionV>
            <wp:extent cx="2223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3770" cy="8255"/>
                    </a:xfrm>
                    <a:prstGeom prst="rect">
                      <a:avLst/>
                    </a:prstGeom>
                    <a:noFill/>
                  </pic:spPr>
                </pic:pic>
              </a:graphicData>
            </a:graphic>
          </wp:anchor>
        </w:drawing>
      </w:r>
    </w:p>
    <w:p>
      <w:pPr>
        <w:spacing w:after="0" w:line="275" w:lineRule="exact"/>
        <w:rPr>
          <w:sz w:val="20"/>
          <w:szCs w:val="20"/>
          <w:color w:val="auto"/>
        </w:rPr>
      </w:pPr>
    </w:p>
    <w:p>
      <w:pPr>
        <w:ind w:left="100" w:hanging="94"/>
        <w:spacing w:after="0"/>
        <w:tabs>
          <w:tab w:leader="none" w:pos="1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2024 excludes $9 million related to swap breakage receipts in connection with the NIMH refinancing</w:t>
      </w:r>
    </w:p>
    <w:p>
      <w:pPr>
        <w:ind w:left="100" w:hanging="94"/>
        <w:spacing w:after="0" w:line="181" w:lineRule="auto"/>
        <w:tabs>
          <w:tab w:leader="none" w:pos="10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2024 excludes $28 million related to Rosamond Central BESS return of capital at substantial completion funding</w:t>
      </w:r>
    </w:p>
    <w:p>
      <w:pPr>
        <w:spacing w:after="0" w:line="27" w:lineRule="exact"/>
        <w:rPr>
          <w:sz w:val="20"/>
          <w:szCs w:val="20"/>
          <w:color w:val="auto"/>
        </w:rPr>
      </w:pPr>
    </w:p>
    <w:p>
      <w:pPr>
        <w:ind w:firstLine="6"/>
        <w:spacing w:after="0" w:line="201" w:lineRule="auto"/>
        <w:tabs>
          <w:tab w:leader="none" w:pos="10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2025 excludes $796 million of net contributions primarily related to Luna Valley, Rosamond South I, Pine Forest and Dan’s Mountain</w:t>
      </w:r>
      <w:r>
        <w:rPr>
          <w:rFonts w:ascii="Times New Roman" w:cs="Times New Roman" w:eastAsia="Times New Roman" w:hAnsi="Times New Roman"/>
          <w:sz w:val="14"/>
          <w:szCs w:val="14"/>
          <w:color w:val="EE2724"/>
        </w:rPr>
        <w:t>;</w:t>
      </w:r>
      <w:r>
        <w:rPr>
          <w:rFonts w:ascii="Times New Roman" w:cs="Times New Roman" w:eastAsia="Times New Roman" w:hAnsi="Times New Roman"/>
          <w:sz w:val="14"/>
          <w:szCs w:val="14"/>
          <w:color w:val="auto"/>
        </w:rPr>
        <w:t xml:space="preserve"> 2024 excludes $1,230 million of contributions primarily related to the funding of Texas Solar Nova 2, Rosamond Central Battery Storage, Victory Pass, Arica and Cedar Creek</w:t>
      </w:r>
    </w:p>
    <w:p>
      <w:pPr>
        <w:jc w:val="both"/>
        <w:spacing w:after="0" w:line="22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6</w:t>
      </w:r>
      <w:r>
        <w:rPr>
          <w:rFonts w:ascii="Times New Roman" w:cs="Times New Roman" w:eastAsia="Times New Roman" w:hAnsi="Times New Roman"/>
          <w:sz w:val="14"/>
          <w:szCs w:val="14"/>
          <w:color w:val="auto"/>
        </w:rPr>
        <w:t xml:space="preserve"> 2025 excludes $844 million for the repayment of bridge loans in connection with Luna Valley, Pine Forest, Rosamond South I and Dan’s Mountain and $112 million for the refinancing of Buckthorn solar; 2024 excludes $2,545 million for the repayment of bridge loans in connection with Texas Solar Nova 2, Victory Pass, Arica and Cedar Creek and $137 million for the repayment of balloon at NIMH Solar</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40"/>
          </w:cols>
          <w:pgMar w:left="320" w:top="749" w:right="339" w:bottom="1440" w:gutter="0" w:footer="0" w:header="0"/>
        </w:sectPr>
      </w:pPr>
    </w:p>
    <w:bookmarkStart w:id="17" w:name="page18"/>
    <w:bookmarkEnd w:id="17"/>
    <w:p>
      <w:pPr>
        <w:ind w:right="2439"/>
        <w:spacing w:after="0" w:line="304" w:lineRule="auto"/>
        <w:rPr>
          <w:sz w:val="20"/>
          <w:szCs w:val="20"/>
          <w:color w:val="auto"/>
        </w:rPr>
      </w:pPr>
      <w:r>
        <w:rPr>
          <w:rFonts w:ascii="Times New Roman" w:cs="Times New Roman" w:eastAsia="Times New Roman" w:hAnsi="Times New Roman"/>
          <w:sz w:val="19"/>
          <w:szCs w:val="19"/>
          <w:b w:val="1"/>
          <w:bCs w:val="1"/>
          <w:color w:val="auto"/>
        </w:rPr>
        <w:t xml:space="preserve">Appendix Table A-6: Nine Months Ended September 30, 2025, Sources and Uses of Liquidity </w:t>
      </w:r>
      <w:r>
        <w:rPr>
          <w:rFonts w:ascii="Times New Roman" w:cs="Times New Roman" w:eastAsia="Times New Roman" w:hAnsi="Times New Roman"/>
          <w:sz w:val="19"/>
          <w:szCs w:val="19"/>
          <w:color w:val="auto"/>
        </w:rPr>
        <w:t>The following table summarizes the sources and uses of liquidity in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26"/>
        </w:trPr>
        <w:tc>
          <w:tcPr>
            <w:tcW w:w="4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5"/>
              </w:rPr>
              <w:t>Ended</w:t>
            </w:r>
          </w:p>
        </w:tc>
      </w:tr>
      <w:tr>
        <w:trPr>
          <w:trHeight w:val="233"/>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8"/>
              </w:rPr>
              <w:t>9/30/25</w:t>
            </w:r>
          </w:p>
        </w:tc>
      </w:tr>
      <w:tr>
        <w:trPr>
          <w:trHeight w:val="20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Sources:</w:t>
            </w: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r>
      <w:tr>
        <w:trPr>
          <w:trHeight w:val="21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revolving credit facility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1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Return of investments from unconsolidated affiliates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8"/>
        </w:trPr>
        <w:tc>
          <w:tcPr>
            <w:tcW w:w="49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Uses: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3"/>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long-term debt</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w:t>
            </w: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1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of dividends and distributions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of Drop Down Assets, net of cash acquired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for the revolving credit facility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 cash outflows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45"/>
        </w:trPr>
        <w:tc>
          <w:tcPr>
            <w:tcW w:w="49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19"/>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total cash, cash equivalents and restricted cash</w:t>
            </w:r>
          </w:p>
        </w:tc>
        <w:tc>
          <w:tcPr>
            <w:tcW w:w="12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w:t>
            </w:r>
          </w:p>
        </w:tc>
      </w:tr>
      <w:tr>
        <w:trPr>
          <w:trHeight w:val="472"/>
        </w:trPr>
        <w:tc>
          <w:tcPr>
            <w:tcW w:w="4900" w:type="dxa"/>
            <w:vAlign w:val="bottom"/>
          </w:tcPr>
          <w:p>
            <w:pPr>
              <w:spacing w:after="0"/>
              <w:rPr>
                <w:sz w:val="24"/>
                <w:szCs w:val="24"/>
                <w:color w:val="auto"/>
              </w:rPr>
            </w:pPr>
          </w:p>
        </w:tc>
        <w:tc>
          <w:tcPr>
            <w:tcW w:w="126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39"/>
          </w:cols>
          <w:pgMar w:left="320" w:top="749"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9"/>
          <w:szCs w:val="19"/>
          <w:b w:val="1"/>
          <w:bCs w:val="1"/>
          <w:color w:val="auto"/>
        </w:rPr>
        <w:t>Appendix Table A-7: Adjusted EBITDA and Cash Available for Distribution Guidance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40" w:type="dxa"/>
            <w:vAlign w:val="bottom"/>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2025 Full Year</w:t>
            </w:r>
          </w:p>
        </w:tc>
        <w:tc>
          <w:tcPr>
            <w:tcW w:w="1560" w:type="dxa"/>
            <w:vAlign w:val="bottom"/>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2026 Full Year</w:t>
            </w:r>
          </w:p>
        </w:tc>
        <w:tc>
          <w:tcPr>
            <w:tcW w:w="0" w:type="dxa"/>
            <w:vAlign w:val="bottom"/>
          </w:tcPr>
          <w:p>
            <w:pPr>
              <w:spacing w:after="0"/>
              <w:rPr>
                <w:sz w:val="1"/>
                <w:szCs w:val="1"/>
                <w:color w:val="auto"/>
              </w:rPr>
            </w:pPr>
          </w:p>
        </w:tc>
      </w:tr>
      <w:tr>
        <w:trPr>
          <w:trHeight w:val="239"/>
        </w:trPr>
        <w:tc>
          <w:tcPr>
            <w:tcW w:w="528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Guidance Range</w:t>
            </w:r>
          </w:p>
        </w:tc>
        <w:tc>
          <w:tcPr>
            <w:tcW w:w="15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Guidance Range</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(110) - (90)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 - (4)</w:t>
            </w:r>
          </w:p>
        </w:tc>
        <w:tc>
          <w:tcPr>
            <w:tcW w:w="0" w:type="dxa"/>
            <w:vAlign w:val="bottom"/>
          </w:tcPr>
          <w:p>
            <w:pPr>
              <w:spacing w:after="0"/>
              <w:rPr>
                <w:sz w:val="1"/>
                <w:szCs w:val="1"/>
                <w:color w:val="auto"/>
              </w:rPr>
            </w:pPr>
          </w:p>
        </w:tc>
      </w:tr>
      <w:tr>
        <w:trPr>
          <w:trHeight w:val="21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2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Amortization, Contract Amortization and ARO Expense</w:t>
            </w:r>
          </w:p>
        </w:tc>
        <w:tc>
          <w:tcPr>
            <w:tcW w:w="16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960</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0" w:type="dxa"/>
            <w:vAlign w:val="bottom"/>
          </w:tcPr>
          <w:p>
            <w:pPr>
              <w:spacing w:after="0"/>
              <w:rPr>
                <w:sz w:val="1"/>
                <w:szCs w:val="1"/>
                <w:color w:val="auto"/>
              </w:rPr>
            </w:pPr>
          </w:p>
        </w:tc>
      </w:tr>
      <w:tr>
        <w:trPr>
          <w:trHeight w:val="172"/>
        </w:trPr>
        <w:tc>
          <w:tcPr>
            <w:tcW w:w="528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Adjustment to reflect CWEN share of Adjusted EBITDA in</w:t>
            </w:r>
          </w:p>
        </w:tc>
        <w:tc>
          <w:tcPr>
            <w:tcW w:w="16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6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26"/>
        </w:trPr>
        <w:tc>
          <w:tcPr>
            <w:tcW w:w="5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1,235 - 1,255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1,441 - 1,481</w:t>
            </w:r>
          </w:p>
        </w:tc>
        <w:tc>
          <w:tcPr>
            <w:tcW w:w="0" w:type="dxa"/>
            <w:vAlign w:val="bottom"/>
          </w:tcPr>
          <w:p>
            <w:pPr>
              <w:spacing w:after="0"/>
              <w:rPr>
                <w:sz w:val="1"/>
                <w:szCs w:val="1"/>
                <w:color w:val="auto"/>
              </w:rPr>
            </w:pPr>
          </w:p>
        </w:tc>
      </w:tr>
      <w:tr>
        <w:trPr>
          <w:trHeight w:val="21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interest paid</w:t>
            </w:r>
          </w:p>
        </w:tc>
        <w:tc>
          <w:tcPr>
            <w:tcW w:w="16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(348)</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1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72"/>
        </w:trPr>
        <w:tc>
          <w:tcPr>
            <w:tcW w:w="5280" w:type="dxa"/>
            <w:vAlign w:val="bottom"/>
          </w:tcPr>
          <w:p>
            <w:pPr>
              <w:ind w:left="180"/>
              <w:spacing w:after="0" w:line="172" w:lineRule="exact"/>
              <w:rPr>
                <w:sz w:val="20"/>
                <w:szCs w:val="20"/>
                <w:color w:val="auto"/>
              </w:rPr>
            </w:pPr>
            <w:r>
              <w:rPr>
                <w:rFonts w:ascii="Times New Roman" w:cs="Times New Roman" w:eastAsia="Times New Roman" w:hAnsi="Times New Roman"/>
                <w:sz w:val="18"/>
                <w:szCs w:val="18"/>
                <w:color w:val="auto"/>
              </w:rPr>
              <w:t>Adjustments to reflect sale-type leases and payments for lease</w:t>
            </w: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6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8"/>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1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52"/>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distributions from unconsolidated affiliates</w:t>
            </w:r>
            <w:r>
              <w:rPr>
                <w:rFonts w:ascii="Times New Roman" w:cs="Times New Roman" w:eastAsia="Times New Roman" w:hAnsi="Times New Roman"/>
                <w:sz w:val="22"/>
                <w:szCs w:val="22"/>
                <w:color w:val="auto"/>
                <w:vertAlign w:val="superscript"/>
              </w:rPr>
              <w:t>7</w:t>
            </w:r>
          </w:p>
        </w:tc>
        <w:tc>
          <w:tcPr>
            <w:tcW w:w="16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26"/>
        </w:trPr>
        <w:tc>
          <w:tcPr>
            <w:tcW w:w="5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Payments</w:t>
            </w:r>
          </w:p>
        </w:tc>
        <w:tc>
          <w:tcPr>
            <w:tcW w:w="16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16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854 - 874</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1,022 - 1,062</w:t>
            </w:r>
          </w:p>
        </w:tc>
        <w:tc>
          <w:tcPr>
            <w:tcW w:w="0" w:type="dxa"/>
            <w:vAlign w:val="bottom"/>
          </w:tcPr>
          <w:p>
            <w:pPr>
              <w:spacing w:after="0"/>
              <w:rPr>
                <w:sz w:val="1"/>
                <w:szCs w:val="1"/>
                <w:color w:val="auto"/>
              </w:rPr>
            </w:pPr>
          </w:p>
        </w:tc>
      </w:tr>
      <w:tr>
        <w:trPr>
          <w:trHeight w:val="245"/>
        </w:trPr>
        <w:tc>
          <w:tcPr>
            <w:tcW w:w="5280" w:type="dxa"/>
            <w:vAlign w:val="bottom"/>
            <w:shd w:val="clear" w:color="auto" w:fill="CCEEFF"/>
          </w:tcPr>
          <w:p>
            <w:pPr>
              <w:ind w:left="180"/>
              <w:spacing w:after="0" w:line="245" w:lineRule="exact"/>
              <w:rPr>
                <w:sz w:val="20"/>
                <w:szCs w:val="20"/>
                <w:color w:val="auto"/>
              </w:rPr>
            </w:pPr>
            <w:r>
              <w:rPr>
                <w:rFonts w:ascii="Times New Roman" w:cs="Times New Roman" w:eastAsia="Times New Roman" w:hAnsi="Times New Roman"/>
                <w:sz w:val="18"/>
                <w:szCs w:val="18"/>
                <w:color w:val="auto"/>
              </w:rPr>
              <w:t>Net distributions to non-controlling interest</w:t>
            </w:r>
            <w:r>
              <w:rPr>
                <w:rFonts w:ascii="Times New Roman" w:cs="Times New Roman" w:eastAsia="Times New Roman" w:hAnsi="Times New Roman"/>
                <w:sz w:val="22"/>
                <w:szCs w:val="22"/>
                <w:color w:val="auto"/>
                <w:vertAlign w:val="superscript"/>
              </w:rPr>
              <w:t>8</w:t>
            </w:r>
          </w:p>
        </w:tc>
        <w:tc>
          <w:tcPr>
            <w:tcW w:w="1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2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receipts from notes receivable</w:t>
            </w:r>
          </w:p>
        </w:tc>
        <w:tc>
          <w:tcPr>
            <w:tcW w:w="16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6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26"/>
        </w:trPr>
        <w:tc>
          <w:tcPr>
            <w:tcW w:w="5280" w:type="dxa"/>
            <w:vAlign w:val="bottom"/>
            <w:tcBorders>
              <w:bottom w:val="single" w:sz="8" w:color="auto"/>
            </w:tcBorders>
          </w:tcPr>
          <w:p>
            <w:pPr>
              <w:ind w:left="180"/>
              <w:spacing w:after="0" w:line="225" w:lineRule="exact"/>
              <w:rPr>
                <w:sz w:val="20"/>
                <w:szCs w:val="20"/>
                <w:color w:val="auto"/>
              </w:rPr>
            </w:pPr>
            <w:r>
              <w:rPr>
                <w:rFonts w:ascii="Times New Roman" w:cs="Times New Roman" w:eastAsia="Times New Roman" w:hAnsi="Times New Roman"/>
                <w:sz w:val="18"/>
                <w:szCs w:val="18"/>
                <w:color w:val="auto"/>
              </w:rPr>
              <w:t>Principal amortization of indebtedness</w:t>
            </w:r>
            <w:r>
              <w:rPr>
                <w:rFonts w:ascii="Times New Roman" w:cs="Times New Roman" w:eastAsia="Times New Roman" w:hAnsi="Times New Roman"/>
                <w:sz w:val="22"/>
                <w:szCs w:val="22"/>
                <w:color w:val="auto"/>
                <w:vertAlign w:val="superscript"/>
              </w:rPr>
              <w:t>9</w:t>
            </w:r>
          </w:p>
        </w:tc>
        <w:tc>
          <w:tcPr>
            <w:tcW w:w="16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(320)</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w:t>
            </w:r>
          </w:p>
        </w:tc>
        <w:tc>
          <w:tcPr>
            <w:tcW w:w="16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420 - 440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470 - 510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463550</wp:posOffset>
            </wp:positionV>
            <wp:extent cx="2223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3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 w:hanging="94"/>
        <w:spacing w:after="0"/>
        <w:tabs>
          <w:tab w:leader="none" w:pos="1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Distribution from unconsolidated affiliates can be classified as Return of Investment on Unconsolidated Affiliates when actuals are reported. This is below cash from operating activities</w:t>
      </w:r>
    </w:p>
    <w:p>
      <w:pPr>
        <w:ind w:left="100" w:hanging="94"/>
        <w:spacing w:after="0" w:line="192" w:lineRule="auto"/>
        <w:tabs>
          <w:tab w:leader="none" w:pos="1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tax equity proceeds and distributions to tax equity partners</w:t>
      </w:r>
    </w:p>
    <w:p>
      <w:pPr>
        <w:spacing w:after="0" w:line="5" w:lineRule="exact"/>
        <w:rPr>
          <w:rFonts w:ascii="Times New Roman" w:cs="Times New Roman" w:eastAsia="Times New Roman" w:hAnsi="Times New Roman"/>
          <w:sz w:val="23"/>
          <w:szCs w:val="23"/>
          <w:color w:val="auto"/>
          <w:vertAlign w:val="superscript"/>
        </w:rPr>
      </w:pPr>
    </w:p>
    <w:p>
      <w:pPr>
        <w:spacing w:after="0" w:line="234"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9</w:t>
      </w:r>
      <w:r>
        <w:rPr>
          <w:rFonts w:ascii="Times New Roman" w:cs="Times New Roman" w:eastAsia="Times New Roman" w:hAnsi="Times New Roman"/>
          <w:sz w:val="14"/>
          <w:szCs w:val="14"/>
          <w:color w:val="auto"/>
        </w:rPr>
        <w:t xml:space="preserve"> 2025 and 2026 excludes maturities assumed to be refinanced</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0580"/>
          </w:cols>
          <w:pgMar w:left="320" w:top="749"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b w:val="1"/>
          <w:bCs w:val="1"/>
          <w:color w:val="auto"/>
        </w:rPr>
        <w:t>Non-GAAP Financial Information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cash expenditures, or future requirements for capital expenditures, or contractual commitments;</w:t>
      </w:r>
    </w:p>
    <w:p>
      <w:pPr>
        <w:spacing w:after="0" w:line="5"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working capital needs;</w:t>
      </w:r>
    </w:p>
    <w:p>
      <w:pPr>
        <w:spacing w:after="0" w:line="5" w:lineRule="exact"/>
        <w:rPr>
          <w:rFonts w:ascii="Times New Roman" w:cs="Times New Roman" w:eastAsia="Times New Roman" w:hAnsi="Times New Roman"/>
          <w:sz w:val="18"/>
          <w:szCs w:val="18"/>
          <w:color w:val="auto"/>
        </w:rPr>
      </w:pPr>
    </w:p>
    <w:p>
      <w:pPr>
        <w:ind w:left="320" w:right="20" w:hanging="314"/>
        <w:spacing w:after="0" w:line="246" w:lineRule="auto"/>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significant interest expense, or the cash requirements necessary to service interest or principal payments, on debt or cash income tax payments;</w:t>
      </w:r>
    </w:p>
    <w:p>
      <w:pPr>
        <w:ind w:left="320" w:hanging="314"/>
        <w:spacing w:after="0" w:line="246" w:lineRule="auto"/>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20" w:hanging="314"/>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this industry may calculate EBITDA differently than Clearway Energy does, limiting its usefulness as a comparative measure.</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40"/>
          </w:cols>
          <w:pgMar w:left="320" w:top="80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Cash Available for Distribution</w:t>
      </w:r>
    </w:p>
    <w:p>
      <w:pPr>
        <w:spacing w:after="0" w:line="2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non-GAAP measure, Cash Available for Distribution is defined as of September 30, 2025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sectPr>
      <w:pgSz w:w="11900" w:h="16838" w:orient="portrait"/>
      <w:cols w:equalWidth="0" w:num="1">
        <w:col w:w="11240"/>
      </w:cols>
      <w:pgMar w:left="320" w:top="8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5"/>
      <w:numFmt w:val="bullet"/>
      <w:start w:val="1"/>
    </w:lvl>
  </w:abstractNum>
  <w:abstractNum w:abstractNumId="8">
    <w:nsid w:val="4DB127F8"/>
    <w:multiLevelType w:val="hybridMultilevel"/>
    <w:lvl w:ilvl="0">
      <w:lvlJc w:val="left"/>
      <w:lvlText w:val="7"/>
      <w:numFmt w:val="bullet"/>
      <w:start w:val="1"/>
    </w:lvl>
  </w:abstractNum>
  <w:abstractNum w:abstractNumId="9">
    <w:nsid w:val="216231B"/>
    <w:multiLevelType w:val="hybridMultilevel"/>
    <w:lvl w:ilvl="0">
      <w:lvlJc w:val="left"/>
      <w:lvlText w:val="8"/>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2025-11-04T15:22:44Z</dcterms:created>
  <dcterms:modified xsi:type="dcterms:W3CDTF">2025-11-04T15:22:44Z</dcterms:modified>
</cp:coreProperties>
</file>