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23, 2026</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CLEARWAY ENERGY, INC.</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3" w:lineRule="exact"/>
        <w:rPr>
          <w:sz w:val="24"/>
          <w:szCs w:val="24"/>
          <w:color w:val="auto"/>
        </w:rPr>
      </w:pPr>
    </w:p>
    <w:tbl>
      <w:tblPr>
        <w:tblLayout w:type="fixed"/>
        <w:tblInd w:w="300" w:type="dxa"/>
        <w:tblCellMar>
          <w:top w:w="0" w:type="dxa"/>
          <w:left w:w="0" w:type="dxa"/>
          <w:bottom w:w="0" w:type="dxa"/>
          <w:right w:w="0" w:type="dxa"/>
        </w:tblCellMar>
      </w:tblPr>
      <w:tr>
        <w:trPr>
          <w:trHeight w:val="252"/>
        </w:trPr>
        <w:tc>
          <w:tcPr>
            <w:tcW w:w="36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001-36002</w:t>
            </w:r>
          </w:p>
        </w:tc>
        <w:tc>
          <w:tcPr>
            <w:tcW w:w="33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46-1777204</w:t>
            </w:r>
          </w:p>
        </w:tc>
        <w:tc>
          <w:tcPr>
            <w:tcW w:w="0" w:type="dxa"/>
            <w:vAlign w:val="bottom"/>
          </w:tcPr>
          <w:p>
            <w:pPr>
              <w:spacing w:after="0"/>
              <w:rPr>
                <w:sz w:val="1"/>
                <w:szCs w:val="1"/>
                <w:color w:val="auto"/>
              </w:rPr>
            </w:pPr>
          </w:p>
        </w:tc>
      </w:tr>
      <w:tr>
        <w:trPr>
          <w:trHeight w:val="202"/>
        </w:trPr>
        <w:tc>
          <w:tcPr>
            <w:tcW w:w="3680" w:type="dxa"/>
            <w:vAlign w:val="bottom"/>
          </w:tcPr>
          <w:p>
            <w:pPr>
              <w:jc w:val="center"/>
              <w:ind w:right="29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00" w:type="dxa"/>
            <w:vAlign w:val="bottom"/>
            <w:vMerge w:val="restart"/>
          </w:tcPr>
          <w:p>
            <w:pPr>
              <w:jc w:val="center"/>
              <w:ind w:left="59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135"/>
        </w:trPr>
        <w:tc>
          <w:tcPr>
            <w:tcW w:w="36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9"/>
              </w:rPr>
              <w:t>organization)</w:t>
            </w:r>
          </w:p>
        </w:tc>
        <w:tc>
          <w:tcPr>
            <w:tcW w:w="3060" w:type="dxa"/>
            <w:vAlign w:val="bottom"/>
            <w:vMerge w:val="continue"/>
          </w:tcPr>
          <w:p>
            <w:pPr>
              <w:spacing w:after="0"/>
              <w:rPr>
                <w:sz w:val="11"/>
                <w:szCs w:val="11"/>
                <w:color w:val="auto"/>
              </w:rPr>
            </w:pP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680" w:type="dxa"/>
            <w:vAlign w:val="bottom"/>
            <w:vMerge w:val="continue"/>
          </w:tcPr>
          <w:p>
            <w:pPr>
              <w:spacing w:after="0"/>
              <w:rPr>
                <w:sz w:val="8"/>
                <w:szCs w:val="8"/>
                <w:color w:val="auto"/>
              </w:rPr>
            </w:pPr>
          </w:p>
        </w:tc>
        <w:tc>
          <w:tcPr>
            <w:tcW w:w="30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Carnegie Center, Suite 300, Princeton, New Jersey 08540</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35" w:lineRule="exact"/>
        <w:rPr>
          <w:rFonts w:ascii="MS PGothic" w:cs="MS PGothic" w:eastAsia="MS PGothic" w:hAnsi="MS PGothic"/>
          <w:sz w:val="18"/>
          <w:szCs w:val="18"/>
          <w:color w:val="auto"/>
        </w:rPr>
      </w:pPr>
    </w:p>
    <w:p>
      <w:pPr>
        <w:ind w:right="2800" w:firstLine="48"/>
        <w:spacing w:after="0" w:line="268"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8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5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CWEN.A</w:t>
            </w:r>
          </w:p>
        </w:tc>
        <w:tc>
          <w:tcPr>
            <w:tcW w:w="4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CWEN</w:t>
            </w:r>
          </w:p>
        </w:tc>
        <w:tc>
          <w:tcPr>
            <w:tcW w:w="4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250"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256" w:lineRule="exact"/>
        <w:rPr>
          <w:sz w:val="20"/>
          <w:szCs w:val="20"/>
          <w:color w:val="auto"/>
        </w:rPr>
      </w:pPr>
    </w:p>
    <w:p>
      <w:pPr>
        <w:jc w:val="both"/>
        <w:ind w:firstLine="212"/>
        <w:spacing w:after="0" w:line="261" w:lineRule="auto"/>
        <w:rPr>
          <w:sz w:val="20"/>
          <w:szCs w:val="20"/>
          <w:color w:val="auto"/>
        </w:rPr>
      </w:pPr>
      <w:r>
        <w:rPr>
          <w:rFonts w:ascii="Times New Roman" w:cs="Times New Roman" w:eastAsia="Times New Roman" w:hAnsi="Times New Roman"/>
          <w:sz w:val="18"/>
          <w:szCs w:val="18"/>
          <w:color w:val="auto"/>
        </w:rPr>
        <w:t xml:space="preserve">On February 23, 2026, Clearway Energy, Inc. issued a press release announcing its financial results for the year ended December 31, 2025. A copy of the press release is furnished as Exhibit 99.1 to this report on Form 8-K and is hereby incorporated by reference. </w:t>
      </w:r>
      <w:r>
        <w:rPr>
          <w:rFonts w:ascii="Times New Roman" w:cs="Times New Roman" w:eastAsia="Times New Roman" w:hAnsi="Times New Roman"/>
          <w:sz w:val="18"/>
          <w:szCs w:val="18"/>
          <w:color w:val="212529"/>
        </w:rPr>
        <w:t>In accordance with General Instruction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B.2 of Form 8-K, the information set forth in this Item 2.02 and in the attached exhibit are deemed to be furnished and shall not be deemed to be “filed” for purposes of Section 18 of the Securities Exchange Act of 1934, as amended (the “Exchange Act”).</w:t>
      </w:r>
    </w:p>
    <w:p>
      <w:pPr>
        <w:spacing w:after="0" w:line="2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In accordance with General Instruction B.2 of Form 8-K, the information set forth in the attached exhibit is deemed to be furnished and shall not be deemed to be “filed” for purposes of Section 18 of the Exchange Act.</w:t>
      </w:r>
    </w:p>
    <w:p>
      <w:pPr>
        <w:sectPr>
          <w:pgSz w:w="11900" w:h="16838" w:orient="portrait"/>
          <w:cols w:equalWidth="0" w:num="1">
            <w:col w:w="11240"/>
          </w:cols>
          <w:pgMar w:left="320" w:top="1292" w:right="339" w:bottom="1440" w:gutter="0" w:footer="0" w:header="0"/>
        </w:sectPr>
      </w:pP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1259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99.1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160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Press Release, dated February 23,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1740" w:space="720"/>
            <w:col w:w="8780"/>
          </w:cols>
          <w:pgMar w:left="320" w:top="12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type w:val="continuous"/>
        </w:sectPr>
      </w:pPr>
    </w:p>
    <w:bookmarkStart w:id="2" w:name="page3"/>
    <w:bookmarkEnd w:id="2"/>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P. Malcarney</w:t>
            </w:r>
          </w:p>
        </w:tc>
      </w:tr>
      <w:tr>
        <w:trPr>
          <w:trHeight w:val="218"/>
        </w:trPr>
        <w:tc>
          <w:tcPr>
            <w:tcW w:w="5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Kevin P. Malcarney</w:t>
            </w:r>
          </w:p>
        </w:tc>
      </w:tr>
      <w:tr>
        <w:trPr>
          <w:trHeight w:val="234"/>
        </w:trPr>
        <w:tc>
          <w:tcPr>
            <w:tcW w:w="5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244284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42845" cy="325755"/>
                    </a:xfrm>
                    <a:prstGeom prst="rect">
                      <a:avLst/>
                    </a:prstGeom>
                    <a:noFill/>
                  </pic:spPr>
                </pic:pic>
              </a:graphicData>
            </a:graphic>
          </wp:anchor>
        </w:drawing>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Clearway Energy, Inc. Reports Full Year 2025 Financial Results</w:t>
      </w:r>
    </w:p>
    <w:p>
      <w:pPr>
        <w:spacing w:after="0" w:line="28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Achieved 2025 financial results at the top end of the original guidance range</w:t>
      </w:r>
    </w:p>
    <w:p>
      <w:pPr>
        <w:spacing w:after="0" w:line="14"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Fleet Enhancement program advanced with repowerings for 2026/2027 on schedule</w:t>
      </w:r>
    </w:p>
    <w:p>
      <w:pPr>
        <w:spacing w:after="0" w:line="8" w:lineRule="exact"/>
        <w:rPr>
          <w:rFonts w:ascii="Times New Roman" w:cs="Times New Roman" w:eastAsia="Times New Roman" w:hAnsi="Times New Roman"/>
          <w:sz w:val="18"/>
          <w:szCs w:val="18"/>
          <w:b w:val="1"/>
          <w:bCs w:val="1"/>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Sponsor Enabled growth program advanced with signed agreements with Clearway Group to commit to remaining planned 2026 COD projects with 291 MW storage portfolio in Colorado and California</w:t>
      </w:r>
    </w:p>
    <w:p>
      <w:pPr>
        <w:spacing w:after="0" w:line="18" w:lineRule="exact"/>
        <w:rPr>
          <w:rFonts w:ascii="Times New Roman" w:cs="Times New Roman" w:eastAsia="Times New Roman" w:hAnsi="Times New Roman"/>
          <w:sz w:val="18"/>
          <w:szCs w:val="18"/>
          <w:b w:val="1"/>
          <w:bCs w:val="1"/>
          <w:color w:val="auto"/>
        </w:rPr>
      </w:pPr>
    </w:p>
    <w:p>
      <w:pPr>
        <w:ind w:left="660" w:right="20" w:hanging="328"/>
        <w:spacing w:after="0" w:line="237"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Outlook for sponsor enabled growth advanced further into 2027 and 2028 with receipt of offer to invest in 520 MW Royal Slope solar plus storage project and 650 MW Swan Solar project</w:t>
      </w:r>
    </w:p>
    <w:p>
      <w:pPr>
        <w:spacing w:after="0" w:line="18" w:lineRule="exact"/>
        <w:rPr>
          <w:rFonts w:ascii="Arial" w:cs="Arial" w:eastAsia="Arial" w:hAnsi="Arial"/>
          <w:sz w:val="22"/>
          <w:szCs w:val="22"/>
          <w:color w:val="auto"/>
        </w:rPr>
      </w:pPr>
    </w:p>
    <w:p>
      <w:pPr>
        <w:ind w:left="660" w:hanging="328"/>
        <w:spacing w:after="0" w:line="258"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Clearway Group’s late-stage pipeline now includes 11.2 GW in late-stage opportunities with 2 GW of contracts signed to provide additional power solutions for data centers</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Opportunistically raised $600 million of corporate debt and $50 million equity since last earnings call</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Reaffirming 2026 financial guidance range</w:t>
      </w:r>
    </w:p>
    <w:p>
      <w:pPr>
        <w:spacing w:after="0" w:line="200" w:lineRule="exact"/>
        <w:rPr>
          <w:sz w:val="20"/>
          <w:szCs w:val="20"/>
          <w:color w:val="auto"/>
        </w:rPr>
      </w:pPr>
    </w:p>
    <w:p>
      <w:pPr>
        <w:spacing w:after="0" w:line="2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PRINCETON, NJ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February 23, 2026</w:t>
      </w:r>
      <w:r>
        <w:rPr>
          <w:rFonts w:ascii="Times New Roman" w:cs="Times New Roman" w:eastAsia="Times New Roman" w:hAnsi="Times New Roman"/>
          <w:sz w:val="18"/>
          <w:szCs w:val="18"/>
          <w:color w:val="auto"/>
        </w:rPr>
        <w:t>— Clearway Energy, Inc. (NYSE: CWEN, CWEN.A) today reported full year 2025 financial results,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Loss of $231 million, Adjusted EBITDA of $1,217 million, Cash from Operating Activities of $688 million, and Cash Available for Distribution (CAFD) of $430 million.</w:t>
      </w:r>
    </w:p>
    <w:p>
      <w:pPr>
        <w:spacing w:after="0" w:line="2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"Clearway’s full year 2025 results came in at the top end of our original guidance range, reflecting strong operational and growth execution across our platform. Our enterprise once again demonstrated meaningful progress towards meeting our long-term financial objectives across multiple growth</w:t>
      </w:r>
    </w:p>
    <w:p>
      <w:pPr>
        <w:jc w:val="both"/>
        <w:spacing w:after="0" w:line="254" w:lineRule="auto"/>
        <w:rPr>
          <w:sz w:val="20"/>
          <w:szCs w:val="20"/>
          <w:color w:val="auto"/>
        </w:rPr>
      </w:pPr>
      <w:r>
        <w:rPr>
          <w:rFonts w:ascii="Times New Roman" w:cs="Times New Roman" w:eastAsia="Times New Roman" w:hAnsi="Times New Roman"/>
          <w:sz w:val="18"/>
          <w:szCs w:val="18"/>
          <w:color w:val="auto"/>
        </w:rPr>
        <w:t>pathways, including: enhancing long-term cash flows in our portfolio through fleet enhancements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advancing dropdown commitments for investment opportunities out into 2028, and commercializing future sponsor-enabled growth with two gigawatts of contracts signed to power data centers in the last 12 months. With this increasing foundation of visible growth, we are on a solid path to achieve our $2.90 to $3.10 of CAFD per share target for 2030. Based on our expanding opportunity set, we are also optimistic about our ability to continue to grow CAFD per share 5-8%+ in the years beyond 2030, including growing at the top end of that range in 2031 from our 2030 target baseline,” said Craig Cornelius, Clearway Energy, Inc.’s Chief Executive Officer.</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and Cash Available for Distribution used in this press release are non-GAAP measures and are explained in greater detail under “Non-GAAP Financial Information”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Overview of Financial and Operating Results</w:t>
            </w: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Results</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9"/>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1: Net Income/(Loss)</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7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12/31/25</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12/31/24</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12/31/25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12/31/24</w:t>
            </w:r>
          </w:p>
        </w:tc>
      </w:tr>
      <w:tr>
        <w:trPr>
          <w:trHeight w:val="223"/>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Generation</w:t>
            </w:r>
          </w:p>
        </w:tc>
        <w:tc>
          <w:tcPr>
            <w:tcW w:w="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Renewables &amp; Storage</w:t>
            </w: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(125)</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4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Income/(Loss)</w:t>
            </w:r>
          </w:p>
        </w:tc>
        <w:tc>
          <w:tcPr>
            <w:tcW w:w="1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(199)</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
        </w:trPr>
        <w:tc>
          <w:tcPr>
            <w:tcW w:w="4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2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2: Adjusted EBITDA</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7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12/31/25</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12/31/24</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12/31/25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12/31/24</w:t>
            </w:r>
          </w:p>
        </w:tc>
      </w:tr>
      <w:tr>
        <w:trPr>
          <w:trHeight w:val="223"/>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Generation</w:t>
            </w:r>
          </w:p>
        </w:tc>
        <w:tc>
          <w:tcPr>
            <w:tcW w:w="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Renewables &amp; Storage</w:t>
            </w: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29"/>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4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3: Cash from Operating Activities and Cash Available for Distribution (CAFD)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12/31/25</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12/31/24</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12/31/25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12/31/24</w:t>
            </w:r>
          </w:p>
        </w:tc>
      </w:tr>
      <w:tr>
        <w:trPr>
          <w:trHeight w:val="223"/>
        </w:trPr>
        <w:tc>
          <w:tcPr>
            <w:tcW w:w="4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from Operating Activities</w:t>
            </w:r>
          </w:p>
        </w:tc>
        <w:tc>
          <w:tcPr>
            <w:tcW w:w="1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23"/>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Available for Distribution (CAFD)</w:t>
            </w:r>
          </w:p>
        </w:tc>
        <w:tc>
          <w:tcPr>
            <w:tcW w:w="140" w:type="dxa"/>
            <w:vAlign w:val="bottom"/>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fourth quarter of 2025, the Company reported Net Loss of $199 million, Adjusted EBITDA of $237 million, Cash from Operating Activities of $177 million, and CAFD of $35 million. Net Loss decreased versus 2024 primarily due to higher income tax expense and changes in mark-to-market for economic hedges. Adjusted EBITDA for the fourth quarter of 2025 was higher than in 2024 primarily due to contributions from growth investments offset by lower wind resource at certain facilities. CAFD results in the fourth quarter of 2025 were lower than 2024 primarily due to higher project level debt service.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Operational Performance</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77"/>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4: Selected Operating Results</w:t>
            </w:r>
            <w:r>
              <w:rPr>
                <w:rFonts w:ascii="Times New Roman" w:cs="Times New Roman" w:eastAsia="Times New Roman" w:hAnsi="Times New Roman"/>
                <w:sz w:val="23"/>
                <w:szCs w:val="23"/>
                <w:b w:val="1"/>
                <w:bCs w:val="1"/>
                <w:color w:val="auto"/>
                <w:vertAlign w:val="superscript"/>
              </w:rPr>
              <w:t>1</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9"/>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(MWh in thousands)</w:t>
            </w:r>
          </w:p>
        </w:tc>
        <w:tc>
          <w:tcPr>
            <w:tcW w:w="344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34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43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12/31/25</w:t>
            </w:r>
          </w:p>
        </w:tc>
        <w:tc>
          <w:tcPr>
            <w:tcW w:w="14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12/31/24</w:t>
            </w:r>
          </w:p>
        </w:tc>
        <w:tc>
          <w:tcPr>
            <w:tcW w:w="12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12/31/25</w:t>
            </w:r>
          </w:p>
        </w:tc>
        <w:tc>
          <w:tcPr>
            <w:tcW w:w="14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12/31/24</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Flexible Generation Equivalent Availability Factor</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96.8 %</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93.4 %</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90.6 %</w:t>
            </w:r>
          </w:p>
        </w:tc>
      </w:tr>
      <w:tr>
        <w:trPr>
          <w:trHeight w:val="230"/>
        </w:trPr>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Solar MWh generated/sold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9,225</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w:t>
            </w:r>
          </w:p>
        </w:tc>
      </w:tr>
      <w:tr>
        <w:trPr>
          <w:trHeight w:val="230"/>
        </w:trPr>
        <w:tc>
          <w:tcPr>
            <w:tcW w:w="4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Wind MWh generated/sold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w:t>
            </w:r>
          </w:p>
        </w:tc>
      </w:tr>
      <w:tr>
        <w:trPr>
          <w:trHeight w:val="27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Renewables &amp; Storage MWh generated/sold</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40" w:type="dxa"/>
            <w:vAlign w:val="bottom"/>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20" w:type="dxa"/>
            <w:vAlign w:val="bottom"/>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19,753</w:t>
            </w:r>
          </w:p>
        </w:tc>
        <w:tc>
          <w:tcPr>
            <w:tcW w:w="140" w:type="dxa"/>
            <w:vAlign w:val="bottom"/>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2263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6314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-179070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-179070</wp:posOffset>
            </wp:positionV>
            <wp:extent cx="8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-179070</wp:posOffset>
            </wp:positionV>
            <wp:extent cx="8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-179070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-179070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-179070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-179070</wp:posOffset>
            </wp:positionV>
            <wp:extent cx="8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-179070</wp:posOffset>
            </wp:positionV>
            <wp:extent cx="8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-179070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-179070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-179070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-179070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-179070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-179070</wp:posOffset>
            </wp:positionV>
            <wp:extent cx="88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-179070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-179070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-179070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-179070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-179070</wp:posOffset>
            </wp:positionV>
            <wp:extent cx="8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-179070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-179070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-179070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-179070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-179070</wp:posOffset>
            </wp:positionV>
            <wp:extent cx="88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-179070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-179070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-179070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-179070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-179070</wp:posOffset>
            </wp:positionV>
            <wp:extent cx="8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-179070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-179070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-179070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-179070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-179070</wp:posOffset>
            </wp:positionV>
            <wp:extent cx="88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-179070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-179070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-179070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-179070</wp:posOffset>
            </wp:positionV>
            <wp:extent cx="8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-179070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-179070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-179070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-179070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-179070</wp:posOffset>
            </wp:positionV>
            <wp:extent cx="8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-179070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-179070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-179070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-179070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-179070</wp:posOffset>
            </wp:positionV>
            <wp:extent cx="88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-179070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-179070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-179070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-179070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-179070</wp:posOffset>
            </wp:positionV>
            <wp:extent cx="88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-179070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-179070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-179070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-179070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-179070</wp:posOffset>
            </wp:positionV>
            <wp:extent cx="8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-179070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-179070</wp:posOffset>
            </wp:positionV>
            <wp:extent cx="88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-179070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-179070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-179070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-179070</wp:posOffset>
            </wp:positionV>
            <wp:extent cx="8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-179070</wp:posOffset>
            </wp:positionV>
            <wp:extent cx="8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-179070</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-179070</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-179070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-179070</wp:posOffset>
            </wp:positionV>
            <wp:extent cx="8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-179070</wp:posOffset>
            </wp:positionV>
            <wp:extent cx="8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-179070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-179070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-179070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-179070</wp:posOffset>
            </wp:positionV>
            <wp:extent cx="8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-179070</wp:posOffset>
            </wp:positionV>
            <wp:extent cx="8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-179070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-179070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-179070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-179070</wp:posOffset>
            </wp:positionV>
            <wp:extent cx="88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-179070</wp:posOffset>
            </wp:positionV>
            <wp:extent cx="8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-179070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-179070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-179070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-179070</wp:posOffset>
            </wp:positionV>
            <wp:extent cx="8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-179070</wp:posOffset>
            </wp:positionV>
            <wp:extent cx="8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-179070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-179070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-179070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-179070</wp:posOffset>
            </wp:positionV>
            <wp:extent cx="8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-179070</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-179070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-179070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-179070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-179070</wp:posOffset>
            </wp:positionV>
            <wp:extent cx="88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-179070</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-179070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-179070</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-179070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-179070</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-179070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-179070</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-179070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-179070</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-179070</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-179070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-179070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-179070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-179070</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-179070</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-179070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-179070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-179070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-179070</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-179070</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-179070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-179070</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-179070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-179070</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-179070</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49377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Excludes equity method investments</w:t>
      </w:r>
    </w:p>
    <w:p>
      <w:pPr>
        <w:ind w:left="120" w:hanging="112"/>
        <w:spacing w:after="0" w:line="196" w:lineRule="auto"/>
        <w:tabs>
          <w:tab w:leader="none" w:pos="1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Generation sold excludes MWh that are reimbursable for economic curtailment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134" w:right="339" w:bottom="1440" w:gutter="0" w:footer="0" w:header="0"/>
        </w:sectPr>
      </w:pPr>
    </w:p>
    <w:bookmarkStart w:id="5" w:name="page6"/>
    <w:bookmarkEnd w:id="5"/>
    <w:p>
      <w:pPr>
        <w:ind w:right="120"/>
        <w:spacing w:after="0" w:line="266" w:lineRule="auto"/>
        <w:rPr>
          <w:sz w:val="20"/>
          <w:szCs w:val="20"/>
          <w:color w:val="auto"/>
        </w:rPr>
      </w:pPr>
      <w:r>
        <w:rPr>
          <w:rFonts w:ascii="Times New Roman" w:cs="Times New Roman" w:eastAsia="Times New Roman" w:hAnsi="Times New Roman"/>
          <w:sz w:val="18"/>
          <w:szCs w:val="18"/>
          <w:color w:val="auto"/>
        </w:rPr>
        <w:t>In the fourth quarter of 2025, availability at the Flexible Generation segment, formerly known as Conventional, was higher than the fourth quarter of 2024 primarily from outages at certain facilities in 2024. Generation in the Renewables &amp; Storage segment during the fourth quarter of 2025 was 10% higher than the fourth quarter of 2024 primarily due to the contributions of growth investments</w:t>
      </w:r>
      <w:r>
        <w:rPr>
          <w:rFonts w:ascii="Times New Roman" w:cs="Times New Roman" w:eastAsia="Times New Roman" w:hAnsi="Times New Roman"/>
          <w:sz w:val="18"/>
          <w:szCs w:val="18"/>
          <w:color w:val="EE2724"/>
        </w:rPr>
        <w: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5: Liquidity</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7"/>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00" w:type="dxa"/>
            <w:vAlign w:val="bottom"/>
          </w:tcPr>
          <w:p>
            <w:pPr>
              <w:spacing w:after="0"/>
              <w:rPr>
                <w:sz w:val="22"/>
                <w:szCs w:val="22"/>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12/31/2024</w:t>
            </w:r>
          </w:p>
        </w:tc>
      </w:tr>
      <w:tr>
        <w:trPr>
          <w:trHeight w:val="209"/>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9"/>
        </w:trPr>
        <w:tc>
          <w:tcPr>
            <w:tcW w:w="70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Clearway Energy, Inc. and Clearway Energy LLC, excluding subsidiaries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7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Subsidiaries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4"/>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7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Operating accounts</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700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6"/>
                <w:szCs w:val="16"/>
                <w:color w:val="auto"/>
              </w:rPr>
              <w:t>Reserves, including debt service, distributions, performance obligations and other reserves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3"/>
        </w:trPr>
        <w:tc>
          <w:tcPr>
            <w:tcW w:w="7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Revolving credit facility availability</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48"/>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Liquidity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liquidity as of December 31, 2025 was $1,061 million, which was $269 million lower than the same period ended December 31, 2024 primarily due to the execution of growth investments.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31F20"/>
        </w:rPr>
        <w:t xml:space="preserve">, the Company’s liquidity included </w:t>
      </w:r>
      <w:r>
        <w:rPr>
          <w:rFonts w:ascii="Times New Roman" w:cs="Times New Roman" w:eastAsia="Times New Roman" w:hAnsi="Times New Roman"/>
          <w:sz w:val="18"/>
          <w:szCs w:val="18"/>
          <w:color w:val="000000"/>
        </w:rPr>
        <w:t>$587 million</w:t>
      </w:r>
      <w:r>
        <w:rPr>
          <w:rFonts w:ascii="Times New Roman" w:cs="Times New Roman" w:eastAsia="Times New Roman" w:hAnsi="Times New Roman"/>
          <w:sz w:val="18"/>
          <w:szCs w:val="18"/>
          <w:color w:val="231F20"/>
        </w:rPr>
        <w:t xml:space="preserve"> of restricted cash. Restricted cash consists primarily of funds to satisfy the requirements of certain debt arrangements and funds held within the Company's projects that are restricted in their use. As </w:t>
      </w:r>
      <w:r>
        <w:rPr>
          <w:rFonts w:ascii="Times New Roman" w:cs="Times New Roman" w:eastAsia="Times New Roman" w:hAnsi="Times New Roman"/>
          <w:sz w:val="18"/>
          <w:szCs w:val="18"/>
          <w:color w:val="000000"/>
        </w:rPr>
        <w:t>of December 31, 2025, these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restricted funds were comprised of $146 million designated to fund operating expenses, approximately $99 million designated for current debt service payments, and $85 million of reserves for debt service, performance obligations and other items including capital expenditures. The remaining $257 million is held in distribution reserve accounts, of which $174 million relates to proceeds from the sale of transferable investment tax credits for the Rosamond South I project that were received on behalf of the tax equity investor in Rosie South TE Holdco LLC and subsequently distributed to the tax equity investor in January 2026.</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$361 million in outstanding borrowings under its revolving credit facility and $96 million in letters of credit outstanding. During January 2026, the Company closed on $600 million in senior, unsecured notes due 2034, which were utilized to repay all of the outstanding borrowings under the revolving credit facility as well as for general corporate purposes. The facility will continue to be used for general corporate purposes, including financing of future investments or acquisitions and posting letters of credit.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Potential future sources of liquidity include excess operating cash flow, availability under the revolving credit facility, asset dispositions, and, subject to market conditions, new corporate debt and equity financings.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Growth Investments and Commercial Agreements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 Purchase Agreements with Google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15, 2026, Clearway Group announced the execution of three long-term power purchase agreements (PPAs) signed with Google in 2025 for approximately 1.1 GW of projects located in Missouri, Texas, and West Virginia that consisted of the following projects:</w:t>
      </w:r>
    </w:p>
    <w:p>
      <w:pPr>
        <w:spacing w:after="0" w:line="189" w:lineRule="exact"/>
        <w:rPr>
          <w:sz w:val="20"/>
          <w:szCs w:val="20"/>
          <w:color w:val="auto"/>
        </w:rPr>
      </w:pPr>
    </w:p>
    <w:p>
      <w:pPr>
        <w:jc w:val="both"/>
        <w:ind w:left="660" w:hanging="328"/>
        <w:spacing w:after="0" w:line="24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Goat Mountain Repower: The project is a Company-owned, operational wind project located in Texas that signed a 15-year PPA to underpin a repowering targeted in 2027. The Company estimates that its total corporate capital investment in the Goat Mountain repowering will be $200 million, subject to closing adjustments.</w:t>
      </w:r>
    </w:p>
    <w:p>
      <w:pPr>
        <w:spacing w:after="0" w:line="1" w:lineRule="exact"/>
        <w:rPr>
          <w:rFonts w:ascii="Times New Roman" w:cs="Times New Roman" w:eastAsia="Times New Roman" w:hAnsi="Times New Roman"/>
          <w:sz w:val="18"/>
          <w:szCs w:val="18"/>
          <w:color w:val="auto"/>
        </w:rPr>
      </w:pPr>
    </w:p>
    <w:p>
      <w:pPr>
        <w:jc w:val="both"/>
        <w:ind w:left="660" w:hanging="328"/>
        <w:spacing w:after="0"/>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Swan Solar: The project is a new construction solar project that was offered to the Company located in Missouri with a signed 20-year PPA and is targeting commercial operations in 2028. The Company estimates that its potential corporate capital investment in the project will be approximately $215 million.</w:t>
      </w:r>
    </w:p>
    <w:p>
      <w:pPr>
        <w:jc w:val="both"/>
        <w:ind w:left="660" w:hanging="328"/>
        <w:spacing w:after="0" w:line="24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Catamount: The project is a new construction wind project located in West Virginia within Clearway Group’s development pipeline that signed a 20-year PPA and is targeting commercial operations in 2028. The Company estimates that its potential corporate capital investment in the project will be approximately $155 million.</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decisions for the Swan Solar and Catamount Wind projects are subject to negotiation both with Clearway Group, and the review and approval by the Company’s Independent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Swan Solar</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2026, Clearway Group offered the Company the opportunity to enter into partnership arrangements to own cash equity interests in a 650 MW solar project located in Missouri. The project signed a 20-year PPA with Google and is targeting commercial operations in 2028. The potential corporate capital commitment for the investment is expected to be approximately $215 million. The investment is subject to negotiation both with Clearway Group, and the review and approval by the Company’s Independent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 Slope Solar Plus Storage</w:t>
      </w:r>
    </w:p>
    <w:p>
      <w:pPr>
        <w:spacing w:after="0" w:line="25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the first quarter of 2026, Clearway Group offered the Company the opportunity to enter into partnership arrangements to own cash equity interests in a 520 MW solar plus storage project located in Washington that is expected to reach commercial operations in 2027. The project has executed a 20-year PPA and ESA with a Washington state municipal utility to serve significant data center demand growth. The potential corporate capital commitment for the investment is expected to be approximately $200 million. The investment is subject to negotiation both with Clearway Group, and the review and approval by the Company’s Independent Directors.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Rosamond South II and Spindle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24, 2025, the Company, through an indirect subsidiary, entered into an agreement with Clearway Group to acquire interests in Spindle, a 199 MW BESS facility currently under construction in Weld County, Colorado, and Rosamond South II, a 92 MW BESS facility currently under construction in Kern County, California, for approximately $90 million in cash consideration, subject to closing adjustments. The consummation of the transaction is subject to customary closing conditions and certain third-party approvals and is expected in the second half of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Updates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C Shares Issuances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2026, the Company raised gross proceeds of approximately $50 million through the sale of Class C common stock under the Company's equity issuance programs at a weighted average price of $34.60 per share.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13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2034 Senior Notes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On January 13, 2026, Clearway Energy Operating LLC completed the sale of $600 million aggregate principal amount of senior unsecured notes due 2034, or the 2034 Senior Notes. The 2034 Senior Notes bear interest at 5.750% and mature on January 15, 2034. Interest on the 2034 Senior Notes is payable semi-annually on January 15 and July 15 of each year, beginning on July 15, 2026. The net proceeds from the 2034 Senior Notes were used to repay $361 million in outstanding borrowings under the revolving credit facility and for general corporate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February 17, 2026, Clearway Energy, Inc.’s Board of Directors declared a quarterly dividend on Class A and Class C common stoc</w:t>
      </w:r>
      <w:r>
        <w:rPr>
          <w:rFonts w:ascii="Times New Roman" w:cs="Times New Roman" w:eastAsia="Times New Roman" w:hAnsi="Times New Roman"/>
          <w:sz w:val="18"/>
          <w:szCs w:val="18"/>
          <w:color w:val="242424"/>
        </w:rPr>
        <w:t>k</w:t>
      </w:r>
      <w:r>
        <w:rPr>
          <w:rFonts w:ascii="Times New Roman" w:cs="Times New Roman" w:eastAsia="Times New Roman" w:hAnsi="Times New Roman"/>
          <w:sz w:val="18"/>
          <w:szCs w:val="18"/>
          <w:color w:val="auto"/>
        </w:rPr>
        <w:t xml:space="preserve"> of $0.4602 per share payable on March 16, 2026, to stockholders of record as of March 2, 2026.</w:t>
      </w: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Clearway Energy, Inc.’s quarterly operating results are impacted by seasonal factors, as well as weather variability which can impact renewable energy resource throughout the year.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20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summer capacity and energy prices from flexible generation assets;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solar insolation during the summer months;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wind resources during the spring and summer months;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energy resource throughout the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payments which are made either quarterly or semi-annually;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maintenance capital expenditures and the impact of both unforced and forced outages;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distributions from unconsolidated affiliates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takes into consideration the timing of these factors to ensure sufficient funds are available for distributions and operating activities on a quarterly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reaffirming its 2026 full year CAFD guidance range of $470 million to $510 million. The midpoint of the 2026 financial guidance range is based on median renewable energy production estimates for the full year, while the range reflects a potential distribution of outcomes on resource and performance in the fiscal year. The guidance range also factors in completing committed growth investments on currently forecasted schedules.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23, 2026, Clearway Energy, Inc. will host a conference call at 5:00 p.m.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Clearway Energy, Inc. is one of the largest owners of clean energy generation assets in the U.S. Our portfolio comprises approximately 12.9 GW of gross capacity in 27 states, including approximately 10.1 GW of wind, solar and battery energy storage systems and approximately 2.8 GW of conventional dispatchable power capacity that provide critical grid reliability services. Through our diversified and primarily contracted clean energy portfolio, Clearway Energy endeavors to provide its investors with stable and growing dividend income. Clearway Energy, Inc.’s Class C and Class A common stock are traded on the New York Stock Exchange under the symbols CWEN and CWEN.A, respectively. Clearway Energy, Inc. is sponsored by its controlling investor, Clearway Energy Group LLC. For more information, visit investor.clearwayenergy.com.</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Safe Harbor Disclosure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Company’s dividend expectations and its operations, its facilities and its financial results, the anticipated consummation of the transactions described above, the anticipated benefits, opportunities, and results with respect to the transactions, including the Company’s future relationship and arrangements with Clearway Energy Group and its owners,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the Company's ability to maintain and grow its quarterly dividend, risks relating to the Company's relationships with its sponsors, the Company’s ability to successfully identify, evaluate, consummate or implement acquisitions or dispositions (including receipt of third party consents and regulatory approvals), the Company's ability to acquire assets from its sponsors, the Company’s ability to borrow additional funds and access capital markets due to its indebtedness, corporate structure, market conditions or otherwise, hazards customary in the power production industry and power generation operations, weather conditions, including wind and solar conditions, the Company’s ability to operate its businesses efficiently, manage maintenance capital expenditures and costs effectively, and generate earnings and cash flows from its asset-based businesses in relation to its debt and other obligations, the willingness and ability of counterparties to the Company’s offtake agreements to fulfill their obligations under such agreements, the Company's ability to enter into contracts to sell power and procure fuel on acceptable terms and prices, government regulation, including compliance with regulatory requirements and changes in law, operating and financial restrictions placed on the Company that are contained in the project-level debt facilities and other agreements of the Company and its subsidiaries, cyber terrorism and inadequate cybersecurity. Furthermore, any dividends are subject to available capital, market conditions, and compliance with associated laws and regulations.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Clearway Energy, Inc. undertakes no obligation to update or revise any forward-looking statements, whether as a result of new information, future events or otherwise. The Cash Available for Distribution are estimates as of today’s date, February 23, 2026,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and Exchange Commission.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30"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Investors:</w:t>
      </w:r>
      <w:r>
        <w:rPr>
          <w:sz w:val="20"/>
          <w:szCs w:val="20"/>
          <w:color w:val="auto"/>
        </w:rPr>
        <w:tab/>
      </w: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ind w:left="180"/>
        <w:spacing w:after="0"/>
        <w:tabs>
          <w:tab w:leader="none" w:pos="1700" w:val="left"/>
        </w:tabs>
        <w:rPr>
          <w:sz w:val="20"/>
          <w:szCs w:val="20"/>
          <w:color w:val="auto"/>
        </w:rPr>
      </w:pPr>
      <w:r>
        <w:rPr>
          <w:rFonts w:ascii="Times New Roman" w:cs="Times New Roman" w:eastAsia="Times New Roman" w:hAnsi="Times New Roman"/>
          <w:sz w:val="18"/>
          <w:szCs w:val="18"/>
          <w:color w:val="auto"/>
        </w:rPr>
        <w:t>Akil Marsh</w:t>
      </w:r>
      <w:r>
        <w:rPr>
          <w:sz w:val="20"/>
          <w:szCs w:val="20"/>
          <w:color w:val="auto"/>
        </w:rPr>
        <w:tab/>
      </w:r>
      <w:r>
        <w:rPr>
          <w:rFonts w:ascii="Times New Roman" w:cs="Times New Roman" w:eastAsia="Times New Roman" w:hAnsi="Times New Roman"/>
          <w:sz w:val="18"/>
          <w:szCs w:val="18"/>
          <w:color w:val="auto"/>
        </w:rPr>
        <w:t>Zadie Oleksiw</w:t>
      </w:r>
    </w:p>
    <w:p>
      <w:pPr>
        <w:spacing w:after="0" w:line="9" w:lineRule="exact"/>
        <w:rPr>
          <w:sz w:val="20"/>
          <w:szCs w:val="20"/>
          <w:color w:val="auto"/>
        </w:rPr>
      </w:pPr>
    </w:p>
    <w:p>
      <w:pPr>
        <w:ind w:left="180"/>
        <w:spacing w:after="0"/>
        <w:tabs>
          <w:tab w:leader="none" w:pos="3220" w:val="left"/>
        </w:tabs>
        <w:rPr>
          <w:sz w:val="20"/>
          <w:szCs w:val="20"/>
          <w:color w:val="auto"/>
        </w:rPr>
      </w:pPr>
      <w:r>
        <w:rPr>
          <w:rFonts w:ascii="Times New Roman" w:cs="Times New Roman" w:eastAsia="Times New Roman" w:hAnsi="Times New Roman"/>
          <w:sz w:val="18"/>
          <w:szCs w:val="18"/>
          <w:color w:val="auto"/>
        </w:rPr>
        <w:t>investor.relations@clearwayenergy.com</w:t>
      </w:r>
      <w:r>
        <w:rPr>
          <w:sz w:val="20"/>
          <w:szCs w:val="20"/>
          <w:color w:val="auto"/>
        </w:rPr>
        <w:tab/>
      </w:r>
      <w:r>
        <w:rPr>
          <w:rFonts w:ascii="Times New Roman" w:cs="Times New Roman" w:eastAsia="Times New Roman" w:hAnsi="Times New Roman"/>
          <w:sz w:val="17"/>
          <w:szCs w:val="17"/>
          <w:color w:val="auto"/>
        </w:rPr>
        <w:t>media@clearwayenergy.com</w:t>
      </w:r>
    </w:p>
    <w:p>
      <w:pPr>
        <w:spacing w:after="0" w:line="9" w:lineRule="exact"/>
        <w:rPr>
          <w:sz w:val="20"/>
          <w:szCs w:val="20"/>
          <w:color w:val="auto"/>
        </w:rPr>
      </w:pPr>
    </w:p>
    <w:p>
      <w:pPr>
        <w:ind w:left="180"/>
        <w:spacing w:after="0"/>
        <w:tabs>
          <w:tab w:leader="none" w:pos="1900" w:val="left"/>
        </w:tabs>
        <w:rPr>
          <w:sz w:val="20"/>
          <w:szCs w:val="20"/>
          <w:color w:val="auto"/>
        </w:rPr>
      </w:pPr>
      <w:r>
        <w:rPr>
          <w:rFonts w:ascii="Times New Roman" w:cs="Times New Roman" w:eastAsia="Times New Roman" w:hAnsi="Times New Roman"/>
          <w:sz w:val="18"/>
          <w:szCs w:val="18"/>
          <w:color w:val="auto"/>
        </w:rPr>
        <w:t>609-608-1500</w:t>
      </w:r>
      <w:r>
        <w:rPr>
          <w:sz w:val="20"/>
          <w:szCs w:val="20"/>
          <w:color w:val="auto"/>
        </w:rPr>
        <w:tab/>
      </w:r>
      <w:r>
        <w:rPr>
          <w:rFonts w:ascii="Times New Roman" w:cs="Times New Roman" w:eastAsia="Times New Roman" w:hAnsi="Times New Roman"/>
          <w:sz w:val="17"/>
          <w:szCs w:val="17"/>
          <w:color w:val="auto"/>
        </w:rPr>
        <w:t>202-836-5754</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88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00" w:type="dxa"/>
            <w:vAlign w:val="bottom"/>
            <w:tcBorders>
              <w:top w:val="single" w:sz="8" w:color="auto"/>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operations, exclusive of depreciation, amortization and accretion shown separately below</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Impairment losses</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 and redeemable noncontrolling interests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Inc.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60" w:type="dxa"/>
            <w:vAlign w:val="bottom"/>
            <w:tcBorders>
              <w:top w:val="single" w:sz="8" w:color="CCEEFF"/>
              <w:bottom w:val="single" w:sz="8" w:color="CCEEFF"/>
            </w:tcBorders>
            <w:gridSpan w:val="2"/>
            <w:vMerge w:val="restart"/>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Earnings Per Share Attributable to Clearway Energy, Inc. Class A and Class C Common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vMerge w:val="continue"/>
          </w:tcPr>
          <w:p>
            <w:pPr>
              <w:spacing w:after="0"/>
              <w:rPr>
                <w:sz w:val="11"/>
                <w:szCs w:val="11"/>
                <w:color w:val="auto"/>
              </w:rPr>
            </w:pPr>
          </w:p>
        </w:tc>
        <w:tc>
          <w:tcPr>
            <w:tcW w:w="78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 - basic and diluted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Weighted average number of Class C common shares outstanding - basic and diluted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786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Earnings per Weighted Average Class A and Class C Common Share - Basic and Diluted</w:t>
            </w: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Dividends Per Class A Common Share</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Per Class C Common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gridSpan w:val="3"/>
            <w:vMerge w:val="restart"/>
          </w:tcPr>
          <w:p>
            <w:pPr>
              <w:jc w:val="right"/>
              <w:ind w:right="2220"/>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78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6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35"/>
        </w:trPr>
        <w:tc>
          <w:tcPr>
            <w:tcW w:w="76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34"/>
        </w:trPr>
        <w:tc>
          <w:tcPr>
            <w:tcW w:w="2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6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0"/>
        </w:trPr>
        <w:tc>
          <w:tcPr>
            <w:tcW w:w="7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4"/>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 net of tax</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1"/>
        </w:trPr>
        <w:tc>
          <w:tcPr>
            <w:tcW w:w="2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loss on derivatives and changes in accumulated OCI, net of income tax benefit of $(2), $(1) and $(1)</w:t>
            </w:r>
          </w:p>
        </w:tc>
        <w:tc>
          <w:tcPr>
            <w:tcW w:w="8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0" w:type="dxa"/>
            <w:vAlign w:val="bottom"/>
            <w:tcBorders>
              <w:bottom w:val="single" w:sz="8" w:color="CCEEFF"/>
            </w:tcBorders>
          </w:tcPr>
          <w:p>
            <w:pPr>
              <w:spacing w:after="0"/>
              <w:rPr>
                <w:sz w:val="19"/>
                <w:szCs w:val="19"/>
                <w:color w:val="auto"/>
              </w:rPr>
            </w:pPr>
          </w:p>
        </w:tc>
        <w:tc>
          <w:tcPr>
            <w:tcW w:w="76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7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20" w:type="dxa"/>
            <w:vAlign w:val="bottom"/>
            <w:tcBorders>
              <w:bottom w:val="single" w:sz="8" w:color="CCEEFF"/>
            </w:tcBorders>
          </w:tcPr>
          <w:p>
            <w:pPr>
              <w:spacing w:after="0"/>
              <w:rPr>
                <w:sz w:val="19"/>
                <w:szCs w:val="19"/>
                <w:color w:val="auto"/>
              </w:rPr>
            </w:pPr>
          </w:p>
        </w:tc>
        <w:tc>
          <w:tcPr>
            <w:tcW w:w="760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6"/>
                <w:szCs w:val="16"/>
                <w:color w:val="auto"/>
              </w:rPr>
              <w:t>Less: Comprehensive loss attributable to noncontrolling interests and redeemable noncontrolling interests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8"/>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Clearway Energy, Inc.</w:t>
            </w: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00"/>
          </w:cols>
          <w:pgMar w:left="340" w:top="887" w:right="35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CLEARWAY ENERGY, INC.</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shares)</w:t>
            </w:r>
          </w:p>
        </w:tc>
        <w:tc>
          <w:tcPr>
            <w:tcW w:w="160" w:type="dxa"/>
            <w:vAlign w:val="bottom"/>
          </w:tcPr>
          <w:p>
            <w:pPr>
              <w:spacing w:after="0"/>
              <w:rPr>
                <w:sz w:val="13"/>
                <w:szCs w:val="13"/>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3"/>
                <w:szCs w:val="13"/>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4"/>
        </w:trPr>
        <w:tc>
          <w:tcPr>
            <w:tcW w:w="1640" w:type="dxa"/>
            <w:vAlign w:val="bottom"/>
            <w:tcBorders>
              <w:top w:val="single" w:sz="8" w:color="auto"/>
              <w:bottom w:val="single" w:sz="8" w:color="auto"/>
            </w:tcBorders>
            <w:vMerge w:val="restart"/>
          </w:tcPr>
          <w:p>
            <w:pPr>
              <w:spacing w:after="0"/>
              <w:rPr>
                <w:sz w:val="2"/>
                <w:szCs w:val="2"/>
                <w:color w:val="auto"/>
              </w:rPr>
            </w:pPr>
          </w:p>
        </w:tc>
        <w:tc>
          <w:tcPr>
            <w:tcW w:w="6120" w:type="dxa"/>
            <w:vAlign w:val="bottom"/>
            <w:vMerge w:val="restart"/>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640" w:type="dxa"/>
            <w:vAlign w:val="bottom"/>
            <w:vMerge w:val="continue"/>
          </w:tcPr>
          <w:p>
            <w:pPr>
              <w:spacing w:after="0"/>
              <w:rPr>
                <w:sz w:val="18"/>
                <w:szCs w:val="18"/>
                <w:color w:val="auto"/>
              </w:rPr>
            </w:pPr>
          </w:p>
        </w:tc>
        <w:tc>
          <w:tcPr>
            <w:tcW w:w="6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receivable — affiliates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3"/>
        </w:trPr>
        <w:tc>
          <w:tcPr>
            <w:tcW w:w="7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2"/>
        </w:trPr>
        <w:tc>
          <w:tcPr>
            <w:tcW w:w="7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9,944</w:t>
            </w:r>
          </w:p>
        </w:tc>
        <w:tc>
          <w:tcPr>
            <w:tcW w:w="0" w:type="dxa"/>
            <w:vAlign w:val="bottom"/>
          </w:tcPr>
          <w:p>
            <w:pPr>
              <w:spacing w:after="0"/>
              <w:rPr>
                <w:sz w:val="1"/>
                <w:szCs w:val="1"/>
                <w:color w:val="auto"/>
              </w:rPr>
            </w:pPr>
          </w:p>
        </w:tc>
      </w:tr>
      <w:tr>
        <w:trPr>
          <w:trHeight w:val="199"/>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 for power purchase agreements, net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Right-of-use assets, net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0" w:type="dxa"/>
            <w:vAlign w:val="bottom"/>
          </w:tcPr>
          <w:p>
            <w:pPr>
              <w:spacing w:after="0"/>
              <w:rPr>
                <w:sz w:val="1"/>
                <w:szCs w:val="1"/>
                <w:color w:val="auto"/>
              </w:rPr>
            </w:pPr>
          </w:p>
        </w:tc>
      </w:tr>
      <w:tr>
        <w:trPr>
          <w:trHeight w:val="213"/>
        </w:trPr>
        <w:tc>
          <w:tcPr>
            <w:tcW w:w="7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09"/>
        </w:trPr>
        <w:tc>
          <w:tcPr>
            <w:tcW w:w="7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0" w:type="dxa"/>
            <w:vAlign w:val="bottom"/>
          </w:tcPr>
          <w:p>
            <w:pPr>
              <w:spacing w:after="0"/>
              <w:rPr>
                <w:sz w:val="1"/>
                <w:szCs w:val="1"/>
                <w:color w:val="auto"/>
              </w:rPr>
            </w:pPr>
          </w:p>
        </w:tc>
      </w:tr>
      <w:tr>
        <w:trPr>
          <w:trHeight w:val="212"/>
        </w:trPr>
        <w:tc>
          <w:tcPr>
            <w:tcW w:w="7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14,329</w:t>
            </w:r>
          </w:p>
        </w:tc>
        <w:tc>
          <w:tcPr>
            <w:tcW w:w="0" w:type="dxa"/>
            <w:vAlign w:val="bottom"/>
          </w:tcPr>
          <w:p>
            <w:pPr>
              <w:spacing w:after="0"/>
              <w:rPr>
                <w:sz w:val="1"/>
                <w:szCs w:val="1"/>
                <w:color w:val="auto"/>
              </w:rPr>
            </w:pPr>
          </w:p>
        </w:tc>
      </w:tr>
      <w:tr>
        <w:trPr>
          <w:trHeight w:val="20"/>
        </w:trPr>
        <w:tc>
          <w:tcPr>
            <w:tcW w:w="1640" w:type="dxa"/>
            <w:vAlign w:val="bottom"/>
            <w:tcBorders>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40" w:type="dxa"/>
            <w:vAlign w:val="bottom"/>
            <w:shd w:val="clear" w:color="auto" w:fill="CCEEFF"/>
          </w:tcPr>
          <w:p>
            <w:pPr>
              <w:spacing w:after="0"/>
              <w:rPr>
                <w:sz w:val="17"/>
                <w:szCs w:val="17"/>
                <w:color w:val="auto"/>
              </w:rPr>
            </w:pPr>
          </w:p>
        </w:tc>
        <w:tc>
          <w:tcPr>
            <w:tcW w:w="6120" w:type="dxa"/>
            <w:vAlign w:val="bottom"/>
            <w:shd w:val="clear" w:color="auto" w:fill="CCEEFF"/>
          </w:tcPr>
          <w:p>
            <w:pPr>
              <w:jc w:val="center"/>
              <w:ind w:right="1570"/>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Accounts payable — trade</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 affiliates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interest expense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3"/>
        </w:trPr>
        <w:tc>
          <w:tcPr>
            <w:tcW w:w="7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2"/>
        </w:trPr>
        <w:tc>
          <w:tcPr>
            <w:tcW w:w="7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206"/>
        </w:trPr>
        <w:tc>
          <w:tcPr>
            <w:tcW w:w="7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Total other liabilities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8,047</w:t>
            </w:r>
          </w:p>
        </w:tc>
        <w:tc>
          <w:tcPr>
            <w:tcW w:w="0" w:type="dxa"/>
            <w:vAlign w:val="bottom"/>
          </w:tcPr>
          <w:p>
            <w:pPr>
              <w:spacing w:after="0"/>
              <w:rPr>
                <w:sz w:val="1"/>
                <w:szCs w:val="1"/>
                <w:color w:val="auto"/>
              </w:rPr>
            </w:pPr>
          </w:p>
        </w:tc>
      </w:tr>
      <w:tr>
        <w:trPr>
          <w:trHeight w:val="212"/>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8,765</w:t>
            </w:r>
          </w:p>
        </w:tc>
        <w:tc>
          <w:tcPr>
            <w:tcW w:w="0" w:type="dxa"/>
            <w:vAlign w:val="bottom"/>
          </w:tcPr>
          <w:p>
            <w:pPr>
              <w:spacing w:after="0"/>
              <w:rPr>
                <w:sz w:val="1"/>
                <w:szCs w:val="1"/>
                <w:color w:val="auto"/>
              </w:rPr>
            </w:pPr>
          </w:p>
        </w:tc>
      </w:tr>
      <w:tr>
        <w:trPr>
          <w:trHeight w:val="207"/>
        </w:trPr>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Redeemable noncontrolling interest in subsidiaries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76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color w:val="auto"/>
              </w:rPr>
              <w:t>Class A, Class B, Class C and Class D common stock, $0.01 par value; 3,000,000,000 shares authorized (Class A</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color w:val="auto"/>
              </w:rPr>
              <w:t>500,000,000, Class B 500,000,000, Class C 1,000,000,000, Class D 1,000,000,000); 203,773,674 shares issued and</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color w:val="auto"/>
              </w:rPr>
              <w:t>outstanding (Class A 34,613,853, Class B 42,738,750, Class C 84,844,929, Class D 41,576,142) at December 31,</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color w:val="auto"/>
              </w:rPr>
              <w:t>2025 and 202,147,579 shares issued and outstanding (Class A 34,613,853, Class B 42,738,750, Class C 82,833,226,</w:t>
            </w:r>
          </w:p>
        </w:tc>
        <w:tc>
          <w:tcPr>
            <w:tcW w:w="16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Class D 41,961,750) at December 31, 2024</w:t>
            </w:r>
          </w:p>
        </w:tc>
        <w:tc>
          <w:tcPr>
            <w:tcW w:w="1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0" w:type="dxa"/>
            <w:vAlign w:val="bottom"/>
          </w:tcPr>
          <w:p>
            <w:pPr>
              <w:spacing w:after="0"/>
              <w:rPr>
                <w:sz w:val="1"/>
                <w:szCs w:val="1"/>
                <w:color w:val="auto"/>
              </w:rPr>
            </w:pPr>
          </w:p>
        </w:tc>
      </w:tr>
      <w:tr>
        <w:trPr>
          <w:trHeight w:val="213"/>
        </w:trPr>
        <w:tc>
          <w:tcPr>
            <w:tcW w:w="7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19"/>
        </w:trPr>
        <w:tc>
          <w:tcPr>
            <w:tcW w:w="7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7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3,501</w:t>
            </w:r>
          </w:p>
        </w:tc>
        <w:tc>
          <w:tcPr>
            <w:tcW w:w="0" w:type="dxa"/>
            <w:vAlign w:val="bottom"/>
          </w:tcPr>
          <w:p>
            <w:pPr>
              <w:spacing w:after="0"/>
              <w:rPr>
                <w:sz w:val="1"/>
                <w:szCs w:val="1"/>
                <w:color w:val="auto"/>
              </w:rPr>
            </w:pPr>
          </w:p>
        </w:tc>
      </w:tr>
      <w:tr>
        <w:trPr>
          <w:trHeight w:val="210"/>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5,564</w:t>
            </w:r>
          </w:p>
        </w:tc>
        <w:tc>
          <w:tcPr>
            <w:tcW w:w="0" w:type="dxa"/>
            <w:vAlign w:val="bottom"/>
          </w:tcPr>
          <w:p>
            <w:pPr>
              <w:spacing w:after="0"/>
              <w:rPr>
                <w:sz w:val="1"/>
                <w:szCs w:val="1"/>
                <w:color w:val="auto"/>
              </w:rPr>
            </w:pPr>
          </w:p>
        </w:tc>
      </w:tr>
      <w:tr>
        <w:trPr>
          <w:trHeight w:val="212"/>
        </w:trPr>
        <w:tc>
          <w:tcPr>
            <w:tcW w:w="7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14,329</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77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529" w:right="359" w:bottom="1440" w:gutter="0" w:footer="0" w:header="0"/>
        </w:sectPr>
      </w:pPr>
    </w:p>
    <w:bookmarkStart w:id="12" w:name="page13"/>
    <w:bookmarkEnd w:id="12"/>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6"/>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6"/>
                <w:szCs w:val="16"/>
                <w:color w:val="auto"/>
              </w:rPr>
            </w:pPr>
          </w:p>
        </w:tc>
      </w:tr>
      <w:tr>
        <w:trPr>
          <w:trHeight w:val="23"/>
        </w:trPr>
        <w:tc>
          <w:tcPr>
            <w:tcW w:w="7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9"/>
        </w:trPr>
        <w:tc>
          <w:tcPr>
            <w:tcW w:w="7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75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00"/>
        </w:trPr>
        <w:tc>
          <w:tcPr>
            <w:tcW w:w="7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Adjustments to reconcile net loss to net cash provided by operating activities: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5"/>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Equity in earnings of unconsolidated affiliates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00"/>
        </w:trPr>
        <w:tc>
          <w:tcPr>
            <w:tcW w:w="7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Distributions from unconsolidated affiliates</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05"/>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Depreciation, amortization and accretion</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w:t>
            </w:r>
          </w:p>
        </w:tc>
      </w:tr>
      <w:tr>
        <w:trPr>
          <w:trHeight w:val="200"/>
        </w:trPr>
        <w:tc>
          <w:tcPr>
            <w:tcW w:w="7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Amortization of financing costs and debt discounts</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05"/>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Amortization of intangibles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w:t>
            </w:r>
          </w:p>
        </w:tc>
      </w:tr>
      <w:tr>
        <w:trPr>
          <w:trHeight w:val="200"/>
        </w:trPr>
        <w:tc>
          <w:tcPr>
            <w:tcW w:w="7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Loss on debt extinguishment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05"/>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Reduction in carrying amount of right-of-use assets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00"/>
        </w:trPr>
        <w:tc>
          <w:tcPr>
            <w:tcW w:w="7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Impairment losses</w:t>
            </w:r>
          </w:p>
        </w:tc>
        <w:tc>
          <w:tcPr>
            <w:tcW w:w="2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05"/>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Changes in deferred income taxes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00"/>
        </w:trPr>
        <w:tc>
          <w:tcPr>
            <w:tcW w:w="7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Changes in derivative instruments and amortization of accumulated OCI</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05"/>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Changes in other working capital</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194"/>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702</w:t>
            </w:r>
          </w:p>
        </w:tc>
      </w:tr>
      <w:tr>
        <w:trPr>
          <w:trHeight w:val="185"/>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0"/>
        </w:trPr>
        <w:tc>
          <w:tcPr>
            <w:tcW w:w="7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Acquisitions, net of cash acquired</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Acquisition of Drop Down Assets, net of cash acquired</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200"/>
        </w:trPr>
        <w:tc>
          <w:tcPr>
            <w:tcW w:w="7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Capital expenditures</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r>
      <w:tr>
        <w:trPr>
          <w:trHeight w:val="205"/>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Payment for equipment deposit</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200"/>
        </w:trPr>
        <w:tc>
          <w:tcPr>
            <w:tcW w:w="7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Payment for equipment deposit and asset purchase from affiliate</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205"/>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Proceeds from transfer of assets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Return of investments from unconsolidated affiliates</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05"/>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Decrease (increase) in note receivable — affiliate</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w:t>
            </w:r>
          </w:p>
        </w:tc>
      </w:tr>
      <w:tr>
        <w:trPr>
          <w:trHeight w:val="200"/>
        </w:trPr>
        <w:tc>
          <w:tcPr>
            <w:tcW w:w="7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Investments in unconsolidated affiliates</w:t>
            </w:r>
          </w:p>
        </w:tc>
        <w:tc>
          <w:tcPr>
            <w:tcW w:w="2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205"/>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94"/>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(523)</w:t>
            </w:r>
          </w:p>
        </w:tc>
      </w:tr>
      <w:tr>
        <w:trPr>
          <w:trHeight w:val="185"/>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0"/>
        </w:trPr>
        <w:tc>
          <w:tcPr>
            <w:tcW w:w="7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Contributions from noncontrolling interests, net of distributions</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1,028</w:t>
            </w:r>
          </w:p>
        </w:tc>
      </w:tr>
      <w:tr>
        <w:trPr>
          <w:trHeight w:val="205"/>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Proceeds from the issuance of Class C common stock</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Payments of dividends and distributions</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w:t>
            </w:r>
          </w:p>
        </w:tc>
      </w:tr>
      <w:tr>
        <w:trPr>
          <w:trHeight w:val="205"/>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Pro-rata distributions to CEG</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Tax-related distributions</w:t>
            </w:r>
          </w:p>
        </w:tc>
        <w:tc>
          <w:tcPr>
            <w:tcW w:w="2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05"/>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Buyouts of noncontrolling interest and redeemable noncontrolling interest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00"/>
        </w:trPr>
        <w:tc>
          <w:tcPr>
            <w:tcW w:w="7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Proceeds from the revolving credit facility</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Payments for the revolving credit facility</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7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Proceeds from issuance of long-term debt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w:t>
            </w:r>
          </w:p>
        </w:tc>
      </w:tr>
      <w:tr>
        <w:trPr>
          <w:trHeight w:val="205"/>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Payments of debt issuance costs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00"/>
        </w:trPr>
        <w:tc>
          <w:tcPr>
            <w:tcW w:w="7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Payments for long-term debt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(1,349)</w:t>
            </w:r>
          </w:p>
        </w:tc>
      </w:tr>
      <w:tr>
        <w:trPr>
          <w:trHeight w:val="205"/>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194"/>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(Used in) Financing Activities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w:t>
            </w:r>
          </w:p>
        </w:tc>
      </w:tr>
      <w:tr>
        <w:trPr>
          <w:trHeight w:val="19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Increase (Decrease) in Cash, Cash Equivalents and Restricted Cash</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202"/>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at Beginning of Period</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996</w:t>
            </w:r>
          </w:p>
        </w:tc>
      </w:tr>
      <w:tr>
        <w:trPr>
          <w:trHeight w:val="221"/>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at End of Period</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7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0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0"/>
        </w:trPr>
        <w:tc>
          <w:tcPr>
            <w:tcW w:w="7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 paid, net of amount capitalized</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w:t>
            </w:r>
          </w:p>
        </w:tc>
        <w:tc>
          <w:tcPr>
            <w:tcW w:w="12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w:t>
            </w:r>
          </w:p>
        </w:tc>
        <w:tc>
          <w:tcPr>
            <w:tcW w:w="10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w:t>
            </w:r>
          </w:p>
        </w:tc>
      </w:tr>
      <w:tr>
        <w:trPr>
          <w:trHeight w:val="205"/>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Income taxes paid, net of refunds received</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2"/>
        </w:trPr>
        <w:tc>
          <w:tcPr>
            <w:tcW w:w="75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Non-cash financing activity:</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Non-cash adjustment for change in tax basis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r>
    </w:tbl>
    <w:p>
      <w:pPr>
        <w:spacing w:after="0" w:line="28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0660"/>
          </w:cols>
          <w:pgMar w:left="900" w:top="765" w:right="3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w:t>
            </w:r>
          </w:p>
        </w:tc>
        <w:tc>
          <w:tcPr>
            <w:tcW w:w="100" w:type="dxa"/>
            <w:vAlign w:val="bottom"/>
          </w:tcPr>
          <w:p>
            <w:pPr>
              <w:spacing w:after="0"/>
              <w:rPr>
                <w:sz w:val="12"/>
                <w:szCs w:val="12"/>
                <w:color w:val="auto"/>
              </w:rPr>
            </w:pPr>
          </w:p>
        </w:tc>
        <w:tc>
          <w:tcPr>
            <w:tcW w:w="880" w:type="dxa"/>
            <w:vAlign w:val="bottom"/>
            <w:vMerge w:val="restart"/>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6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100" w:type="dxa"/>
            <w:vAlign w:val="bottom"/>
          </w:tcPr>
          <w:p>
            <w:pPr>
              <w:spacing w:after="0"/>
              <w:rPr>
                <w:sz w:val="11"/>
                <w:szCs w:val="11"/>
                <w:color w:val="auto"/>
              </w:rPr>
            </w:pPr>
          </w:p>
        </w:tc>
        <w:tc>
          <w:tcPr>
            <w:tcW w:w="88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69"/>
        </w:trPr>
        <w:tc>
          <w:tcPr>
            <w:tcW w:w="4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4"/>
                <w:szCs w:val="14"/>
                <w:color w:val="auto"/>
              </w:rPr>
            </w:pPr>
          </w:p>
        </w:tc>
        <w:tc>
          <w:tcPr>
            <w:tcW w:w="88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2022</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1,792</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4,026</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39"/>
        </w:trPr>
        <w:tc>
          <w:tcPr>
            <w:tcW w:w="40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Unrealized loss on derivatives and changes in accumulated OCI,</w:t>
            </w:r>
          </w:p>
        </w:tc>
        <w:tc>
          <w:tcPr>
            <w:tcW w:w="80" w:type="dxa"/>
            <w:vAlign w:val="bottom"/>
          </w:tcPr>
          <w:p>
            <w:pPr>
              <w:spacing w:after="0"/>
              <w:rPr>
                <w:sz w:val="12"/>
                <w:szCs w:val="12"/>
                <w:color w:val="auto"/>
              </w:rPr>
            </w:pP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3"/>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Distributions to CEG, net of contributions, cash</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39"/>
        </w:trPr>
        <w:tc>
          <w:tcPr>
            <w:tcW w:w="40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Contributions from noncontrolling interests, net of distributions,</w:t>
            </w:r>
          </w:p>
        </w:tc>
        <w:tc>
          <w:tcPr>
            <w:tcW w:w="80" w:type="dxa"/>
            <w:vAlign w:val="bottom"/>
          </w:tcPr>
          <w:p>
            <w:pPr>
              <w:spacing w:after="0"/>
              <w:rPr>
                <w:sz w:val="12"/>
                <w:szCs w:val="12"/>
                <w:color w:val="auto"/>
              </w:rPr>
            </w:pPr>
          </w:p>
        </w:tc>
        <w:tc>
          <w:tcPr>
            <w:tcW w:w="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1,123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1,123</w:t>
            </w:r>
          </w:p>
        </w:tc>
        <w:tc>
          <w:tcPr>
            <w:tcW w:w="0" w:type="dxa"/>
            <w:vAlign w:val="bottom"/>
          </w:tcPr>
          <w:p>
            <w:pPr>
              <w:spacing w:after="0"/>
              <w:rPr>
                <w:sz w:val="1"/>
                <w:szCs w:val="1"/>
                <w:color w:val="auto"/>
              </w:rPr>
            </w:pPr>
          </w:p>
        </w:tc>
      </w:tr>
      <w:tr>
        <w:trPr>
          <w:trHeight w:val="193"/>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Distributions to noncontrolling interests, non-cash</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Tax-related distributions</w:t>
            </w:r>
          </w:p>
        </w:tc>
        <w:tc>
          <w:tcPr>
            <w:tcW w:w="8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Transfer of assets under common control</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9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Buyout of noncontrolling interest</w:t>
            </w:r>
          </w:p>
        </w:tc>
        <w:tc>
          <w:tcPr>
            <w:tcW w:w="8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Buyout of redeemable noncontrolling interest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adjustments for change in tax basis</w:t>
            </w:r>
          </w:p>
        </w:tc>
        <w:tc>
          <w:tcPr>
            <w:tcW w:w="8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dividends and distributions to CEG unit holders</w:t>
            </w:r>
          </w:p>
        </w:tc>
        <w:tc>
          <w:tcPr>
            <w:tcW w:w="8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20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1,732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2,893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4,994</w:t>
            </w:r>
          </w:p>
        </w:tc>
        <w:tc>
          <w:tcPr>
            <w:tcW w:w="0" w:type="dxa"/>
            <w:vAlign w:val="bottom"/>
          </w:tcPr>
          <w:p>
            <w:pPr>
              <w:spacing w:after="0"/>
              <w:rPr>
                <w:sz w:val="1"/>
                <w:szCs w:val="1"/>
                <w:color w:val="auto"/>
              </w:rPr>
            </w:pPr>
          </w:p>
        </w:tc>
      </w:tr>
      <w:tr>
        <w:trPr>
          <w:trHeight w:val="19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Unrealized loss on derivatives and changes in accumulated OCI,</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Contributions from CEG, net of distributions, cash</w:t>
            </w:r>
          </w:p>
        </w:tc>
        <w:tc>
          <w:tcPr>
            <w:tcW w:w="8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Contributions from noncontrolling interests, net of distributions,</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1,321</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w:t>
            </w: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Distributions to noncontrolling interests, non-cash</w:t>
            </w:r>
          </w:p>
        </w:tc>
        <w:tc>
          <w:tcPr>
            <w:tcW w:w="8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Tax-related distributions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Transfer of assets under common control</w:t>
            </w:r>
          </w:p>
        </w:tc>
        <w:tc>
          <w:tcPr>
            <w:tcW w:w="8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Buyout of noncontrolling interest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5"/>
        </w:trPr>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Buyout of redeemable noncontrolling interest</w:t>
            </w:r>
          </w:p>
        </w:tc>
        <w:tc>
          <w:tcPr>
            <w:tcW w:w="8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Non-cash adjustments for change in tax basis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5"/>
        </w:trPr>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 dividends and distributions to CEG unit holders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96"/>
        </w:trPr>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2024</w:t>
            </w: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1,805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3,501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5,564</w:t>
            </w:r>
          </w:p>
        </w:tc>
        <w:tc>
          <w:tcPr>
            <w:tcW w:w="0" w:type="dxa"/>
            <w:vAlign w:val="bottom"/>
          </w:tcPr>
          <w:p>
            <w:pPr>
              <w:spacing w:after="0"/>
              <w:rPr>
                <w:sz w:val="1"/>
                <w:szCs w:val="1"/>
                <w:color w:val="auto"/>
              </w:rPr>
            </w:pPr>
          </w:p>
        </w:tc>
      </w:tr>
      <w:tr>
        <w:trPr>
          <w:trHeight w:val="195"/>
        </w:trPr>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Unrealized gain (loss) on derivatives and changes in accumulated</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OCI, net of tax</w:t>
            </w: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Contributions from CEG, net of distributions, cash</w:t>
            </w:r>
          </w:p>
        </w:tc>
        <w:tc>
          <w:tcPr>
            <w:tcW w:w="8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Contributions from noncontrolling interests, net of distributions,</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708</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w:t>
            </w: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Distributions to noncontrolling interests, non-cash</w:t>
            </w:r>
          </w:p>
        </w:tc>
        <w:tc>
          <w:tcPr>
            <w:tcW w:w="8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Pro-rata distributions to CEG, cash</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5"/>
        </w:trPr>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Transfer of assets under common control</w:t>
            </w:r>
          </w:p>
        </w:tc>
        <w:tc>
          <w:tcPr>
            <w:tcW w:w="8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Buyout of noncontrolling interest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5"/>
        </w:trPr>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the issuance of Class C common stock</w:t>
            </w:r>
          </w:p>
        </w:tc>
        <w:tc>
          <w:tcPr>
            <w:tcW w:w="8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Non-cash adjustments for change in tax basis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5"/>
        </w:trPr>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6"/>
                <w:szCs w:val="16"/>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 dividends and distributions to CEG unit holders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196"/>
        </w:trPr>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2025</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5,811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0660"/>
          </w:cols>
          <w:pgMar w:left="620" w:top="765" w:right="6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Appendix Table A-1: Three Months Ended December 31, 2025, Segment Adjusted EBITDA Reconciliation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calculation of Adjusted EBITDA and provides a reconciliation to Net Income/(Loss):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20" w:type="dxa"/>
            <w:vAlign w:val="bottom"/>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53"/>
              <w:spacing w:after="0" w:line="151"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vMerge w:val="restart"/>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418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5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4"/>
        </w:trPr>
        <w:tc>
          <w:tcPr>
            <w:tcW w:w="418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Mark to Market (MtM) losses/(gains) on economic</w:t>
            </w:r>
          </w:p>
        </w:tc>
        <w:tc>
          <w:tcPr>
            <w:tcW w:w="5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hedges</w:t>
            </w:r>
          </w:p>
        </w:tc>
        <w:tc>
          <w:tcPr>
            <w:tcW w:w="5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non-recurring</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84"/>
        </w:trPr>
        <w:tc>
          <w:tcPr>
            <w:tcW w:w="418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5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0" w:type="dxa"/>
            <w:vAlign w:val="bottom"/>
          </w:tcPr>
          <w:p>
            <w:pPr>
              <w:spacing w:after="0"/>
              <w:rPr>
                <w:sz w:val="1"/>
                <w:szCs w:val="1"/>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Table A-2: Three Months Ended December 31, 2024, Segment Adjusted EBITDA Reconciliation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calculation of Adjusted EBITDA and provides a reconciliation to Net Income/(Loss):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73"/>
              <w:spacing w:after="0" w:line="151"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vMerge w:val="restart"/>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418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 to Market (MtM) losses on economic hedges</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5"/>
        </w:trPr>
        <w:tc>
          <w:tcPr>
            <w:tcW w:w="41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5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5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4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761"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Appendix Table A-3: Twelve Months Ended December 31, 2025, Segment Adjusted EBITDA Reconciliation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calculation of Adjusted EBITDA and provides a reconciliation to Net Income/(Loss):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20" w:type="dxa"/>
            <w:vAlign w:val="bottom"/>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54"/>
              <w:spacing w:after="0" w:line="151"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vMerge w:val="restart"/>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418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5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84"/>
        </w:trPr>
        <w:tc>
          <w:tcPr>
            <w:tcW w:w="418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Mark to Market (MtM) losses/(gains) on economic</w:t>
            </w: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hedges</w:t>
            </w: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non-recurring</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84"/>
        </w:trPr>
        <w:tc>
          <w:tcPr>
            <w:tcW w:w="418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5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5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4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Table A-4: Twelve Months Ended December 31, 2024, Segment Adjusted EBITDA Reconciliation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calculation of Adjusted EBITDA and provides a reconciliation to Net Income/(Loss):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Flexible Generation</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72"/>
              <w:spacing w:after="0" w:line="151" w:lineRule="exact"/>
              <w:rPr>
                <w:sz w:val="20"/>
                <w:szCs w:val="20"/>
                <w:color w:val="auto"/>
              </w:rPr>
            </w:pPr>
            <w:r>
              <w:rPr>
                <w:rFonts w:ascii="Times New Roman" w:cs="Times New Roman" w:eastAsia="Times New Roman" w:hAnsi="Times New Roman"/>
                <w:sz w:val="14"/>
                <w:szCs w:val="14"/>
                <w:b w:val="1"/>
                <w:bCs w:val="1"/>
                <w:color w:val="auto"/>
              </w:rPr>
              <w:t>Renewables &amp;</w:t>
            </w: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vMerge w:val="restart"/>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418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175"/>
        </w:trPr>
        <w:tc>
          <w:tcPr>
            <w:tcW w:w="41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Impairment losses and impairment on equity</w:t>
            </w: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w:t>
            </w:r>
          </w:p>
        </w:tc>
        <w:tc>
          <w:tcPr>
            <w:tcW w:w="5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5"/>
        </w:trPr>
        <w:tc>
          <w:tcPr>
            <w:tcW w:w="41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Mark to Market (MtM) losses/(gains) on economic</w:t>
            </w: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hedges</w:t>
            </w:r>
          </w:p>
        </w:tc>
        <w:tc>
          <w:tcPr>
            <w:tcW w:w="5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non-recurring</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75"/>
        </w:trPr>
        <w:tc>
          <w:tcPr>
            <w:tcW w:w="41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948</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1,146</w:t>
            </w:r>
          </w:p>
        </w:tc>
        <w:tc>
          <w:tcPr>
            <w:tcW w:w="0" w:type="dxa"/>
            <w:vAlign w:val="bottom"/>
          </w:tcPr>
          <w:p>
            <w:pPr>
              <w:spacing w:after="0"/>
              <w:rPr>
                <w:sz w:val="1"/>
                <w:szCs w:val="1"/>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3"/>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761"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Appendix Table A-5: Cash Available for Distribution Reconciliation</w:t>
      </w:r>
    </w:p>
    <w:p>
      <w:pPr>
        <w:spacing w:after="0" w:line="32"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20"/>
          <w:szCs w:val="20"/>
          <w:color w:val="auto"/>
        </w:rPr>
        <w:t>The following table summarizes the calculation of Cash Available for Distribution and provides a reconciliation to Cash from Operating Activities: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9"/>
                <w:szCs w:val="19"/>
                <w:color w:val="auto"/>
              </w:rPr>
            </w:pPr>
          </w:p>
        </w:tc>
        <w:tc>
          <w:tcPr>
            <w:tcW w:w="21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12/31/25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12/31/24</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12/31/25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12/31/24</w:t>
            </w:r>
          </w:p>
        </w:tc>
      </w:tr>
      <w:tr>
        <w:trPr>
          <w:trHeight w:val="223"/>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w:t>
            </w:r>
          </w:p>
        </w:tc>
      </w:tr>
      <w:tr>
        <w:trPr>
          <w:trHeight w:val="250"/>
        </w:trPr>
        <w:tc>
          <w:tcPr>
            <w:tcW w:w="5060" w:type="dxa"/>
            <w:vAlign w:val="bottom"/>
          </w:tcPr>
          <w:p>
            <w:pPr>
              <w:ind w:left="180"/>
              <w:spacing w:after="0" w:line="250" w:lineRule="exact"/>
              <w:rPr>
                <w:sz w:val="20"/>
                <w:szCs w:val="20"/>
                <w:color w:val="auto"/>
              </w:rPr>
            </w:pPr>
            <w:r>
              <w:rPr>
                <w:rFonts w:ascii="Times New Roman" w:cs="Times New Roman" w:eastAsia="Times New Roman" w:hAnsi="Times New Roman"/>
                <w:sz w:val="18"/>
                <w:szCs w:val="18"/>
                <w:color w:val="auto"/>
              </w:rPr>
              <w:t>Cash interest paid</w:t>
            </w:r>
            <w:r>
              <w:rPr>
                <w:rFonts w:ascii="Times New Roman" w:cs="Times New Roman" w:eastAsia="Times New Roman" w:hAnsi="Times New Roman"/>
                <w:sz w:val="23"/>
                <w:szCs w:val="23"/>
                <w:color w:val="auto"/>
                <w:vertAlign w:val="superscript"/>
              </w:rPr>
              <w:t>3</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3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75"/>
        </w:trPr>
        <w:tc>
          <w:tcPr>
            <w:tcW w:w="50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Adjustments to reflect sale-type leases and payments for lease</w:t>
            </w: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Pro-rata Adjusted EBITDA from unconsolidated affiliates</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payments</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transferable tax credits</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working capital and other</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770</w:t>
            </w:r>
          </w:p>
        </w:tc>
      </w:tr>
      <w:tr>
        <w:trPr>
          <w:trHeight w:val="22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working capital and other</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 w:lineRule="exact"/>
        <w:rPr>
          <w:sz w:val="20"/>
          <w:szCs w:val="20"/>
          <w:color w:val="auto"/>
        </w:rPr>
      </w:pPr>
    </w:p>
    <w:p>
      <w:pPr>
        <w:sectPr>
          <w:pgSz w:w="11900" w:h="16838" w:orient="portrait"/>
          <w:cols w:equalWidth="0" w:num="1">
            <w:col w:w="11160"/>
          </w:cols>
          <w:pgMar w:left="320" w:top="761" w:right="419" w:bottom="1440" w:gutter="0" w:footer="0" w:header="0"/>
        </w:sectPr>
      </w:pPr>
    </w:p>
    <w:p>
      <w:pPr>
        <w:ind w:left="180"/>
        <w:spacing w:after="0" w:line="236" w:lineRule="auto"/>
        <w:rPr>
          <w:sz w:val="20"/>
          <w:szCs w:val="20"/>
          <w:color w:val="auto"/>
        </w:rPr>
      </w:pPr>
      <w:r>
        <w:rPr>
          <w:rFonts w:ascii="Times New Roman" w:cs="Times New Roman" w:eastAsia="Times New Roman" w:hAnsi="Times New Roman"/>
          <w:sz w:val="18"/>
          <w:szCs w:val="18"/>
          <w:color w:val="auto"/>
        </w:rPr>
        <w:t>Return of investment from unconsolidated affiliates</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591935" cy="162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91935" cy="1625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Net contributions (to)/from non-controlling interest</w:t>
      </w:r>
      <w:r>
        <w:rPr>
          <w:rFonts w:ascii="Times New Roman" w:cs="Times New Roman" w:eastAsia="Times New Roman" w:hAnsi="Times New Roman"/>
          <w:sz w:val="23"/>
          <w:szCs w:val="23"/>
          <w:color w:val="auto"/>
          <w:vertAlign w:val="superscript"/>
        </w:rPr>
        <w:t>5</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receipts from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591935"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91935"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Maintenance capital expenditures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Principal amortization of indebtedness</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591935"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91935" cy="15430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Available for Distribution before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1319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ind w:left="180" w:right="300"/>
        <w:spacing w:after="0" w:line="226" w:lineRule="auto"/>
        <w:rPr>
          <w:sz w:val="20"/>
          <w:szCs w:val="20"/>
          <w:color w:val="auto"/>
        </w:rPr>
      </w:pPr>
      <w:r>
        <w:rPr>
          <w:rFonts w:ascii="Times New Roman" w:cs="Times New Roman" w:eastAsia="Times New Roman" w:hAnsi="Times New Roman"/>
          <w:sz w:val="18"/>
          <w:szCs w:val="18"/>
          <w:color w:val="auto"/>
        </w:rPr>
        <w:t>2025 Impact of drop down from timing of construction debt service and pre-funded expenditures; 2024 Impact of drop down from timing of construction debt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591935"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91935" cy="171450"/>
                    </a:xfrm>
                    <a:prstGeom prst="rect">
                      <a:avLst/>
                    </a:prstGeom>
                    <a:noFill/>
                  </pic:spPr>
                </pic:pic>
              </a:graphicData>
            </a:graphic>
          </wp:anchor>
        </w:drawing>
      </w:r>
    </w:p>
    <w:p>
      <w:pPr>
        <w:ind w:left="20"/>
        <w:spacing w:after="0"/>
        <w:tabs>
          <w:tab w:leader="none" w:pos="5260" w:val="left"/>
        </w:tabs>
        <w:rPr>
          <w:sz w:val="20"/>
          <w:szCs w:val="20"/>
          <w:color w:val="auto"/>
        </w:rPr>
      </w:pPr>
      <w:r>
        <w:rPr>
          <w:rFonts w:ascii="Times New Roman" w:cs="Times New Roman" w:eastAsia="Times New Roman" w:hAnsi="Times New Roman"/>
          <w:sz w:val="18"/>
          <w:szCs w:val="18"/>
          <w:b w:val="1"/>
          <w:bCs w:val="1"/>
          <w:color w:val="auto"/>
        </w:rPr>
        <w:t>Cash Available for Distribution</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22631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33343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2"/>
        </w:trPr>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(44)</w:t>
            </w: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(84)</w:t>
            </w:r>
          </w:p>
        </w:tc>
        <w:tc>
          <w:tcPr>
            <w:tcW w:w="5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3"/>
        </w:trPr>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r>
      <w:tr>
        <w:trPr>
          <w:trHeight w:val="587"/>
        </w:trPr>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r>
      <w:tr>
        <w:trPr>
          <w:trHeight w:val="20"/>
        </w:trPr>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-8255</wp:posOffset>
            </wp:positionV>
            <wp:extent cx="7969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720"/>
            <w:col w:w="4980"/>
          </w:cols>
          <w:pgMar w:left="320" w:top="761" w:right="419" w:bottom="1440" w:gutter="0" w:footer="0" w:header="0"/>
          <w:type w:val="continuous"/>
        </w:sectPr>
      </w:pPr>
    </w:p>
    <w:p>
      <w:pPr>
        <w:spacing w:after="0" w:line="93"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2024 includes $9 million related to swap breakage receipts in connection with the NIMH refinancing</w:t>
      </w:r>
    </w:p>
    <w:p>
      <w:pPr>
        <w:ind w:left="120" w:hanging="112"/>
        <w:spacing w:after="0" w:line="183" w:lineRule="auto"/>
        <w:tabs>
          <w:tab w:leader="none" w:pos="12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2024 excludes $28 million related to Rosamond Central BESS return of capital at substantial completion funding</w:t>
      </w:r>
    </w:p>
    <w:p>
      <w:pPr>
        <w:spacing w:after="0" w:line="28" w:lineRule="exact"/>
        <w:rPr>
          <w:sz w:val="20"/>
          <w:szCs w:val="20"/>
          <w:color w:val="auto"/>
        </w:rPr>
      </w:pPr>
    </w:p>
    <w:p>
      <w:pPr>
        <w:ind w:firstLine="8"/>
        <w:spacing w:after="0" w:line="199" w:lineRule="auto"/>
        <w:tabs>
          <w:tab w:leader="none" w:pos="13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2025 excludes $1,230 million of net contributions primarily related to Dan’s Mountain, Honeycomb Phase I , Luna Valley, Pine Forest and Rosamond South I; 2024 excludes $1,441 million of contributions primarily related to the funding of Texas Solar Nova 2, Rosamond Central Battery Storage, Victory Pass, Arica, Cedar Creek and Cedro Hill.</w:t>
      </w:r>
    </w:p>
    <w:p>
      <w:pPr>
        <w:ind w:right="120"/>
        <w:spacing w:after="0" w:line="270"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9"/>
          <w:szCs w:val="9"/>
          <w:color w:val="auto"/>
        </w:rPr>
        <w:t xml:space="preserve">6 </w:t>
      </w:r>
      <w:r>
        <w:rPr>
          <w:rFonts w:ascii="Times New Roman" w:cs="Times New Roman" w:eastAsia="Times New Roman" w:hAnsi="Times New Roman"/>
          <w:sz w:val="14"/>
          <w:szCs w:val="14"/>
          <w:color w:val="auto"/>
        </w:rPr>
        <w:t>2025 excludes $1,030 million for the repayment of bridge loans in connection with Dan’s Mountain, Luna Valley, Pine Forest, Rosamond South I and $112 million for the refinancing of</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Buckthorn Solar; 2024 excludes $1,391 million for the repayment of bridge loans in connection with Texas Solar Nova 2, Rosamond Central Battery Storage, Victory Pass, Arica, Cedar Creek and Dan’s Mountain and $291 million for the refinancing of NIMH Solar and Capistrano Portfolio.</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160"/>
          </w:cols>
          <w:pgMar w:left="320" w:top="761" w:right="419" w:bottom="1440" w:gutter="0" w:footer="0" w:header="0"/>
          <w:type w:val="continuous"/>
        </w:sectPr>
      </w:pPr>
    </w:p>
    <w:bookmarkStart w:id="17" w:name="page18"/>
    <w:bookmarkEnd w:id="17"/>
    <w:p>
      <w:pPr>
        <w:ind w:right="2179"/>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Appendix Table A-6: Twelve Months Ended December 31, 2025, Sources and Uses of Liquidity </w:t>
      </w:r>
      <w:r>
        <w:rPr>
          <w:rFonts w:ascii="Times New Roman" w:cs="Times New Roman" w:eastAsia="Times New Roman" w:hAnsi="Times New Roman"/>
          <w:sz w:val="20"/>
          <w:szCs w:val="20"/>
          <w:color w:val="auto"/>
        </w:rPr>
        <w:t>The following table summarizes the sources and uses of liquidity in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Twelve Months</w:t>
            </w:r>
          </w:p>
        </w:tc>
      </w:tr>
      <w:tr>
        <w:trPr>
          <w:trHeight w:val="229"/>
        </w:trPr>
        <w:tc>
          <w:tcPr>
            <w:tcW w:w="49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2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12/31/25</w:t>
            </w:r>
          </w:p>
        </w:tc>
      </w:tr>
      <w:tr>
        <w:trPr>
          <w:trHeight w:val="20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Sources:</w:t>
            </w:r>
          </w:p>
        </w:tc>
        <w:tc>
          <w:tcPr>
            <w:tcW w:w="16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3"/>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Contributions from noncontrolling interests, net of distributions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r>
      <w:tr>
        <w:trPr>
          <w:trHeight w:val="219"/>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revolving credit facility</w:t>
            </w:r>
          </w:p>
        </w:tc>
        <w:tc>
          <w:tcPr>
            <w:tcW w:w="16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r>
      <w:tr>
        <w:trPr>
          <w:trHeight w:val="213"/>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219"/>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6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r>
      <w:tr>
        <w:trPr>
          <w:trHeight w:val="213"/>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transfer of assets</w:t>
            </w:r>
          </w:p>
        </w:tc>
        <w:tc>
          <w:tcPr>
            <w:tcW w:w="16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9"/>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16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Return of investments from unconsolidated affiliates</w:t>
            </w:r>
          </w:p>
        </w:tc>
        <w:tc>
          <w:tcPr>
            <w:tcW w:w="16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49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r>
      <w:tr>
        <w:trPr>
          <w:trHeight w:val="214"/>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Uses:</w:t>
            </w:r>
          </w:p>
        </w:tc>
        <w:tc>
          <w:tcPr>
            <w:tcW w:w="16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8"/>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for long-term debt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w:t>
            </w:r>
          </w:p>
        </w:tc>
      </w:tr>
      <w:tr>
        <w:trPr>
          <w:trHeight w:val="213"/>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dividends and distributions</w:t>
            </w:r>
          </w:p>
        </w:tc>
        <w:tc>
          <w:tcPr>
            <w:tcW w:w="16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19"/>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for the revolving credit facility</w:t>
            </w:r>
          </w:p>
        </w:tc>
        <w:tc>
          <w:tcPr>
            <w:tcW w:w="16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13"/>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16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219"/>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 of Drop Down Assets, net of cash acquired</w:t>
            </w:r>
          </w:p>
        </w:tc>
        <w:tc>
          <w:tcPr>
            <w:tcW w:w="16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13"/>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16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19"/>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for equipment deposit and asset purchase from affiliate</w:t>
            </w:r>
          </w:p>
        </w:tc>
        <w:tc>
          <w:tcPr>
            <w:tcW w:w="16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net cash outflows</w:t>
            </w:r>
          </w:p>
        </w:tc>
        <w:tc>
          <w:tcPr>
            <w:tcW w:w="16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53"/>
        </w:trPr>
        <w:tc>
          <w:tcPr>
            <w:tcW w:w="49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spacing w:after="0"/>
              <w:rPr>
                <w:sz w:val="21"/>
                <w:szCs w:val="21"/>
                <w:color w:val="auto"/>
              </w:rPr>
            </w:pPr>
          </w:p>
        </w:tc>
      </w:tr>
      <w:tr>
        <w:trPr>
          <w:trHeight w:val="223"/>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total cash, cash equivalents, and restricted cash</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r>
      <w:tr>
        <w:trPr>
          <w:trHeight w:val="480"/>
        </w:trPr>
        <w:tc>
          <w:tcPr>
            <w:tcW w:w="4960" w:type="dxa"/>
            <w:vAlign w:val="bottom"/>
          </w:tcPr>
          <w:p>
            <w:pPr>
              <w:spacing w:after="0"/>
              <w:rPr>
                <w:sz w:val="24"/>
                <w:szCs w:val="24"/>
                <w:color w:val="auto"/>
              </w:rPr>
            </w:pPr>
          </w:p>
        </w:tc>
        <w:tc>
          <w:tcPr>
            <w:tcW w:w="160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15</w:t>
            </w:r>
          </w:p>
        </w:tc>
        <w:tc>
          <w:tcPr>
            <w:tcW w:w="15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139"/>
      </w:cols>
      <w:pgMar w:left="320" w:top="7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3"/>
      <w:numFmt w:val="bullet"/>
      <w:start w:val="1"/>
    </w:lvl>
  </w:abstractNum>
  <w:abstractNum w:abstractNumId="7">
    <w:nsid w:val="515F007C"/>
    <w:multiLevelType w:val="hybridMultilevel"/>
    <w:lvl w:ilvl="0">
      <w:lvlJc w:val="left"/>
      <w:lvlText w:val="4"/>
      <w:numFmt w:val="bullet"/>
      <w:start w:val="1"/>
    </w:lvl>
  </w:abstractNum>
  <w:abstractNum w:abstractNumId="8">
    <w:nsid w:val="5BD062C2"/>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2026-02-23T15:30:56Z</dcterms:created>
  <dcterms:modified xsi:type="dcterms:W3CDTF">2026-02-23T15:30:56Z</dcterms:modified>
</cp:coreProperties>
</file>