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117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1175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Ford Brian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06/01/2024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95"/>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06/01/2024</w:t>
            </w: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jc w:val="center"/>
              <w:ind w:left="51"/>
              <w:spacing w:after="0"/>
              <w:rPr>
                <w:sz w:val="20"/>
                <w:szCs w:val="20"/>
                <w:color w:val="auto"/>
              </w:rPr>
            </w:pPr>
            <w:r>
              <w:rPr>
                <w:rFonts w:ascii="Times New Roman" w:cs="Times New Roman" w:eastAsia="Times New Roman" w:hAnsi="Times New Roman"/>
                <w:sz w:val="17"/>
                <w:szCs w:val="17"/>
                <w:color w:val="0000FF"/>
                <w:w w:val="93"/>
              </w:rPr>
              <w:t>5,358</w:t>
            </w:r>
            <w:r>
              <w:rPr>
                <w:rFonts w:ascii="Times New Roman" w:cs="Times New Roman" w:eastAsia="Times New Roman" w:hAnsi="Times New Roman"/>
                <w:sz w:val="22"/>
                <w:szCs w:val="22"/>
                <w:color w:val="008000"/>
                <w:w w:val="93"/>
                <w:vertAlign w:val="superscript"/>
              </w:rPr>
              <w:t>(1)</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008000"/>
              </w:rPr>
              <w:t>(2)</w:t>
            </w:r>
          </w:p>
        </w:tc>
        <w:tc>
          <w:tcPr>
            <w:tcW w:w="80" w:type="dxa"/>
            <w:vAlign w:val="bottom"/>
          </w:tcPr>
          <w:p>
            <w:pPr>
              <w:spacing w:after="0"/>
              <w:rPr>
                <w:sz w:val="21"/>
                <w:szCs w:val="21"/>
                <w:color w:val="auto"/>
              </w:rPr>
            </w:pPr>
          </w:p>
        </w:tc>
        <w:tc>
          <w:tcPr>
            <w:tcW w:w="1380" w:type="dxa"/>
            <w:vAlign w:val="bottom"/>
            <w:gridSpan w:val="3"/>
            <w:vMerge w:val="restart"/>
          </w:tcPr>
          <w:p>
            <w:pPr>
              <w:jc w:val="center"/>
              <w:ind w:left="27"/>
              <w:spacing w:after="0"/>
              <w:rPr>
                <w:sz w:val="20"/>
                <w:szCs w:val="20"/>
                <w:color w:val="auto"/>
              </w:rPr>
            </w:pPr>
            <w:r>
              <w:rPr>
                <w:rFonts w:ascii="Times New Roman" w:cs="Times New Roman" w:eastAsia="Times New Roman" w:hAnsi="Times New Roman"/>
                <w:sz w:val="17"/>
                <w:szCs w:val="17"/>
                <w:color w:val="0000FF"/>
              </w:rPr>
              <w:t>74,531</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bottom w:val="single" w:sz="8" w:color="2C2C2C"/>
            </w:tcBorders>
            <w:gridSpan w:val="4"/>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 $.01</w:t>
            </w: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06/03/2024</w:t>
            </w: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jc w:val="center"/>
              <w:ind w:left="31"/>
              <w:spacing w:after="0"/>
              <w:rPr>
                <w:sz w:val="20"/>
                <w:szCs w:val="20"/>
                <w:color w:val="auto"/>
              </w:rPr>
            </w:pPr>
            <w:r>
              <w:rPr>
                <w:rFonts w:ascii="Times New Roman" w:cs="Times New Roman" w:eastAsia="Times New Roman" w:hAnsi="Times New Roman"/>
                <w:sz w:val="17"/>
                <w:szCs w:val="17"/>
                <w:color w:val="0000FF"/>
              </w:rPr>
              <w:t>125</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008000"/>
              </w:rPr>
              <w:t>(3)</w:t>
            </w:r>
          </w:p>
        </w:tc>
        <w:tc>
          <w:tcPr>
            <w:tcW w:w="80" w:type="dxa"/>
            <w:vAlign w:val="bottom"/>
          </w:tcPr>
          <w:p>
            <w:pPr>
              <w:spacing w:after="0"/>
              <w:rPr>
                <w:sz w:val="21"/>
                <w:szCs w:val="21"/>
                <w:color w:val="auto"/>
              </w:rPr>
            </w:pPr>
          </w:p>
        </w:tc>
        <w:tc>
          <w:tcPr>
            <w:tcW w:w="1380" w:type="dxa"/>
            <w:vAlign w:val="bottom"/>
            <w:gridSpan w:val="3"/>
            <w:vMerge w:val="restart"/>
          </w:tcPr>
          <w:p>
            <w:pPr>
              <w:jc w:val="center"/>
              <w:ind w:left="27"/>
              <w:spacing w:after="0"/>
              <w:rPr>
                <w:sz w:val="20"/>
                <w:szCs w:val="20"/>
                <w:color w:val="auto"/>
              </w:rPr>
            </w:pPr>
            <w:r>
              <w:rPr>
                <w:rFonts w:ascii="Times New Roman" w:cs="Times New Roman" w:eastAsia="Times New Roman" w:hAnsi="Times New Roman"/>
                <w:sz w:val="17"/>
                <w:szCs w:val="17"/>
                <w:color w:val="0000FF"/>
                <w:w w:val="93"/>
              </w:rPr>
              <w:t>8,901</w:t>
            </w:r>
            <w:r>
              <w:rPr>
                <w:rFonts w:ascii="Times New Roman" w:cs="Times New Roman" w:eastAsia="Times New Roman" w:hAnsi="Times New Roman"/>
                <w:sz w:val="22"/>
                <w:szCs w:val="22"/>
                <w:color w:val="008000"/>
                <w:w w:val="93"/>
                <w:vertAlign w:val="superscript"/>
              </w:rPr>
              <w:t>(4)</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bottom w:val="single" w:sz="8" w:color="2C2C2C"/>
            </w:tcBorders>
            <w:gridSpan w:val="4"/>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06/03/2024</w:t>
            </w: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jc w:val="center"/>
              <w:ind w:left="51"/>
              <w:spacing w:after="0"/>
              <w:rPr>
                <w:sz w:val="20"/>
                <w:szCs w:val="20"/>
                <w:color w:val="auto"/>
              </w:rPr>
            </w:pPr>
            <w:r>
              <w:rPr>
                <w:rFonts w:ascii="Times New Roman" w:cs="Times New Roman" w:eastAsia="Times New Roman" w:hAnsi="Times New Roman"/>
                <w:sz w:val="17"/>
                <w:szCs w:val="17"/>
                <w:color w:val="0000FF"/>
              </w:rPr>
              <w:t>1,108</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008000"/>
              </w:rPr>
              <w:t>(3)</w:t>
            </w:r>
          </w:p>
        </w:tc>
        <w:tc>
          <w:tcPr>
            <w:tcW w:w="80" w:type="dxa"/>
            <w:vAlign w:val="bottom"/>
          </w:tcPr>
          <w:p>
            <w:pPr>
              <w:spacing w:after="0"/>
              <w:rPr>
                <w:sz w:val="21"/>
                <w:szCs w:val="21"/>
                <w:color w:val="auto"/>
              </w:rPr>
            </w:pPr>
          </w:p>
        </w:tc>
        <w:tc>
          <w:tcPr>
            <w:tcW w:w="1380" w:type="dxa"/>
            <w:vAlign w:val="bottom"/>
            <w:gridSpan w:val="3"/>
            <w:vMerge w:val="restart"/>
          </w:tcPr>
          <w:p>
            <w:pPr>
              <w:jc w:val="center"/>
              <w:ind w:left="27"/>
              <w:spacing w:after="0"/>
              <w:rPr>
                <w:sz w:val="20"/>
                <w:szCs w:val="20"/>
                <w:color w:val="auto"/>
              </w:rPr>
            </w:pPr>
            <w:r>
              <w:rPr>
                <w:rFonts w:ascii="Times New Roman" w:cs="Times New Roman" w:eastAsia="Times New Roman" w:hAnsi="Times New Roman"/>
                <w:sz w:val="17"/>
                <w:szCs w:val="17"/>
                <w:color w:val="0000FF"/>
                <w:w w:val="93"/>
              </w:rPr>
              <w:t>75,639</w:t>
            </w:r>
            <w:r>
              <w:rPr>
                <w:rFonts w:ascii="Times New Roman" w:cs="Times New Roman" w:eastAsia="Times New Roman" w:hAnsi="Times New Roman"/>
                <w:sz w:val="22"/>
                <w:szCs w:val="22"/>
                <w:color w:val="008000"/>
                <w:w w:val="93"/>
                <w:vertAlign w:val="superscript"/>
              </w:rPr>
              <w:t>(5)</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bottom w:val="single" w:sz="8" w:color="2C2C2C"/>
            </w:tcBorders>
            <w:gridSpan w:val="4"/>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left="27"/>
              <w:spacing w:after="0"/>
              <w:rPr>
                <w:sz w:val="20"/>
                <w:szCs w:val="20"/>
                <w:color w:val="auto"/>
              </w:rPr>
            </w:pPr>
            <w:r>
              <w:rPr>
                <w:rFonts w:ascii="Times New Roman" w:cs="Times New Roman" w:eastAsia="Times New Roman" w:hAnsi="Times New Roman"/>
                <w:sz w:val="17"/>
                <w:szCs w:val="17"/>
                <w:color w:val="0000FF"/>
              </w:rPr>
              <w:t>1,000</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780" w:type="dxa"/>
            <w:vAlign w:val="bottom"/>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5,358 Deferred Stock Units issued to the Reporting Person by Clearway Energy, Inc. under Clearway Energy, Inc.'s Amended and Restated 2013 Equity Incentive Plan.</w:t>
      </w:r>
    </w:p>
    <w:p>
      <w:pPr>
        <w:spacing w:after="0" w:line="5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Stock Unit is equivalent in value to one share of Clearway Energy, Inc.'s Class C Common Stock, par value $.01 per share. The Reporting Person will receive from Clearway Energy, Inc. one such share of Class C Common Stock for each Deferred Stock Unit he owns upon termination of his service on Clearway Energy, Inc.'s Board of Directors.</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3,354 dividend equivalent rights that may only be settled in Class A Common Stock.</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18,129 dividend equivalent rights that may only be settled in Class C Common Stock.</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Reporting Person's spouse.</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06/04/2024</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58874"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2024-06-04T15:50:30Z</dcterms:created>
  <dcterms:modified xsi:type="dcterms:W3CDTF">2024-06-04T15:50:30Z</dcterms:modified>
</cp:coreProperties>
</file>