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81"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1049020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11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3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6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FORM 8-K</w:t>
      </w:r>
    </w:p>
    <w:p>
      <w:pPr>
        <w:spacing w:after="0" w:line="15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31F20"/>
        </w:rPr>
        <w:t>Pursuant to Section 13 OR 15(d) of The Securities Exchange Act of 1934</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February 24, 2025</w:t>
      </w:r>
    </w:p>
    <w:p>
      <w:pPr>
        <w:spacing w:after="0" w:line="1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CLEARWAY ENERGY, INC.</w:t>
      </w:r>
    </w:p>
    <w:p>
      <w:pPr>
        <w:spacing w:after="0" w:line="7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113" w:lineRule="exact"/>
        <w:rPr>
          <w:sz w:val="24"/>
          <w:szCs w:val="24"/>
          <w:color w:val="auto"/>
        </w:rPr>
      </w:pPr>
    </w:p>
    <w:tbl>
      <w:tblPr>
        <w:tblLayout w:type="fixed"/>
        <w:tblInd w:w="300" w:type="dxa"/>
        <w:tblCellMar>
          <w:top w:w="0" w:type="dxa"/>
          <w:left w:w="0" w:type="dxa"/>
          <w:bottom w:w="0" w:type="dxa"/>
          <w:right w:w="0" w:type="dxa"/>
        </w:tblCellMar>
      </w:tblPr>
      <w:tr>
        <w:trPr>
          <w:trHeight w:val="252"/>
        </w:trPr>
        <w:tc>
          <w:tcPr>
            <w:tcW w:w="3680" w:type="dxa"/>
            <w:vAlign w:val="bottom"/>
          </w:tcPr>
          <w:p>
            <w:pPr>
              <w:jc w:val="center"/>
              <w:ind w:right="31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060" w:type="dxa"/>
            <w:vAlign w:val="bottom"/>
          </w:tcPr>
          <w:p>
            <w:pPr>
              <w:jc w:val="right"/>
              <w:ind w:right="1210"/>
              <w:spacing w:after="0"/>
              <w:rPr>
                <w:sz w:val="20"/>
                <w:szCs w:val="20"/>
                <w:color w:val="auto"/>
              </w:rPr>
            </w:pPr>
            <w:r>
              <w:rPr>
                <w:rFonts w:ascii="Times New Roman" w:cs="Times New Roman" w:eastAsia="Times New Roman" w:hAnsi="Times New Roman"/>
                <w:sz w:val="18"/>
                <w:szCs w:val="18"/>
                <w:b w:val="1"/>
                <w:bCs w:val="1"/>
                <w:color w:val="auto"/>
              </w:rPr>
              <w:t>001-36002</w:t>
            </w:r>
          </w:p>
        </w:tc>
        <w:tc>
          <w:tcPr>
            <w:tcW w:w="3300" w:type="dxa"/>
            <w:vAlign w:val="bottom"/>
          </w:tcPr>
          <w:p>
            <w:pPr>
              <w:jc w:val="right"/>
              <w:ind w:right="790"/>
              <w:spacing w:after="0"/>
              <w:rPr>
                <w:sz w:val="20"/>
                <w:szCs w:val="20"/>
                <w:color w:val="auto"/>
              </w:rPr>
            </w:pPr>
            <w:r>
              <w:rPr>
                <w:rFonts w:ascii="Times New Roman" w:cs="Times New Roman" w:eastAsia="Times New Roman" w:hAnsi="Times New Roman"/>
                <w:sz w:val="18"/>
                <w:szCs w:val="18"/>
                <w:b w:val="1"/>
                <w:bCs w:val="1"/>
                <w:color w:val="auto"/>
              </w:rPr>
              <w:t>46-1777204</w:t>
            </w:r>
          </w:p>
        </w:tc>
        <w:tc>
          <w:tcPr>
            <w:tcW w:w="0" w:type="dxa"/>
            <w:vAlign w:val="bottom"/>
          </w:tcPr>
          <w:p>
            <w:pPr>
              <w:spacing w:after="0"/>
              <w:rPr>
                <w:sz w:val="1"/>
                <w:szCs w:val="1"/>
                <w:color w:val="auto"/>
              </w:rPr>
            </w:pPr>
          </w:p>
        </w:tc>
      </w:tr>
      <w:tr>
        <w:trPr>
          <w:trHeight w:val="202"/>
        </w:trPr>
        <w:tc>
          <w:tcPr>
            <w:tcW w:w="3680" w:type="dxa"/>
            <w:vAlign w:val="bottom"/>
          </w:tcPr>
          <w:p>
            <w:pPr>
              <w:jc w:val="center"/>
              <w:ind w:right="290"/>
              <w:spacing w:after="0" w:line="202" w:lineRule="exact"/>
              <w:rPr>
                <w:sz w:val="20"/>
                <w:szCs w:val="20"/>
                <w:color w:val="auto"/>
              </w:rPr>
            </w:pPr>
            <w:r>
              <w:rPr>
                <w:rFonts w:ascii="Times New Roman" w:cs="Times New Roman" w:eastAsia="Times New Roman" w:hAnsi="Times New Roman"/>
                <w:sz w:val="18"/>
                <w:szCs w:val="18"/>
                <w:color w:val="auto"/>
                <w:w w:val="99"/>
              </w:rPr>
              <w:t>(State or other jurisdiction of incorporation or</w:t>
            </w:r>
          </w:p>
        </w:tc>
        <w:tc>
          <w:tcPr>
            <w:tcW w:w="3060" w:type="dxa"/>
            <w:vAlign w:val="bottom"/>
            <w:vMerge w:val="restart"/>
          </w:tcPr>
          <w:p>
            <w:pPr>
              <w:jc w:val="center"/>
              <w:ind w:right="230"/>
              <w:spacing w:after="0"/>
              <w:rPr>
                <w:sz w:val="20"/>
                <w:szCs w:val="20"/>
                <w:color w:val="auto"/>
              </w:rPr>
            </w:pPr>
            <w:r>
              <w:rPr>
                <w:rFonts w:ascii="Times New Roman" w:cs="Times New Roman" w:eastAsia="Times New Roman" w:hAnsi="Times New Roman"/>
                <w:sz w:val="18"/>
                <w:szCs w:val="18"/>
                <w:color w:val="auto"/>
                <w:w w:val="99"/>
              </w:rPr>
              <w:t>(Commission File Number)</w:t>
            </w:r>
          </w:p>
        </w:tc>
        <w:tc>
          <w:tcPr>
            <w:tcW w:w="3300" w:type="dxa"/>
            <w:vAlign w:val="bottom"/>
            <w:vMerge w:val="restart"/>
          </w:tcPr>
          <w:p>
            <w:pPr>
              <w:jc w:val="center"/>
              <w:ind w:left="590"/>
              <w:spacing w:after="0"/>
              <w:rPr>
                <w:sz w:val="20"/>
                <w:szCs w:val="20"/>
                <w:color w:val="auto"/>
              </w:rPr>
            </w:pPr>
            <w:r>
              <w:rPr>
                <w:rFonts w:ascii="Times New Roman" w:cs="Times New Roman" w:eastAsia="Times New Roman" w:hAnsi="Times New Roman"/>
                <w:sz w:val="18"/>
                <w:szCs w:val="18"/>
                <w:color w:val="auto"/>
              </w:rPr>
              <w:t>(I.R.S. Employer Identification No.)</w:t>
            </w:r>
          </w:p>
        </w:tc>
        <w:tc>
          <w:tcPr>
            <w:tcW w:w="0" w:type="dxa"/>
            <w:vAlign w:val="bottom"/>
          </w:tcPr>
          <w:p>
            <w:pPr>
              <w:spacing w:after="0"/>
              <w:rPr>
                <w:sz w:val="1"/>
                <w:szCs w:val="1"/>
                <w:color w:val="auto"/>
              </w:rPr>
            </w:pPr>
          </w:p>
        </w:tc>
      </w:tr>
      <w:tr>
        <w:trPr>
          <w:trHeight w:val="135"/>
        </w:trPr>
        <w:tc>
          <w:tcPr>
            <w:tcW w:w="3680" w:type="dxa"/>
            <w:vAlign w:val="bottom"/>
            <w:vMerge w:val="restart"/>
          </w:tcPr>
          <w:p>
            <w:pPr>
              <w:jc w:val="center"/>
              <w:ind w:right="310"/>
              <w:spacing w:after="0"/>
              <w:rPr>
                <w:sz w:val="20"/>
                <w:szCs w:val="20"/>
                <w:color w:val="auto"/>
              </w:rPr>
            </w:pPr>
            <w:r>
              <w:rPr>
                <w:rFonts w:ascii="Times New Roman" w:cs="Times New Roman" w:eastAsia="Times New Roman" w:hAnsi="Times New Roman"/>
                <w:sz w:val="18"/>
                <w:szCs w:val="18"/>
                <w:color w:val="auto"/>
                <w:w w:val="99"/>
              </w:rPr>
              <w:t>organization)</w:t>
            </w:r>
          </w:p>
        </w:tc>
        <w:tc>
          <w:tcPr>
            <w:tcW w:w="3060" w:type="dxa"/>
            <w:vAlign w:val="bottom"/>
            <w:vMerge w:val="continue"/>
          </w:tcPr>
          <w:p>
            <w:pPr>
              <w:spacing w:after="0"/>
              <w:rPr>
                <w:sz w:val="11"/>
                <w:szCs w:val="11"/>
                <w:color w:val="auto"/>
              </w:rPr>
            </w:pPr>
          </w:p>
        </w:tc>
        <w:tc>
          <w:tcPr>
            <w:tcW w:w="33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9"/>
        </w:trPr>
        <w:tc>
          <w:tcPr>
            <w:tcW w:w="3680" w:type="dxa"/>
            <w:vAlign w:val="bottom"/>
            <w:vMerge w:val="continue"/>
          </w:tcPr>
          <w:p>
            <w:pPr>
              <w:spacing w:after="0"/>
              <w:rPr>
                <w:sz w:val="8"/>
                <w:szCs w:val="8"/>
                <w:color w:val="auto"/>
              </w:rPr>
            </w:pPr>
          </w:p>
        </w:tc>
        <w:tc>
          <w:tcPr>
            <w:tcW w:w="3060" w:type="dxa"/>
            <w:vAlign w:val="bottom"/>
          </w:tcPr>
          <w:p>
            <w:pPr>
              <w:spacing w:after="0"/>
              <w:rPr>
                <w:sz w:val="8"/>
                <w:szCs w:val="8"/>
                <w:color w:val="auto"/>
              </w:rPr>
            </w:pPr>
          </w:p>
        </w:tc>
        <w:tc>
          <w:tcPr>
            <w:tcW w:w="33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8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300 Carnegie Center, Suite 300, Princeton, New Jersey 08540</w:t>
      </w:r>
    </w:p>
    <w:p>
      <w:pPr>
        <w:spacing w:after="0" w:line="4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(Address of principal executive offices, including zip code)</w:t>
      </w:r>
    </w:p>
    <w:p>
      <w:pPr>
        <w:spacing w:after="0" w:line="4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(609) 608-1525</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23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31F20"/>
        </w:rPr>
        <w:t>N/A</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231F20"/>
        </w:rPr>
        <w:t>(Former name or former address, if changed since last report.)</w:t>
      </w:r>
    </w:p>
    <w:p>
      <w:pPr>
        <w:spacing w:after="0" w:line="234"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89" w:lineRule="exact"/>
        <w:rPr>
          <w:sz w:val="24"/>
          <w:szCs w:val="24"/>
          <w:color w:val="auto"/>
        </w:rPr>
      </w:pPr>
    </w:p>
    <w:p>
      <w:pPr>
        <w:ind w:left="400" w:hanging="352"/>
        <w:spacing w:after="0"/>
        <w:tabs>
          <w:tab w:leader="none" w:pos="4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42" w:lineRule="exact"/>
        <w:rPr>
          <w:rFonts w:ascii="MS PGothic" w:cs="MS PGothic" w:eastAsia="MS PGothic" w:hAnsi="MS PGothic"/>
          <w:sz w:val="18"/>
          <w:szCs w:val="18"/>
          <w:color w:val="auto"/>
        </w:rPr>
      </w:pPr>
    </w:p>
    <w:p>
      <w:pPr>
        <w:ind w:left="400" w:hanging="352"/>
        <w:spacing w:after="0"/>
        <w:tabs>
          <w:tab w:leader="none" w:pos="4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231F20"/>
        </w:rPr>
        <w:t>Soliciting material pursuant to Rule 14a-12 under the Exchange Act (17 CFR 240.14a-12)</w:t>
      </w:r>
    </w:p>
    <w:p>
      <w:pPr>
        <w:spacing w:after="0" w:line="22" w:lineRule="exact"/>
        <w:rPr>
          <w:rFonts w:ascii="MS PGothic" w:cs="MS PGothic" w:eastAsia="MS PGothic" w:hAnsi="MS PGothic"/>
          <w:sz w:val="18"/>
          <w:szCs w:val="18"/>
          <w:color w:val="auto"/>
        </w:rPr>
      </w:pPr>
    </w:p>
    <w:p>
      <w:pPr>
        <w:ind w:left="400" w:hanging="352"/>
        <w:spacing w:after="0"/>
        <w:tabs>
          <w:tab w:leader="none" w:pos="4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231F20"/>
        </w:rPr>
        <w:t>Pre-commencement communications pursuant to Rule 14d-2(b) under the Exchange Act (17 CFR 240.14d-2(b))</w:t>
      </w:r>
    </w:p>
    <w:p>
      <w:pPr>
        <w:spacing w:after="0" w:line="35" w:lineRule="exact"/>
        <w:rPr>
          <w:rFonts w:ascii="MS PGothic" w:cs="MS PGothic" w:eastAsia="MS PGothic" w:hAnsi="MS PGothic"/>
          <w:sz w:val="18"/>
          <w:szCs w:val="18"/>
          <w:color w:val="auto"/>
        </w:rPr>
      </w:pPr>
    </w:p>
    <w:p>
      <w:pPr>
        <w:ind w:right="2800" w:firstLine="48"/>
        <w:spacing w:after="0" w:line="268" w:lineRule="auto"/>
        <w:tabs>
          <w:tab w:leader="none" w:pos="382"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231F20"/>
        </w:rPr>
        <w:t xml:space="preserve">Pre-commencement communications pursuant to Rule 13e-4(c) under the Exchange Act (17 CFR 240.13e-4(c)) </w:t>
      </w:r>
      <w:r>
        <w:rPr>
          <w:rFonts w:ascii="Times New Roman" w:cs="Times New Roman" w:eastAsia="Times New Roman" w:hAnsi="Times New Roman"/>
          <w:sz w:val="18"/>
          <w:szCs w:val="18"/>
          <w:color w:val="000000"/>
        </w:rPr>
        <w:t>Securities registered pursuant to Section 12(b) of the Act:</w:t>
      </w:r>
    </w:p>
    <w:tbl>
      <w:tblPr>
        <w:tblLayout w:type="fixed"/>
        <w:tblInd w:w="0" w:type="dxa"/>
        <w:tblCellMar>
          <w:top w:w="0" w:type="dxa"/>
          <w:left w:w="0" w:type="dxa"/>
          <w:bottom w:w="0" w:type="dxa"/>
          <w:right w:w="0" w:type="dxa"/>
        </w:tblCellMar>
      </w:tblPr>
      <w:tr>
        <w:trPr>
          <w:trHeight w:val="238"/>
        </w:trPr>
        <w:tc>
          <w:tcPr>
            <w:tcW w:w="3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256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480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18"/>
        </w:trPr>
        <w:tc>
          <w:tcPr>
            <w:tcW w:w="3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Class A Common Stock, par value $0.01</w:t>
            </w:r>
          </w:p>
        </w:tc>
        <w:tc>
          <w:tcPr>
            <w:tcW w:w="256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9"/>
              </w:rPr>
              <w:t>CWEN.A</w:t>
            </w:r>
          </w:p>
        </w:tc>
        <w:tc>
          <w:tcPr>
            <w:tcW w:w="480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8"/>
              </w:rPr>
              <w:t>New York Stock Exchange</w:t>
            </w:r>
          </w:p>
        </w:tc>
      </w:tr>
      <w:tr>
        <w:trPr>
          <w:trHeight w:val="234"/>
        </w:trPr>
        <w:tc>
          <w:tcPr>
            <w:tcW w:w="3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Class C Common Stock, par value $0.01</w:t>
            </w:r>
          </w:p>
        </w:tc>
        <w:tc>
          <w:tcPr>
            <w:tcW w:w="256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8"/>
              </w:rPr>
              <w:t>CWEN</w:t>
            </w:r>
          </w:p>
        </w:tc>
        <w:tc>
          <w:tcPr>
            <w:tcW w:w="480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8"/>
              </w:rPr>
              <w:t>New York Stock Exchange</w:t>
            </w:r>
          </w:p>
        </w:tc>
      </w:tr>
    </w:tbl>
    <w:p>
      <w:pPr>
        <w:spacing w:after="0" w:line="319" w:lineRule="exact"/>
        <w:rPr>
          <w:sz w:val="24"/>
          <w:szCs w:val="24"/>
          <w:color w:val="auto"/>
        </w:rPr>
      </w:pPr>
    </w:p>
    <w:p>
      <w:pPr>
        <w:ind w:right="520"/>
        <w:spacing w:after="0" w:line="258"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ind w:left="9060"/>
        <w:spacing w:after="0" w:line="196" w:lineRule="exact"/>
        <w:rPr>
          <w:sz w:val="20"/>
          <w:szCs w:val="20"/>
          <w:color w:val="auto"/>
        </w:rPr>
      </w:pPr>
      <w:r>
        <w:rPr>
          <w:rFonts w:ascii="Times New Roman" w:cs="Times New Roman" w:eastAsia="Times New Roman" w:hAnsi="Times New Roman"/>
          <w:sz w:val="17"/>
          <w:szCs w:val="17"/>
          <w:color w:val="231F20"/>
        </w:rPr>
        <w:t xml:space="preserve">Emerging growth company </w:t>
      </w:r>
      <w:r>
        <w:rPr>
          <w:rFonts w:ascii="MS PGothic" w:cs="MS PGothic" w:eastAsia="MS PGothic" w:hAnsi="MS PGothic"/>
          <w:sz w:val="17"/>
          <w:szCs w:val="17"/>
          <w:color w:val="000000"/>
        </w:rPr>
        <w:t>☐</w:t>
      </w:r>
    </w:p>
    <w:p>
      <w:pPr>
        <w:spacing w:after="0" w:line="250" w:lineRule="exact"/>
        <w:rPr>
          <w:sz w:val="24"/>
          <w:szCs w:val="24"/>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jc w:val="right"/>
        <w:spacing w:after="0" w:line="181" w:lineRule="exact"/>
        <w:rPr>
          <w:sz w:val="20"/>
          <w:szCs w:val="20"/>
          <w:color w:val="auto"/>
        </w:rPr>
      </w:pP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904875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 w:name="page2"/>
    <w:bookmarkEnd w:id="1"/>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2.02</w:t>
        <w:tab/>
        <w:t>Results of Operations and Financial Condition</w:t>
      </w:r>
    </w:p>
    <w:p>
      <w:pPr>
        <w:spacing w:after="0" w:line="256" w:lineRule="exact"/>
        <w:rPr>
          <w:sz w:val="20"/>
          <w:szCs w:val="20"/>
          <w:color w:val="auto"/>
        </w:rPr>
      </w:pPr>
    </w:p>
    <w:p>
      <w:pPr>
        <w:jc w:val="both"/>
        <w:ind w:firstLine="212"/>
        <w:spacing w:after="0" w:line="261" w:lineRule="auto"/>
        <w:rPr>
          <w:sz w:val="20"/>
          <w:szCs w:val="20"/>
          <w:color w:val="auto"/>
        </w:rPr>
      </w:pPr>
      <w:r>
        <w:rPr>
          <w:rFonts w:ascii="Times New Roman" w:cs="Times New Roman" w:eastAsia="Times New Roman" w:hAnsi="Times New Roman"/>
          <w:sz w:val="18"/>
          <w:szCs w:val="18"/>
          <w:color w:val="auto"/>
        </w:rPr>
        <w:t xml:space="preserve">On February 24, 2025, Clearway Energy, Inc. issued a press release announcing its financial results for the year ended December 31, 2024. A copy of the press release is furnished as Exhibit 99.1 to this report on Form 8-K and is hereby incorporated by reference. </w:t>
      </w:r>
      <w:r>
        <w:rPr>
          <w:rFonts w:ascii="Times New Roman" w:cs="Times New Roman" w:eastAsia="Times New Roman" w:hAnsi="Times New Roman"/>
          <w:sz w:val="18"/>
          <w:szCs w:val="18"/>
          <w:color w:val="212529"/>
        </w:rPr>
        <w:t>In accordance with General Instruction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12529"/>
        </w:rPr>
        <w:t>B.2 of Form 8-K, the information set forth in this Item 2.02 and in the attached exhibit are deemed to be furnished and shall not be deemed to be “filed” for purposes of Section 18 of the Securities Exchange Act of 1934, as amended (the “Exchange Act”).</w:t>
      </w:r>
    </w:p>
    <w:p>
      <w:pPr>
        <w:spacing w:after="0" w:line="203"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 Exhibits</w:t>
      </w:r>
    </w:p>
    <w:p>
      <w:pPr>
        <w:spacing w:after="0" w:line="25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212529"/>
        </w:rPr>
        <w:t>In accordance with General Instruction B.2 of Form 8-K, the information set forth in the attached exhibit is deemed to be furnished and shall not be deemed to be “filed” for purposes of Section 18 of the Exchange Act.</w:t>
      </w:r>
    </w:p>
    <w:p>
      <w:pPr>
        <w:sectPr>
          <w:pgSz w:w="11900" w:h="16838" w:orient="portrait"/>
          <w:cols w:equalWidth="0" w:num="1">
            <w:col w:w="11240"/>
          </w:cols>
          <w:pgMar w:left="320" w:top="1292" w:right="339" w:bottom="1440" w:gutter="0" w:footer="0" w:header="0"/>
        </w:sectPr>
      </w:pPr>
    </w:p>
    <w:p>
      <w:pPr>
        <w:spacing w:after="0" w:line="11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Exhibit</w:t>
      </w:r>
    </w:p>
    <w:p>
      <w:pPr>
        <w:ind w:left="20"/>
        <w:spacing w:after="0"/>
        <w:rPr>
          <w:sz w:val="20"/>
          <w:szCs w:val="20"/>
          <w:color w:val="auto"/>
        </w:rPr>
      </w:pPr>
      <w:r>
        <w:rPr>
          <w:rFonts w:ascii="Times New Roman" w:cs="Times New Roman" w:eastAsia="Times New Roman" w:hAnsi="Times New Roman"/>
          <w:sz w:val="18"/>
          <w:szCs w:val="18"/>
          <w:b w:val="1"/>
          <w:bCs w:val="1"/>
          <w:color w:val="auto"/>
        </w:rPr>
        <w:t>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47625</wp:posOffset>
            </wp:positionV>
            <wp:extent cx="125984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59840" cy="8255"/>
                    </a:xfrm>
                    <a:prstGeom prst="rect">
                      <a:avLst/>
                    </a:prstGeom>
                    <a:noFill/>
                  </pic:spPr>
                </pic:pic>
              </a:graphicData>
            </a:graphic>
          </wp:anchor>
        </w:drawing>
      </w:r>
    </w:p>
    <w:p>
      <w:pPr>
        <w:spacing w:after="0" w:line="6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99.1</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br w:type="column"/>
      </w:r>
    </w:p>
    <w:p>
      <w:pPr>
        <w:spacing w:after="0" w:line="340" w:lineRule="exact"/>
        <w:rPr>
          <w:sz w:val="20"/>
          <w:szCs w:val="20"/>
          <w:color w:val="auto"/>
        </w:rPr>
      </w:pPr>
    </w:p>
    <w:p>
      <w:pPr>
        <w:ind w:left="3660"/>
        <w:spacing w:after="0"/>
        <w:rPr>
          <w:sz w:val="20"/>
          <w:szCs w:val="20"/>
          <w:color w:val="auto"/>
        </w:rPr>
      </w:pPr>
      <w:r>
        <w:rPr>
          <w:rFonts w:ascii="Times New Roman" w:cs="Times New Roman" w:eastAsia="Times New Roman" w:hAnsi="Times New Roman"/>
          <w:sz w:val="18"/>
          <w:szCs w:val="18"/>
          <w:b w:val="1"/>
          <w:bCs w:val="1"/>
          <w:color w:val="auto"/>
        </w:rPr>
        <w:t>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516064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160645" cy="8255"/>
                    </a:xfrm>
                    <a:prstGeom prst="rect">
                      <a:avLst/>
                    </a:prstGeom>
                    <a:noFill/>
                  </pic:spPr>
                </pic:pic>
              </a:graphicData>
            </a:graphic>
          </wp:anchor>
        </w:drawing>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Press Release, dated February 24, 2025</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 and contained in Exhibit 101)</w:t>
      </w:r>
    </w:p>
    <w:p>
      <w:pPr>
        <w:spacing w:after="0" w:line="200" w:lineRule="exact"/>
        <w:rPr>
          <w:sz w:val="20"/>
          <w:szCs w:val="20"/>
          <w:color w:val="auto"/>
        </w:rPr>
      </w:pPr>
    </w:p>
    <w:p>
      <w:pPr>
        <w:sectPr>
          <w:pgSz w:w="11900" w:h="16838" w:orient="portrait"/>
          <w:cols w:equalWidth="0" w:num="2">
            <w:col w:w="1740" w:space="720"/>
            <w:col w:w="8780"/>
          </w:cols>
          <w:pgMar w:left="320" w:top="1292"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241935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92" w:right="339" w:bottom="1440" w:gutter="0" w:footer="0" w:header="0"/>
          <w:type w:val="continuous"/>
        </w:sectPr>
      </w:pPr>
    </w:p>
    <w:bookmarkStart w:id="2" w:name="page3"/>
    <w:bookmarkEnd w:id="2"/>
    <w:p>
      <w:pPr>
        <w:spacing w:after="0" w:line="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SIGNATURES</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4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Clearway Energy, Inc.</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(Registrant)</w:t>
      </w:r>
    </w:p>
    <w:p>
      <w:pPr>
        <w:spacing w:after="0" w:line="274" w:lineRule="exact"/>
        <w:rPr>
          <w:sz w:val="20"/>
          <w:szCs w:val="20"/>
          <w:color w:val="auto"/>
        </w:rPr>
      </w:pPr>
    </w:p>
    <w:tbl>
      <w:tblPr>
        <w:tblLayout w:type="fixed"/>
        <w:tblInd w:w="5620" w:type="dxa"/>
        <w:tblCellMar>
          <w:top w:w="0" w:type="dxa"/>
          <w:left w:w="0" w:type="dxa"/>
          <w:bottom w:w="0" w:type="dxa"/>
          <w:right w:w="0" w:type="dxa"/>
        </w:tblCellMar>
      </w:tblPr>
      <w:tr>
        <w:trPr>
          <w:trHeight w:val="234"/>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0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Kevin P. Malcarney</w:t>
            </w:r>
          </w:p>
        </w:tc>
      </w:tr>
      <w:tr>
        <w:trPr>
          <w:trHeight w:val="218"/>
        </w:trPr>
        <w:tc>
          <w:tcPr>
            <w:tcW w:w="54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Kevin P. Malcarney</w:t>
            </w:r>
          </w:p>
        </w:tc>
      </w:tr>
      <w:tr>
        <w:trPr>
          <w:trHeight w:val="234"/>
        </w:trPr>
        <w:tc>
          <w:tcPr>
            <w:tcW w:w="540" w:type="dxa"/>
            <w:vAlign w:val="bottom"/>
          </w:tcPr>
          <w:p>
            <w:pPr>
              <w:spacing w:after="0"/>
              <w:rPr>
                <w:sz w:val="20"/>
                <w:szCs w:val="20"/>
                <w:color w:val="auto"/>
              </w:rPr>
            </w:pPr>
          </w:p>
        </w:tc>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General Counsel and Corporate Secretary</w:t>
            </w:r>
          </w:p>
        </w:tc>
      </w:tr>
    </w:tbl>
    <w:p>
      <w:pPr>
        <w:spacing w:after="0" w:line="25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Dated: February 24,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240"/>
          </w:cols>
          <w:pgMar w:left="320" w:top="1440" w:right="339" w:bottom="1440" w:gutter="0" w:footer="0" w:header="0"/>
        </w:sectPr>
      </w:pPr>
    </w:p>
    <w:bookmarkStart w:id="3" w:name="page4"/>
    <w:bookmarkEnd w:id="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577850</wp:posOffset>
            </wp:positionV>
            <wp:extent cx="2442845" cy="3257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clrChange>
                        <a:clrFrom>
                          <a:srgbClr val="FFFFFF"/>
                        </a:clrFrom>
                        <a:clrTo>
                          <a:srgbClr val="FFFFFF">
                            <a:alpha val="0"/>
                          </a:srgbClr>
                        </a:clrTo>
                      </a:clrChange>
                      <a:extLst>
                        <a:ext uri="{28A0092B-C50C-407E-A947-70E740481C1C}"/>
                      </a:extLst>
                    </a:blip>
                    <a:srcRect/>
                    <a:stretch>
                      <a:fillRect/>
                    </a:stretch>
                  </pic:blipFill>
                  <pic:spPr bwMode="auto">
                    <a:xfrm>
                      <a:off x="0" y="0"/>
                      <a:ext cx="2442845" cy="325755"/>
                    </a:xfrm>
                    <a:prstGeom prst="rect">
                      <a:avLst/>
                    </a:prstGeom>
                    <a:noFill/>
                  </pic:spPr>
                </pic:pic>
              </a:graphicData>
            </a:graphic>
          </wp:anchor>
        </w:drawing>
      </w: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Clearway Energy, Inc. Reports Full Year 2024 Financial Results</w:t>
      </w:r>
    </w:p>
    <w:p>
      <w:pPr>
        <w:spacing w:after="0" w:line="259" w:lineRule="exact"/>
        <w:rPr>
          <w:sz w:val="20"/>
          <w:szCs w:val="20"/>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Committed to approximately $450 million of new long-term corporate capital investments in 2024</w:t>
      </w:r>
    </w:p>
    <w:p>
      <w:pPr>
        <w:spacing w:after="0" w:line="31" w:lineRule="exact"/>
        <w:rPr>
          <w:rFonts w:ascii="Times New Roman" w:cs="Times New Roman" w:eastAsia="Times New Roman" w:hAnsi="Times New Roman"/>
          <w:sz w:val="18"/>
          <w:szCs w:val="18"/>
          <w:b w:val="1"/>
          <w:bCs w:val="1"/>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Signed agreements with Clearway Group to commit to invest in 320 MW storage hybridization portfolio and 335 MW wind repowering</w:t>
      </w:r>
    </w:p>
    <w:p>
      <w:pPr>
        <w:spacing w:after="0" w:line="9" w:lineRule="exact"/>
        <w:rPr>
          <w:rFonts w:ascii="Times New Roman" w:cs="Times New Roman" w:eastAsia="Times New Roman" w:hAnsi="Times New Roman"/>
          <w:sz w:val="18"/>
          <w:szCs w:val="18"/>
          <w:b w:val="1"/>
          <w:bCs w:val="1"/>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Signed binding 3rd party M&amp;A agreement to acquire a 137 MW wind project</w:t>
      </w:r>
    </w:p>
    <w:p>
      <w:pPr>
        <w:spacing w:after="0" w:line="9" w:lineRule="exact"/>
        <w:rPr>
          <w:rFonts w:ascii="Times New Roman" w:cs="Times New Roman" w:eastAsia="Times New Roman" w:hAnsi="Times New Roman"/>
          <w:sz w:val="18"/>
          <w:szCs w:val="18"/>
          <w:b w:val="1"/>
          <w:bCs w:val="1"/>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Reaffirming 2025 financial guidance range</w:t>
      </w:r>
    </w:p>
    <w:p>
      <w:pPr>
        <w:spacing w:after="0" w:line="9" w:lineRule="exact"/>
        <w:rPr>
          <w:rFonts w:ascii="Times New Roman" w:cs="Times New Roman" w:eastAsia="Times New Roman" w:hAnsi="Times New Roman"/>
          <w:sz w:val="18"/>
          <w:szCs w:val="18"/>
          <w:b w:val="1"/>
          <w:bCs w:val="1"/>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Increased the quarterly dividend by 1.7% to $0.4312 per share in the first quarter of 20</w:t>
      </w:r>
      <w:r>
        <w:rPr>
          <w:rFonts w:ascii="Times New Roman" w:cs="Times New Roman" w:eastAsia="Times New Roman" w:hAnsi="Times New Roman"/>
          <w:sz w:val="18"/>
          <w:szCs w:val="18"/>
          <w:b w:val="1"/>
          <w:bCs w:val="1"/>
          <w:color w:val="242424"/>
        </w:rPr>
        <w:t>25,</w:t>
      </w:r>
      <w:r>
        <w:rPr>
          <w:rFonts w:ascii="Times New Roman" w:cs="Times New Roman" w:eastAsia="Times New Roman" w:hAnsi="Times New Roman"/>
          <w:sz w:val="18"/>
          <w:szCs w:val="18"/>
          <w:b w:val="1"/>
          <w:bCs w:val="1"/>
          <w:color w:val="auto"/>
        </w:rPr>
        <w:t xml:space="preserve"> or $1.7248 per share annualized</w:t>
      </w:r>
    </w:p>
    <w:p>
      <w:pPr>
        <w:spacing w:after="0" w:line="230"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PRINCETON, NJ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February 24, 2025</w:t>
      </w:r>
      <w:r>
        <w:rPr>
          <w:rFonts w:ascii="Times New Roman" w:cs="Times New Roman" w:eastAsia="Times New Roman" w:hAnsi="Times New Roman"/>
          <w:sz w:val="18"/>
          <w:szCs w:val="18"/>
          <w:color w:val="auto"/>
        </w:rPr>
        <w:t>— Clearway Energy, Inc. (NYSE: CWEN, CWEN.A) today reported full year 2024 financial results, including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Net Loss of $63 million, Adjusted EBITDA of $1,146 million, Cash from Operating Activities of $770 million, and Cash Available for Distribution (CAFD) of $425 million.</w:t>
      </w:r>
    </w:p>
    <w:p>
      <w:pPr>
        <w:spacing w:after="0" w:line="20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"Clearway's full year 2024 results exceeded guidance with excellent performance across all technologies in our diverse operating fleet. Since our last earnings call, we also demonstrated meaningful progress towards meeting our long-term financial objectives across multiple growth pathways, including: finalized dropdown commitments, a targeted third party asset acquisition, the launch of a next wave of project repowerings, and continued enhancement to our fleet's cashflows through accretive new contracts for our operating fleet. Through our enterprise's proactive planning and well-defined growth roadmap, we remain on a solid path to meeting our goal to deliver the midpoint or better of $2.40 to $2.60 in CAFD per share in 2027 as well as our long-term financial targets beyond 2027,” said Craig Cornelius, Clearway Energy, Inc.’s Chief Executive Officer.</w:t>
      </w:r>
    </w:p>
    <w:p>
      <w:pPr>
        <w:spacing w:after="0" w:line="21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Adjusted EBITDA and Cash Available for Distribution used in this press release are non-GAAP measures and are explained in greater detail under “Non-GAAP Financial Information” below.</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5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Overview of Financial and Operating Results</w:t>
            </w:r>
          </w:p>
        </w:tc>
        <w:tc>
          <w:tcPr>
            <w:tcW w:w="1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459"/>
        </w:trPr>
        <w:tc>
          <w:tcPr>
            <w:tcW w:w="45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Segment Results</w:t>
            </w:r>
          </w:p>
        </w:tc>
        <w:tc>
          <w:tcPr>
            <w:tcW w:w="1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459"/>
        </w:trPr>
        <w:tc>
          <w:tcPr>
            <w:tcW w:w="45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Table 1: Net Income/(Loss)</w:t>
            </w:r>
          </w:p>
        </w:tc>
        <w:tc>
          <w:tcPr>
            <w:tcW w:w="1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48"/>
        </w:trPr>
        <w:tc>
          <w:tcPr>
            <w:tcW w:w="4500" w:type="dxa"/>
            <w:vAlign w:val="bottom"/>
            <w:gridSpan w:val="2"/>
          </w:tcPr>
          <w:p>
            <w:pPr>
              <w:ind w:left="20"/>
              <w:spacing w:after="0"/>
              <w:rPr>
                <w:sz w:val="20"/>
                <w:szCs w:val="20"/>
                <w:color w:val="auto"/>
              </w:rPr>
            </w:pPr>
            <w:r>
              <w:rPr>
                <w:rFonts w:ascii="Times New Roman" w:cs="Times New Roman" w:eastAsia="Times New Roman" w:hAnsi="Times New Roman"/>
                <w:sz w:val="18"/>
                <w:szCs w:val="18"/>
                <w:i w:val="1"/>
                <w:iCs w:val="1"/>
                <w:color w:val="auto"/>
              </w:rPr>
              <w:t>($ millions)</w:t>
            </w:r>
          </w:p>
        </w:tc>
        <w:tc>
          <w:tcPr>
            <w:tcW w:w="2740" w:type="dxa"/>
            <w:vAlign w:val="bottom"/>
            <w:gridSpan w:val="4"/>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4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580" w:type="dxa"/>
            <w:vAlign w:val="bottom"/>
            <w:gridSpan w:val="4"/>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Twelve Months Ended</w:t>
            </w:r>
          </w:p>
        </w:tc>
      </w:tr>
      <w:tr>
        <w:trPr>
          <w:trHeight w:val="238"/>
        </w:trPr>
        <w:tc>
          <w:tcPr>
            <w:tcW w:w="45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Segment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12/31/24</w:t>
            </w:r>
          </w:p>
        </w:tc>
        <w:tc>
          <w:tcPr>
            <w:tcW w:w="4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12/31/23</w:t>
            </w:r>
          </w:p>
        </w:tc>
        <w:tc>
          <w:tcPr>
            <w:tcW w:w="4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jc w:val="right"/>
              <w:ind w:right="251"/>
              <w:spacing w:after="0"/>
              <w:rPr>
                <w:sz w:val="20"/>
                <w:szCs w:val="20"/>
                <w:color w:val="auto"/>
              </w:rPr>
            </w:pPr>
            <w:r>
              <w:rPr>
                <w:rFonts w:ascii="Times New Roman" w:cs="Times New Roman" w:eastAsia="Times New Roman" w:hAnsi="Times New Roman"/>
                <w:sz w:val="18"/>
                <w:szCs w:val="18"/>
                <w:b w:val="1"/>
                <w:bCs w:val="1"/>
                <w:color w:val="auto"/>
              </w:rPr>
              <w:t>12/31/24</w:t>
            </w: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12/31/23</w:t>
            </w:r>
          </w:p>
        </w:tc>
      </w:tr>
      <w:tr>
        <w:trPr>
          <w:trHeight w:val="250"/>
        </w:trPr>
        <w:tc>
          <w:tcPr>
            <w:tcW w:w="4360" w:type="dxa"/>
            <w:vAlign w:val="bottom"/>
            <w:tcBorders>
              <w:top w:val="single" w:sz="8" w:color="auto"/>
            </w:tcBorders>
            <w:shd w:val="clear" w:color="auto" w:fill="CCEEFF"/>
          </w:tcPr>
          <w:p>
            <w:pPr>
              <w:ind w:left="20"/>
              <w:spacing w:after="0" w:line="250" w:lineRule="exact"/>
              <w:rPr>
                <w:sz w:val="20"/>
                <w:szCs w:val="20"/>
                <w:color w:val="auto"/>
              </w:rPr>
            </w:pPr>
            <w:r>
              <w:rPr>
                <w:rFonts w:ascii="Times New Roman" w:cs="Times New Roman" w:eastAsia="Times New Roman" w:hAnsi="Times New Roman"/>
                <w:sz w:val="18"/>
                <w:szCs w:val="18"/>
                <w:color w:val="auto"/>
              </w:rPr>
              <w:t>Flexible Generation</w:t>
            </w:r>
            <w:r>
              <w:rPr>
                <w:rFonts w:ascii="Times New Roman" w:cs="Times New Roman" w:eastAsia="Times New Roman" w:hAnsi="Times New Roman"/>
                <w:sz w:val="23"/>
                <w:szCs w:val="23"/>
                <w:color w:val="auto"/>
                <w:vertAlign w:val="superscript"/>
              </w:rPr>
              <w:t>1</w:t>
            </w:r>
          </w:p>
        </w:tc>
        <w:tc>
          <w:tcPr>
            <w:tcW w:w="140" w:type="dxa"/>
            <w:vAlign w:val="bottom"/>
            <w:tcBorders>
              <w:top w:val="single" w:sz="8" w:color="CCEEFF"/>
            </w:tcBorders>
            <w:shd w:val="clear" w:color="auto" w:fill="CCEEFF"/>
          </w:tcPr>
          <w:p>
            <w:pPr>
              <w:spacing w:after="0"/>
              <w:rPr>
                <w:sz w:val="21"/>
                <w:szCs w:val="21"/>
                <w:color w:val="auto"/>
              </w:rPr>
            </w:pPr>
          </w:p>
        </w:tc>
        <w:tc>
          <w:tcPr>
            <w:tcW w:w="1120" w:type="dxa"/>
            <w:vAlign w:val="bottom"/>
            <w:tcBorders>
              <w:top w:val="single" w:sz="8" w:color="auto"/>
            </w:tcBorders>
            <w:shd w:val="clear" w:color="auto" w:fill="CCEEFF"/>
          </w:tcPr>
          <w:p>
            <w:pPr>
              <w:spacing w:after="0"/>
              <w:rPr>
                <w:sz w:val="21"/>
                <w:szCs w:val="21"/>
                <w:color w:val="auto"/>
              </w:rPr>
            </w:pPr>
          </w:p>
        </w:tc>
        <w:tc>
          <w:tcPr>
            <w:tcW w:w="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40" w:type="dxa"/>
            <w:vAlign w:val="bottom"/>
            <w:tcBorders>
              <w:top w:val="single" w:sz="8" w:color="CCEEFF"/>
            </w:tcBorders>
            <w:shd w:val="clear" w:color="auto" w:fill="CCEEFF"/>
          </w:tcPr>
          <w:p>
            <w:pPr>
              <w:spacing w:after="0"/>
              <w:rPr>
                <w:sz w:val="21"/>
                <w:szCs w:val="21"/>
                <w:color w:val="auto"/>
              </w:rPr>
            </w:pPr>
          </w:p>
        </w:tc>
        <w:tc>
          <w:tcPr>
            <w:tcW w:w="1080" w:type="dxa"/>
            <w:vAlign w:val="bottom"/>
            <w:tcBorders>
              <w:top w:val="single" w:sz="8" w:color="auto"/>
            </w:tcBorders>
            <w:shd w:val="clear" w:color="auto" w:fill="CCEEFF"/>
          </w:tcPr>
          <w:p>
            <w:pPr>
              <w:spacing w:after="0"/>
              <w:rPr>
                <w:sz w:val="21"/>
                <w:szCs w:val="21"/>
                <w:color w:val="auto"/>
              </w:rPr>
            </w:pPr>
          </w:p>
        </w:tc>
        <w:tc>
          <w:tcPr>
            <w:tcW w:w="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40" w:type="dxa"/>
            <w:vAlign w:val="bottom"/>
            <w:tcBorders>
              <w:top w:val="single" w:sz="8" w:color="CCEEFF"/>
            </w:tcBorders>
            <w:shd w:val="clear" w:color="auto" w:fill="CCEEFF"/>
          </w:tcPr>
          <w:p>
            <w:pPr>
              <w:spacing w:after="0"/>
              <w:rPr>
                <w:sz w:val="21"/>
                <w:szCs w:val="21"/>
                <w:color w:val="auto"/>
              </w:rPr>
            </w:pPr>
          </w:p>
        </w:tc>
        <w:tc>
          <w:tcPr>
            <w:tcW w:w="240" w:type="dxa"/>
            <w:vAlign w:val="bottom"/>
            <w:tcBorders>
              <w:top w:val="single" w:sz="8" w:color="auto"/>
            </w:tcBorders>
            <w:shd w:val="clear" w:color="auto" w:fill="CCEEFF"/>
          </w:tcPr>
          <w:p>
            <w:pPr>
              <w:spacing w:after="0"/>
              <w:rPr>
                <w:sz w:val="21"/>
                <w:szCs w:val="21"/>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40" w:type="dxa"/>
            <w:vAlign w:val="bottom"/>
            <w:tcBorders>
              <w:top w:val="single" w:sz="8" w:color="CCEEFF"/>
            </w:tcBorders>
            <w:shd w:val="clear" w:color="auto" w:fill="CCEEFF"/>
          </w:tcPr>
          <w:p>
            <w:pPr>
              <w:spacing w:after="0"/>
              <w:rPr>
                <w:sz w:val="21"/>
                <w:szCs w:val="21"/>
                <w:color w:val="auto"/>
              </w:rPr>
            </w:pPr>
          </w:p>
        </w:tc>
        <w:tc>
          <w:tcPr>
            <w:tcW w:w="240" w:type="dxa"/>
            <w:vAlign w:val="bottom"/>
            <w:tcBorders>
              <w:top w:val="single" w:sz="8" w:color="auto"/>
            </w:tcBorders>
            <w:shd w:val="clear" w:color="auto" w:fill="CCEEFF"/>
          </w:tcPr>
          <w:p>
            <w:pPr>
              <w:spacing w:after="0"/>
              <w:rPr>
                <w:sz w:val="21"/>
                <w:szCs w:val="21"/>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w:t>
            </w:r>
          </w:p>
        </w:tc>
      </w:tr>
      <w:tr>
        <w:trPr>
          <w:trHeight w:val="230"/>
        </w:trPr>
        <w:tc>
          <w:tcPr>
            <w:tcW w:w="4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Renewables</w:t>
            </w:r>
          </w:p>
        </w:tc>
        <w:tc>
          <w:tcPr>
            <w:tcW w:w="112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(124)</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30"/>
        </w:trPr>
        <w:tc>
          <w:tcPr>
            <w:tcW w:w="4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w:t>
            </w:r>
          </w:p>
        </w:tc>
        <w:tc>
          <w:tcPr>
            <w:tcW w:w="112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(158)</w:t>
            </w: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w:t>
            </w:r>
          </w:p>
        </w:tc>
      </w:tr>
      <w:tr>
        <w:trPr>
          <w:trHeight w:val="223"/>
        </w:trPr>
        <w:tc>
          <w:tcPr>
            <w:tcW w:w="43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7"/>
                <w:szCs w:val="17"/>
                <w:b w:val="1"/>
                <w:bCs w:val="1"/>
                <w:color w:val="auto"/>
              </w:rPr>
              <w:t>Net Income/(Loss)</w:t>
            </w:r>
          </w:p>
        </w:tc>
        <w:tc>
          <w:tcPr>
            <w:tcW w:w="140" w:type="dxa"/>
            <w:vAlign w:val="bottom"/>
          </w:tcPr>
          <w:p>
            <w:pPr>
              <w:spacing w:after="0"/>
              <w:rPr>
                <w:sz w:val="19"/>
                <w:szCs w:val="19"/>
                <w:color w:val="auto"/>
              </w:rPr>
            </w:pPr>
          </w:p>
        </w:tc>
        <w:tc>
          <w:tcPr>
            <w:tcW w:w="1120" w:type="dxa"/>
            <w:vAlign w:val="bottom"/>
            <w:tcBorders>
              <w:top w:val="single" w:sz="8" w:color="auto"/>
              <w:bottom w:val="single" w:sz="8" w:color="auto"/>
            </w:tcBorders>
          </w:tcPr>
          <w:p>
            <w:pPr>
              <w:jc w:val="right"/>
              <w:ind w:right="91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40" w:type="dxa"/>
            <w:vAlign w:val="bottom"/>
          </w:tcPr>
          <w:p>
            <w:pPr>
              <w:spacing w:after="0"/>
              <w:rPr>
                <w:sz w:val="19"/>
                <w:szCs w:val="19"/>
                <w:color w:val="auto"/>
              </w:rPr>
            </w:pPr>
          </w:p>
        </w:tc>
        <w:tc>
          <w:tcPr>
            <w:tcW w:w="1080" w:type="dxa"/>
            <w:vAlign w:val="bottom"/>
            <w:tcBorders>
              <w:top w:val="single" w:sz="8" w:color="auto"/>
              <w:bottom w:val="single" w:sz="8" w:color="auto"/>
            </w:tcBorders>
          </w:tcPr>
          <w:p>
            <w:pPr>
              <w:jc w:val="right"/>
              <w:ind w:right="87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14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4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0"/>
        </w:trPr>
        <w:tc>
          <w:tcPr>
            <w:tcW w:w="43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520"/>
        </w:trPr>
        <w:tc>
          <w:tcPr>
            <w:tcW w:w="45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Table 2: Adjusted EBITDA</w:t>
            </w:r>
          </w:p>
        </w:tc>
        <w:tc>
          <w:tcPr>
            <w:tcW w:w="1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48"/>
        </w:trPr>
        <w:tc>
          <w:tcPr>
            <w:tcW w:w="4500" w:type="dxa"/>
            <w:vAlign w:val="bottom"/>
            <w:gridSpan w:val="2"/>
          </w:tcPr>
          <w:p>
            <w:pPr>
              <w:ind w:left="20"/>
              <w:spacing w:after="0"/>
              <w:rPr>
                <w:sz w:val="20"/>
                <w:szCs w:val="20"/>
                <w:color w:val="auto"/>
              </w:rPr>
            </w:pPr>
            <w:r>
              <w:rPr>
                <w:rFonts w:ascii="Times New Roman" w:cs="Times New Roman" w:eastAsia="Times New Roman" w:hAnsi="Times New Roman"/>
                <w:sz w:val="18"/>
                <w:szCs w:val="18"/>
                <w:i w:val="1"/>
                <w:iCs w:val="1"/>
                <w:color w:val="auto"/>
              </w:rPr>
              <w:t>($ millions)</w:t>
            </w:r>
          </w:p>
        </w:tc>
        <w:tc>
          <w:tcPr>
            <w:tcW w:w="2740" w:type="dxa"/>
            <w:vAlign w:val="bottom"/>
            <w:gridSpan w:val="4"/>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4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580" w:type="dxa"/>
            <w:vAlign w:val="bottom"/>
            <w:gridSpan w:val="4"/>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Twelve Months Ended</w:t>
            </w:r>
          </w:p>
        </w:tc>
      </w:tr>
      <w:tr>
        <w:trPr>
          <w:trHeight w:val="238"/>
        </w:trPr>
        <w:tc>
          <w:tcPr>
            <w:tcW w:w="45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Segment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12/31/24</w:t>
            </w:r>
          </w:p>
        </w:tc>
        <w:tc>
          <w:tcPr>
            <w:tcW w:w="4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12/31/23</w:t>
            </w:r>
          </w:p>
        </w:tc>
        <w:tc>
          <w:tcPr>
            <w:tcW w:w="4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jc w:val="right"/>
              <w:ind w:right="251"/>
              <w:spacing w:after="0"/>
              <w:rPr>
                <w:sz w:val="20"/>
                <w:szCs w:val="20"/>
                <w:color w:val="auto"/>
              </w:rPr>
            </w:pPr>
            <w:r>
              <w:rPr>
                <w:rFonts w:ascii="Times New Roman" w:cs="Times New Roman" w:eastAsia="Times New Roman" w:hAnsi="Times New Roman"/>
                <w:sz w:val="18"/>
                <w:szCs w:val="18"/>
                <w:b w:val="1"/>
                <w:bCs w:val="1"/>
                <w:color w:val="auto"/>
              </w:rPr>
              <w:t>12/31/24</w:t>
            </w: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12/31/23</w:t>
            </w:r>
          </w:p>
        </w:tc>
      </w:tr>
      <w:tr>
        <w:trPr>
          <w:trHeight w:val="223"/>
        </w:trPr>
        <w:tc>
          <w:tcPr>
            <w:tcW w:w="43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Flexible Generation</w:t>
            </w:r>
          </w:p>
        </w:tc>
        <w:tc>
          <w:tcPr>
            <w:tcW w:w="140" w:type="dxa"/>
            <w:vAlign w:val="bottom"/>
            <w:tcBorders>
              <w:top w:val="single" w:sz="8" w:color="CCEEFF"/>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40" w:type="dxa"/>
            <w:vAlign w:val="bottom"/>
            <w:tcBorders>
              <w:top w:val="single" w:sz="8" w:color="CCEEFF"/>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spacing w:after="0"/>
              <w:rPr>
                <w:sz w:val="19"/>
                <w:szCs w:val="19"/>
                <w:color w:val="auto"/>
              </w:rPr>
            </w:pPr>
          </w:p>
        </w:tc>
        <w:tc>
          <w:tcPr>
            <w:tcW w:w="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4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w:t>
            </w:r>
          </w:p>
        </w:tc>
        <w:tc>
          <w:tcPr>
            <w:tcW w:w="14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w:t>
            </w:r>
          </w:p>
        </w:tc>
      </w:tr>
      <w:tr>
        <w:trPr>
          <w:trHeight w:val="229"/>
        </w:trPr>
        <w:tc>
          <w:tcPr>
            <w:tcW w:w="4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Renewables</w:t>
            </w:r>
          </w:p>
        </w:tc>
        <w:tc>
          <w:tcPr>
            <w:tcW w:w="112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w:t>
            </w: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948</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787</w:t>
            </w:r>
          </w:p>
        </w:tc>
      </w:tr>
      <w:tr>
        <w:trPr>
          <w:trHeight w:val="230"/>
        </w:trPr>
        <w:tc>
          <w:tcPr>
            <w:tcW w:w="4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w:t>
            </w:r>
          </w:p>
        </w:tc>
        <w:tc>
          <w:tcPr>
            <w:tcW w:w="112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23"/>
        </w:trPr>
        <w:tc>
          <w:tcPr>
            <w:tcW w:w="43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140" w:type="dxa"/>
            <w:vAlign w:val="bottom"/>
          </w:tcPr>
          <w:p>
            <w:pPr>
              <w:spacing w:after="0"/>
              <w:rPr>
                <w:sz w:val="19"/>
                <w:szCs w:val="19"/>
                <w:color w:val="auto"/>
              </w:rPr>
            </w:pPr>
          </w:p>
        </w:tc>
        <w:tc>
          <w:tcPr>
            <w:tcW w:w="1120" w:type="dxa"/>
            <w:vAlign w:val="bottom"/>
            <w:tcBorders>
              <w:top w:val="single" w:sz="8" w:color="auto"/>
              <w:bottom w:val="single" w:sz="8" w:color="auto"/>
            </w:tcBorders>
          </w:tcPr>
          <w:p>
            <w:pPr>
              <w:jc w:val="right"/>
              <w:ind w:right="91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228</w:t>
            </w:r>
          </w:p>
        </w:tc>
        <w:tc>
          <w:tcPr>
            <w:tcW w:w="140" w:type="dxa"/>
            <w:vAlign w:val="bottom"/>
          </w:tcPr>
          <w:p>
            <w:pPr>
              <w:spacing w:after="0"/>
              <w:rPr>
                <w:sz w:val="19"/>
                <w:szCs w:val="19"/>
                <w:color w:val="auto"/>
              </w:rPr>
            </w:pPr>
          </w:p>
        </w:tc>
        <w:tc>
          <w:tcPr>
            <w:tcW w:w="1080" w:type="dxa"/>
            <w:vAlign w:val="bottom"/>
            <w:tcBorders>
              <w:top w:val="single" w:sz="8" w:color="auto"/>
              <w:bottom w:val="single" w:sz="8" w:color="auto"/>
            </w:tcBorders>
          </w:tcPr>
          <w:p>
            <w:pPr>
              <w:jc w:val="right"/>
              <w:ind w:right="87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201</w:t>
            </w:r>
          </w:p>
        </w:tc>
        <w:tc>
          <w:tcPr>
            <w:tcW w:w="14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1,146</w:t>
            </w:r>
          </w:p>
        </w:tc>
        <w:tc>
          <w:tcPr>
            <w:tcW w:w="14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316865</wp:posOffset>
            </wp:positionV>
            <wp:extent cx="17145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714500" cy="8890"/>
                    </a:xfrm>
                    <a:prstGeom prst="rect">
                      <a:avLst/>
                    </a:prstGeom>
                    <a:noFill/>
                  </pic:spPr>
                </pic:pic>
              </a:graphicData>
            </a:graphic>
          </wp:anchor>
        </w:drawing>
      </w: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vertAlign w:val="superscript"/>
        </w:rPr>
        <w:t>1</w:t>
      </w:r>
      <w:r>
        <w:rPr>
          <w:rFonts w:ascii="Times New Roman" w:cs="Times New Roman" w:eastAsia="Times New Roman" w:hAnsi="Times New Roman"/>
          <w:sz w:val="14"/>
          <w:szCs w:val="14"/>
          <w:color w:val="auto"/>
        </w:rPr>
        <w:t xml:space="preserve"> Flexible Generation was formerly known as the Conventional Segment</w:t>
      </w: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w:t>
      </w:r>
    </w:p>
    <w:p>
      <w:pPr>
        <w:sectPr>
          <w:pgSz w:w="11900" w:h="16838" w:orient="portrait"/>
          <w:cols w:equalWidth="0" w:num="1">
            <w:col w:w="11240"/>
          </w:cols>
          <w:pgMar w:left="320" w:top="1440"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Table 3: Cash from Operating Activities and Cash Available for Distribution (CAFD)</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20" w:type="dxa"/>
            <w:vAlign w:val="bottom"/>
            <w:gridSpan w:val="4"/>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4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700" w:type="dxa"/>
            <w:vAlign w:val="bottom"/>
            <w:gridSpan w:val="4"/>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Twelve Months Ended</w:t>
            </w:r>
          </w:p>
        </w:tc>
      </w:tr>
      <w:tr>
        <w:trPr>
          <w:trHeight w:val="238"/>
        </w:trPr>
        <w:tc>
          <w:tcPr>
            <w:tcW w:w="4460" w:type="dxa"/>
            <w:vAlign w:val="bottom"/>
            <w:gridSpan w:val="2"/>
          </w:tcPr>
          <w:p>
            <w:pPr>
              <w:ind w:left="20"/>
              <w:spacing w:after="0"/>
              <w:rPr>
                <w:sz w:val="20"/>
                <w:szCs w:val="20"/>
                <w:color w:val="auto"/>
              </w:rPr>
            </w:pPr>
            <w:r>
              <w:rPr>
                <w:rFonts w:ascii="Times New Roman" w:cs="Times New Roman" w:eastAsia="Times New Roman" w:hAnsi="Times New Roman"/>
                <w:sz w:val="18"/>
                <w:szCs w:val="18"/>
                <w:i w:val="1"/>
                <w:iCs w:val="1"/>
                <w:color w:val="auto"/>
              </w:rPr>
              <w:t>($ millions)</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12/31/24</w:t>
            </w:r>
          </w:p>
        </w:tc>
        <w:tc>
          <w:tcPr>
            <w:tcW w:w="3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12/31/23</w:t>
            </w:r>
          </w:p>
        </w:tc>
        <w:tc>
          <w:tcPr>
            <w:tcW w:w="4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12/31/24</w:t>
            </w: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12/31/23</w:t>
            </w:r>
          </w:p>
        </w:tc>
      </w:tr>
      <w:tr>
        <w:trPr>
          <w:trHeight w:val="223"/>
        </w:trPr>
        <w:tc>
          <w:tcPr>
            <w:tcW w:w="432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from Operating Activities</w:t>
            </w:r>
          </w:p>
        </w:tc>
        <w:tc>
          <w:tcPr>
            <w:tcW w:w="140" w:type="dxa"/>
            <w:vAlign w:val="bottom"/>
            <w:tcBorders>
              <w:top w:val="single" w:sz="8" w:color="CCEEFF"/>
            </w:tcBorders>
            <w:shd w:val="clear" w:color="auto" w:fill="CCEEFF"/>
          </w:tcPr>
          <w:p>
            <w:pPr>
              <w:spacing w:after="0"/>
              <w:rPr>
                <w:sz w:val="19"/>
                <w:szCs w:val="19"/>
                <w:color w:val="auto"/>
              </w:rPr>
            </w:pPr>
          </w:p>
        </w:tc>
        <w:tc>
          <w:tcPr>
            <w:tcW w:w="1040" w:type="dxa"/>
            <w:vAlign w:val="bottom"/>
            <w:tcBorders>
              <w:top w:val="single" w:sz="8" w:color="auto"/>
              <w:bottom w:val="single" w:sz="8" w:color="auto"/>
            </w:tcBorders>
            <w:shd w:val="clear" w:color="auto" w:fill="CCEEFF"/>
          </w:tcPr>
          <w:p>
            <w:pPr>
              <w:jc w:val="right"/>
              <w:ind w:right="83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w:t>
            </w:r>
          </w:p>
        </w:tc>
        <w:tc>
          <w:tcPr>
            <w:tcW w:w="140" w:type="dxa"/>
            <w:vAlign w:val="bottom"/>
            <w:tcBorders>
              <w:top w:val="single" w:sz="8" w:color="CCEEFF"/>
            </w:tcBorders>
            <w:shd w:val="clear" w:color="auto" w:fill="CCEEFF"/>
          </w:tcPr>
          <w:p>
            <w:pPr>
              <w:spacing w:after="0"/>
              <w:rPr>
                <w:sz w:val="19"/>
                <w:szCs w:val="19"/>
                <w:color w:val="auto"/>
              </w:rPr>
            </w:pPr>
          </w:p>
        </w:tc>
        <w:tc>
          <w:tcPr>
            <w:tcW w:w="1060" w:type="dxa"/>
            <w:vAlign w:val="bottom"/>
            <w:tcBorders>
              <w:top w:val="single" w:sz="8" w:color="auto"/>
              <w:bottom w:val="single" w:sz="8" w:color="auto"/>
            </w:tcBorders>
            <w:shd w:val="clear" w:color="auto" w:fill="CCEEFF"/>
          </w:tcPr>
          <w:p>
            <w:pPr>
              <w:jc w:val="right"/>
              <w:ind w:right="85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w:t>
            </w:r>
          </w:p>
        </w:tc>
        <w:tc>
          <w:tcPr>
            <w:tcW w:w="16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770</w:t>
            </w:r>
          </w:p>
        </w:tc>
        <w:tc>
          <w:tcPr>
            <w:tcW w:w="16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702</w:t>
            </w:r>
          </w:p>
        </w:tc>
      </w:tr>
      <w:tr>
        <w:trPr>
          <w:trHeight w:val="223"/>
        </w:trPr>
        <w:tc>
          <w:tcPr>
            <w:tcW w:w="43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Cash Available for Distribution (CAFD)</w:t>
            </w:r>
          </w:p>
        </w:tc>
        <w:tc>
          <w:tcPr>
            <w:tcW w:w="140" w:type="dxa"/>
            <w:vAlign w:val="bottom"/>
          </w:tcPr>
          <w:p>
            <w:pPr>
              <w:spacing w:after="0"/>
              <w:rPr>
                <w:sz w:val="19"/>
                <w:szCs w:val="19"/>
                <w:color w:val="auto"/>
              </w:rPr>
            </w:pPr>
          </w:p>
        </w:tc>
        <w:tc>
          <w:tcPr>
            <w:tcW w:w="1040" w:type="dxa"/>
            <w:vAlign w:val="bottom"/>
            <w:tcBorders>
              <w:bottom w:val="single" w:sz="8" w:color="auto"/>
            </w:tcBorders>
          </w:tcPr>
          <w:p>
            <w:pPr>
              <w:jc w:val="right"/>
              <w:ind w:right="83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40" w:type="dxa"/>
            <w:vAlign w:val="bottom"/>
          </w:tcPr>
          <w:p>
            <w:pPr>
              <w:spacing w:after="0"/>
              <w:rPr>
                <w:sz w:val="19"/>
                <w:szCs w:val="19"/>
                <w:color w:val="auto"/>
              </w:rPr>
            </w:pPr>
          </w:p>
        </w:tc>
        <w:tc>
          <w:tcPr>
            <w:tcW w:w="1060" w:type="dxa"/>
            <w:vAlign w:val="bottom"/>
            <w:tcBorders>
              <w:bottom w:val="single" w:sz="8" w:color="auto"/>
            </w:tcBorders>
          </w:tcPr>
          <w:p>
            <w:pPr>
              <w:jc w:val="right"/>
              <w:ind w:right="85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6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425</w:t>
            </w:r>
          </w:p>
        </w:tc>
        <w:tc>
          <w:tcPr>
            <w:tcW w:w="16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342</w:t>
            </w:r>
          </w:p>
        </w:tc>
      </w:tr>
    </w:tbl>
    <w:p>
      <w:pPr>
        <w:spacing w:after="0" w:line="200" w:lineRule="exact"/>
        <w:rPr>
          <w:sz w:val="20"/>
          <w:szCs w:val="20"/>
          <w:color w:val="auto"/>
        </w:rPr>
      </w:pPr>
    </w:p>
    <w:p>
      <w:pPr>
        <w:spacing w:after="0" w:line="34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 the fourth quarter of 2024, the Company reported Net Loss of $48 million, Adjusted EBITDA of $228 million, Cash from Operating Activities of $192 million, and CAFD of $40 million. Net Loss decreased versus 2023 primarily due changes in mark-to-market for interest rate swaps. Adjusted EBITDA for the fourth quarter of 2024 was higher than in 2023 primarily due to contributions from growth investments. CAFD results in the fourth quarter of 2024 were lower than 2023 primarily due to timing associated with the sale of PTCs and certain vendor payments for equipment in 2023.</w:t>
      </w:r>
    </w:p>
    <w:p>
      <w:pPr>
        <w:spacing w:after="0" w:line="20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For the full year 2024, the Company reported Net Loss of $63 million, Adjusted EBITDA of $1,146 million, Cash from Operating Activities of $770 million, and CAFD of $425 million. Net Loss increased versus 2023 primarily due to additional depreciation and amortization from growth investments, and changes in mark-to-market for economic hedges. Adjusted EBITDA results were higher than 2023 primarily due to lower renewable production in the prior year and the contribution of growth investments in 2024 partially offset by the expiration of certain tolling agreements in the Flexible Generation fleet. CAFD results were higher than 2023 primarily due to Adjusted EBITDA results and lower debt service in the Flexible Generation fleet in 2024 coinciding with the expiration of the tolling agreements.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4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Operational Performance</w:t>
            </w:r>
          </w:p>
        </w:tc>
        <w:tc>
          <w:tcPr>
            <w:tcW w:w="16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0" w:type="dxa"/>
            <w:vAlign w:val="bottom"/>
          </w:tcPr>
          <w:p>
            <w:pPr>
              <w:spacing w:after="0"/>
              <w:rPr>
                <w:sz w:val="20"/>
                <w:szCs w:val="20"/>
                <w:color w:val="auto"/>
              </w:rPr>
            </w:pPr>
          </w:p>
        </w:tc>
      </w:tr>
      <w:tr>
        <w:trPr>
          <w:trHeight w:val="477"/>
        </w:trPr>
        <w:tc>
          <w:tcPr>
            <w:tcW w:w="44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Table 4: Selected Operating Results</w:t>
            </w:r>
            <w:r>
              <w:rPr>
                <w:rFonts w:ascii="Times New Roman" w:cs="Times New Roman" w:eastAsia="Times New Roman" w:hAnsi="Times New Roman"/>
                <w:sz w:val="23"/>
                <w:szCs w:val="23"/>
                <w:b w:val="1"/>
                <w:bCs w:val="1"/>
                <w:color w:val="auto"/>
                <w:vertAlign w:val="superscript"/>
              </w:rPr>
              <w:t>2</w:t>
            </w:r>
          </w:p>
        </w:tc>
        <w:tc>
          <w:tcPr>
            <w:tcW w:w="1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0" w:type="dxa"/>
            <w:vAlign w:val="bottom"/>
          </w:tcPr>
          <w:p>
            <w:pPr>
              <w:spacing w:after="0"/>
              <w:rPr>
                <w:sz w:val="24"/>
                <w:szCs w:val="24"/>
                <w:color w:val="auto"/>
              </w:rPr>
            </w:pPr>
          </w:p>
        </w:tc>
      </w:tr>
      <w:tr>
        <w:trPr>
          <w:trHeight w:val="230"/>
        </w:trPr>
        <w:tc>
          <w:tcPr>
            <w:tcW w:w="4460" w:type="dxa"/>
            <w:vAlign w:val="bottom"/>
            <w:gridSpan w:val="2"/>
          </w:tcPr>
          <w:p>
            <w:pPr>
              <w:ind w:left="20"/>
              <w:spacing w:after="0"/>
              <w:rPr>
                <w:sz w:val="20"/>
                <w:szCs w:val="20"/>
                <w:color w:val="auto"/>
              </w:rPr>
            </w:pPr>
            <w:r>
              <w:rPr>
                <w:rFonts w:ascii="Times New Roman" w:cs="Times New Roman" w:eastAsia="Times New Roman" w:hAnsi="Times New Roman"/>
                <w:sz w:val="18"/>
                <w:szCs w:val="18"/>
                <w:i w:val="1"/>
                <w:iCs w:val="1"/>
                <w:color w:val="auto"/>
              </w:rPr>
              <w:t>(MWh in thousands)</w:t>
            </w:r>
          </w:p>
        </w:tc>
        <w:tc>
          <w:tcPr>
            <w:tcW w:w="3440" w:type="dxa"/>
            <w:vAlign w:val="bottom"/>
            <w:gridSpan w:val="4"/>
          </w:tcPr>
          <w:p>
            <w:pPr>
              <w:ind w:left="84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3340" w:type="dxa"/>
            <w:vAlign w:val="bottom"/>
            <w:gridSpan w:val="3"/>
          </w:tcPr>
          <w:p>
            <w:pPr>
              <w:jc w:val="right"/>
              <w:ind w:right="730"/>
              <w:spacing w:after="0"/>
              <w:rPr>
                <w:sz w:val="20"/>
                <w:szCs w:val="20"/>
                <w:color w:val="auto"/>
              </w:rPr>
            </w:pPr>
            <w:r>
              <w:rPr>
                <w:rFonts w:ascii="Times New Roman" w:cs="Times New Roman" w:eastAsia="Times New Roman" w:hAnsi="Times New Roman"/>
                <w:sz w:val="18"/>
                <w:szCs w:val="18"/>
                <w:b w:val="1"/>
                <w:bCs w:val="1"/>
                <w:color w:val="auto"/>
              </w:rPr>
              <w:t>Twelve Months Ended</w:t>
            </w:r>
          </w:p>
        </w:tc>
      </w:tr>
      <w:tr>
        <w:trPr>
          <w:trHeight w:val="238"/>
        </w:trPr>
        <w:tc>
          <w:tcPr>
            <w:tcW w:w="4320" w:type="dxa"/>
            <w:vAlign w:val="bottom"/>
            <w:tcBorders>
              <w:bottom w:val="single" w:sz="8" w:color="auto"/>
            </w:tcBorders>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c>
          <w:tcPr>
            <w:tcW w:w="160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12/31/24</w:t>
            </w:r>
          </w:p>
        </w:tc>
        <w:tc>
          <w:tcPr>
            <w:tcW w:w="140" w:type="dxa"/>
            <w:vAlign w:val="bottom"/>
            <w:tcBorders>
              <w:bottom w:val="single" w:sz="8" w:color="CCEEFF"/>
            </w:tcBorders>
          </w:tcPr>
          <w:p>
            <w:pPr>
              <w:spacing w:after="0"/>
              <w:rPr>
                <w:sz w:val="20"/>
                <w:szCs w:val="20"/>
                <w:color w:val="auto"/>
              </w:rPr>
            </w:pPr>
          </w:p>
        </w:tc>
        <w:tc>
          <w:tcPr>
            <w:tcW w:w="158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12/31/23</w:t>
            </w:r>
          </w:p>
        </w:tc>
        <w:tc>
          <w:tcPr>
            <w:tcW w:w="120" w:type="dxa"/>
            <w:vAlign w:val="bottom"/>
            <w:tcBorders>
              <w:bottom w:val="single" w:sz="8" w:color="CCEEFF"/>
            </w:tcBorders>
          </w:tcPr>
          <w:p>
            <w:pPr>
              <w:spacing w:after="0"/>
              <w:rPr>
                <w:sz w:val="20"/>
                <w:szCs w:val="20"/>
                <w:color w:val="auto"/>
              </w:rPr>
            </w:pPr>
          </w:p>
        </w:tc>
        <w:tc>
          <w:tcPr>
            <w:tcW w:w="160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12/31/24</w:t>
            </w:r>
          </w:p>
        </w:tc>
        <w:tc>
          <w:tcPr>
            <w:tcW w:w="140" w:type="dxa"/>
            <w:vAlign w:val="bottom"/>
            <w:tcBorders>
              <w:bottom w:val="single" w:sz="8" w:color="CCEEFF"/>
            </w:tcBorders>
          </w:tcPr>
          <w:p>
            <w:pPr>
              <w:spacing w:after="0"/>
              <w:rPr>
                <w:sz w:val="20"/>
                <w:szCs w:val="20"/>
                <w:color w:val="auto"/>
              </w:rPr>
            </w:pPr>
          </w:p>
        </w:tc>
        <w:tc>
          <w:tcPr>
            <w:tcW w:w="160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12/31/23</w:t>
            </w:r>
          </w:p>
        </w:tc>
      </w:tr>
      <w:tr>
        <w:trPr>
          <w:trHeight w:val="223"/>
        </w:trPr>
        <w:tc>
          <w:tcPr>
            <w:tcW w:w="4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Flexible Generation Equivalent Availability Factor</w:t>
            </w:r>
          </w:p>
        </w:tc>
        <w:tc>
          <w:tcPr>
            <w:tcW w:w="14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91.5 %</w:t>
            </w:r>
          </w:p>
        </w:tc>
        <w:tc>
          <w:tcPr>
            <w:tcW w:w="14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98.0 %</w:t>
            </w:r>
          </w:p>
        </w:tc>
        <w:tc>
          <w:tcPr>
            <w:tcW w:w="12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90.6 %</w:t>
            </w:r>
          </w:p>
        </w:tc>
        <w:tc>
          <w:tcPr>
            <w:tcW w:w="14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90.2 %</w:t>
            </w:r>
          </w:p>
        </w:tc>
      </w:tr>
      <w:tr>
        <w:trPr>
          <w:trHeight w:val="230"/>
        </w:trPr>
        <w:tc>
          <w:tcPr>
            <w:tcW w:w="446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Solar MWh generated/sold</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1,659</w:t>
            </w:r>
          </w:p>
        </w:tc>
        <w:tc>
          <w:tcPr>
            <w:tcW w:w="14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1,193</w:t>
            </w:r>
          </w:p>
        </w:tc>
        <w:tc>
          <w:tcPr>
            <w:tcW w:w="12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8,658</w:t>
            </w:r>
          </w:p>
        </w:tc>
        <w:tc>
          <w:tcPr>
            <w:tcW w:w="14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5,425</w:t>
            </w:r>
          </w:p>
        </w:tc>
      </w:tr>
      <w:tr>
        <w:trPr>
          <w:trHeight w:val="229"/>
        </w:trPr>
        <w:tc>
          <w:tcPr>
            <w:tcW w:w="446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Wind MWh generated/sold</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2,473</w:t>
            </w:r>
          </w:p>
        </w:tc>
        <w:tc>
          <w:tcPr>
            <w:tcW w:w="14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2,152</w:t>
            </w:r>
          </w:p>
        </w:tc>
        <w:tc>
          <w:tcPr>
            <w:tcW w:w="12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9,951</w:t>
            </w:r>
          </w:p>
        </w:tc>
        <w:tc>
          <w:tcPr>
            <w:tcW w:w="14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9,414</w:t>
            </w:r>
          </w:p>
        </w:tc>
      </w:tr>
      <w:tr>
        <w:trPr>
          <w:trHeight w:val="270"/>
        </w:trPr>
        <w:tc>
          <w:tcPr>
            <w:tcW w:w="43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Renewables MWh generated/sold</w:t>
            </w:r>
            <w:r>
              <w:rPr>
                <w:rFonts w:ascii="Times New Roman" w:cs="Times New Roman" w:eastAsia="Times New Roman" w:hAnsi="Times New Roman"/>
                <w:sz w:val="23"/>
                <w:szCs w:val="23"/>
                <w:color w:val="auto"/>
                <w:vertAlign w:val="superscript"/>
              </w:rPr>
              <w:t>3</w:t>
            </w:r>
          </w:p>
        </w:tc>
        <w:tc>
          <w:tcPr>
            <w:tcW w:w="140" w:type="dxa"/>
            <w:vAlign w:val="bottom"/>
          </w:tcPr>
          <w:p>
            <w:pPr>
              <w:spacing w:after="0"/>
              <w:rPr>
                <w:sz w:val="23"/>
                <w:szCs w:val="23"/>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4,132</w:t>
            </w:r>
          </w:p>
        </w:tc>
        <w:tc>
          <w:tcPr>
            <w:tcW w:w="140" w:type="dxa"/>
            <w:vAlign w:val="bottom"/>
          </w:tcPr>
          <w:p>
            <w:pPr>
              <w:spacing w:after="0"/>
              <w:rPr>
                <w:sz w:val="23"/>
                <w:szCs w:val="23"/>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3,345</w:t>
            </w:r>
          </w:p>
        </w:tc>
        <w:tc>
          <w:tcPr>
            <w:tcW w:w="120" w:type="dxa"/>
            <w:vAlign w:val="bottom"/>
          </w:tcPr>
          <w:p>
            <w:pPr>
              <w:spacing w:after="0"/>
              <w:rPr>
                <w:sz w:val="23"/>
                <w:szCs w:val="23"/>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18,609</w:t>
            </w:r>
          </w:p>
        </w:tc>
        <w:tc>
          <w:tcPr>
            <w:tcW w:w="140" w:type="dxa"/>
            <w:vAlign w:val="bottom"/>
          </w:tcPr>
          <w:p>
            <w:pPr>
              <w:spacing w:after="0"/>
              <w:rPr>
                <w:sz w:val="23"/>
                <w:szCs w:val="23"/>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14,839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6116955</wp:posOffset>
            </wp:positionH>
            <wp:positionV relativeFrom="paragraph">
              <wp:posOffset>-179705</wp:posOffset>
            </wp:positionV>
            <wp:extent cx="825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-179705</wp:posOffset>
            </wp:positionV>
            <wp:extent cx="889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-179705</wp:posOffset>
            </wp:positionV>
            <wp:extent cx="889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-179705</wp:posOffset>
            </wp:positionV>
            <wp:extent cx="825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-179705</wp:posOffset>
            </wp:positionV>
            <wp:extent cx="825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-179705</wp:posOffset>
            </wp:positionV>
            <wp:extent cx="825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6219825</wp:posOffset>
            </wp:positionH>
            <wp:positionV relativeFrom="paragraph">
              <wp:posOffset>-179705</wp:posOffset>
            </wp:positionV>
            <wp:extent cx="889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6236970</wp:posOffset>
            </wp:positionH>
            <wp:positionV relativeFrom="paragraph">
              <wp:posOffset>-179705</wp:posOffset>
            </wp:positionV>
            <wp:extent cx="889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6254115</wp:posOffset>
            </wp:positionH>
            <wp:positionV relativeFrom="paragraph">
              <wp:posOffset>-179705</wp:posOffset>
            </wp:positionV>
            <wp:extent cx="825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6271260</wp:posOffset>
            </wp:positionH>
            <wp:positionV relativeFrom="paragraph">
              <wp:posOffset>-179705</wp:posOffset>
            </wp:positionV>
            <wp:extent cx="825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6288405</wp:posOffset>
            </wp:positionH>
            <wp:positionV relativeFrom="paragraph">
              <wp:posOffset>-179705</wp:posOffset>
            </wp:positionV>
            <wp:extent cx="825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6305550</wp:posOffset>
            </wp:positionH>
            <wp:positionV relativeFrom="paragraph">
              <wp:posOffset>-179705</wp:posOffset>
            </wp:positionV>
            <wp:extent cx="825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6322695</wp:posOffset>
            </wp:positionH>
            <wp:positionV relativeFrom="paragraph">
              <wp:posOffset>-179705</wp:posOffset>
            </wp:positionV>
            <wp:extent cx="825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6339840</wp:posOffset>
            </wp:positionH>
            <wp:positionV relativeFrom="paragraph">
              <wp:posOffset>-179705</wp:posOffset>
            </wp:positionV>
            <wp:extent cx="889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6356985</wp:posOffset>
            </wp:positionH>
            <wp:positionV relativeFrom="paragraph">
              <wp:posOffset>-179705</wp:posOffset>
            </wp:positionV>
            <wp:extent cx="825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-179705</wp:posOffset>
            </wp:positionV>
            <wp:extent cx="825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6391275</wp:posOffset>
            </wp:positionH>
            <wp:positionV relativeFrom="paragraph">
              <wp:posOffset>-179705</wp:posOffset>
            </wp:positionV>
            <wp:extent cx="825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6408420</wp:posOffset>
            </wp:positionH>
            <wp:positionV relativeFrom="paragraph">
              <wp:posOffset>-179705</wp:posOffset>
            </wp:positionV>
            <wp:extent cx="825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6425565</wp:posOffset>
            </wp:positionH>
            <wp:positionV relativeFrom="paragraph">
              <wp:posOffset>-179705</wp:posOffset>
            </wp:positionV>
            <wp:extent cx="889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6442710</wp:posOffset>
            </wp:positionH>
            <wp:positionV relativeFrom="paragraph">
              <wp:posOffset>-179705</wp:posOffset>
            </wp:positionV>
            <wp:extent cx="825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6459855</wp:posOffset>
            </wp:positionH>
            <wp:positionV relativeFrom="paragraph">
              <wp:posOffset>-179705</wp:posOffset>
            </wp:positionV>
            <wp:extent cx="825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6477000</wp:posOffset>
            </wp:positionH>
            <wp:positionV relativeFrom="paragraph">
              <wp:posOffset>-179705</wp:posOffset>
            </wp:positionV>
            <wp:extent cx="825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6494145</wp:posOffset>
            </wp:positionH>
            <wp:positionV relativeFrom="paragraph">
              <wp:posOffset>-179705</wp:posOffset>
            </wp:positionV>
            <wp:extent cx="825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6511290</wp:posOffset>
            </wp:positionH>
            <wp:positionV relativeFrom="paragraph">
              <wp:posOffset>-179705</wp:posOffset>
            </wp:positionV>
            <wp:extent cx="889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6528435</wp:posOffset>
            </wp:positionH>
            <wp:positionV relativeFrom="paragraph">
              <wp:posOffset>-179705</wp:posOffset>
            </wp:positionV>
            <wp:extent cx="825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6545580</wp:posOffset>
            </wp:positionH>
            <wp:positionV relativeFrom="paragraph">
              <wp:posOffset>-179705</wp:posOffset>
            </wp:positionV>
            <wp:extent cx="825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6562725</wp:posOffset>
            </wp:positionH>
            <wp:positionV relativeFrom="paragraph">
              <wp:posOffset>-179705</wp:posOffset>
            </wp:positionV>
            <wp:extent cx="825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6579870</wp:posOffset>
            </wp:positionH>
            <wp:positionV relativeFrom="paragraph">
              <wp:posOffset>-179705</wp:posOffset>
            </wp:positionV>
            <wp:extent cx="825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6597015</wp:posOffset>
            </wp:positionH>
            <wp:positionV relativeFrom="paragraph">
              <wp:posOffset>-179705</wp:posOffset>
            </wp:positionV>
            <wp:extent cx="889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6614160</wp:posOffset>
            </wp:positionH>
            <wp:positionV relativeFrom="paragraph">
              <wp:posOffset>-179705</wp:posOffset>
            </wp:positionV>
            <wp:extent cx="825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6631305</wp:posOffset>
            </wp:positionH>
            <wp:positionV relativeFrom="paragraph">
              <wp:posOffset>-179705</wp:posOffset>
            </wp:positionV>
            <wp:extent cx="8255"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6648450</wp:posOffset>
            </wp:positionH>
            <wp:positionV relativeFrom="paragraph">
              <wp:posOffset>-179705</wp:posOffset>
            </wp:positionV>
            <wp:extent cx="8255"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6665595</wp:posOffset>
            </wp:positionH>
            <wp:positionV relativeFrom="paragraph">
              <wp:posOffset>-179705</wp:posOffset>
            </wp:positionV>
            <wp:extent cx="8255"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6682740</wp:posOffset>
            </wp:positionH>
            <wp:positionV relativeFrom="paragraph">
              <wp:posOffset>-179705</wp:posOffset>
            </wp:positionV>
            <wp:extent cx="889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6699885</wp:posOffset>
            </wp:positionH>
            <wp:positionV relativeFrom="paragraph">
              <wp:posOffset>-179705</wp:posOffset>
            </wp:positionV>
            <wp:extent cx="825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-179705</wp:posOffset>
            </wp:positionV>
            <wp:extent cx="825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6734175</wp:posOffset>
            </wp:positionH>
            <wp:positionV relativeFrom="paragraph">
              <wp:posOffset>-179705</wp:posOffset>
            </wp:positionV>
            <wp:extent cx="8255"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6751320</wp:posOffset>
            </wp:positionH>
            <wp:positionV relativeFrom="paragraph">
              <wp:posOffset>-179705</wp:posOffset>
            </wp:positionV>
            <wp:extent cx="8255"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6768465</wp:posOffset>
            </wp:positionH>
            <wp:positionV relativeFrom="paragraph">
              <wp:posOffset>-179705</wp:posOffset>
            </wp:positionV>
            <wp:extent cx="889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6785610</wp:posOffset>
            </wp:positionH>
            <wp:positionV relativeFrom="paragraph">
              <wp:posOffset>-179705</wp:posOffset>
            </wp:positionV>
            <wp:extent cx="8255"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6802755</wp:posOffset>
            </wp:positionH>
            <wp:positionV relativeFrom="paragraph">
              <wp:posOffset>-179705</wp:posOffset>
            </wp:positionV>
            <wp:extent cx="8255"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6819900</wp:posOffset>
            </wp:positionH>
            <wp:positionV relativeFrom="paragraph">
              <wp:posOffset>-179705</wp:posOffset>
            </wp:positionV>
            <wp:extent cx="8255"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6837045</wp:posOffset>
            </wp:positionH>
            <wp:positionV relativeFrom="paragraph">
              <wp:posOffset>-179705</wp:posOffset>
            </wp:positionV>
            <wp:extent cx="8255"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6854190</wp:posOffset>
            </wp:positionH>
            <wp:positionV relativeFrom="paragraph">
              <wp:posOffset>-179705</wp:posOffset>
            </wp:positionV>
            <wp:extent cx="889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6871335</wp:posOffset>
            </wp:positionH>
            <wp:positionV relativeFrom="paragraph">
              <wp:posOffset>-179705</wp:posOffset>
            </wp:positionV>
            <wp:extent cx="8255"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6888480</wp:posOffset>
            </wp:positionH>
            <wp:positionV relativeFrom="paragraph">
              <wp:posOffset>-179705</wp:posOffset>
            </wp:positionV>
            <wp:extent cx="8255"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6905625</wp:posOffset>
            </wp:positionH>
            <wp:positionV relativeFrom="paragraph">
              <wp:posOffset>-179705</wp:posOffset>
            </wp:positionV>
            <wp:extent cx="8255"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6922770</wp:posOffset>
            </wp:positionH>
            <wp:positionV relativeFrom="paragraph">
              <wp:posOffset>-179705</wp:posOffset>
            </wp:positionV>
            <wp:extent cx="8255"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6939915</wp:posOffset>
            </wp:positionH>
            <wp:positionV relativeFrom="paragraph">
              <wp:posOffset>-179705</wp:posOffset>
            </wp:positionV>
            <wp:extent cx="889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6957060</wp:posOffset>
            </wp:positionH>
            <wp:positionV relativeFrom="paragraph">
              <wp:posOffset>-179705</wp:posOffset>
            </wp:positionV>
            <wp:extent cx="8255"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6974205</wp:posOffset>
            </wp:positionH>
            <wp:positionV relativeFrom="paragraph">
              <wp:posOffset>-179705</wp:posOffset>
            </wp:positionV>
            <wp:extent cx="8255"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6991350</wp:posOffset>
            </wp:positionH>
            <wp:positionV relativeFrom="paragraph">
              <wp:posOffset>-179705</wp:posOffset>
            </wp:positionV>
            <wp:extent cx="8255"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7008495</wp:posOffset>
            </wp:positionH>
            <wp:positionV relativeFrom="paragraph">
              <wp:posOffset>-179705</wp:posOffset>
            </wp:positionV>
            <wp:extent cx="8255"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7025640</wp:posOffset>
            </wp:positionH>
            <wp:positionV relativeFrom="paragraph">
              <wp:posOffset>-179705</wp:posOffset>
            </wp:positionV>
            <wp:extent cx="889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7042785</wp:posOffset>
            </wp:positionH>
            <wp:positionV relativeFrom="paragraph">
              <wp:posOffset>-179705</wp:posOffset>
            </wp:positionV>
            <wp:extent cx="8255"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-179705</wp:posOffset>
            </wp:positionV>
            <wp:extent cx="8255"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-179705</wp:posOffset>
            </wp:positionV>
            <wp:extent cx="8255"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-179705</wp:posOffset>
            </wp:positionV>
            <wp:extent cx="8255"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7111365</wp:posOffset>
            </wp:positionH>
            <wp:positionV relativeFrom="paragraph">
              <wp:posOffset>-179705</wp:posOffset>
            </wp:positionV>
            <wp:extent cx="889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7128510</wp:posOffset>
            </wp:positionH>
            <wp:positionV relativeFrom="paragraph">
              <wp:posOffset>-179705</wp:posOffset>
            </wp:positionV>
            <wp:extent cx="8255"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-179705</wp:posOffset>
            </wp:positionV>
            <wp:extent cx="889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-179705</wp:posOffset>
            </wp:positionV>
            <wp:extent cx="8255"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-179705</wp:posOffset>
            </wp:positionV>
            <wp:extent cx="8255"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-179705</wp:posOffset>
            </wp:positionV>
            <wp:extent cx="8255"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-179705</wp:posOffset>
            </wp:positionV>
            <wp:extent cx="889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-179705</wp:posOffset>
            </wp:positionV>
            <wp:extent cx="889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-179705</wp:posOffset>
            </wp:positionV>
            <wp:extent cx="8255"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-179705</wp:posOffset>
            </wp:positionV>
            <wp:extent cx="8255"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-179705</wp:posOffset>
            </wp:positionV>
            <wp:extent cx="8255"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5165725</wp:posOffset>
            </wp:positionH>
            <wp:positionV relativeFrom="paragraph">
              <wp:posOffset>-179705</wp:posOffset>
            </wp:positionV>
            <wp:extent cx="889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-179705</wp:posOffset>
            </wp:positionV>
            <wp:extent cx="889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-179705</wp:posOffset>
            </wp:positionV>
            <wp:extent cx="8255"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-179705</wp:posOffset>
            </wp:positionV>
            <wp:extent cx="8255"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-179705</wp:posOffset>
            </wp:positionV>
            <wp:extent cx="8255"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-179705</wp:posOffset>
            </wp:positionV>
            <wp:extent cx="889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-179705</wp:posOffset>
            </wp:positionV>
            <wp:extent cx="889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-179705</wp:posOffset>
            </wp:positionV>
            <wp:extent cx="8255"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-179705</wp:posOffset>
            </wp:positionV>
            <wp:extent cx="8255"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-179705</wp:posOffset>
            </wp:positionV>
            <wp:extent cx="8255"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-179705</wp:posOffset>
            </wp:positionV>
            <wp:extent cx="889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-179705</wp:posOffset>
            </wp:positionV>
            <wp:extent cx="889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-179705</wp:posOffset>
            </wp:positionV>
            <wp:extent cx="8255"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-179705</wp:posOffset>
            </wp:positionV>
            <wp:extent cx="8255"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-179705</wp:posOffset>
            </wp:positionV>
            <wp:extent cx="8255"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5422900</wp:posOffset>
            </wp:positionH>
            <wp:positionV relativeFrom="paragraph">
              <wp:posOffset>-179705</wp:posOffset>
            </wp:positionV>
            <wp:extent cx="889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-179705</wp:posOffset>
            </wp:positionV>
            <wp:extent cx="889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5457190</wp:posOffset>
            </wp:positionH>
            <wp:positionV relativeFrom="paragraph">
              <wp:posOffset>-179705</wp:posOffset>
            </wp:positionV>
            <wp:extent cx="8255"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-179705</wp:posOffset>
            </wp:positionV>
            <wp:extent cx="8255"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-179705</wp:posOffset>
            </wp:positionV>
            <wp:extent cx="8255"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-179705</wp:posOffset>
            </wp:positionV>
            <wp:extent cx="889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-179705</wp:posOffset>
            </wp:positionV>
            <wp:extent cx="889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-179705</wp:posOffset>
            </wp:positionV>
            <wp:extent cx="8255"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-179705</wp:posOffset>
            </wp:positionV>
            <wp:extent cx="8255"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-179705</wp:posOffset>
            </wp:positionV>
            <wp:extent cx="8255"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-179705</wp:posOffset>
            </wp:positionV>
            <wp:extent cx="889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-179705</wp:posOffset>
            </wp:positionV>
            <wp:extent cx="889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-179705</wp:posOffset>
            </wp:positionV>
            <wp:extent cx="8255"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-179705</wp:posOffset>
            </wp:positionV>
            <wp:extent cx="8255"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-179705</wp:posOffset>
            </wp:positionV>
            <wp:extent cx="8255"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-179705</wp:posOffset>
            </wp:positionV>
            <wp:extent cx="889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-179705</wp:posOffset>
            </wp:positionV>
            <wp:extent cx="8255"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-179705</wp:posOffset>
            </wp:positionV>
            <wp:extent cx="8255"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5731510</wp:posOffset>
            </wp:positionH>
            <wp:positionV relativeFrom="paragraph">
              <wp:posOffset>-179705</wp:posOffset>
            </wp:positionV>
            <wp:extent cx="8255"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-179705</wp:posOffset>
            </wp:positionV>
            <wp:extent cx="889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-179705</wp:posOffset>
            </wp:positionV>
            <wp:extent cx="889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-179705</wp:posOffset>
            </wp:positionV>
            <wp:extent cx="8255"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-179705</wp:posOffset>
            </wp:positionV>
            <wp:extent cx="8255"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-179705</wp:posOffset>
            </wp:positionV>
            <wp:extent cx="8255"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-179705</wp:posOffset>
            </wp:positionV>
            <wp:extent cx="889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-179705</wp:posOffset>
            </wp:positionV>
            <wp:extent cx="889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-179705</wp:posOffset>
            </wp:positionV>
            <wp:extent cx="8255"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-179705</wp:posOffset>
            </wp:positionV>
            <wp:extent cx="8255"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-179705</wp:posOffset>
            </wp:positionV>
            <wp:extent cx="8255"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-179705</wp:posOffset>
            </wp:positionV>
            <wp:extent cx="889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-179705</wp:posOffset>
            </wp:positionV>
            <wp:extent cx="889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-179705</wp:posOffset>
            </wp:positionV>
            <wp:extent cx="8255"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-179705</wp:posOffset>
            </wp:positionV>
            <wp:extent cx="8255"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-179705</wp:posOffset>
            </wp:positionV>
            <wp:extent cx="8255"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-179705</wp:posOffset>
            </wp:positionV>
            <wp:extent cx="889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-179705</wp:posOffset>
            </wp:positionV>
            <wp:extent cx="889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-179705</wp:posOffset>
            </wp:positionV>
            <wp:extent cx="493776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4937760" cy="8890"/>
                    </a:xfrm>
                    <a:prstGeom prst="rect">
                      <a:avLst/>
                    </a:prstGeom>
                    <a:noFill/>
                  </pic:spPr>
                </pic:pic>
              </a:graphicData>
            </a:graphic>
          </wp:anchor>
        </w:drawing>
      </w:r>
    </w:p>
    <w:p>
      <w:pPr>
        <w:spacing w:after="0" w:line="272"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In the fourth quarter of 2024, availability at the Flexible Generation segment, formerly known as Conventional, was lower than the fourth quarter of 2023 primarily from outages at certain facilities in 2024. Generation in the Renewables segment during the fourth quarter of 2024 was 24% higher than the fourth quarter of 2023 primarily due to the contribution of growth investments and higher wind resources in certain geographies across the fleet.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414655</wp:posOffset>
            </wp:positionV>
            <wp:extent cx="171450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120" w:hanging="112"/>
        <w:spacing w:after="0"/>
        <w:tabs>
          <w:tab w:leader="none" w:pos="120" w:val="left"/>
        </w:tabs>
        <w:numPr>
          <w:ilvl w:val="0"/>
          <w:numId w:val="3"/>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4"/>
          <w:szCs w:val="14"/>
          <w:color w:val="auto"/>
        </w:rPr>
        <w:t>Excludes equity method investments</w:t>
      </w:r>
    </w:p>
    <w:p>
      <w:pPr>
        <w:ind w:left="120" w:hanging="112"/>
        <w:spacing w:after="0" w:line="196" w:lineRule="auto"/>
        <w:tabs>
          <w:tab w:leader="none" w:pos="120" w:val="left"/>
        </w:tabs>
        <w:numPr>
          <w:ilvl w:val="0"/>
          <w:numId w:val="4"/>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4"/>
          <w:szCs w:val="14"/>
          <w:color w:val="auto"/>
        </w:rPr>
        <w:t>Generation sold excludes MWh that are reimbursable for economic curtailment</w:t>
      </w: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w:t>
      </w:r>
    </w:p>
    <w:p>
      <w:pPr>
        <w:sectPr>
          <w:pgSz w:w="11900" w:h="16838" w:orient="portrait"/>
          <w:cols w:equalWidth="0" w:num="1">
            <w:col w:w="11240"/>
          </w:cols>
          <w:pgMar w:left="320" w:top="887" w:right="3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38"/>
        </w:trPr>
        <w:tc>
          <w:tcPr>
            <w:tcW w:w="70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tc>
        <w:tc>
          <w:tcPr>
            <w:tcW w:w="2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459"/>
        </w:trPr>
        <w:tc>
          <w:tcPr>
            <w:tcW w:w="70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Table 5: Liquidity</w:t>
            </w:r>
          </w:p>
        </w:tc>
        <w:tc>
          <w:tcPr>
            <w:tcW w:w="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56"/>
        </w:trPr>
        <w:tc>
          <w:tcPr>
            <w:tcW w:w="7000" w:type="dxa"/>
            <w:vAlign w:val="bottom"/>
            <w:gridSpan w:val="2"/>
          </w:tcPr>
          <w:p>
            <w:pPr>
              <w:ind w:left="20"/>
              <w:spacing w:after="0"/>
              <w:rPr>
                <w:sz w:val="20"/>
                <w:szCs w:val="20"/>
                <w:color w:val="auto"/>
              </w:rPr>
            </w:pPr>
            <w:r>
              <w:rPr>
                <w:rFonts w:ascii="Times New Roman" w:cs="Times New Roman" w:eastAsia="Times New Roman" w:hAnsi="Times New Roman"/>
                <w:sz w:val="18"/>
                <w:szCs w:val="18"/>
                <w:i w:val="1"/>
                <w:iCs w:val="1"/>
                <w:color w:val="auto"/>
              </w:rPr>
              <w:t>($ millions)</w:t>
            </w:r>
          </w:p>
        </w:tc>
        <w:tc>
          <w:tcPr>
            <w:tcW w:w="200" w:type="dxa"/>
            <w:vAlign w:val="bottom"/>
          </w:tcPr>
          <w:p>
            <w:pPr>
              <w:spacing w:after="0"/>
              <w:rPr>
                <w:sz w:val="22"/>
                <w:szCs w:val="22"/>
                <w:color w:val="auto"/>
              </w:rPr>
            </w:pPr>
          </w:p>
        </w:tc>
        <w:tc>
          <w:tcPr>
            <w:tcW w:w="120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12/31/2024</w:t>
            </w:r>
          </w:p>
        </w:tc>
        <w:tc>
          <w:tcPr>
            <w:tcW w:w="1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12/31/2023</w:t>
            </w:r>
          </w:p>
        </w:tc>
      </w:tr>
      <w:tr>
        <w:trPr>
          <w:trHeight w:val="210"/>
        </w:trPr>
        <w:tc>
          <w:tcPr>
            <w:tcW w:w="68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and Cash Equivalents:</w:t>
            </w:r>
          </w:p>
        </w:tc>
        <w:tc>
          <w:tcPr>
            <w:tcW w:w="1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r>
      <w:tr>
        <w:trPr>
          <w:trHeight w:val="229"/>
        </w:trPr>
        <w:tc>
          <w:tcPr>
            <w:tcW w:w="700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Clearway Energy, Inc. and Clearway Energy LLC, excluding subsidiaries</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16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410</w:t>
            </w:r>
          </w:p>
        </w:tc>
      </w:tr>
      <w:tr>
        <w:trPr>
          <w:trHeight w:val="230"/>
        </w:trPr>
        <w:tc>
          <w:tcPr>
            <w:tcW w:w="70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Subsidiaries</w:t>
            </w: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w:t>
            </w:r>
          </w:p>
        </w:tc>
        <w:tc>
          <w:tcPr>
            <w:tcW w:w="1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w:t>
            </w:r>
          </w:p>
        </w:tc>
      </w:tr>
      <w:tr>
        <w:trPr>
          <w:trHeight w:val="214"/>
        </w:trPr>
        <w:tc>
          <w:tcPr>
            <w:tcW w:w="700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Restricted Cash:</w:t>
            </w: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31"/>
        </w:trPr>
        <w:tc>
          <w:tcPr>
            <w:tcW w:w="70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Operating accounts</w:t>
            </w:r>
          </w:p>
        </w:tc>
        <w:tc>
          <w:tcPr>
            <w:tcW w:w="20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1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w:t>
            </w:r>
          </w:p>
        </w:tc>
      </w:tr>
      <w:tr>
        <w:trPr>
          <w:trHeight w:val="230"/>
        </w:trPr>
        <w:tc>
          <w:tcPr>
            <w:tcW w:w="700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6"/>
                <w:szCs w:val="16"/>
                <w:color w:val="auto"/>
              </w:rPr>
              <w:t>Reserves, including debt service, distributions, performance obligations and other reserves</w:t>
            </w:r>
          </w:p>
        </w:tc>
        <w:tc>
          <w:tcPr>
            <w:tcW w:w="2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217</w:t>
            </w:r>
          </w:p>
        </w:tc>
        <w:tc>
          <w:tcPr>
            <w:tcW w:w="16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340</w:t>
            </w:r>
          </w:p>
        </w:tc>
      </w:tr>
      <w:tr>
        <w:trPr>
          <w:trHeight w:val="223"/>
        </w:trPr>
        <w:tc>
          <w:tcPr>
            <w:tcW w:w="7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Total Cash</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733</w:t>
            </w:r>
          </w:p>
        </w:tc>
        <w:tc>
          <w:tcPr>
            <w:tcW w:w="16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1,051</w:t>
            </w:r>
          </w:p>
        </w:tc>
      </w:tr>
      <w:tr>
        <w:trPr>
          <w:trHeight w:val="223"/>
        </w:trPr>
        <w:tc>
          <w:tcPr>
            <w:tcW w:w="70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Revolving credit facility availability</w:t>
            </w:r>
          </w:p>
        </w:tc>
        <w:tc>
          <w:tcPr>
            <w:tcW w:w="2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597</w:t>
            </w:r>
          </w:p>
        </w:tc>
        <w:tc>
          <w:tcPr>
            <w:tcW w:w="16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454</w:t>
            </w:r>
          </w:p>
        </w:tc>
      </w:tr>
      <w:tr>
        <w:trPr>
          <w:trHeight w:val="248"/>
        </w:trPr>
        <w:tc>
          <w:tcPr>
            <w:tcW w:w="70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Total Liquidity</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1,330</w:t>
            </w:r>
          </w:p>
        </w:tc>
        <w:tc>
          <w:tcPr>
            <w:tcW w:w="1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1,505</w:t>
            </w:r>
          </w:p>
        </w:tc>
      </w:tr>
      <w:tr>
        <w:trPr>
          <w:trHeight w:val="20"/>
        </w:trPr>
        <w:tc>
          <w:tcPr>
            <w:tcW w:w="68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Total liquidity as of December 31, 2024 was $1,330 million, which was $175 million lower than the same period ended December 31, 2023 primarily due to the execution of growth investments.</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231F20"/>
        </w:rPr>
        <w:t xml:space="preserve">As of </w:t>
      </w:r>
      <w:r>
        <w:rPr>
          <w:rFonts w:ascii="Times New Roman" w:cs="Times New Roman" w:eastAsia="Times New Roman" w:hAnsi="Times New Roman"/>
          <w:sz w:val="18"/>
          <w:szCs w:val="18"/>
          <w:color w:val="000000"/>
        </w:rPr>
        <w:t>December 31, 2024</w:t>
      </w:r>
      <w:r>
        <w:rPr>
          <w:rFonts w:ascii="Times New Roman" w:cs="Times New Roman" w:eastAsia="Times New Roman" w:hAnsi="Times New Roman"/>
          <w:sz w:val="18"/>
          <w:szCs w:val="18"/>
          <w:color w:val="231F20"/>
        </w:rPr>
        <w:t xml:space="preserve">, the Company's liquidity included </w:t>
      </w:r>
      <w:r>
        <w:rPr>
          <w:rFonts w:ascii="Times New Roman" w:cs="Times New Roman" w:eastAsia="Times New Roman" w:hAnsi="Times New Roman"/>
          <w:sz w:val="18"/>
          <w:szCs w:val="18"/>
          <w:color w:val="000000"/>
        </w:rPr>
        <w:t>$401 million</w:t>
      </w:r>
      <w:r>
        <w:rPr>
          <w:rFonts w:ascii="Times New Roman" w:cs="Times New Roman" w:eastAsia="Times New Roman" w:hAnsi="Times New Roman"/>
          <w:sz w:val="18"/>
          <w:szCs w:val="18"/>
          <w:color w:val="231F20"/>
        </w:rPr>
        <w:t xml:space="preserve"> of restricted cash. Restricted cash consists primarily of funds to satisfy the requirements of certain debt arrangements and funds held within the Company's projects that are restricted in their use. As </w:t>
      </w:r>
      <w:r>
        <w:rPr>
          <w:rFonts w:ascii="Times New Roman" w:cs="Times New Roman" w:eastAsia="Times New Roman" w:hAnsi="Times New Roman"/>
          <w:sz w:val="18"/>
          <w:szCs w:val="18"/>
          <w:color w:val="000000"/>
        </w:rPr>
        <w:t>of December 31, 2024, these</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restricted funds were comprised of $184 million designated to fund operating expenses, approximately $37 million designated for current debt service payments, and $102 million of reserves for debt service, performance obligations and other items including capital expenditures. The remaining $78 million is held in distribution reserve accounts.</w:t>
      </w:r>
    </w:p>
    <w:p>
      <w:pPr>
        <w:spacing w:after="0" w:line="21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Potential future sources of liquidity include excess operating cash flow, availability under the revolving credit facility, asset dispositions, and, subject to market conditions, new corporate debt and equity financings.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Growth Investments and Commercial Agreements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Mt. Storm Repowering</w:t>
      </w:r>
    </w:p>
    <w:p>
      <w:pPr>
        <w:spacing w:after="0" w:line="24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February 12, 2025, the Company entered into agreements with Clearway Group to repower the Mt. Storm Wind project located in Grant County, West Virginia. Upon achieving repowering commercial operations in 2027, the project is expected to sell power to an investment grade counterparty for 20 years under an awarded power purchase agreement. The Company will have the option to invest approximately $220-230 million in long-term corporate capital, subject to closing adjustments, and Clearway Group achieving certain repowering development milestones. The repowering is estimated to contribute incremental asset CAFD on a five-year average annual basis of approximately $26-28 million beginning January 1, 2028.</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Resource Adequacy Agreements at El Segundo</w:t>
      </w:r>
    </w:p>
    <w:p>
      <w:pPr>
        <w:spacing w:after="0" w:line="24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first quarter of 2025, the Company contracted with load serving entities to sell approximately 272 MW of El Segundo's Resource Adequacy commencing August 2026 and ending December 2029. El Segundo is now contracted for approximately 100% of its capacity through 2027 at terms consistent with the budgetary assumptions within the Company's 2027 CAFD per share target range.</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Wildorado PPA Amendment</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December 13, 2024, the Company amended a PPA for the Wildorado wind facility with an investment-grade utility. The PPA will now be contracted through March 2030 rather than through April 2027. The PPA amendment was at terms and pricing that support the Company's goal of achieving the upper half of its 2027 CAFD per share target range.</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Tuolumne Wind</w:t>
      </w:r>
    </w:p>
    <w:p>
      <w:pPr>
        <w:spacing w:after="0" w:line="2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November 25, 2024, the Company entered into a binding agreement to acquire Tuolumne Wind, a 137 MW wind asset located in Klickitat County, Washington from Turlock Irrigation District. The project has a PPA with Turlock Irrigation</w:t>
      </w: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w:t>
      </w:r>
    </w:p>
    <w:p>
      <w:pPr>
        <w:sectPr>
          <w:pgSz w:w="11900" w:h="16838" w:orient="portrait"/>
          <w:cols w:equalWidth="0" w:num="1">
            <w:col w:w="11240"/>
          </w:cols>
          <w:pgMar w:left="320" w:top="887" w:right="339" w:bottom="1440" w:gutter="0" w:footer="0" w:header="0"/>
        </w:sectPr>
      </w:pPr>
    </w:p>
    <w:bookmarkStart w:id="6" w:name="page7"/>
    <w:bookmarkEnd w:id="6"/>
    <w:p>
      <w:pPr>
        <w:jc w:val="both"/>
        <w:spacing w:after="0" w:line="258" w:lineRule="auto"/>
        <w:rPr>
          <w:sz w:val="20"/>
          <w:szCs w:val="20"/>
          <w:color w:val="auto"/>
        </w:rPr>
      </w:pPr>
      <w:r>
        <w:rPr>
          <w:rFonts w:ascii="Times New Roman" w:cs="Times New Roman" w:eastAsia="Times New Roman" w:hAnsi="Times New Roman"/>
          <w:sz w:val="18"/>
          <w:szCs w:val="18"/>
          <w:color w:val="auto"/>
        </w:rPr>
        <w:t>District, an investment-grade regulated entity, with an initial contract term of 15 years to 2040. In conjunction with the acquisition, the Company received from Turlock Irrigation District a contractual extension option to enable a potential future repowering of the project. After factoring in closing adjustments and new non-recourse project-level debt, the Company's corporate capital commitment to acquire the project is expected to be approximately $70-75 million. The Company expects the project to contribute asset CAFD on a five-year average annual basis of approximately $9 million beginning January 1, 2026.</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Honeycomb Phase 1</w:t>
      </w:r>
    </w:p>
    <w:p>
      <w:pPr>
        <w:spacing w:after="0" w:line="24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December 20, 2024, the Company, through an indirect subsidiary, entered into an agreement to invest in the Honeycomb Portfolio, four BESS facilities under construction in Utah, representing 320 MW of capacity, for approximately $78 million in cash consideration. The consummation of the transaction is subject to customary closing conditions and certain third-party approvals and is expected in 2026. The investment is underpinned by 20-year tolling</w:t>
      </w:r>
    </w:p>
    <w:p>
      <w:pPr>
        <w:jc w:val="both"/>
        <w:spacing w:after="0" w:line="297" w:lineRule="auto"/>
        <w:rPr>
          <w:sz w:val="20"/>
          <w:szCs w:val="20"/>
          <w:color w:val="auto"/>
        </w:rPr>
      </w:pPr>
      <w:r>
        <w:rPr>
          <w:rFonts w:ascii="Times New Roman" w:cs="Times New Roman" w:eastAsia="Times New Roman" w:hAnsi="Times New Roman"/>
          <w:sz w:val="18"/>
          <w:szCs w:val="18"/>
          <w:color w:val="auto"/>
        </w:rPr>
        <w:t>agreements with an investment grade utility. The Company expects the portfolio to contribute asset CAFD on a five-year average annual basis of approximately $10 million beginning January 1, 2027.</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Quarterly Dividend</w:t>
      </w:r>
    </w:p>
    <w:p>
      <w:pPr>
        <w:spacing w:after="0" w:line="256"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On February 17, 2025, Clearway Energy, Inc.’s Board of Directors declared a quarterly dividend on Class A and Class C common stoc</w:t>
      </w:r>
      <w:r>
        <w:rPr>
          <w:rFonts w:ascii="Times New Roman" w:cs="Times New Roman" w:eastAsia="Times New Roman" w:hAnsi="Times New Roman"/>
          <w:sz w:val="18"/>
          <w:szCs w:val="18"/>
          <w:color w:val="242424"/>
        </w:rPr>
        <w:t>k</w:t>
      </w:r>
      <w:r>
        <w:rPr>
          <w:rFonts w:ascii="Times New Roman" w:cs="Times New Roman" w:eastAsia="Times New Roman" w:hAnsi="Times New Roman"/>
          <w:sz w:val="18"/>
          <w:szCs w:val="18"/>
          <w:color w:val="auto"/>
        </w:rPr>
        <w:t xml:space="preserve"> of $0.4312 per share payable on March 17, 2025, to stockholders of record as of March 3, 2025.</w:t>
      </w:r>
    </w:p>
    <w:p>
      <w:pPr>
        <w:spacing w:after="0"/>
        <w:rPr>
          <w:sz w:val="20"/>
          <w:szCs w:val="20"/>
          <w:color w:val="auto"/>
        </w:rPr>
      </w:pPr>
      <w:r>
        <w:rPr>
          <w:rFonts w:ascii="Times New Roman" w:cs="Times New Roman" w:eastAsia="Times New Roman" w:hAnsi="Times New Roman"/>
          <w:sz w:val="18"/>
          <w:szCs w:val="18"/>
          <w:b w:val="1"/>
          <w:bCs w:val="1"/>
          <w:color w:val="auto"/>
        </w:rPr>
        <w:t>Seasonality</w:t>
      </w:r>
    </w:p>
    <w:p>
      <w:pPr>
        <w:spacing w:after="0" w:line="23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Clearway Energy, Inc.’s quarterly operating results are impacted by seasonal factors, as well as weather variability which can impact renewable energy resource throughout the year. Most of the Company's revenues are generated from the months of May through September, as contracted pricing and renewable resources are at their highest levels in the Company’s portfolio. Factors driving the fluctuation in Net Income, Adjusted EBITDA, Cash from Operating Activities, and CAFD include the following:</w:t>
      </w:r>
    </w:p>
    <w:p>
      <w:pPr>
        <w:spacing w:after="0" w:line="207" w:lineRule="exact"/>
        <w:rPr>
          <w:sz w:val="20"/>
          <w:szCs w:val="20"/>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Higher summer capacity and energy prices from flexible generation assets;</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Higher solar insolation during the summer months;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Higher wind resources during the spring and summer months;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Renewable energy resource throughout the year</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Debt service payments which are made either quarterly or semi-annually;</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Timing of maintenance capital expenditures and the impact of both unforced and forced outages;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Timing of distributions from unconsolidated affiliates</w:t>
      </w:r>
    </w:p>
    <w:p>
      <w:pPr>
        <w:spacing w:after="0" w:line="23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takes into consideration the timing of these factors to ensure sufficient funds are available for distributions and operating activities on a quarterly basis.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Guidance</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is reaffirming its 2025 full year CAFD guidance range of $400 million to $440 million. The midpoint of the 2025 financial guidance range is based on median renewable energy production estimates for the full year, while the range reflects a potential distribution of outcomes on resource and performance in the fiscal year. The guidance range also factors in completing committed growth investments on currently forecasted schedules.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Earnings Conference Call</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February 24, 2025, Clearway Energy, Inc. will host a conference call at 5:00 p.m. Eastern to discuss these results. Investors, the news media and others may access the live webcast of the conference call and accompanying presentation materials by logging on to Clearway Energy, Inc.’s website at http://www.clearwayenergy.com and clicking on “Presentations &amp; Webcasts” under “Investor Relations.”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Clearway Energy, Inc.</w:t>
      </w: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w:t>
      </w:r>
    </w:p>
    <w:p>
      <w:pPr>
        <w:sectPr>
          <w:pgSz w:w="11900" w:h="16838" w:orient="portrait"/>
          <w:cols w:equalWidth="0" w:num="1">
            <w:col w:w="11240"/>
          </w:cols>
          <w:pgMar w:left="320" w:top="891" w:right="339" w:bottom="1440" w:gutter="0" w:footer="0" w:header="0"/>
        </w:sectPr>
      </w:pPr>
    </w:p>
    <w:bookmarkStart w:id="7" w:name="page8"/>
    <w:bookmarkEnd w:id="7"/>
    <w:p>
      <w:pPr>
        <w:jc w:val="both"/>
        <w:spacing w:after="0" w:line="255" w:lineRule="auto"/>
        <w:rPr>
          <w:sz w:val="20"/>
          <w:szCs w:val="20"/>
          <w:color w:val="auto"/>
        </w:rPr>
      </w:pPr>
      <w:r>
        <w:rPr>
          <w:rFonts w:ascii="Times New Roman" w:cs="Times New Roman" w:eastAsia="Times New Roman" w:hAnsi="Times New Roman"/>
          <w:sz w:val="18"/>
          <w:szCs w:val="18"/>
          <w:color w:val="auto"/>
        </w:rPr>
        <w:t>Clearway Energy, Inc. is one of the largest owners of clean energy generation assets in the U.S. and is leading the transition to a world powered by clean energy. Our portfolio comprises approximately 11.8 GW of gross capacity in 26 states, including approximately 9 GW of wind, solar and battery energy storage systems and approximately 2.8 GW of conventional dispatchable power capacity that provide critical grid reliability services. Through our diversified and primarily contracted clean energy portfolio, Clearway Energy endeavors to provide its investors with stable and growing dividend income. Clearway Energy, Inc.’s Class C and Class A common stock are traded on the New York Stock Exchange under the symbols CWEN and CWEN.A, respectively. Clearway Energy, Inc. is sponsored by its controlling investor, Clearway Energy Group LLC. For more information, visit investor.clearwayenergy.com.</w:t>
      </w: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Safe Harbor Disclosure</w:t>
      </w:r>
    </w:p>
    <w:p>
      <w:pPr>
        <w:spacing w:after="0" w:line="25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This news release contains forward-looking statements within the meaning of Section 27A of the Securities Act of 1933 and Section 21E of the Securities Exchange Act of 1934. Such forward-looking statements are subject to certain risks, uncertainties and assumptions, and typically can be identified by the use of words such as “expect,” “estimate,” "target," “anticipate,” “forecast,” “plan,” “outlook,” “believe” and similar terms. Such forward-looking statements include, but are not limited to, statements regarding the Company’s dividend expectations and its operations, its facilities and its financial results, the anticipated consummation of the transactions described above, the anticipated benefits, opportunities, and results with respect to the transactions, including the Company’s future relationship and arrangements with Clearway Energy Group and its owners, as well as the Company's Net Income, Adjusted EBITDA, Cash from Operating Activities, Cash Available for Distribution, the Company’s future revenues, income, indebtedness, capital structure, strategy, plans, expectations, objectives, projected financial performance and/or business results and other future events, and views of economic and market conditions.</w:t>
      </w:r>
    </w:p>
    <w:p>
      <w:pPr>
        <w:spacing w:after="0" w:line="21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Although Clearway Energy, Inc. believes that the expectations are reasonable, it can give no assurance that these expectations will prove to be correct, and actual results may vary materially. Factors that could cause actual results to differ materially from those contemplated above include, among others, the Company's ability to maintain and grow its quarterly dividend, risks relating to the Company's relationships with its sponsors, the Company’s ability to successfully identify, evaluate, consummate or implement acquisitions or dispositions (including receipt of third party consents and regulatory approvals), the Company's ability to acquire assets from its sponsors, the Company’s ability to borrow additional funds and access capital markets due to its indebtedness, corporate structure, market conditions or otherwise, hazards customary in the power production industry and power generation operations, weather conditions, including wind and solar conditions, the Company’s ability to operate its businesses efficiently, manage maintenance capital expenditures and costs effectively, and generate earnings and cash flows from its asset-based businesses in relation to its debt and other obligations, the willingness and ability of counterparties to the Company’s offtake agreements to fulfill their obligations under such agreements, the Company's ability to enter into contracts to sell power and procure fuel on acceptable terms and prices, government regulation, including compliance with regulatory requirements and changes in law, operating and financial restrictions placed on the Company that are contained in the project-level debt facilities and other agreements of the Company and its subsidiaries, cyber terrorism and inadequate cybersecurity. Furthermore, any dividends are subject to available capital, market conditions, and compliance with associated laws and regulations.</w:t>
      </w:r>
    </w:p>
    <w:p>
      <w:pPr>
        <w:spacing w:after="0" w:line="21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Clearway Energy, Inc. undertakes no obligation to update or revise any forward-looking statements, whether as a result of new information, future events or otherwise. The Cash Available for Distribution are estimates as of today’s date, February 24, 2025, and are based on assumptions believed to be reasonable as of this date. Clearway Energy, Inc. expressly disclaims any current intention to update such guidance. The foregoing review of factors that could cause Clearway Energy, Inc.’s actual results to differ materially from those contemplated in the forward-looking statements included in this news release should be considered in connection with information regarding risks and uncertainties that may affect Clearway Energy, Inc.’s future results included in Clearway Energy, Inc.’s filings with the Securities and Exchange Commission at www.sec.gov. In addition, Clearway Energy, Inc. makes available free of charge at www.clearwayenergy.com, copies of materials it files with, or furnishes to, the Securities and Exchange Commission.</w:t>
      </w:r>
    </w:p>
    <w:p>
      <w:pPr>
        <w:spacing w:after="0" w:line="1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 #</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Contacts:</w:t>
      </w:r>
    </w:p>
    <w:p>
      <w:pPr>
        <w:spacing w:after="0" w:line="230" w:lineRule="exact"/>
        <w:rPr>
          <w:sz w:val="20"/>
          <w:szCs w:val="20"/>
          <w:color w:val="auto"/>
        </w:rPr>
      </w:pPr>
    </w:p>
    <w:p>
      <w:pPr>
        <w:ind w:left="660"/>
        <w:spacing w:after="0"/>
        <w:tabs>
          <w:tab w:leader="none" w:pos="2120" w:val="left"/>
        </w:tabs>
        <w:rPr>
          <w:sz w:val="20"/>
          <w:szCs w:val="20"/>
          <w:color w:val="auto"/>
        </w:rPr>
      </w:pPr>
      <w:r>
        <w:rPr>
          <w:rFonts w:ascii="Times New Roman" w:cs="Times New Roman" w:eastAsia="Times New Roman" w:hAnsi="Times New Roman"/>
          <w:sz w:val="18"/>
          <w:szCs w:val="18"/>
          <w:b w:val="1"/>
          <w:bCs w:val="1"/>
          <w:color w:val="auto"/>
        </w:rPr>
        <w:t>Investors:</w:t>
      </w:r>
      <w:r>
        <w:rPr>
          <w:sz w:val="20"/>
          <w:szCs w:val="20"/>
          <w:color w:val="auto"/>
        </w:rPr>
        <w:tab/>
      </w:r>
      <w:r>
        <w:rPr>
          <w:rFonts w:ascii="Times New Roman" w:cs="Times New Roman" w:eastAsia="Times New Roman" w:hAnsi="Times New Roman"/>
          <w:sz w:val="18"/>
          <w:szCs w:val="18"/>
          <w:b w:val="1"/>
          <w:bCs w:val="1"/>
          <w:color w:val="auto"/>
        </w:rPr>
        <w:t>Media:</w:t>
      </w:r>
    </w:p>
    <w:p>
      <w:pPr>
        <w:spacing w:after="0" w:line="31" w:lineRule="exact"/>
        <w:rPr>
          <w:sz w:val="20"/>
          <w:szCs w:val="20"/>
          <w:color w:val="auto"/>
        </w:rPr>
      </w:pPr>
    </w:p>
    <w:p>
      <w:pPr>
        <w:ind w:left="180"/>
        <w:spacing w:after="0"/>
        <w:tabs>
          <w:tab w:leader="none" w:pos="1700" w:val="left"/>
        </w:tabs>
        <w:rPr>
          <w:sz w:val="20"/>
          <w:szCs w:val="20"/>
          <w:color w:val="auto"/>
        </w:rPr>
      </w:pPr>
      <w:r>
        <w:rPr>
          <w:rFonts w:ascii="Times New Roman" w:cs="Times New Roman" w:eastAsia="Times New Roman" w:hAnsi="Times New Roman"/>
          <w:sz w:val="18"/>
          <w:szCs w:val="18"/>
          <w:color w:val="auto"/>
        </w:rPr>
        <w:t>Akil Marsh</w:t>
      </w:r>
      <w:r>
        <w:rPr>
          <w:sz w:val="20"/>
          <w:szCs w:val="20"/>
          <w:color w:val="auto"/>
        </w:rPr>
        <w:tab/>
      </w:r>
      <w:r>
        <w:rPr>
          <w:rFonts w:ascii="Times New Roman" w:cs="Times New Roman" w:eastAsia="Times New Roman" w:hAnsi="Times New Roman"/>
          <w:sz w:val="18"/>
          <w:szCs w:val="18"/>
          <w:color w:val="auto"/>
        </w:rPr>
        <w:t>Zadie Oleksiw</w:t>
      </w:r>
    </w:p>
    <w:p>
      <w:pPr>
        <w:spacing w:after="0" w:line="9" w:lineRule="exact"/>
        <w:rPr>
          <w:sz w:val="20"/>
          <w:szCs w:val="20"/>
          <w:color w:val="auto"/>
        </w:rPr>
      </w:pPr>
    </w:p>
    <w:p>
      <w:pPr>
        <w:ind w:left="180"/>
        <w:spacing w:after="0"/>
        <w:tabs>
          <w:tab w:leader="none" w:pos="3220" w:val="left"/>
        </w:tabs>
        <w:rPr>
          <w:sz w:val="20"/>
          <w:szCs w:val="20"/>
          <w:color w:val="auto"/>
        </w:rPr>
      </w:pPr>
      <w:r>
        <w:rPr>
          <w:rFonts w:ascii="Times New Roman" w:cs="Times New Roman" w:eastAsia="Times New Roman" w:hAnsi="Times New Roman"/>
          <w:sz w:val="18"/>
          <w:szCs w:val="18"/>
          <w:color w:val="auto"/>
        </w:rPr>
        <w:t>investor.relations@clearwayenergy.com</w:t>
      </w:r>
      <w:r>
        <w:rPr>
          <w:sz w:val="20"/>
          <w:szCs w:val="20"/>
          <w:color w:val="auto"/>
        </w:rPr>
        <w:tab/>
      </w:r>
      <w:r>
        <w:rPr>
          <w:rFonts w:ascii="Times New Roman" w:cs="Times New Roman" w:eastAsia="Times New Roman" w:hAnsi="Times New Roman"/>
          <w:sz w:val="17"/>
          <w:szCs w:val="17"/>
          <w:color w:val="auto"/>
        </w:rPr>
        <w:t>media@clearwayenergy.com</w:t>
      </w:r>
    </w:p>
    <w:p>
      <w:pPr>
        <w:spacing w:after="0" w:line="9" w:lineRule="exact"/>
        <w:rPr>
          <w:sz w:val="20"/>
          <w:szCs w:val="20"/>
          <w:color w:val="auto"/>
        </w:rPr>
      </w:pPr>
    </w:p>
    <w:p>
      <w:pPr>
        <w:ind w:left="180"/>
        <w:spacing w:after="0"/>
        <w:tabs>
          <w:tab w:leader="none" w:pos="1900" w:val="left"/>
        </w:tabs>
        <w:rPr>
          <w:sz w:val="20"/>
          <w:szCs w:val="20"/>
          <w:color w:val="auto"/>
        </w:rPr>
      </w:pPr>
      <w:r>
        <w:rPr>
          <w:rFonts w:ascii="Times New Roman" w:cs="Times New Roman" w:eastAsia="Times New Roman" w:hAnsi="Times New Roman"/>
          <w:sz w:val="18"/>
          <w:szCs w:val="18"/>
          <w:color w:val="auto"/>
        </w:rPr>
        <w:t>609-608-1500</w:t>
      </w:r>
      <w:r>
        <w:rPr>
          <w:sz w:val="20"/>
          <w:szCs w:val="20"/>
          <w:color w:val="auto"/>
        </w:rPr>
        <w:tab/>
      </w:r>
      <w:r>
        <w:rPr>
          <w:rFonts w:ascii="Times New Roman" w:cs="Times New Roman" w:eastAsia="Times New Roman" w:hAnsi="Times New Roman"/>
          <w:sz w:val="17"/>
          <w:szCs w:val="17"/>
          <w:color w:val="auto"/>
        </w:rPr>
        <w:t>202-836-5754</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w:t>
      </w:r>
    </w:p>
    <w:p>
      <w:pPr>
        <w:sectPr>
          <w:pgSz w:w="11900" w:h="16838" w:orient="portrait"/>
          <w:cols w:equalWidth="0" w:num="1">
            <w:col w:w="11240"/>
          </w:cols>
          <w:pgMar w:left="320" w:top="891" w:right="33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t>CLEARWAY ENERGY, INC.</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INCOME</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54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340" w:type="dxa"/>
            <w:vAlign w:val="bottom"/>
            <w:gridSpan w:val="6"/>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78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millions, except per share amounts)</w:t>
            </w: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86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jc w:val="right"/>
              <w:ind w:right="29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tcPr>
          <w:p>
            <w:pPr>
              <w:jc w:val="right"/>
              <w:ind w:right="291"/>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80" w:type="dxa"/>
            <w:vAlign w:val="bottom"/>
          </w:tcPr>
          <w:p>
            <w:pPr>
              <w:jc w:val="right"/>
              <w:ind w:right="291"/>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34"/>
        </w:trPr>
        <w:tc>
          <w:tcPr>
            <w:tcW w:w="20" w:type="dxa"/>
            <w:vAlign w:val="bottom"/>
            <w:tcBorders>
              <w:bottom w:val="single" w:sz="8" w:color="CCEEFF"/>
            </w:tcBorders>
          </w:tcPr>
          <w:p>
            <w:pPr>
              <w:spacing w:after="0"/>
              <w:rPr>
                <w:sz w:val="2"/>
                <w:szCs w:val="2"/>
                <w:color w:val="auto"/>
              </w:rPr>
            </w:pPr>
          </w:p>
        </w:tc>
        <w:tc>
          <w:tcPr>
            <w:tcW w:w="2400" w:type="dxa"/>
            <w:vAlign w:val="bottom"/>
            <w:tcBorders>
              <w:top w:val="single" w:sz="8" w:color="auto"/>
              <w:bottom w:val="single" w:sz="8" w:color="CCEEFF"/>
            </w:tcBorders>
          </w:tcPr>
          <w:p>
            <w:pPr>
              <w:spacing w:after="0"/>
              <w:rPr>
                <w:sz w:val="2"/>
                <w:szCs w:val="2"/>
                <w:color w:val="auto"/>
              </w:rPr>
            </w:pPr>
          </w:p>
        </w:tc>
        <w:tc>
          <w:tcPr>
            <w:tcW w:w="54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7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Revenues</w:t>
            </w: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7860" w:type="dxa"/>
            <w:vAlign w:val="bottom"/>
            <w:tcBorders>
              <w:bottom w:val="single" w:sz="8" w:color="CCEEFF"/>
            </w:tcBorders>
            <w:gridSpan w:val="2"/>
          </w:tcPr>
          <w:p>
            <w:pPr>
              <w:ind w:left="200"/>
              <w:spacing w:after="0"/>
              <w:rPr>
                <w:sz w:val="20"/>
                <w:szCs w:val="20"/>
                <w:color w:val="auto"/>
              </w:rPr>
            </w:pPr>
            <w:r>
              <w:rPr>
                <w:rFonts w:ascii="Times New Roman" w:cs="Times New Roman" w:eastAsia="Times New Roman" w:hAnsi="Times New Roman"/>
                <w:sz w:val="18"/>
                <w:szCs w:val="18"/>
                <w:color w:val="auto"/>
              </w:rPr>
              <w:t>Total operating revenues</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1,371</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191"/>
              <w:spacing w:after="0"/>
              <w:rPr>
                <w:sz w:val="20"/>
                <w:szCs w:val="20"/>
                <w:color w:val="auto"/>
              </w:rPr>
            </w:pPr>
            <w:r>
              <w:rPr>
                <w:rFonts w:ascii="Times New Roman" w:cs="Times New Roman" w:eastAsia="Times New Roman" w:hAnsi="Times New Roman"/>
                <w:sz w:val="18"/>
                <w:szCs w:val="18"/>
                <w:color w:val="auto"/>
              </w:rPr>
              <w:t>$1,314</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1,190</w:t>
            </w:r>
          </w:p>
        </w:tc>
        <w:tc>
          <w:tcPr>
            <w:tcW w:w="0" w:type="dxa"/>
            <w:vAlign w:val="bottom"/>
          </w:tcPr>
          <w:p>
            <w:pPr>
              <w:spacing w:after="0"/>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7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Costs and Expenses</w:t>
            </w: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78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Cost of operations, exclusive of depreciation, amortization and accretion shown separately below</w:t>
            </w: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435</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78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Depreciation, amortization and accretion</w:t>
            </w: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512</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78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Impairment losses</w:t>
            </w:r>
          </w:p>
        </w:tc>
        <w:tc>
          <w:tcPr>
            <w:tcW w:w="240" w:type="dxa"/>
            <w:vAlign w:val="bottom"/>
          </w:tcPr>
          <w:p>
            <w:pPr>
              <w:spacing w:after="0"/>
              <w:rPr>
                <w:sz w:val="19"/>
                <w:szCs w:val="19"/>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78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Transaction and integration costs</w:t>
            </w: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78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Development costs</w:t>
            </w:r>
          </w:p>
        </w:tc>
        <w:tc>
          <w:tcPr>
            <w:tcW w:w="24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8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Total operating costs and expenses</w:t>
            </w:r>
          </w:p>
        </w:tc>
        <w:tc>
          <w:tcPr>
            <w:tcW w:w="24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1,175</w:t>
            </w: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1,051</w:t>
            </w:r>
          </w:p>
        </w:tc>
        <w:tc>
          <w:tcPr>
            <w:tcW w:w="10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1,012</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78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Gain on sale of business</w:t>
            </w:r>
          </w:p>
        </w:tc>
        <w:tc>
          <w:tcPr>
            <w:tcW w:w="24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1,292</w:t>
            </w:r>
          </w:p>
        </w:tc>
        <w:tc>
          <w:tcPr>
            <w:tcW w:w="0" w:type="dxa"/>
            <w:vAlign w:val="bottom"/>
          </w:tcPr>
          <w:p>
            <w:pPr>
              <w:spacing w:after="0"/>
              <w:rPr>
                <w:sz w:val="1"/>
                <w:szCs w:val="1"/>
                <w:color w:val="auto"/>
              </w:rPr>
            </w:pPr>
          </w:p>
        </w:tc>
      </w:tr>
      <w:tr>
        <w:trPr>
          <w:trHeight w:val="223"/>
        </w:trPr>
        <w:tc>
          <w:tcPr>
            <w:tcW w:w="20" w:type="dxa"/>
            <w:vAlign w:val="bottom"/>
            <w:tcBorders>
              <w:bottom w:val="single" w:sz="8" w:color="CCEEFF"/>
            </w:tcBorders>
          </w:tcPr>
          <w:p>
            <w:pPr>
              <w:spacing w:after="0"/>
              <w:rPr>
                <w:sz w:val="19"/>
                <w:szCs w:val="19"/>
                <w:color w:val="auto"/>
              </w:rPr>
            </w:pPr>
          </w:p>
        </w:tc>
        <w:tc>
          <w:tcPr>
            <w:tcW w:w="786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Operating Income</w:t>
            </w:r>
          </w:p>
        </w:tc>
        <w:tc>
          <w:tcPr>
            <w:tcW w:w="24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196</w:t>
            </w:r>
          </w:p>
        </w:tc>
        <w:tc>
          <w:tcPr>
            <w:tcW w:w="10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263</w:t>
            </w:r>
          </w:p>
        </w:tc>
        <w:tc>
          <w:tcPr>
            <w:tcW w:w="100" w:type="dxa"/>
            <w:vAlign w:val="bottom"/>
            <w:tcBorders>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1,470</w:t>
            </w:r>
          </w:p>
        </w:tc>
        <w:tc>
          <w:tcPr>
            <w:tcW w:w="0" w:type="dxa"/>
            <w:vAlign w:val="bottom"/>
          </w:tcPr>
          <w:p>
            <w:pPr>
              <w:spacing w:after="0"/>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7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Other Income (Expense)</w:t>
            </w: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78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Equity in earnings of unconsolidated affiliates</w:t>
            </w: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78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 income, net</w:t>
            </w: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78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Loss on debt extinguishment</w:t>
            </w: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78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Interest expense</w:t>
            </w:r>
          </w:p>
        </w:tc>
        <w:tc>
          <w:tcPr>
            <w:tcW w:w="2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w:t>
            </w:r>
          </w:p>
        </w:tc>
        <w:tc>
          <w:tcPr>
            <w:tcW w:w="0" w:type="dxa"/>
            <w:vAlign w:val="bottom"/>
          </w:tcPr>
          <w:p>
            <w:pPr>
              <w:spacing w:after="0"/>
              <w:rPr>
                <w:sz w:val="1"/>
                <w:szCs w:val="1"/>
                <w:color w:val="auto"/>
              </w:rPr>
            </w:pPr>
          </w:p>
        </w:tc>
      </w:tr>
      <w:tr>
        <w:trPr>
          <w:trHeight w:val="223"/>
        </w:trPr>
        <w:tc>
          <w:tcPr>
            <w:tcW w:w="20" w:type="dxa"/>
            <w:vAlign w:val="bottom"/>
            <w:tcBorders>
              <w:bottom w:val="single" w:sz="8" w:color="CCEEFF"/>
            </w:tcBorders>
          </w:tcPr>
          <w:p>
            <w:pPr>
              <w:spacing w:after="0"/>
              <w:rPr>
                <w:sz w:val="19"/>
                <w:szCs w:val="19"/>
                <w:color w:val="auto"/>
              </w:rPr>
            </w:pPr>
          </w:p>
        </w:tc>
        <w:tc>
          <w:tcPr>
            <w:tcW w:w="7860" w:type="dxa"/>
            <w:vAlign w:val="bottom"/>
            <w:tcBorders>
              <w:bottom w:val="single" w:sz="8" w:color="CCEEFF"/>
            </w:tcBorders>
            <w:gridSpan w:val="2"/>
          </w:tcPr>
          <w:p>
            <w:pPr>
              <w:ind w:left="200"/>
              <w:spacing w:after="0"/>
              <w:rPr>
                <w:sz w:val="20"/>
                <w:szCs w:val="20"/>
                <w:color w:val="auto"/>
              </w:rPr>
            </w:pPr>
            <w:r>
              <w:rPr>
                <w:rFonts w:ascii="Times New Roman" w:cs="Times New Roman" w:eastAsia="Times New Roman" w:hAnsi="Times New Roman"/>
                <w:sz w:val="18"/>
                <w:szCs w:val="18"/>
                <w:color w:val="auto"/>
              </w:rPr>
              <w:t>Total other expense, net</w:t>
            </w:r>
          </w:p>
        </w:tc>
        <w:tc>
          <w:tcPr>
            <w:tcW w:w="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(229)</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(279)</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(188)</w:t>
            </w: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786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b w:val="1"/>
                <w:bCs w:val="1"/>
                <w:color w:val="auto"/>
              </w:rPr>
              <w:t>(Loss) Income Before Income Taxes</w:t>
            </w: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1,282</w:t>
            </w:r>
          </w:p>
        </w:tc>
        <w:tc>
          <w:tcPr>
            <w:tcW w:w="0" w:type="dxa"/>
            <w:vAlign w:val="bottom"/>
          </w:tcPr>
          <w:p>
            <w:pPr>
              <w:spacing w:after="0"/>
              <w:rPr>
                <w:sz w:val="1"/>
                <w:szCs w:val="1"/>
                <w:color w:val="auto"/>
              </w:rPr>
            </w:pPr>
          </w:p>
        </w:tc>
      </w:tr>
      <w:tr>
        <w:trPr>
          <w:trHeight w:val="229"/>
        </w:trPr>
        <w:tc>
          <w:tcPr>
            <w:tcW w:w="20" w:type="dxa"/>
            <w:vAlign w:val="bottom"/>
            <w:tcBorders>
              <w:bottom w:val="single" w:sz="8" w:color="CCEEFF"/>
            </w:tcBorders>
          </w:tcPr>
          <w:p>
            <w:pPr>
              <w:spacing w:after="0"/>
              <w:rPr>
                <w:sz w:val="19"/>
                <w:szCs w:val="19"/>
                <w:color w:val="auto"/>
              </w:rPr>
            </w:pPr>
          </w:p>
        </w:tc>
        <w:tc>
          <w:tcPr>
            <w:tcW w:w="7860" w:type="dxa"/>
            <w:vAlign w:val="bottom"/>
            <w:tcBorders>
              <w:bottom w:val="single" w:sz="8" w:color="CCEEFF"/>
            </w:tcBorders>
            <w:gridSpan w:val="2"/>
          </w:tcPr>
          <w:p>
            <w:pPr>
              <w:ind w:left="12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222</w:t>
            </w: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7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(Loss) Income</w:t>
            </w:r>
          </w:p>
        </w:tc>
        <w:tc>
          <w:tcPr>
            <w:tcW w:w="2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1,060</w:t>
            </w:r>
          </w:p>
        </w:tc>
        <w:tc>
          <w:tcPr>
            <w:tcW w:w="0" w:type="dxa"/>
            <w:vAlign w:val="bottom"/>
          </w:tcPr>
          <w:p>
            <w:pPr>
              <w:spacing w:after="0"/>
              <w:rPr>
                <w:sz w:val="1"/>
                <w:szCs w:val="1"/>
                <w:color w:val="auto"/>
              </w:rPr>
            </w:pPr>
          </w:p>
        </w:tc>
      </w:tr>
      <w:tr>
        <w:trPr>
          <w:trHeight w:val="223"/>
        </w:trPr>
        <w:tc>
          <w:tcPr>
            <w:tcW w:w="20" w:type="dxa"/>
            <w:vAlign w:val="bottom"/>
            <w:tcBorders>
              <w:bottom w:val="single" w:sz="8" w:color="CCEEFF"/>
            </w:tcBorders>
          </w:tcPr>
          <w:p>
            <w:pPr>
              <w:spacing w:after="0"/>
              <w:rPr>
                <w:sz w:val="19"/>
                <w:szCs w:val="19"/>
                <w:color w:val="auto"/>
              </w:rPr>
            </w:pPr>
          </w:p>
        </w:tc>
        <w:tc>
          <w:tcPr>
            <w:tcW w:w="7860" w:type="dxa"/>
            <w:vAlign w:val="bottom"/>
            <w:tcBorders>
              <w:bottom w:val="single" w:sz="8" w:color="CCEEFF"/>
            </w:tcBorders>
            <w:gridSpan w:val="2"/>
          </w:tcPr>
          <w:p>
            <w:pPr>
              <w:ind w:left="120"/>
              <w:spacing w:after="0"/>
              <w:rPr>
                <w:sz w:val="20"/>
                <w:szCs w:val="20"/>
                <w:color w:val="auto"/>
              </w:rPr>
            </w:pPr>
            <w:r>
              <w:rPr>
                <w:rFonts w:ascii="Times New Roman" w:cs="Times New Roman" w:eastAsia="Times New Roman" w:hAnsi="Times New Roman"/>
                <w:sz w:val="18"/>
                <w:szCs w:val="18"/>
                <w:color w:val="auto"/>
              </w:rPr>
              <w:t>Less: Net (loss) income attributable to noncontrolling interests and redeemable noncontrolling interests</w:t>
            </w:r>
          </w:p>
        </w:tc>
        <w:tc>
          <w:tcPr>
            <w:tcW w:w="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478</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78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Income Attributable to Clearway Energy, Inc.</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582</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7860" w:type="dxa"/>
            <w:vAlign w:val="bottom"/>
            <w:tcBorders>
              <w:top w:val="single" w:sz="8" w:color="CCEEFF"/>
              <w:bottom w:val="single" w:sz="8" w:color="CCEEFF"/>
            </w:tcBorders>
            <w:gridSpan w:val="2"/>
            <w:vMerge w:val="restart"/>
          </w:tcPr>
          <w:p>
            <w:pPr>
              <w:spacing w:after="0" w:line="167" w:lineRule="exact"/>
              <w:rPr>
                <w:sz w:val="20"/>
                <w:szCs w:val="20"/>
                <w:color w:val="auto"/>
              </w:rPr>
            </w:pPr>
            <w:r>
              <w:rPr>
                <w:rFonts w:ascii="Times New Roman" w:cs="Times New Roman" w:eastAsia="Times New Roman" w:hAnsi="Times New Roman"/>
                <w:sz w:val="18"/>
                <w:szCs w:val="18"/>
                <w:b w:val="1"/>
                <w:bCs w:val="1"/>
                <w:color w:val="auto"/>
              </w:rPr>
              <w:t>Earnings Per Share Attributable to Clearway Energy, Inc. Class A and Class C Common</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vMerge w:val="continue"/>
          </w:tcPr>
          <w:p>
            <w:pPr>
              <w:spacing w:after="0"/>
              <w:rPr>
                <w:sz w:val="11"/>
                <w:szCs w:val="11"/>
                <w:color w:val="auto"/>
              </w:rPr>
            </w:pPr>
          </w:p>
        </w:tc>
        <w:tc>
          <w:tcPr>
            <w:tcW w:w="7860" w:type="dxa"/>
            <w:vAlign w:val="bottom"/>
            <w:gridSpan w:val="2"/>
            <w:vMerge w:val="continue"/>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786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Stockholders</w:t>
            </w:r>
          </w:p>
        </w:tc>
        <w:tc>
          <w:tcPr>
            <w:tcW w:w="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78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Weighted average number of Class A common shares outstanding - basic and diluted</w:t>
            </w: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78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Weighted average number of Class C common shares outstanding - basic and diluted</w:t>
            </w: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0" w:type="dxa"/>
            <w:vAlign w:val="bottom"/>
          </w:tcPr>
          <w:p>
            <w:pPr>
              <w:spacing w:after="0"/>
              <w:rPr>
                <w:sz w:val="1"/>
                <w:szCs w:val="1"/>
                <w:color w:val="auto"/>
              </w:rPr>
            </w:pPr>
          </w:p>
        </w:tc>
      </w:tr>
      <w:tr>
        <w:trPr>
          <w:trHeight w:val="228"/>
        </w:trPr>
        <w:tc>
          <w:tcPr>
            <w:tcW w:w="20" w:type="dxa"/>
            <w:vAlign w:val="bottom"/>
            <w:tcBorders>
              <w:bottom w:val="single" w:sz="8" w:color="CCEEFF"/>
            </w:tcBorders>
            <w:shd w:val="clear" w:color="auto" w:fill="CCEEFF"/>
          </w:tcPr>
          <w:p>
            <w:pPr>
              <w:spacing w:after="0"/>
              <w:rPr>
                <w:sz w:val="19"/>
                <w:szCs w:val="19"/>
                <w:color w:val="auto"/>
              </w:rPr>
            </w:pPr>
          </w:p>
        </w:tc>
        <w:tc>
          <w:tcPr>
            <w:tcW w:w="7860" w:type="dxa"/>
            <w:vAlign w:val="bottom"/>
            <w:tcBorders>
              <w:bottom w:val="single" w:sz="8" w:color="CCEEFF"/>
            </w:tcBorders>
            <w:gridSpan w:val="2"/>
            <w:shd w:val="clear" w:color="auto" w:fill="CCEEFF"/>
          </w:tcPr>
          <w:p>
            <w:pPr>
              <w:spacing w:after="0" w:line="202" w:lineRule="exact"/>
              <w:rPr>
                <w:sz w:val="20"/>
                <w:szCs w:val="20"/>
                <w:color w:val="auto"/>
              </w:rPr>
            </w:pPr>
            <w:r>
              <w:rPr>
                <w:rFonts w:ascii="Times New Roman" w:cs="Times New Roman" w:eastAsia="Times New Roman" w:hAnsi="Times New Roman"/>
                <w:sz w:val="18"/>
                <w:szCs w:val="18"/>
                <w:b w:val="1"/>
                <w:bCs w:val="1"/>
                <w:color w:val="auto"/>
              </w:rPr>
              <w:t>Earnings per Weighted Average Class A and Class C Common Share - Basic and Diluted</w:t>
            </w:r>
          </w:p>
        </w:tc>
        <w:tc>
          <w:tcPr>
            <w:tcW w:w="240" w:type="dxa"/>
            <w:vAlign w:val="bottom"/>
            <w:tcBorders>
              <w:bottom w:val="single" w:sz="8" w:color="auto"/>
            </w:tcBorders>
            <w:shd w:val="clear" w:color="auto" w:fill="CCEEFF"/>
          </w:tcPr>
          <w:p>
            <w:pPr>
              <w:jc w:val="right"/>
              <w:ind w:right="50"/>
              <w:spacing w:after="0" w:line="202" w:lineRule="exact"/>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0.75</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0.67</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70"/>
              <w:spacing w:after="0" w:line="202" w:lineRule="exact"/>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4.99</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2400" w:type="dxa"/>
            <w:vAlign w:val="bottom"/>
            <w:tcBorders>
              <w:top w:val="single" w:sz="8" w:color="CCEEFF"/>
            </w:tcBorders>
          </w:tcPr>
          <w:p>
            <w:pPr>
              <w:spacing w:after="0" w:line="20" w:lineRule="exact"/>
              <w:rPr>
                <w:sz w:val="1"/>
                <w:szCs w:val="1"/>
                <w:color w:val="auto"/>
              </w:rPr>
            </w:pPr>
          </w:p>
        </w:tc>
        <w:tc>
          <w:tcPr>
            <w:tcW w:w="54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20" w:type="dxa"/>
            <w:vAlign w:val="bottom"/>
          </w:tcPr>
          <w:p>
            <w:pPr>
              <w:spacing w:after="0"/>
              <w:rPr>
                <w:sz w:val="17"/>
                <w:szCs w:val="17"/>
                <w:color w:val="auto"/>
              </w:rPr>
            </w:pPr>
          </w:p>
        </w:tc>
        <w:tc>
          <w:tcPr>
            <w:tcW w:w="7860" w:type="dxa"/>
            <w:vAlign w:val="bottom"/>
            <w:gridSpan w:val="2"/>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Dividends Per Class A Common Share</w:t>
            </w:r>
          </w:p>
        </w:tc>
        <w:tc>
          <w:tcPr>
            <w:tcW w:w="240" w:type="dxa"/>
            <w:vAlign w:val="bottom"/>
            <w:tcBorders>
              <w:bottom w:val="single" w:sz="8" w:color="auto"/>
            </w:tcBorders>
          </w:tcPr>
          <w:p>
            <w:pPr>
              <w:jc w:val="right"/>
              <w:ind w:right="5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1.65</w:t>
            </w:r>
          </w:p>
        </w:tc>
        <w:tc>
          <w:tcPr>
            <w:tcW w:w="100" w:type="dxa"/>
            <w:vAlign w:val="bottom"/>
          </w:tcPr>
          <w:p>
            <w:pPr>
              <w:spacing w:after="0"/>
              <w:rPr>
                <w:sz w:val="17"/>
                <w:szCs w:val="17"/>
                <w:color w:val="auto"/>
              </w:rPr>
            </w:pPr>
          </w:p>
        </w:tc>
        <w:tc>
          <w:tcPr>
            <w:tcW w:w="2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1.54</w:t>
            </w:r>
          </w:p>
        </w:tc>
        <w:tc>
          <w:tcPr>
            <w:tcW w:w="100" w:type="dxa"/>
            <w:vAlign w:val="bottom"/>
          </w:tcPr>
          <w:p>
            <w:pPr>
              <w:spacing w:after="0"/>
              <w:rPr>
                <w:sz w:val="17"/>
                <w:szCs w:val="17"/>
                <w:color w:val="auto"/>
              </w:rPr>
            </w:pPr>
          </w:p>
        </w:tc>
        <w:tc>
          <w:tcPr>
            <w:tcW w:w="280" w:type="dxa"/>
            <w:vAlign w:val="bottom"/>
            <w:tcBorders>
              <w:bottom w:val="single" w:sz="8" w:color="auto"/>
            </w:tcBorders>
          </w:tcPr>
          <w:p>
            <w:pPr>
              <w:jc w:val="right"/>
              <w:ind w:right="70"/>
              <w:spacing w:after="0" w:line="203" w:lineRule="exact"/>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1.43</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2400" w:type="dxa"/>
            <w:vAlign w:val="bottom"/>
            <w:tcBorders>
              <w:bottom w:val="single" w:sz="8" w:color="CCEEFF"/>
            </w:tcBorders>
          </w:tcPr>
          <w:p>
            <w:pPr>
              <w:spacing w:after="0" w:line="20" w:lineRule="exact"/>
              <w:rPr>
                <w:sz w:val="1"/>
                <w:szCs w:val="1"/>
                <w:color w:val="auto"/>
              </w:rPr>
            </w:pPr>
          </w:p>
        </w:tc>
        <w:tc>
          <w:tcPr>
            <w:tcW w:w="546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78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Dividends Per Class C Common Share</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0" w:type="dxa"/>
            <w:vAlign w:val="bottom"/>
          </w:tcPr>
          <w:p>
            <w:pPr>
              <w:spacing w:after="0"/>
              <w:rPr>
                <w:sz w:val="1"/>
                <w:szCs w:val="1"/>
                <w:color w:val="auto"/>
              </w:rPr>
            </w:pPr>
          </w:p>
        </w:tc>
      </w:tr>
      <w:tr>
        <w:trPr>
          <w:trHeight w:val="20"/>
        </w:trPr>
        <w:tc>
          <w:tcPr>
            <w:tcW w:w="7880" w:type="dxa"/>
            <w:vAlign w:val="bottom"/>
            <w:tcBorders>
              <w:top w:val="single" w:sz="8" w:color="CCEEFF"/>
              <w:bottom w:val="single" w:sz="8" w:color="CCEEFF"/>
            </w:tcBorders>
            <w:gridSpan w:val="3"/>
            <w:vMerge w:val="restart"/>
          </w:tcPr>
          <w:p>
            <w:pPr>
              <w:jc w:val="right"/>
              <w:ind w:right="2220"/>
              <w:spacing w:after="0"/>
              <w:rPr>
                <w:sz w:val="20"/>
                <w:szCs w:val="20"/>
                <w:color w:val="auto"/>
              </w:rPr>
            </w:pPr>
            <w:r>
              <w:rPr>
                <w:rFonts w:ascii="Times New Roman" w:cs="Times New Roman" w:eastAsia="Times New Roman" w:hAnsi="Times New Roman"/>
                <w:sz w:val="16"/>
                <w:szCs w:val="16"/>
                <w:color w:val="auto"/>
              </w:rPr>
              <w:t>6</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32"/>
        </w:trPr>
        <w:tc>
          <w:tcPr>
            <w:tcW w:w="7880" w:type="dxa"/>
            <w:vAlign w:val="bottom"/>
            <w:gridSpan w:val="3"/>
            <w:vMerge w:val="continue"/>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14" w:right="33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8"/>
          <w:szCs w:val="18"/>
          <w:b w:val="1"/>
          <w:bCs w:val="1"/>
          <w:color w:val="auto"/>
        </w:rPr>
        <w:t>CLEARWAY ENERGY, INC.</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INCOME</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8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960" w:type="dxa"/>
            <w:vAlign w:val="bottom"/>
            <w:gridSpan w:val="6"/>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760" w:type="dxa"/>
            <w:vAlign w:val="bottom"/>
          </w:tcPr>
          <w:p>
            <w:pPr>
              <w:spacing w:after="0"/>
              <w:rPr>
                <w:sz w:val="2"/>
                <w:szCs w:val="2"/>
                <w:color w:val="auto"/>
              </w:rPr>
            </w:pPr>
          </w:p>
        </w:tc>
        <w:tc>
          <w:tcPr>
            <w:tcW w:w="684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840" w:type="dxa"/>
            <w:vAlign w:val="bottom"/>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4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29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293"/>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135"/>
        </w:trPr>
        <w:tc>
          <w:tcPr>
            <w:tcW w:w="7620" w:type="dxa"/>
            <w:vAlign w:val="bottom"/>
            <w:gridSpan w:val="3"/>
          </w:tcPr>
          <w:p>
            <w:pPr>
              <w:ind w:left="20"/>
              <w:spacing w:after="0" w:line="135" w:lineRule="exact"/>
              <w:rPr>
                <w:sz w:val="20"/>
                <w:szCs w:val="20"/>
                <w:color w:val="auto"/>
              </w:rPr>
            </w:pPr>
            <w:r>
              <w:rPr>
                <w:rFonts w:ascii="Times New Roman" w:cs="Times New Roman" w:eastAsia="Times New Roman" w:hAnsi="Times New Roman"/>
                <w:sz w:val="14"/>
                <w:szCs w:val="14"/>
                <w:b w:val="1"/>
                <w:bCs w:val="1"/>
                <w:color w:val="auto"/>
              </w:rPr>
              <w:t>(In millions)</w:t>
            </w:r>
          </w:p>
        </w:tc>
        <w:tc>
          <w:tcPr>
            <w:tcW w:w="8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760" w:type="dxa"/>
            <w:vAlign w:val="bottom"/>
            <w:tcBorders>
              <w:top w:val="single" w:sz="8" w:color="auto"/>
            </w:tcBorders>
          </w:tcPr>
          <w:p>
            <w:pPr>
              <w:spacing w:after="0"/>
              <w:rPr>
                <w:sz w:val="2"/>
                <w:szCs w:val="2"/>
                <w:color w:val="auto"/>
              </w:rPr>
            </w:pPr>
          </w:p>
        </w:tc>
        <w:tc>
          <w:tcPr>
            <w:tcW w:w="6840" w:type="dxa"/>
            <w:vAlign w:val="bottom"/>
          </w:tcPr>
          <w:p>
            <w:pPr>
              <w:spacing w:after="0"/>
              <w:rPr>
                <w:sz w:val="2"/>
                <w:szCs w:val="2"/>
                <w:color w:val="auto"/>
              </w:rPr>
            </w:pPr>
          </w:p>
        </w:tc>
        <w:tc>
          <w:tcPr>
            <w:tcW w:w="8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76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Net (Loss) Income</w:t>
            </w:r>
          </w:p>
        </w:tc>
        <w:tc>
          <w:tcPr>
            <w:tcW w:w="820" w:type="dxa"/>
            <w:vAlign w:val="bottom"/>
            <w:shd w:val="clear" w:color="auto" w:fill="CCEEFF"/>
          </w:tcPr>
          <w:p>
            <w:pPr>
              <w:jc w:val="right"/>
              <w:ind w:right="616"/>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1,060</w:t>
            </w:r>
          </w:p>
        </w:tc>
        <w:tc>
          <w:tcPr>
            <w:tcW w:w="0" w:type="dxa"/>
            <w:vAlign w:val="bottom"/>
          </w:tcPr>
          <w:p>
            <w:pPr>
              <w:spacing w:after="0"/>
              <w:rPr>
                <w:sz w:val="1"/>
                <w:szCs w:val="1"/>
                <w:color w:val="auto"/>
              </w:rPr>
            </w:pPr>
          </w:p>
        </w:tc>
      </w:tr>
      <w:tr>
        <w:trPr>
          <w:trHeight w:val="214"/>
        </w:trPr>
        <w:tc>
          <w:tcPr>
            <w:tcW w:w="7620" w:type="dxa"/>
            <w:vAlign w:val="bottom"/>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Other Comprehensive (Loss) Income, net of tax</w:t>
            </w:r>
          </w:p>
        </w:tc>
        <w:tc>
          <w:tcPr>
            <w:tcW w:w="8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4"/>
        </w:trPr>
        <w:tc>
          <w:tcPr>
            <w:tcW w:w="20" w:type="dxa"/>
            <w:vAlign w:val="bottom"/>
            <w:shd w:val="clear" w:color="auto" w:fill="CCEEFF"/>
          </w:tcPr>
          <w:p>
            <w:pPr>
              <w:spacing w:after="0"/>
              <w:rPr>
                <w:sz w:val="14"/>
                <w:szCs w:val="14"/>
                <w:color w:val="auto"/>
              </w:rPr>
            </w:pPr>
          </w:p>
        </w:tc>
        <w:tc>
          <w:tcPr>
            <w:tcW w:w="7600" w:type="dxa"/>
            <w:vAlign w:val="bottom"/>
            <w:gridSpan w:val="2"/>
            <w:shd w:val="clear" w:color="auto" w:fill="CCEEFF"/>
          </w:tcPr>
          <w:p>
            <w:pPr>
              <w:ind w:left="120"/>
              <w:spacing w:after="0" w:line="164" w:lineRule="exact"/>
              <w:rPr>
                <w:sz w:val="20"/>
                <w:szCs w:val="20"/>
                <w:color w:val="auto"/>
              </w:rPr>
            </w:pPr>
            <w:r>
              <w:rPr>
                <w:rFonts w:ascii="Times New Roman" w:cs="Times New Roman" w:eastAsia="Times New Roman" w:hAnsi="Times New Roman"/>
                <w:sz w:val="16"/>
                <w:szCs w:val="16"/>
                <w:color w:val="auto"/>
              </w:rPr>
              <w:t>Unrealized (loss) gain on derivatives and changes in accumulated OCI/OCL, net of income tax (benefit) expense</w:t>
            </w:r>
          </w:p>
        </w:tc>
        <w:tc>
          <w:tcPr>
            <w:tcW w:w="820" w:type="dxa"/>
            <w:vAlign w:val="bottom"/>
            <w:shd w:val="clear" w:color="auto" w:fill="CCEEFF"/>
          </w:tcPr>
          <w:p>
            <w:pPr>
              <w:spacing w:after="0"/>
              <w:rPr>
                <w:sz w:val="14"/>
                <w:szCs w:val="14"/>
                <w:color w:val="auto"/>
              </w:rPr>
            </w:pPr>
          </w:p>
        </w:tc>
        <w:tc>
          <w:tcPr>
            <w:tcW w:w="4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760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of $(1), $(1) and $5</w:t>
            </w:r>
          </w:p>
        </w:tc>
        <w:tc>
          <w:tcPr>
            <w:tcW w:w="82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Borders>
              <w:bottom w:val="single" w:sz="8" w:color="CCEEFF"/>
            </w:tcBorders>
          </w:tcPr>
          <w:p>
            <w:pPr>
              <w:spacing w:after="0"/>
              <w:rPr>
                <w:sz w:val="19"/>
                <w:szCs w:val="19"/>
                <w:color w:val="auto"/>
              </w:rPr>
            </w:pPr>
          </w:p>
        </w:tc>
        <w:tc>
          <w:tcPr>
            <w:tcW w:w="760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6"/>
                <w:szCs w:val="16"/>
                <w:color w:val="auto"/>
              </w:rPr>
              <w:t>Other comprehensive (loss) income</w:t>
            </w:r>
          </w:p>
        </w:tc>
        <w:tc>
          <w:tcPr>
            <w:tcW w:w="82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23"/>
        </w:trPr>
        <w:tc>
          <w:tcPr>
            <w:tcW w:w="76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Comprehensive (Loss) Income</w:t>
            </w:r>
          </w:p>
        </w:tc>
        <w:tc>
          <w:tcPr>
            <w:tcW w:w="82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12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2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1,088</w:t>
            </w:r>
          </w:p>
        </w:tc>
        <w:tc>
          <w:tcPr>
            <w:tcW w:w="0" w:type="dxa"/>
            <w:vAlign w:val="bottom"/>
          </w:tcPr>
          <w:p>
            <w:pPr>
              <w:spacing w:after="0"/>
              <w:rPr>
                <w:sz w:val="1"/>
                <w:szCs w:val="1"/>
                <w:color w:val="auto"/>
              </w:rPr>
            </w:pPr>
          </w:p>
        </w:tc>
      </w:tr>
      <w:tr>
        <w:trPr>
          <w:trHeight w:val="223"/>
        </w:trPr>
        <w:tc>
          <w:tcPr>
            <w:tcW w:w="20" w:type="dxa"/>
            <w:vAlign w:val="bottom"/>
            <w:tcBorders>
              <w:bottom w:val="single" w:sz="8" w:color="CCEEFF"/>
            </w:tcBorders>
          </w:tcPr>
          <w:p>
            <w:pPr>
              <w:spacing w:after="0"/>
              <w:rPr>
                <w:sz w:val="19"/>
                <w:szCs w:val="19"/>
                <w:color w:val="auto"/>
              </w:rPr>
            </w:pPr>
          </w:p>
        </w:tc>
        <w:tc>
          <w:tcPr>
            <w:tcW w:w="7600" w:type="dxa"/>
            <w:vAlign w:val="bottom"/>
            <w:tcBorders>
              <w:bottom w:val="single" w:sz="8" w:color="CCEEFF"/>
            </w:tcBorders>
            <w:gridSpan w:val="2"/>
          </w:tcPr>
          <w:p>
            <w:pPr>
              <w:ind w:left="60"/>
              <w:spacing w:after="0"/>
              <w:rPr>
                <w:sz w:val="20"/>
                <w:szCs w:val="20"/>
                <w:color w:val="auto"/>
              </w:rPr>
            </w:pPr>
            <w:r>
              <w:rPr>
                <w:rFonts w:ascii="Times New Roman" w:cs="Times New Roman" w:eastAsia="Times New Roman" w:hAnsi="Times New Roman"/>
                <w:sz w:val="16"/>
                <w:szCs w:val="16"/>
                <w:color w:val="auto"/>
              </w:rPr>
              <w:t>Less: Comprehensive (loss) income attributable to noncontrolling interests and redeemable noncontrolling interests</w:t>
            </w:r>
          </w:p>
        </w:tc>
        <w:tc>
          <w:tcPr>
            <w:tcW w:w="82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495</w:t>
            </w:r>
          </w:p>
        </w:tc>
        <w:tc>
          <w:tcPr>
            <w:tcW w:w="0" w:type="dxa"/>
            <w:vAlign w:val="bottom"/>
          </w:tcPr>
          <w:p>
            <w:pPr>
              <w:spacing w:after="0"/>
              <w:rPr>
                <w:sz w:val="1"/>
                <w:szCs w:val="1"/>
                <w:color w:val="auto"/>
              </w:rPr>
            </w:pPr>
          </w:p>
        </w:tc>
      </w:tr>
      <w:tr>
        <w:trPr>
          <w:trHeight w:val="248"/>
        </w:trPr>
        <w:tc>
          <w:tcPr>
            <w:tcW w:w="762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Comprehensive Income Attributable to Clearway Energy, Inc.</w:t>
            </w:r>
          </w:p>
        </w:tc>
        <w:tc>
          <w:tcPr>
            <w:tcW w:w="820" w:type="dxa"/>
            <w:vAlign w:val="bottom"/>
            <w:tcBorders>
              <w:bottom w:val="single" w:sz="8" w:color="auto"/>
            </w:tcBorders>
            <w:shd w:val="clear" w:color="auto" w:fill="CCEEFF"/>
          </w:tcPr>
          <w:p>
            <w:pPr>
              <w:jc w:val="right"/>
              <w:ind w:right="616"/>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593</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684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w:t>
      </w:r>
    </w:p>
    <w:p>
      <w:pPr>
        <w:sectPr>
          <w:pgSz w:w="11900" w:h="16838" w:orient="portrait"/>
          <w:cols w:equalWidth="0" w:num="1">
            <w:col w:w="11200"/>
          </w:cols>
          <w:pgMar w:left="340" w:top="887" w:right="359" w:bottom="1440" w:gutter="0" w:footer="0" w:header="0"/>
        </w:sectPr>
      </w:pPr>
    </w:p>
    <w:bookmarkStart w:id="10" w:name="page11"/>
    <w:bookmarkEnd w:id="10"/>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CLEARWAY ENERGY, INC.</w:t>
      </w:r>
    </w:p>
    <w:p>
      <w:pPr>
        <w:spacing w:after="0" w:line="5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CONSOLIDATED BALANCE SHEETS</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(In millions, except shares)</w:t>
            </w:r>
          </w:p>
        </w:tc>
        <w:tc>
          <w:tcPr>
            <w:tcW w:w="160" w:type="dxa"/>
            <w:vAlign w:val="bottom"/>
          </w:tcPr>
          <w:p>
            <w:pPr>
              <w:spacing w:after="0"/>
              <w:rPr>
                <w:sz w:val="13"/>
                <w:szCs w:val="13"/>
                <w:color w:val="auto"/>
              </w:rPr>
            </w:pPr>
          </w:p>
        </w:tc>
        <w:tc>
          <w:tcPr>
            <w:tcW w:w="160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80" w:type="dxa"/>
            <w:vAlign w:val="bottom"/>
          </w:tcPr>
          <w:p>
            <w:pPr>
              <w:spacing w:after="0"/>
              <w:rPr>
                <w:sz w:val="13"/>
                <w:szCs w:val="13"/>
                <w:color w:val="auto"/>
              </w:rPr>
            </w:pPr>
          </w:p>
        </w:tc>
        <w:tc>
          <w:tcPr>
            <w:tcW w:w="1480" w:type="dxa"/>
            <w:vAlign w:val="bottom"/>
          </w:tcPr>
          <w:p>
            <w:pPr>
              <w:jc w:val="right"/>
              <w:ind w:right="159"/>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0" w:type="dxa"/>
            <w:vAlign w:val="bottom"/>
          </w:tcPr>
          <w:p>
            <w:pPr>
              <w:spacing w:after="0"/>
              <w:rPr>
                <w:sz w:val="1"/>
                <w:szCs w:val="1"/>
                <w:color w:val="auto"/>
              </w:rPr>
            </w:pPr>
          </w:p>
        </w:tc>
      </w:tr>
      <w:tr>
        <w:trPr>
          <w:trHeight w:val="34"/>
        </w:trPr>
        <w:tc>
          <w:tcPr>
            <w:tcW w:w="1640" w:type="dxa"/>
            <w:vAlign w:val="bottom"/>
            <w:tcBorders>
              <w:top w:val="single" w:sz="8" w:color="auto"/>
              <w:bottom w:val="single" w:sz="8" w:color="auto"/>
            </w:tcBorders>
            <w:vMerge w:val="restart"/>
          </w:tcPr>
          <w:p>
            <w:pPr>
              <w:spacing w:after="0"/>
              <w:rPr>
                <w:sz w:val="2"/>
                <w:szCs w:val="2"/>
                <w:color w:val="auto"/>
              </w:rPr>
            </w:pPr>
          </w:p>
        </w:tc>
        <w:tc>
          <w:tcPr>
            <w:tcW w:w="6120" w:type="dxa"/>
            <w:vAlign w:val="bottom"/>
            <w:vMerge w:val="restart"/>
          </w:tcPr>
          <w:p>
            <w:pPr>
              <w:jc w:val="center"/>
              <w:ind w:right="1570"/>
              <w:spacing w:after="0"/>
              <w:rPr>
                <w:sz w:val="20"/>
                <w:szCs w:val="20"/>
                <w:color w:val="auto"/>
              </w:rPr>
            </w:pPr>
            <w:r>
              <w:rPr>
                <w:rFonts w:ascii="Times New Roman" w:cs="Times New Roman" w:eastAsia="Times New Roman" w:hAnsi="Times New Roman"/>
                <w:sz w:val="18"/>
                <w:szCs w:val="18"/>
                <w:b w:val="1"/>
                <w:bCs w:val="1"/>
                <w:color w:val="auto"/>
                <w:w w:val="98"/>
              </w:rPr>
              <w:t>ASSETS</w:t>
            </w:r>
          </w:p>
        </w:tc>
        <w:tc>
          <w:tcPr>
            <w:tcW w:w="1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1640" w:type="dxa"/>
            <w:vAlign w:val="bottom"/>
            <w:vMerge w:val="continue"/>
          </w:tcPr>
          <w:p>
            <w:pPr>
              <w:spacing w:after="0"/>
              <w:rPr>
                <w:sz w:val="18"/>
                <w:szCs w:val="18"/>
                <w:color w:val="auto"/>
              </w:rPr>
            </w:pPr>
          </w:p>
        </w:tc>
        <w:tc>
          <w:tcPr>
            <w:tcW w:w="612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Current Assets</w:t>
            </w: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76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332</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535</w:t>
            </w:r>
          </w:p>
        </w:tc>
        <w:tc>
          <w:tcPr>
            <w:tcW w:w="0" w:type="dxa"/>
            <w:vAlign w:val="bottom"/>
          </w:tcPr>
          <w:p>
            <w:pPr>
              <w:spacing w:after="0"/>
              <w:rPr>
                <w:sz w:val="1"/>
                <w:szCs w:val="1"/>
                <w:color w:val="auto"/>
              </w:rPr>
            </w:pPr>
          </w:p>
        </w:tc>
      </w:tr>
      <w:tr>
        <w:trPr>
          <w:trHeight w:val="219"/>
        </w:trPr>
        <w:tc>
          <w:tcPr>
            <w:tcW w:w="77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Restricted cash</w:t>
            </w: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516</w:t>
            </w:r>
          </w:p>
        </w:tc>
        <w:tc>
          <w:tcPr>
            <w:tcW w:w="0" w:type="dxa"/>
            <w:vAlign w:val="bottom"/>
          </w:tcPr>
          <w:p>
            <w:pPr>
              <w:spacing w:after="0"/>
              <w:rPr>
                <w:sz w:val="1"/>
                <w:szCs w:val="1"/>
                <w:color w:val="auto"/>
              </w:rPr>
            </w:pPr>
          </w:p>
        </w:tc>
      </w:tr>
      <w:tr>
        <w:trPr>
          <w:trHeight w:val="213"/>
        </w:trPr>
        <w:tc>
          <w:tcPr>
            <w:tcW w:w="776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Accounts receivable — trade</w:t>
            </w:r>
          </w:p>
        </w:tc>
        <w:tc>
          <w:tcPr>
            <w:tcW w:w="1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171</w:t>
            </w:r>
          </w:p>
        </w:tc>
        <w:tc>
          <w:tcPr>
            <w:tcW w:w="0" w:type="dxa"/>
            <w:vAlign w:val="bottom"/>
          </w:tcPr>
          <w:p>
            <w:pPr>
              <w:spacing w:after="0"/>
              <w:rPr>
                <w:sz w:val="1"/>
                <w:szCs w:val="1"/>
                <w:color w:val="auto"/>
              </w:rPr>
            </w:pPr>
          </w:p>
        </w:tc>
      </w:tr>
      <w:tr>
        <w:trPr>
          <w:trHeight w:val="219"/>
        </w:trPr>
        <w:tc>
          <w:tcPr>
            <w:tcW w:w="77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Inventory</w:t>
            </w: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w:t>
            </w:r>
          </w:p>
        </w:tc>
        <w:tc>
          <w:tcPr>
            <w:tcW w:w="0" w:type="dxa"/>
            <w:vAlign w:val="bottom"/>
          </w:tcPr>
          <w:p>
            <w:pPr>
              <w:spacing w:after="0"/>
              <w:rPr>
                <w:sz w:val="1"/>
                <w:szCs w:val="1"/>
                <w:color w:val="auto"/>
              </w:rPr>
            </w:pPr>
          </w:p>
        </w:tc>
      </w:tr>
      <w:tr>
        <w:trPr>
          <w:trHeight w:val="213"/>
        </w:trPr>
        <w:tc>
          <w:tcPr>
            <w:tcW w:w="776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Derivative instruments</w:t>
            </w:r>
          </w:p>
        </w:tc>
        <w:tc>
          <w:tcPr>
            <w:tcW w:w="1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w:t>
            </w:r>
          </w:p>
        </w:tc>
        <w:tc>
          <w:tcPr>
            <w:tcW w:w="0" w:type="dxa"/>
            <w:vAlign w:val="bottom"/>
          </w:tcPr>
          <w:p>
            <w:pPr>
              <w:spacing w:after="0"/>
              <w:rPr>
                <w:sz w:val="1"/>
                <w:szCs w:val="1"/>
                <w:color w:val="auto"/>
              </w:rPr>
            </w:pPr>
          </w:p>
        </w:tc>
      </w:tr>
      <w:tr>
        <w:trPr>
          <w:trHeight w:val="219"/>
        </w:trPr>
        <w:tc>
          <w:tcPr>
            <w:tcW w:w="77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Note receivable — affiliate</w:t>
            </w:r>
          </w:p>
        </w:tc>
        <w:tc>
          <w:tcPr>
            <w:tcW w:w="160" w:type="dxa"/>
            <w:vAlign w:val="bottom"/>
            <w:shd w:val="clear" w:color="auto" w:fill="CCEEFF"/>
          </w:tcPr>
          <w:p>
            <w:pPr>
              <w:spacing w:after="0"/>
              <w:rPr>
                <w:sz w:val="19"/>
                <w:szCs w:val="19"/>
                <w:color w:val="auto"/>
              </w:rPr>
            </w:pPr>
          </w:p>
        </w:tc>
        <w:tc>
          <w:tcPr>
            <w:tcW w:w="16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174</w:t>
            </w:r>
          </w:p>
        </w:tc>
        <w:tc>
          <w:tcPr>
            <w:tcW w:w="0" w:type="dxa"/>
            <w:vAlign w:val="bottom"/>
          </w:tcPr>
          <w:p>
            <w:pPr>
              <w:spacing w:after="0"/>
              <w:rPr>
                <w:sz w:val="1"/>
                <w:szCs w:val="1"/>
                <w:color w:val="auto"/>
              </w:rPr>
            </w:pPr>
          </w:p>
        </w:tc>
      </w:tr>
      <w:tr>
        <w:trPr>
          <w:trHeight w:val="213"/>
        </w:trPr>
        <w:tc>
          <w:tcPr>
            <w:tcW w:w="7760" w:type="dxa"/>
            <w:vAlign w:val="bottom"/>
            <w:tcBorders>
              <w:bottom w:val="single" w:sz="8" w:color="CCEEFF"/>
            </w:tcBorders>
            <w:gridSpan w:val="2"/>
          </w:tcPr>
          <w:p>
            <w:pPr>
              <w:ind w:left="120"/>
              <w:spacing w:after="0"/>
              <w:rPr>
                <w:sz w:val="20"/>
                <w:szCs w:val="20"/>
                <w:color w:val="auto"/>
              </w:rPr>
            </w:pPr>
            <w:r>
              <w:rPr>
                <w:rFonts w:ascii="Times New Roman" w:cs="Times New Roman" w:eastAsia="Times New Roman" w:hAnsi="Times New Roman"/>
                <w:sz w:val="16"/>
                <w:szCs w:val="16"/>
                <w:color w:val="auto"/>
              </w:rPr>
              <w:t>Prepayments and other current assets</w:t>
            </w:r>
          </w:p>
        </w:tc>
        <w:tc>
          <w:tcPr>
            <w:tcW w:w="16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67</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68</w:t>
            </w:r>
          </w:p>
        </w:tc>
        <w:tc>
          <w:tcPr>
            <w:tcW w:w="0" w:type="dxa"/>
            <w:vAlign w:val="bottom"/>
          </w:tcPr>
          <w:p>
            <w:pPr>
              <w:spacing w:after="0"/>
              <w:rPr>
                <w:sz w:val="1"/>
                <w:szCs w:val="1"/>
                <w:color w:val="auto"/>
              </w:rPr>
            </w:pPr>
          </w:p>
        </w:tc>
      </w:tr>
      <w:tr>
        <w:trPr>
          <w:trHeight w:val="212"/>
        </w:trPr>
        <w:tc>
          <w:tcPr>
            <w:tcW w:w="776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Total current assets</w:t>
            </w:r>
          </w:p>
        </w:tc>
        <w:tc>
          <w:tcPr>
            <w:tcW w:w="160" w:type="dxa"/>
            <w:vAlign w:val="bottom"/>
            <w:tcBorders>
              <w:bottom w:val="single" w:sz="8" w:color="auto"/>
            </w:tcBorders>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1,067</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1,560</w:t>
            </w:r>
          </w:p>
        </w:tc>
        <w:tc>
          <w:tcPr>
            <w:tcW w:w="0" w:type="dxa"/>
            <w:vAlign w:val="bottom"/>
          </w:tcPr>
          <w:p>
            <w:pPr>
              <w:spacing w:after="0"/>
              <w:rPr>
                <w:sz w:val="1"/>
                <w:szCs w:val="1"/>
                <w:color w:val="auto"/>
              </w:rPr>
            </w:pPr>
          </w:p>
        </w:tc>
      </w:tr>
      <w:tr>
        <w:trPr>
          <w:trHeight w:val="207"/>
        </w:trPr>
        <w:tc>
          <w:tcPr>
            <w:tcW w:w="776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6"/>
                <w:szCs w:val="16"/>
                <w:b w:val="1"/>
                <w:bCs w:val="1"/>
                <w:color w:val="auto"/>
              </w:rPr>
              <w:t>Property, plant and equipment, net</w:t>
            </w:r>
          </w:p>
        </w:tc>
        <w:tc>
          <w:tcPr>
            <w:tcW w:w="16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9,944</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9,526</w:t>
            </w:r>
          </w:p>
        </w:tc>
        <w:tc>
          <w:tcPr>
            <w:tcW w:w="0" w:type="dxa"/>
            <w:vAlign w:val="bottom"/>
          </w:tcPr>
          <w:p>
            <w:pPr>
              <w:spacing w:after="0"/>
              <w:rPr>
                <w:sz w:val="1"/>
                <w:szCs w:val="1"/>
                <w:color w:val="auto"/>
              </w:rPr>
            </w:pPr>
          </w:p>
        </w:tc>
      </w:tr>
      <w:tr>
        <w:trPr>
          <w:trHeight w:val="199"/>
        </w:trPr>
        <w:tc>
          <w:tcPr>
            <w:tcW w:w="7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Other Assets</w:t>
            </w:r>
          </w:p>
        </w:tc>
        <w:tc>
          <w:tcPr>
            <w:tcW w:w="16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776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Equity investments in affiliates</w:t>
            </w:r>
          </w:p>
        </w:tc>
        <w:tc>
          <w:tcPr>
            <w:tcW w:w="1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360</w:t>
            </w:r>
          </w:p>
        </w:tc>
        <w:tc>
          <w:tcPr>
            <w:tcW w:w="0" w:type="dxa"/>
            <w:vAlign w:val="bottom"/>
          </w:tcPr>
          <w:p>
            <w:pPr>
              <w:spacing w:after="0"/>
              <w:rPr>
                <w:sz w:val="1"/>
                <w:szCs w:val="1"/>
                <w:color w:val="auto"/>
              </w:rPr>
            </w:pPr>
          </w:p>
        </w:tc>
      </w:tr>
      <w:tr>
        <w:trPr>
          <w:trHeight w:val="219"/>
        </w:trPr>
        <w:tc>
          <w:tcPr>
            <w:tcW w:w="77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Intangible assets for power purchase agreements, net</w:t>
            </w: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2,125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2,303</w:t>
            </w:r>
          </w:p>
        </w:tc>
        <w:tc>
          <w:tcPr>
            <w:tcW w:w="0" w:type="dxa"/>
            <w:vAlign w:val="bottom"/>
          </w:tcPr>
          <w:p>
            <w:pPr>
              <w:spacing w:after="0"/>
              <w:rPr>
                <w:sz w:val="1"/>
                <w:szCs w:val="1"/>
                <w:color w:val="auto"/>
              </w:rPr>
            </w:pPr>
          </w:p>
        </w:tc>
      </w:tr>
      <w:tr>
        <w:trPr>
          <w:trHeight w:val="213"/>
        </w:trPr>
        <w:tc>
          <w:tcPr>
            <w:tcW w:w="776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Other intangible assets, net</w:t>
            </w:r>
          </w:p>
        </w:tc>
        <w:tc>
          <w:tcPr>
            <w:tcW w:w="1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w:t>
            </w:r>
          </w:p>
        </w:tc>
        <w:tc>
          <w:tcPr>
            <w:tcW w:w="0" w:type="dxa"/>
            <w:vAlign w:val="bottom"/>
          </w:tcPr>
          <w:p>
            <w:pPr>
              <w:spacing w:after="0"/>
              <w:rPr>
                <w:sz w:val="1"/>
                <w:szCs w:val="1"/>
                <w:color w:val="auto"/>
              </w:rPr>
            </w:pPr>
          </w:p>
        </w:tc>
      </w:tr>
      <w:tr>
        <w:trPr>
          <w:trHeight w:val="219"/>
        </w:trPr>
        <w:tc>
          <w:tcPr>
            <w:tcW w:w="77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Derivative instruments</w:t>
            </w: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w:t>
            </w:r>
          </w:p>
        </w:tc>
        <w:tc>
          <w:tcPr>
            <w:tcW w:w="0" w:type="dxa"/>
            <w:vAlign w:val="bottom"/>
          </w:tcPr>
          <w:p>
            <w:pPr>
              <w:spacing w:after="0"/>
              <w:rPr>
                <w:sz w:val="1"/>
                <w:szCs w:val="1"/>
                <w:color w:val="auto"/>
              </w:rPr>
            </w:pPr>
          </w:p>
        </w:tc>
      </w:tr>
      <w:tr>
        <w:trPr>
          <w:trHeight w:val="213"/>
        </w:trPr>
        <w:tc>
          <w:tcPr>
            <w:tcW w:w="776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Right-of-use assets, net</w:t>
            </w:r>
          </w:p>
        </w:tc>
        <w:tc>
          <w:tcPr>
            <w:tcW w:w="1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597</w:t>
            </w:r>
          </w:p>
        </w:tc>
        <w:tc>
          <w:tcPr>
            <w:tcW w:w="0" w:type="dxa"/>
            <w:vAlign w:val="bottom"/>
          </w:tcPr>
          <w:p>
            <w:pPr>
              <w:spacing w:after="0"/>
              <w:rPr>
                <w:sz w:val="1"/>
                <w:szCs w:val="1"/>
                <w:color w:val="auto"/>
              </w:rPr>
            </w:pPr>
          </w:p>
        </w:tc>
      </w:tr>
      <w:tr>
        <w:trPr>
          <w:trHeight w:val="219"/>
        </w:trPr>
        <w:tc>
          <w:tcPr>
            <w:tcW w:w="77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Other non-current assets</w:t>
            </w:r>
          </w:p>
        </w:tc>
        <w:tc>
          <w:tcPr>
            <w:tcW w:w="16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202</w:t>
            </w:r>
          </w:p>
        </w:tc>
        <w:tc>
          <w:tcPr>
            <w:tcW w:w="0" w:type="dxa"/>
            <w:vAlign w:val="bottom"/>
          </w:tcPr>
          <w:p>
            <w:pPr>
              <w:spacing w:after="0"/>
              <w:rPr>
                <w:sz w:val="1"/>
                <w:szCs w:val="1"/>
                <w:color w:val="auto"/>
              </w:rPr>
            </w:pPr>
          </w:p>
        </w:tc>
      </w:tr>
      <w:tr>
        <w:trPr>
          <w:trHeight w:val="207"/>
        </w:trPr>
        <w:tc>
          <w:tcPr>
            <w:tcW w:w="7760" w:type="dxa"/>
            <w:vAlign w:val="bottom"/>
            <w:tcBorders>
              <w:bottom w:val="single" w:sz="8" w:color="CCEEFF"/>
            </w:tcBorders>
            <w:gridSpan w:val="2"/>
          </w:tcPr>
          <w:p>
            <w:pPr>
              <w:ind w:left="340"/>
              <w:spacing w:after="0"/>
              <w:rPr>
                <w:sz w:val="20"/>
                <w:szCs w:val="20"/>
                <w:color w:val="auto"/>
              </w:rPr>
            </w:pPr>
            <w:r>
              <w:rPr>
                <w:rFonts w:ascii="Times New Roman" w:cs="Times New Roman" w:eastAsia="Times New Roman" w:hAnsi="Times New Roman"/>
                <w:sz w:val="16"/>
                <w:szCs w:val="16"/>
                <w:color w:val="auto"/>
              </w:rPr>
              <w:t>Total other assets</w:t>
            </w:r>
          </w:p>
        </w:tc>
        <w:tc>
          <w:tcPr>
            <w:tcW w:w="16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3,318</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3,615</w:t>
            </w:r>
          </w:p>
        </w:tc>
        <w:tc>
          <w:tcPr>
            <w:tcW w:w="0" w:type="dxa"/>
            <w:vAlign w:val="bottom"/>
          </w:tcPr>
          <w:p>
            <w:pPr>
              <w:spacing w:after="0"/>
              <w:rPr>
                <w:sz w:val="1"/>
                <w:szCs w:val="1"/>
                <w:color w:val="auto"/>
              </w:rPr>
            </w:pPr>
          </w:p>
        </w:tc>
      </w:tr>
      <w:tr>
        <w:trPr>
          <w:trHeight w:val="237"/>
        </w:trPr>
        <w:tc>
          <w:tcPr>
            <w:tcW w:w="77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Total Assets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14,329</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14,701</w:t>
            </w:r>
          </w:p>
        </w:tc>
        <w:tc>
          <w:tcPr>
            <w:tcW w:w="0" w:type="dxa"/>
            <w:vAlign w:val="bottom"/>
          </w:tcPr>
          <w:p>
            <w:pPr>
              <w:spacing w:after="0"/>
              <w:rPr>
                <w:sz w:val="1"/>
                <w:szCs w:val="1"/>
                <w:color w:val="auto"/>
              </w:rPr>
            </w:pPr>
          </w:p>
        </w:tc>
      </w:tr>
      <w:tr>
        <w:trPr>
          <w:trHeight w:val="20"/>
        </w:trPr>
        <w:tc>
          <w:tcPr>
            <w:tcW w:w="1640" w:type="dxa"/>
            <w:vAlign w:val="bottom"/>
            <w:tcBorders>
              <w:top w:val="single" w:sz="8" w:color="CCEEFF"/>
              <w:bottom w:val="single" w:sz="8" w:color="CCEEFF"/>
            </w:tcBorders>
            <w:vMerge w:val="restart"/>
          </w:tcPr>
          <w:p>
            <w:pPr>
              <w:spacing w:after="0" w:line="20" w:lineRule="exact"/>
              <w:rPr>
                <w:sz w:val="1"/>
                <w:szCs w:val="1"/>
                <w:color w:val="auto"/>
              </w:rPr>
            </w:pPr>
          </w:p>
        </w:tc>
        <w:tc>
          <w:tcPr>
            <w:tcW w:w="6120" w:type="dxa"/>
            <w:vAlign w:val="bottom"/>
            <w:tcBorders>
              <w:top w:val="single" w:sz="8" w:color="CCEEFF"/>
              <w:bottom w:val="single" w:sz="8" w:color="CCEEFF"/>
            </w:tcBorders>
            <w:vMerge w:val="restart"/>
          </w:tcPr>
          <w:p>
            <w:pPr>
              <w:jc w:val="center"/>
              <w:ind w:right="1570"/>
              <w:spacing w:after="0"/>
              <w:rPr>
                <w:sz w:val="20"/>
                <w:szCs w:val="20"/>
                <w:color w:val="auto"/>
              </w:rPr>
            </w:pPr>
            <w:r>
              <w:rPr>
                <w:rFonts w:ascii="Times New Roman" w:cs="Times New Roman" w:eastAsia="Times New Roman" w:hAnsi="Times New Roman"/>
                <w:sz w:val="18"/>
                <w:szCs w:val="18"/>
                <w:b w:val="1"/>
                <w:bCs w:val="1"/>
                <w:color w:val="auto"/>
                <w:w w:val="99"/>
              </w:rPr>
              <w:t>LIABILITIES AND STOCKHOLDERS’ EQUITY</w:t>
            </w: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1640" w:type="dxa"/>
            <w:vAlign w:val="bottom"/>
            <w:vMerge w:val="continue"/>
          </w:tcPr>
          <w:p>
            <w:pPr>
              <w:spacing w:after="0"/>
              <w:rPr>
                <w:sz w:val="15"/>
                <w:szCs w:val="15"/>
                <w:color w:val="auto"/>
              </w:rPr>
            </w:pPr>
          </w:p>
        </w:tc>
        <w:tc>
          <w:tcPr>
            <w:tcW w:w="612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7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Current Liabilities</w:t>
            </w:r>
          </w:p>
        </w:tc>
        <w:tc>
          <w:tcPr>
            <w:tcW w:w="16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76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Current portion of long-term debt</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430</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558</w:t>
            </w:r>
          </w:p>
        </w:tc>
        <w:tc>
          <w:tcPr>
            <w:tcW w:w="0" w:type="dxa"/>
            <w:vAlign w:val="bottom"/>
          </w:tcPr>
          <w:p>
            <w:pPr>
              <w:spacing w:after="0"/>
              <w:rPr>
                <w:sz w:val="1"/>
                <w:szCs w:val="1"/>
                <w:color w:val="auto"/>
              </w:rPr>
            </w:pPr>
          </w:p>
        </w:tc>
      </w:tr>
      <w:tr>
        <w:trPr>
          <w:trHeight w:val="219"/>
        </w:trPr>
        <w:tc>
          <w:tcPr>
            <w:tcW w:w="77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Accounts payable — trade</w:t>
            </w: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w:t>
            </w:r>
          </w:p>
        </w:tc>
        <w:tc>
          <w:tcPr>
            <w:tcW w:w="0" w:type="dxa"/>
            <w:vAlign w:val="bottom"/>
          </w:tcPr>
          <w:p>
            <w:pPr>
              <w:spacing w:after="0"/>
              <w:rPr>
                <w:sz w:val="1"/>
                <w:szCs w:val="1"/>
                <w:color w:val="auto"/>
              </w:rPr>
            </w:pPr>
          </w:p>
        </w:tc>
      </w:tr>
      <w:tr>
        <w:trPr>
          <w:trHeight w:val="213"/>
        </w:trPr>
        <w:tc>
          <w:tcPr>
            <w:tcW w:w="776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Accounts payable — affiliates</w:t>
            </w:r>
          </w:p>
        </w:tc>
        <w:tc>
          <w:tcPr>
            <w:tcW w:w="1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0" w:type="dxa"/>
            <w:vAlign w:val="bottom"/>
          </w:tcPr>
          <w:p>
            <w:pPr>
              <w:spacing w:after="0"/>
              <w:rPr>
                <w:sz w:val="1"/>
                <w:szCs w:val="1"/>
                <w:color w:val="auto"/>
              </w:rPr>
            </w:pPr>
          </w:p>
        </w:tc>
      </w:tr>
      <w:tr>
        <w:trPr>
          <w:trHeight w:val="219"/>
        </w:trPr>
        <w:tc>
          <w:tcPr>
            <w:tcW w:w="77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Derivative instruments</w:t>
            </w: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w:t>
            </w:r>
          </w:p>
        </w:tc>
        <w:tc>
          <w:tcPr>
            <w:tcW w:w="0" w:type="dxa"/>
            <w:vAlign w:val="bottom"/>
          </w:tcPr>
          <w:p>
            <w:pPr>
              <w:spacing w:after="0"/>
              <w:rPr>
                <w:sz w:val="1"/>
                <w:szCs w:val="1"/>
                <w:color w:val="auto"/>
              </w:rPr>
            </w:pPr>
          </w:p>
        </w:tc>
      </w:tr>
      <w:tr>
        <w:trPr>
          <w:trHeight w:val="213"/>
        </w:trPr>
        <w:tc>
          <w:tcPr>
            <w:tcW w:w="776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Accrued interest expense</w:t>
            </w:r>
          </w:p>
        </w:tc>
        <w:tc>
          <w:tcPr>
            <w:tcW w:w="1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w:t>
            </w:r>
          </w:p>
        </w:tc>
        <w:tc>
          <w:tcPr>
            <w:tcW w:w="0" w:type="dxa"/>
            <w:vAlign w:val="bottom"/>
          </w:tcPr>
          <w:p>
            <w:pPr>
              <w:spacing w:after="0"/>
              <w:rPr>
                <w:sz w:val="1"/>
                <w:szCs w:val="1"/>
                <w:color w:val="auto"/>
              </w:rPr>
            </w:pPr>
          </w:p>
        </w:tc>
      </w:tr>
      <w:tr>
        <w:trPr>
          <w:trHeight w:val="219"/>
        </w:trPr>
        <w:tc>
          <w:tcPr>
            <w:tcW w:w="77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Accrued expenses and other current liabilities</w:t>
            </w:r>
          </w:p>
        </w:tc>
        <w:tc>
          <w:tcPr>
            <w:tcW w:w="16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w:t>
            </w:r>
          </w:p>
        </w:tc>
        <w:tc>
          <w:tcPr>
            <w:tcW w:w="0" w:type="dxa"/>
            <w:vAlign w:val="bottom"/>
          </w:tcPr>
          <w:p>
            <w:pPr>
              <w:spacing w:after="0"/>
              <w:rPr>
                <w:sz w:val="1"/>
                <w:szCs w:val="1"/>
                <w:color w:val="auto"/>
              </w:rPr>
            </w:pPr>
          </w:p>
        </w:tc>
      </w:tr>
      <w:tr>
        <w:trPr>
          <w:trHeight w:val="207"/>
        </w:trPr>
        <w:tc>
          <w:tcPr>
            <w:tcW w:w="7760" w:type="dxa"/>
            <w:vAlign w:val="bottom"/>
            <w:tcBorders>
              <w:bottom w:val="single" w:sz="8" w:color="CCEEFF"/>
            </w:tcBorders>
            <w:gridSpan w:val="2"/>
          </w:tcPr>
          <w:p>
            <w:pPr>
              <w:ind w:left="34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16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718</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906</w:t>
            </w:r>
          </w:p>
        </w:tc>
        <w:tc>
          <w:tcPr>
            <w:tcW w:w="0" w:type="dxa"/>
            <w:vAlign w:val="bottom"/>
          </w:tcPr>
          <w:p>
            <w:pPr>
              <w:spacing w:after="0"/>
              <w:rPr>
                <w:sz w:val="1"/>
                <w:szCs w:val="1"/>
                <w:color w:val="auto"/>
              </w:rPr>
            </w:pPr>
          </w:p>
        </w:tc>
      </w:tr>
      <w:tr>
        <w:trPr>
          <w:trHeight w:val="212"/>
        </w:trPr>
        <w:tc>
          <w:tcPr>
            <w:tcW w:w="7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Other Liabilities</w:t>
            </w:r>
          </w:p>
        </w:tc>
        <w:tc>
          <w:tcPr>
            <w:tcW w:w="16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76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Long-term debt</w:t>
            </w:r>
          </w:p>
        </w:tc>
        <w:tc>
          <w:tcPr>
            <w:tcW w:w="1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6,750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7,479</w:t>
            </w:r>
          </w:p>
        </w:tc>
        <w:tc>
          <w:tcPr>
            <w:tcW w:w="0" w:type="dxa"/>
            <w:vAlign w:val="bottom"/>
          </w:tcPr>
          <w:p>
            <w:pPr>
              <w:spacing w:after="0"/>
              <w:rPr>
                <w:sz w:val="1"/>
                <w:szCs w:val="1"/>
                <w:color w:val="auto"/>
              </w:rPr>
            </w:pPr>
          </w:p>
        </w:tc>
      </w:tr>
      <w:tr>
        <w:trPr>
          <w:trHeight w:val="219"/>
        </w:trPr>
        <w:tc>
          <w:tcPr>
            <w:tcW w:w="77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Deferred income taxes</w:t>
            </w: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w:t>
            </w:r>
          </w:p>
        </w:tc>
        <w:tc>
          <w:tcPr>
            <w:tcW w:w="0" w:type="dxa"/>
            <w:vAlign w:val="bottom"/>
          </w:tcPr>
          <w:p>
            <w:pPr>
              <w:spacing w:after="0"/>
              <w:rPr>
                <w:sz w:val="1"/>
                <w:szCs w:val="1"/>
                <w:color w:val="auto"/>
              </w:rPr>
            </w:pPr>
          </w:p>
        </w:tc>
      </w:tr>
      <w:tr>
        <w:trPr>
          <w:trHeight w:val="213"/>
        </w:trPr>
        <w:tc>
          <w:tcPr>
            <w:tcW w:w="776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Derivative instruments</w:t>
            </w:r>
          </w:p>
        </w:tc>
        <w:tc>
          <w:tcPr>
            <w:tcW w:w="1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281</w:t>
            </w:r>
          </w:p>
        </w:tc>
        <w:tc>
          <w:tcPr>
            <w:tcW w:w="0" w:type="dxa"/>
            <w:vAlign w:val="bottom"/>
          </w:tcPr>
          <w:p>
            <w:pPr>
              <w:spacing w:after="0"/>
              <w:rPr>
                <w:sz w:val="1"/>
                <w:szCs w:val="1"/>
                <w:color w:val="auto"/>
              </w:rPr>
            </w:pPr>
          </w:p>
        </w:tc>
      </w:tr>
      <w:tr>
        <w:trPr>
          <w:trHeight w:val="219"/>
        </w:trPr>
        <w:tc>
          <w:tcPr>
            <w:tcW w:w="77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Long-term lease liabilities</w:t>
            </w: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627</w:t>
            </w:r>
          </w:p>
        </w:tc>
        <w:tc>
          <w:tcPr>
            <w:tcW w:w="0" w:type="dxa"/>
            <w:vAlign w:val="bottom"/>
          </w:tcPr>
          <w:p>
            <w:pPr>
              <w:spacing w:after="0"/>
              <w:rPr>
                <w:sz w:val="1"/>
                <w:szCs w:val="1"/>
                <w:color w:val="auto"/>
              </w:rPr>
            </w:pPr>
          </w:p>
        </w:tc>
      </w:tr>
      <w:tr>
        <w:trPr>
          <w:trHeight w:val="213"/>
        </w:trPr>
        <w:tc>
          <w:tcPr>
            <w:tcW w:w="7760" w:type="dxa"/>
            <w:vAlign w:val="bottom"/>
            <w:tcBorders>
              <w:bottom w:val="single" w:sz="8" w:color="CCEEFF"/>
            </w:tcBorders>
            <w:gridSpan w:val="2"/>
          </w:tcPr>
          <w:p>
            <w:pPr>
              <w:ind w:left="120"/>
              <w:spacing w:after="0"/>
              <w:rPr>
                <w:sz w:val="20"/>
                <w:szCs w:val="20"/>
                <w:color w:val="auto"/>
              </w:rPr>
            </w:pPr>
            <w:r>
              <w:rPr>
                <w:rFonts w:ascii="Times New Roman" w:cs="Times New Roman" w:eastAsia="Times New Roman" w:hAnsi="Times New Roman"/>
                <w:sz w:val="16"/>
                <w:szCs w:val="16"/>
                <w:color w:val="auto"/>
              </w:rPr>
              <w:t>Other non-current liabilities</w:t>
            </w:r>
          </w:p>
        </w:tc>
        <w:tc>
          <w:tcPr>
            <w:tcW w:w="16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324</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286</w:t>
            </w:r>
          </w:p>
        </w:tc>
        <w:tc>
          <w:tcPr>
            <w:tcW w:w="0" w:type="dxa"/>
            <w:vAlign w:val="bottom"/>
          </w:tcPr>
          <w:p>
            <w:pPr>
              <w:spacing w:after="0"/>
              <w:rPr>
                <w:sz w:val="1"/>
                <w:szCs w:val="1"/>
                <w:color w:val="auto"/>
              </w:rPr>
            </w:pPr>
          </w:p>
        </w:tc>
      </w:tr>
      <w:tr>
        <w:trPr>
          <w:trHeight w:val="212"/>
        </w:trPr>
        <w:tc>
          <w:tcPr>
            <w:tcW w:w="776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Total other liabilities</w:t>
            </w:r>
          </w:p>
        </w:tc>
        <w:tc>
          <w:tcPr>
            <w:tcW w:w="160" w:type="dxa"/>
            <w:vAlign w:val="bottom"/>
            <w:tcBorders>
              <w:bottom w:val="single" w:sz="8" w:color="auto"/>
            </w:tcBorders>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8,047</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8,800</w:t>
            </w:r>
          </w:p>
        </w:tc>
        <w:tc>
          <w:tcPr>
            <w:tcW w:w="0" w:type="dxa"/>
            <w:vAlign w:val="bottom"/>
          </w:tcPr>
          <w:p>
            <w:pPr>
              <w:spacing w:after="0"/>
              <w:rPr>
                <w:sz w:val="1"/>
                <w:szCs w:val="1"/>
                <w:color w:val="auto"/>
              </w:rPr>
            </w:pPr>
          </w:p>
        </w:tc>
      </w:tr>
      <w:tr>
        <w:trPr>
          <w:trHeight w:val="207"/>
        </w:trPr>
        <w:tc>
          <w:tcPr>
            <w:tcW w:w="776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6"/>
                <w:szCs w:val="16"/>
                <w:b w:val="1"/>
                <w:bCs w:val="1"/>
                <w:color w:val="auto"/>
              </w:rPr>
              <w:t>Total Liabilities</w:t>
            </w:r>
          </w:p>
        </w:tc>
        <w:tc>
          <w:tcPr>
            <w:tcW w:w="16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8,765</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9,706</w:t>
            </w:r>
          </w:p>
        </w:tc>
        <w:tc>
          <w:tcPr>
            <w:tcW w:w="0" w:type="dxa"/>
            <w:vAlign w:val="bottom"/>
          </w:tcPr>
          <w:p>
            <w:pPr>
              <w:spacing w:after="0"/>
              <w:rPr>
                <w:sz w:val="1"/>
                <w:szCs w:val="1"/>
                <w:color w:val="auto"/>
              </w:rPr>
            </w:pPr>
          </w:p>
        </w:tc>
      </w:tr>
      <w:tr>
        <w:trPr>
          <w:trHeight w:val="212"/>
        </w:trPr>
        <w:tc>
          <w:tcPr>
            <w:tcW w:w="7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Redeemable noncontrolling interest in subsidiaries</w:t>
            </w:r>
          </w:p>
        </w:tc>
        <w:tc>
          <w:tcPr>
            <w:tcW w:w="160" w:type="dxa"/>
            <w:vAlign w:val="bottom"/>
            <w:tcBorders>
              <w:bottom w:val="single" w:sz="8" w:color="auto"/>
            </w:tcBorders>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194"/>
        </w:trPr>
        <w:tc>
          <w:tcPr>
            <w:tcW w:w="776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Commitments and Contingencies</w:t>
            </w:r>
          </w:p>
        </w:tc>
        <w:tc>
          <w:tcPr>
            <w:tcW w:w="16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7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Stockholders’ Equity</w:t>
            </w:r>
          </w:p>
        </w:tc>
        <w:tc>
          <w:tcPr>
            <w:tcW w:w="16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76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Preferred stock, $0.01 par value; 10,000,000 shares authorized; none issued</w:t>
            </w:r>
          </w:p>
        </w:tc>
        <w:tc>
          <w:tcPr>
            <w:tcW w:w="160" w:type="dxa"/>
            <w:vAlign w:val="bottom"/>
          </w:tcPr>
          <w:p>
            <w:pPr>
              <w:spacing w:after="0"/>
              <w:rPr>
                <w:sz w:val="18"/>
                <w:szCs w:val="18"/>
                <w:color w:val="auto"/>
              </w:rPr>
            </w:pPr>
          </w:p>
        </w:tc>
        <w:tc>
          <w:tcPr>
            <w:tcW w:w="16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65"/>
        </w:trPr>
        <w:tc>
          <w:tcPr>
            <w:tcW w:w="7760" w:type="dxa"/>
            <w:vAlign w:val="bottom"/>
            <w:gridSpan w:val="2"/>
            <w:shd w:val="clear" w:color="auto" w:fill="CCEEFF"/>
          </w:tcPr>
          <w:p>
            <w:pPr>
              <w:ind w:left="120"/>
              <w:spacing w:after="0" w:line="165" w:lineRule="exact"/>
              <w:rPr>
                <w:sz w:val="20"/>
                <w:szCs w:val="20"/>
                <w:color w:val="auto"/>
              </w:rPr>
            </w:pPr>
            <w:r>
              <w:rPr>
                <w:rFonts w:ascii="Times New Roman" w:cs="Times New Roman" w:eastAsia="Times New Roman" w:hAnsi="Times New Roman"/>
                <w:sz w:val="16"/>
                <w:szCs w:val="16"/>
                <w:color w:val="auto"/>
              </w:rPr>
              <w:t>Class A, Class B, Class C and Class D common stock, $0.01 par value; 3,000,000,000 shares authorized (Class A</w:t>
            </w:r>
          </w:p>
        </w:tc>
        <w:tc>
          <w:tcPr>
            <w:tcW w:w="160" w:type="dxa"/>
            <w:vAlign w:val="bottom"/>
            <w:shd w:val="clear" w:color="auto" w:fill="CCEEFF"/>
          </w:tcPr>
          <w:p>
            <w:pPr>
              <w:spacing w:after="0"/>
              <w:rPr>
                <w:sz w:val="14"/>
                <w:szCs w:val="14"/>
                <w:color w:val="auto"/>
              </w:rPr>
            </w:pPr>
          </w:p>
        </w:tc>
        <w:tc>
          <w:tcPr>
            <w:tcW w:w="15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4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60" w:type="dxa"/>
            <w:vAlign w:val="bottom"/>
            <w:gridSpan w:val="2"/>
            <w:shd w:val="clear" w:color="auto" w:fill="CCEEFF"/>
          </w:tcPr>
          <w:p>
            <w:pPr>
              <w:ind w:left="120"/>
              <w:spacing w:after="0" w:line="162" w:lineRule="exact"/>
              <w:rPr>
                <w:sz w:val="20"/>
                <w:szCs w:val="20"/>
                <w:color w:val="auto"/>
              </w:rPr>
            </w:pPr>
            <w:r>
              <w:rPr>
                <w:rFonts w:ascii="Times New Roman" w:cs="Times New Roman" w:eastAsia="Times New Roman" w:hAnsi="Times New Roman"/>
                <w:sz w:val="16"/>
                <w:szCs w:val="16"/>
                <w:color w:val="auto"/>
              </w:rPr>
              <w:t>500,000,000, Class B 500,000,000, Class C 1,000,000,000, Class D 1,000,000,000); 202,147,579 shares issued and</w:t>
            </w:r>
          </w:p>
        </w:tc>
        <w:tc>
          <w:tcPr>
            <w:tcW w:w="160" w:type="dxa"/>
            <w:vAlign w:val="bottom"/>
            <w:shd w:val="clear" w:color="auto" w:fill="CCEEFF"/>
          </w:tcPr>
          <w:p>
            <w:pPr>
              <w:spacing w:after="0"/>
              <w:rPr>
                <w:sz w:val="14"/>
                <w:szCs w:val="14"/>
                <w:color w:val="auto"/>
              </w:rPr>
            </w:pPr>
          </w:p>
        </w:tc>
        <w:tc>
          <w:tcPr>
            <w:tcW w:w="15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4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60" w:type="dxa"/>
            <w:vAlign w:val="bottom"/>
            <w:gridSpan w:val="2"/>
            <w:shd w:val="clear" w:color="auto" w:fill="CCEEFF"/>
          </w:tcPr>
          <w:p>
            <w:pPr>
              <w:ind w:left="120"/>
              <w:spacing w:after="0" w:line="162" w:lineRule="exact"/>
              <w:rPr>
                <w:sz w:val="20"/>
                <w:szCs w:val="20"/>
                <w:color w:val="auto"/>
              </w:rPr>
            </w:pPr>
            <w:r>
              <w:rPr>
                <w:rFonts w:ascii="Times New Roman" w:cs="Times New Roman" w:eastAsia="Times New Roman" w:hAnsi="Times New Roman"/>
                <w:sz w:val="16"/>
                <w:szCs w:val="16"/>
                <w:color w:val="auto"/>
              </w:rPr>
              <w:t>outstanding (Class A 34,613,853, Class B 42,738,750, Class C 82,833,226, Class D 41,961,750) at December 31,</w:t>
            </w:r>
          </w:p>
        </w:tc>
        <w:tc>
          <w:tcPr>
            <w:tcW w:w="160" w:type="dxa"/>
            <w:vAlign w:val="bottom"/>
            <w:shd w:val="clear" w:color="auto" w:fill="CCEEFF"/>
          </w:tcPr>
          <w:p>
            <w:pPr>
              <w:spacing w:after="0"/>
              <w:rPr>
                <w:sz w:val="14"/>
                <w:szCs w:val="14"/>
                <w:color w:val="auto"/>
              </w:rPr>
            </w:pPr>
          </w:p>
        </w:tc>
        <w:tc>
          <w:tcPr>
            <w:tcW w:w="15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4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60" w:type="dxa"/>
            <w:vAlign w:val="bottom"/>
            <w:gridSpan w:val="2"/>
            <w:shd w:val="clear" w:color="auto" w:fill="CCEEFF"/>
          </w:tcPr>
          <w:p>
            <w:pPr>
              <w:ind w:left="120"/>
              <w:spacing w:after="0" w:line="162" w:lineRule="exact"/>
              <w:rPr>
                <w:sz w:val="20"/>
                <w:szCs w:val="20"/>
                <w:color w:val="auto"/>
              </w:rPr>
            </w:pPr>
            <w:r>
              <w:rPr>
                <w:rFonts w:ascii="Times New Roman" w:cs="Times New Roman" w:eastAsia="Times New Roman" w:hAnsi="Times New Roman"/>
                <w:sz w:val="16"/>
                <w:szCs w:val="16"/>
                <w:color w:val="auto"/>
              </w:rPr>
              <w:t>2024 and 202,080,794 shares issued and outstanding (Class A 34,613,853, Class B 42,738,750, Class C 82,391,441,</w:t>
            </w:r>
          </w:p>
        </w:tc>
        <w:tc>
          <w:tcPr>
            <w:tcW w:w="160" w:type="dxa"/>
            <w:vAlign w:val="bottom"/>
            <w:shd w:val="clear" w:color="auto" w:fill="CCEEFF"/>
          </w:tcPr>
          <w:p>
            <w:pPr>
              <w:spacing w:after="0"/>
              <w:rPr>
                <w:sz w:val="14"/>
                <w:szCs w:val="14"/>
                <w:color w:val="auto"/>
              </w:rPr>
            </w:pPr>
          </w:p>
        </w:tc>
        <w:tc>
          <w:tcPr>
            <w:tcW w:w="15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4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216"/>
        </w:trPr>
        <w:tc>
          <w:tcPr>
            <w:tcW w:w="77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Class D 42,336,750) at December 31, 2023</w:t>
            </w:r>
          </w:p>
        </w:tc>
        <w:tc>
          <w:tcPr>
            <w:tcW w:w="160" w:type="dxa"/>
            <w:vAlign w:val="bottom"/>
            <w:shd w:val="clear" w:color="auto" w:fill="CCEEFF"/>
          </w:tcPr>
          <w:p>
            <w:pPr>
              <w:spacing w:after="0"/>
              <w:rPr>
                <w:sz w:val="18"/>
                <w:szCs w:val="18"/>
                <w:color w:val="auto"/>
              </w:rPr>
            </w:pPr>
          </w:p>
        </w:tc>
        <w:tc>
          <w:tcPr>
            <w:tcW w:w="15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76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1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1,805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1,732</w:t>
            </w:r>
          </w:p>
        </w:tc>
        <w:tc>
          <w:tcPr>
            <w:tcW w:w="0" w:type="dxa"/>
            <w:vAlign w:val="bottom"/>
          </w:tcPr>
          <w:p>
            <w:pPr>
              <w:spacing w:after="0"/>
              <w:rPr>
                <w:sz w:val="1"/>
                <w:szCs w:val="1"/>
                <w:color w:val="auto"/>
              </w:rPr>
            </w:pPr>
          </w:p>
        </w:tc>
      </w:tr>
      <w:tr>
        <w:trPr>
          <w:trHeight w:val="219"/>
        </w:trPr>
        <w:tc>
          <w:tcPr>
            <w:tcW w:w="77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Retained earnings</w:t>
            </w: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361</w:t>
            </w:r>
          </w:p>
        </w:tc>
        <w:tc>
          <w:tcPr>
            <w:tcW w:w="0" w:type="dxa"/>
            <w:vAlign w:val="bottom"/>
          </w:tcPr>
          <w:p>
            <w:pPr>
              <w:spacing w:after="0"/>
              <w:rPr>
                <w:sz w:val="1"/>
                <w:szCs w:val="1"/>
                <w:color w:val="auto"/>
              </w:rPr>
            </w:pPr>
          </w:p>
        </w:tc>
      </w:tr>
      <w:tr>
        <w:trPr>
          <w:trHeight w:val="213"/>
        </w:trPr>
        <w:tc>
          <w:tcPr>
            <w:tcW w:w="776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Accumulated other comprehensive income</w:t>
            </w:r>
          </w:p>
        </w:tc>
        <w:tc>
          <w:tcPr>
            <w:tcW w:w="1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0" w:type="dxa"/>
            <w:vAlign w:val="bottom"/>
          </w:tcPr>
          <w:p>
            <w:pPr>
              <w:spacing w:after="0"/>
              <w:rPr>
                <w:sz w:val="1"/>
                <w:szCs w:val="1"/>
                <w:color w:val="auto"/>
              </w:rPr>
            </w:pPr>
          </w:p>
        </w:tc>
      </w:tr>
      <w:tr>
        <w:trPr>
          <w:trHeight w:val="219"/>
        </w:trPr>
        <w:tc>
          <w:tcPr>
            <w:tcW w:w="77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Noncontrolling interest</w:t>
            </w:r>
          </w:p>
        </w:tc>
        <w:tc>
          <w:tcPr>
            <w:tcW w:w="16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3,501</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2,893</w:t>
            </w:r>
          </w:p>
        </w:tc>
        <w:tc>
          <w:tcPr>
            <w:tcW w:w="0" w:type="dxa"/>
            <w:vAlign w:val="bottom"/>
          </w:tcPr>
          <w:p>
            <w:pPr>
              <w:spacing w:after="0"/>
              <w:rPr>
                <w:sz w:val="1"/>
                <w:szCs w:val="1"/>
                <w:color w:val="auto"/>
              </w:rPr>
            </w:pPr>
          </w:p>
        </w:tc>
      </w:tr>
      <w:tr>
        <w:trPr>
          <w:trHeight w:val="207"/>
        </w:trPr>
        <w:tc>
          <w:tcPr>
            <w:tcW w:w="776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6"/>
                <w:szCs w:val="16"/>
                <w:b w:val="1"/>
                <w:bCs w:val="1"/>
                <w:color w:val="auto"/>
              </w:rPr>
              <w:t>Total Stockholders’ Equity</w:t>
            </w:r>
          </w:p>
        </w:tc>
        <w:tc>
          <w:tcPr>
            <w:tcW w:w="16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5,564</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4,994</w:t>
            </w:r>
          </w:p>
        </w:tc>
        <w:tc>
          <w:tcPr>
            <w:tcW w:w="0" w:type="dxa"/>
            <w:vAlign w:val="bottom"/>
          </w:tcPr>
          <w:p>
            <w:pPr>
              <w:spacing w:after="0"/>
              <w:rPr>
                <w:sz w:val="1"/>
                <w:szCs w:val="1"/>
                <w:color w:val="auto"/>
              </w:rPr>
            </w:pPr>
          </w:p>
        </w:tc>
      </w:tr>
      <w:tr>
        <w:trPr>
          <w:trHeight w:val="237"/>
        </w:trPr>
        <w:tc>
          <w:tcPr>
            <w:tcW w:w="77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Total Liabilities and Stockholders’ Equity</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14,329</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14,701</w:t>
            </w:r>
          </w:p>
        </w:tc>
        <w:tc>
          <w:tcPr>
            <w:tcW w:w="0" w:type="dxa"/>
            <w:vAlign w:val="bottom"/>
          </w:tcPr>
          <w:p>
            <w:pPr>
              <w:spacing w:after="0"/>
              <w:rPr>
                <w:sz w:val="1"/>
                <w:szCs w:val="1"/>
                <w:color w:val="auto"/>
              </w:rPr>
            </w:pPr>
          </w:p>
        </w:tc>
      </w:tr>
      <w:tr>
        <w:trPr>
          <w:trHeight w:val="20"/>
        </w:trPr>
        <w:tc>
          <w:tcPr>
            <w:tcW w:w="7760" w:type="dxa"/>
            <w:vAlign w:val="bottom"/>
            <w:tcBorders>
              <w:top w:val="single" w:sz="8" w:color="CCEEFF"/>
              <w:bottom w:val="single" w:sz="8" w:color="CCEEFF"/>
            </w:tcBorders>
            <w:gridSpan w:val="2"/>
            <w:vMerge w:val="restart"/>
          </w:tcPr>
          <w:p>
            <w:pPr>
              <w:ind w:left="5540"/>
              <w:spacing w:after="0"/>
              <w:rPr>
                <w:sz w:val="20"/>
                <w:szCs w:val="20"/>
                <w:color w:val="auto"/>
              </w:rPr>
            </w:pPr>
            <w:r>
              <w:rPr>
                <w:rFonts w:ascii="Times New Roman" w:cs="Times New Roman" w:eastAsia="Times New Roman" w:hAnsi="Times New Roman"/>
                <w:sz w:val="16"/>
                <w:szCs w:val="16"/>
                <w:color w:val="auto"/>
              </w:rPr>
              <w:t>8</w:t>
            </w: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1"/>
        </w:trPr>
        <w:tc>
          <w:tcPr>
            <w:tcW w:w="7760" w:type="dxa"/>
            <w:vAlign w:val="bottom"/>
            <w:gridSpan w:val="2"/>
            <w:vMerge w:val="continue"/>
          </w:tcPr>
          <w:p>
            <w:pPr>
              <w:spacing w:after="0"/>
              <w:rPr>
                <w:sz w:val="24"/>
                <w:szCs w:val="24"/>
                <w:color w:val="auto"/>
              </w:rPr>
            </w:pPr>
          </w:p>
        </w:tc>
        <w:tc>
          <w:tcPr>
            <w:tcW w:w="1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80"/>
          </w:cols>
          <w:pgMar w:left="360" w:top="529" w:right="359" w:bottom="1440" w:gutter="0" w:footer="0" w:header="0"/>
        </w:sectPr>
      </w:pPr>
    </w:p>
    <w:bookmarkStart w:id="11" w:name="page12"/>
    <w:bookmarkEnd w:id="11"/>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CLEARWAY ENERGY, INC.</w:t>
      </w:r>
    </w:p>
    <w:p>
      <w:pPr>
        <w:spacing w:after="0" w:line="6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5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180" w:type="dxa"/>
            <w:vAlign w:val="bottom"/>
            <w:gridSpan w:val="6"/>
          </w:tcPr>
          <w:p>
            <w:pPr>
              <w:jc w:val="center"/>
              <w:ind w:left="384"/>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700" w:type="dxa"/>
            <w:vAlign w:val="bottom"/>
          </w:tcPr>
          <w:p>
            <w:pPr>
              <w:spacing w:after="0"/>
              <w:rPr>
                <w:sz w:val="16"/>
                <w:szCs w:val="16"/>
                <w:color w:val="auto"/>
              </w:rPr>
            </w:pPr>
          </w:p>
        </w:tc>
      </w:tr>
      <w:tr>
        <w:trPr>
          <w:trHeight w:val="23"/>
        </w:trPr>
        <w:tc>
          <w:tcPr>
            <w:tcW w:w="75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189"/>
        </w:trPr>
        <w:tc>
          <w:tcPr>
            <w:tcW w:w="75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8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26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264"/>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02"/>
        </w:trPr>
        <w:tc>
          <w:tcPr>
            <w:tcW w:w="7560" w:type="dxa"/>
            <w:vAlign w:val="bottom"/>
          </w:tcPr>
          <w:p>
            <w:pPr>
              <w:ind w:left="20"/>
              <w:spacing w:after="0"/>
              <w:rPr>
                <w:sz w:val="20"/>
                <w:szCs w:val="20"/>
                <w:color w:val="auto"/>
              </w:rPr>
            </w:pPr>
            <w:r>
              <w:rPr>
                <w:rFonts w:ascii="Times New Roman" w:cs="Times New Roman" w:eastAsia="Times New Roman" w:hAnsi="Times New Roman"/>
                <w:sz w:val="15"/>
                <w:szCs w:val="15"/>
                <w:b w:val="1"/>
                <w:bCs w:val="1"/>
                <w:color w:val="auto"/>
              </w:rPr>
              <w:t>Cash Flows from Operating Activities</w:t>
            </w: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gridSpan w:val="3"/>
          </w:tcPr>
          <w:p>
            <w:pPr>
              <w:jc w:val="center"/>
              <w:ind w:right="200"/>
              <w:spacing w:after="0"/>
              <w:rPr>
                <w:sz w:val="20"/>
                <w:szCs w:val="20"/>
                <w:color w:val="auto"/>
              </w:rPr>
            </w:pPr>
            <w:r>
              <w:rPr>
                <w:rFonts w:ascii="Times New Roman" w:cs="Times New Roman" w:eastAsia="Times New Roman" w:hAnsi="Times New Roman"/>
                <w:sz w:val="15"/>
                <w:szCs w:val="15"/>
                <w:b w:val="1"/>
                <w:bCs w:val="1"/>
                <w:color w:val="auto"/>
              </w:rPr>
              <w:t>(In millions)</w:t>
            </w:r>
          </w:p>
        </w:tc>
        <w:tc>
          <w:tcPr>
            <w:tcW w:w="240" w:type="dxa"/>
            <w:vAlign w:val="bottom"/>
          </w:tcPr>
          <w:p>
            <w:pPr>
              <w:spacing w:after="0"/>
              <w:rPr>
                <w:sz w:val="17"/>
                <w:szCs w:val="17"/>
                <w:color w:val="auto"/>
              </w:rPr>
            </w:pPr>
          </w:p>
        </w:tc>
        <w:tc>
          <w:tcPr>
            <w:tcW w:w="700" w:type="dxa"/>
            <w:vAlign w:val="bottom"/>
          </w:tcPr>
          <w:p>
            <w:pPr>
              <w:spacing w:after="0"/>
              <w:rPr>
                <w:sz w:val="17"/>
                <w:szCs w:val="17"/>
                <w:color w:val="auto"/>
              </w:rPr>
            </w:pPr>
          </w:p>
        </w:tc>
      </w:tr>
      <w:tr>
        <w:trPr>
          <w:trHeight w:val="203"/>
        </w:trPr>
        <w:tc>
          <w:tcPr>
            <w:tcW w:w="7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Net (loss) income</w:t>
            </w:r>
          </w:p>
        </w:tc>
        <w:tc>
          <w:tcPr>
            <w:tcW w:w="220" w:type="dxa"/>
            <w:vAlign w:val="bottom"/>
            <w:shd w:val="clear" w:color="auto" w:fill="CCEEFF"/>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(63)</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44"/>
              <w:spacing w:after="0"/>
              <w:rPr>
                <w:sz w:val="20"/>
                <w:szCs w:val="20"/>
                <w:color w:val="auto"/>
              </w:rPr>
            </w:pPr>
            <w:r>
              <w:rPr>
                <w:rFonts w:ascii="Times New Roman" w:cs="Times New Roman" w:eastAsia="Times New Roman" w:hAnsi="Times New Roman"/>
                <w:sz w:val="15"/>
                <w:szCs w:val="15"/>
                <w:color w:val="auto"/>
                <w:w w:val="79"/>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64"/>
              <w:spacing w:after="0"/>
              <w:rPr>
                <w:sz w:val="20"/>
                <w:szCs w:val="20"/>
                <w:color w:val="auto"/>
              </w:rPr>
            </w:pPr>
            <w:r>
              <w:rPr>
                <w:rFonts w:ascii="Times New Roman" w:cs="Times New Roman" w:eastAsia="Times New Roman" w:hAnsi="Times New Roman"/>
                <w:sz w:val="15"/>
                <w:szCs w:val="15"/>
                <w:color w:val="auto"/>
              </w:rPr>
              <w:t>$</w:t>
            </w:r>
          </w:p>
        </w:tc>
        <w:tc>
          <w:tcPr>
            <w:tcW w:w="70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1,060</w:t>
            </w:r>
          </w:p>
        </w:tc>
      </w:tr>
      <w:tr>
        <w:trPr>
          <w:trHeight w:val="200"/>
        </w:trPr>
        <w:tc>
          <w:tcPr>
            <w:tcW w:w="756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Adjustments to reconcile net (loss) income to net cash provided by operating activities:</w:t>
            </w: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00" w:type="dxa"/>
            <w:vAlign w:val="bottom"/>
          </w:tcPr>
          <w:p>
            <w:pPr>
              <w:spacing w:after="0"/>
              <w:rPr>
                <w:sz w:val="17"/>
                <w:szCs w:val="17"/>
                <w:color w:val="auto"/>
              </w:rPr>
            </w:pPr>
          </w:p>
        </w:tc>
      </w:tr>
      <w:tr>
        <w:trPr>
          <w:trHeight w:val="205"/>
        </w:trPr>
        <w:tc>
          <w:tcPr>
            <w:tcW w:w="75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5"/>
                <w:szCs w:val="15"/>
                <w:color w:val="auto"/>
              </w:rPr>
              <w:t>Equity in earnings of unconsolidated affiliates</w:t>
            </w: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(35)</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(29)</w:t>
            </w:r>
          </w:p>
        </w:tc>
      </w:tr>
      <w:tr>
        <w:trPr>
          <w:trHeight w:val="200"/>
        </w:trPr>
        <w:tc>
          <w:tcPr>
            <w:tcW w:w="7560" w:type="dxa"/>
            <w:vAlign w:val="bottom"/>
          </w:tcPr>
          <w:p>
            <w:pPr>
              <w:ind w:left="340"/>
              <w:spacing w:after="0"/>
              <w:rPr>
                <w:sz w:val="20"/>
                <w:szCs w:val="20"/>
                <w:color w:val="auto"/>
              </w:rPr>
            </w:pPr>
            <w:r>
              <w:rPr>
                <w:rFonts w:ascii="Times New Roman" w:cs="Times New Roman" w:eastAsia="Times New Roman" w:hAnsi="Times New Roman"/>
                <w:sz w:val="15"/>
                <w:szCs w:val="15"/>
                <w:color w:val="auto"/>
              </w:rPr>
              <w:t>Distributions from unconsolidated affiliates</w:t>
            </w:r>
          </w:p>
        </w:tc>
        <w:tc>
          <w:tcPr>
            <w:tcW w:w="2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34</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30</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0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37</w:t>
            </w:r>
          </w:p>
        </w:tc>
      </w:tr>
      <w:tr>
        <w:trPr>
          <w:trHeight w:val="205"/>
        </w:trPr>
        <w:tc>
          <w:tcPr>
            <w:tcW w:w="75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5"/>
                <w:szCs w:val="15"/>
                <w:color w:val="auto"/>
              </w:rPr>
              <w:t>Depreciation, amortization and accretion</w:t>
            </w: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627</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526</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0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512</w:t>
            </w:r>
          </w:p>
        </w:tc>
      </w:tr>
      <w:tr>
        <w:trPr>
          <w:trHeight w:val="200"/>
        </w:trPr>
        <w:tc>
          <w:tcPr>
            <w:tcW w:w="7560" w:type="dxa"/>
            <w:vAlign w:val="bottom"/>
          </w:tcPr>
          <w:p>
            <w:pPr>
              <w:ind w:left="340"/>
              <w:spacing w:after="0"/>
              <w:rPr>
                <w:sz w:val="20"/>
                <w:szCs w:val="20"/>
                <w:color w:val="auto"/>
              </w:rPr>
            </w:pPr>
            <w:r>
              <w:rPr>
                <w:rFonts w:ascii="Times New Roman" w:cs="Times New Roman" w:eastAsia="Times New Roman" w:hAnsi="Times New Roman"/>
                <w:sz w:val="15"/>
                <w:szCs w:val="15"/>
                <w:color w:val="auto"/>
              </w:rPr>
              <w:t>Amortization of financing costs and debt discounts</w:t>
            </w:r>
          </w:p>
        </w:tc>
        <w:tc>
          <w:tcPr>
            <w:tcW w:w="2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14</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13</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0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14</w:t>
            </w:r>
          </w:p>
        </w:tc>
      </w:tr>
      <w:tr>
        <w:trPr>
          <w:trHeight w:val="205"/>
        </w:trPr>
        <w:tc>
          <w:tcPr>
            <w:tcW w:w="75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5"/>
                <w:szCs w:val="15"/>
                <w:color w:val="auto"/>
              </w:rPr>
              <w:t>Amortization of intangibles</w:t>
            </w: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182</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185</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0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172</w:t>
            </w:r>
          </w:p>
        </w:tc>
      </w:tr>
      <w:tr>
        <w:trPr>
          <w:trHeight w:val="200"/>
        </w:trPr>
        <w:tc>
          <w:tcPr>
            <w:tcW w:w="7560" w:type="dxa"/>
            <w:vAlign w:val="bottom"/>
          </w:tcPr>
          <w:p>
            <w:pPr>
              <w:ind w:left="340"/>
              <w:spacing w:after="0"/>
              <w:rPr>
                <w:sz w:val="20"/>
                <w:szCs w:val="20"/>
                <w:color w:val="auto"/>
              </w:rPr>
            </w:pPr>
            <w:r>
              <w:rPr>
                <w:rFonts w:ascii="Times New Roman" w:cs="Times New Roman" w:eastAsia="Times New Roman" w:hAnsi="Times New Roman"/>
                <w:sz w:val="15"/>
                <w:szCs w:val="15"/>
                <w:color w:val="auto"/>
              </w:rPr>
              <w:t>Loss on debt extinguishment</w:t>
            </w:r>
          </w:p>
        </w:tc>
        <w:tc>
          <w:tcPr>
            <w:tcW w:w="2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6</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0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2</w:t>
            </w:r>
          </w:p>
        </w:tc>
      </w:tr>
      <w:tr>
        <w:trPr>
          <w:trHeight w:val="205"/>
        </w:trPr>
        <w:tc>
          <w:tcPr>
            <w:tcW w:w="75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5"/>
                <w:szCs w:val="15"/>
                <w:color w:val="auto"/>
              </w:rPr>
              <w:t>Reduction in carrying amount of right-of-use assets</w:t>
            </w: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15</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0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14</w:t>
            </w:r>
          </w:p>
        </w:tc>
      </w:tr>
      <w:tr>
        <w:trPr>
          <w:trHeight w:val="200"/>
        </w:trPr>
        <w:tc>
          <w:tcPr>
            <w:tcW w:w="7560" w:type="dxa"/>
            <w:vAlign w:val="bottom"/>
          </w:tcPr>
          <w:p>
            <w:pPr>
              <w:ind w:left="340"/>
              <w:spacing w:after="0"/>
              <w:rPr>
                <w:sz w:val="20"/>
                <w:szCs w:val="20"/>
                <w:color w:val="auto"/>
              </w:rPr>
            </w:pPr>
            <w:r>
              <w:rPr>
                <w:rFonts w:ascii="Times New Roman" w:cs="Times New Roman" w:eastAsia="Times New Roman" w:hAnsi="Times New Roman"/>
                <w:sz w:val="15"/>
                <w:szCs w:val="15"/>
                <w:color w:val="auto"/>
              </w:rPr>
              <w:t>Gain on sale of business</w:t>
            </w:r>
          </w:p>
        </w:tc>
        <w:tc>
          <w:tcPr>
            <w:tcW w:w="220" w:type="dxa"/>
            <w:vAlign w:val="bottom"/>
          </w:tcPr>
          <w:p>
            <w:pPr>
              <w:spacing w:after="0"/>
              <w:rPr>
                <w:sz w:val="17"/>
                <w:szCs w:val="17"/>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17"/>
                <w:szCs w:val="17"/>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(1,292)</w:t>
            </w:r>
          </w:p>
        </w:tc>
      </w:tr>
      <w:tr>
        <w:trPr>
          <w:trHeight w:val="205"/>
        </w:trPr>
        <w:tc>
          <w:tcPr>
            <w:tcW w:w="75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5"/>
                <w:szCs w:val="15"/>
                <w:color w:val="auto"/>
              </w:rPr>
              <w:t>Impairment losses</w:t>
            </w:r>
          </w:p>
        </w:tc>
        <w:tc>
          <w:tcPr>
            <w:tcW w:w="2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12</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0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16</w:t>
            </w:r>
          </w:p>
        </w:tc>
      </w:tr>
      <w:tr>
        <w:trPr>
          <w:trHeight w:val="200"/>
        </w:trPr>
        <w:tc>
          <w:tcPr>
            <w:tcW w:w="7560" w:type="dxa"/>
            <w:vAlign w:val="bottom"/>
          </w:tcPr>
          <w:p>
            <w:pPr>
              <w:ind w:left="340"/>
              <w:spacing w:after="0"/>
              <w:rPr>
                <w:sz w:val="20"/>
                <w:szCs w:val="20"/>
                <w:color w:val="auto"/>
              </w:rPr>
            </w:pPr>
            <w:r>
              <w:rPr>
                <w:rFonts w:ascii="Times New Roman" w:cs="Times New Roman" w:eastAsia="Times New Roman" w:hAnsi="Times New Roman"/>
                <w:sz w:val="15"/>
                <w:szCs w:val="15"/>
                <w:color w:val="auto"/>
              </w:rPr>
              <w:t>Change in deferred income taxes</w:t>
            </w:r>
          </w:p>
        </w:tc>
        <w:tc>
          <w:tcPr>
            <w:tcW w:w="2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25</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13</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0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194</w:t>
            </w:r>
          </w:p>
        </w:tc>
      </w:tr>
      <w:tr>
        <w:trPr>
          <w:trHeight w:val="205"/>
        </w:trPr>
        <w:tc>
          <w:tcPr>
            <w:tcW w:w="75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5"/>
                <w:szCs w:val="15"/>
                <w:color w:val="auto"/>
              </w:rPr>
              <w:t>Changes in derivative instruments and amortization of accumulated OCI/OCL</w:t>
            </w: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0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69</w:t>
            </w:r>
          </w:p>
        </w:tc>
      </w:tr>
      <w:tr>
        <w:trPr>
          <w:trHeight w:val="200"/>
        </w:trPr>
        <w:tc>
          <w:tcPr>
            <w:tcW w:w="756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5"/>
                <w:szCs w:val="15"/>
                <w:color w:val="auto"/>
              </w:rPr>
              <w:t>Changes in other working capital</w:t>
            </w:r>
          </w:p>
        </w:tc>
        <w:tc>
          <w:tcPr>
            <w:tcW w:w="2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(47)</w:t>
            </w:r>
          </w:p>
        </w:tc>
        <w:tc>
          <w:tcPr>
            <w:tcW w:w="1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(70)</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5"/>
                <w:szCs w:val="15"/>
                <w:color w:val="auto"/>
              </w:rPr>
              <w:t>18</w:t>
            </w:r>
          </w:p>
        </w:tc>
      </w:tr>
      <w:tr>
        <w:trPr>
          <w:trHeight w:val="198"/>
        </w:trPr>
        <w:tc>
          <w:tcPr>
            <w:tcW w:w="7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Net Cash Provided by Operating Activities</w:t>
            </w:r>
          </w:p>
        </w:tc>
        <w:tc>
          <w:tcPr>
            <w:tcW w:w="22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770</w:t>
            </w:r>
          </w:p>
        </w:tc>
        <w:tc>
          <w:tcPr>
            <w:tcW w:w="12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702</w:t>
            </w:r>
          </w:p>
        </w:tc>
        <w:tc>
          <w:tcPr>
            <w:tcW w:w="10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787</w:t>
            </w:r>
          </w:p>
        </w:tc>
      </w:tr>
      <w:tr>
        <w:trPr>
          <w:trHeight w:val="182"/>
        </w:trPr>
        <w:tc>
          <w:tcPr>
            <w:tcW w:w="7560" w:type="dxa"/>
            <w:vAlign w:val="bottom"/>
          </w:tcPr>
          <w:p>
            <w:pPr>
              <w:ind w:left="20"/>
              <w:spacing w:after="0"/>
              <w:rPr>
                <w:sz w:val="20"/>
                <w:szCs w:val="20"/>
                <w:color w:val="auto"/>
              </w:rPr>
            </w:pPr>
            <w:r>
              <w:rPr>
                <w:rFonts w:ascii="Times New Roman" w:cs="Times New Roman" w:eastAsia="Times New Roman" w:hAnsi="Times New Roman"/>
                <w:sz w:val="15"/>
                <w:szCs w:val="15"/>
                <w:b w:val="1"/>
                <w:bCs w:val="1"/>
                <w:color w:val="auto"/>
              </w:rPr>
              <w:t>Cash Flows from Investing Activities</w:t>
            </w: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203"/>
        </w:trPr>
        <w:tc>
          <w:tcPr>
            <w:tcW w:w="75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5"/>
                <w:szCs w:val="15"/>
                <w:color w:val="auto"/>
              </w:rPr>
              <w:t>Acquisition of Drop Down Assets, net of cash acquired</w:t>
            </w: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(678)</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(45)</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(71)</w:t>
            </w:r>
          </w:p>
        </w:tc>
      </w:tr>
      <w:tr>
        <w:trPr>
          <w:trHeight w:val="200"/>
        </w:trPr>
        <w:tc>
          <w:tcPr>
            <w:tcW w:w="7560" w:type="dxa"/>
            <w:vAlign w:val="bottom"/>
          </w:tcPr>
          <w:p>
            <w:pPr>
              <w:ind w:left="340"/>
              <w:spacing w:after="0"/>
              <w:rPr>
                <w:sz w:val="20"/>
                <w:szCs w:val="20"/>
                <w:color w:val="auto"/>
              </w:rPr>
            </w:pPr>
            <w:r>
              <w:rPr>
                <w:rFonts w:ascii="Times New Roman" w:cs="Times New Roman" w:eastAsia="Times New Roman" w:hAnsi="Times New Roman"/>
                <w:sz w:val="15"/>
                <w:szCs w:val="15"/>
                <w:color w:val="auto"/>
              </w:rPr>
              <w:t>Acquisition of Capistrano Wind Portfolio, net of cash acquired</w:t>
            </w:r>
          </w:p>
        </w:tc>
        <w:tc>
          <w:tcPr>
            <w:tcW w:w="220" w:type="dxa"/>
            <w:vAlign w:val="bottom"/>
          </w:tcPr>
          <w:p>
            <w:pPr>
              <w:spacing w:after="0"/>
              <w:rPr>
                <w:sz w:val="17"/>
                <w:szCs w:val="17"/>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17"/>
                <w:szCs w:val="17"/>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(223)</w:t>
            </w:r>
          </w:p>
        </w:tc>
      </w:tr>
      <w:tr>
        <w:trPr>
          <w:trHeight w:val="205"/>
        </w:trPr>
        <w:tc>
          <w:tcPr>
            <w:tcW w:w="75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5"/>
                <w:szCs w:val="15"/>
                <w:color w:val="auto"/>
              </w:rPr>
              <w:t>Capital expenditures</w:t>
            </w: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(287)</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(212)</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(112)</w:t>
            </w:r>
          </w:p>
        </w:tc>
      </w:tr>
      <w:tr>
        <w:trPr>
          <w:trHeight w:val="200"/>
        </w:trPr>
        <w:tc>
          <w:tcPr>
            <w:tcW w:w="7560" w:type="dxa"/>
            <w:vAlign w:val="bottom"/>
          </w:tcPr>
          <w:p>
            <w:pPr>
              <w:ind w:left="340"/>
              <w:spacing w:after="0"/>
              <w:rPr>
                <w:sz w:val="20"/>
                <w:szCs w:val="20"/>
                <w:color w:val="auto"/>
              </w:rPr>
            </w:pPr>
            <w:r>
              <w:rPr>
                <w:rFonts w:ascii="Times New Roman" w:cs="Times New Roman" w:eastAsia="Times New Roman" w:hAnsi="Times New Roman"/>
                <w:sz w:val="15"/>
                <w:szCs w:val="15"/>
                <w:color w:val="auto"/>
              </w:rPr>
              <w:t>Payment for equipment deposit</w:t>
            </w:r>
          </w:p>
        </w:tc>
        <w:tc>
          <w:tcPr>
            <w:tcW w:w="220" w:type="dxa"/>
            <w:vAlign w:val="bottom"/>
          </w:tcPr>
          <w:p>
            <w:pPr>
              <w:spacing w:after="0"/>
              <w:rPr>
                <w:sz w:val="17"/>
                <w:szCs w:val="17"/>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(27)</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0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r>
      <w:tr>
        <w:trPr>
          <w:trHeight w:val="205"/>
        </w:trPr>
        <w:tc>
          <w:tcPr>
            <w:tcW w:w="75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5"/>
                <w:szCs w:val="15"/>
                <w:color w:val="auto"/>
              </w:rPr>
              <w:t>Payment for equipment deposit and asset purchase from affiliate</w:t>
            </w:r>
          </w:p>
        </w:tc>
        <w:tc>
          <w:tcPr>
            <w:tcW w:w="2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(55)</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0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r>
      <w:tr>
        <w:trPr>
          <w:trHeight w:val="200"/>
        </w:trPr>
        <w:tc>
          <w:tcPr>
            <w:tcW w:w="7560" w:type="dxa"/>
            <w:vAlign w:val="bottom"/>
          </w:tcPr>
          <w:p>
            <w:pPr>
              <w:ind w:left="340"/>
              <w:spacing w:after="0"/>
              <w:rPr>
                <w:sz w:val="20"/>
                <w:szCs w:val="20"/>
                <w:color w:val="auto"/>
              </w:rPr>
            </w:pPr>
            <w:r>
              <w:rPr>
                <w:rFonts w:ascii="Times New Roman" w:cs="Times New Roman" w:eastAsia="Times New Roman" w:hAnsi="Times New Roman"/>
                <w:sz w:val="15"/>
                <w:szCs w:val="15"/>
                <w:color w:val="auto"/>
              </w:rPr>
              <w:t>Return of investments from unconsolidated affiliates</w:t>
            </w:r>
          </w:p>
        </w:tc>
        <w:tc>
          <w:tcPr>
            <w:tcW w:w="2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41</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14</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0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13</w:t>
            </w:r>
          </w:p>
        </w:tc>
      </w:tr>
      <w:tr>
        <w:trPr>
          <w:trHeight w:val="205"/>
        </w:trPr>
        <w:tc>
          <w:tcPr>
            <w:tcW w:w="75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5"/>
                <w:szCs w:val="15"/>
                <w:color w:val="auto"/>
              </w:rPr>
              <w:t>Decrease (increase) in note receivable — affiliate</w:t>
            </w: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184</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(174)</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0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r>
      <w:tr>
        <w:trPr>
          <w:trHeight w:val="200"/>
        </w:trPr>
        <w:tc>
          <w:tcPr>
            <w:tcW w:w="7560" w:type="dxa"/>
            <w:vAlign w:val="bottom"/>
          </w:tcPr>
          <w:p>
            <w:pPr>
              <w:ind w:left="340"/>
              <w:spacing w:after="0"/>
              <w:rPr>
                <w:sz w:val="20"/>
                <w:szCs w:val="20"/>
                <w:color w:val="auto"/>
              </w:rPr>
            </w:pPr>
            <w:r>
              <w:rPr>
                <w:rFonts w:ascii="Times New Roman" w:cs="Times New Roman" w:eastAsia="Times New Roman" w:hAnsi="Times New Roman"/>
                <w:sz w:val="15"/>
                <w:szCs w:val="15"/>
                <w:color w:val="auto"/>
              </w:rPr>
              <w:t>Investments in unconsolidated affiliates</w:t>
            </w:r>
          </w:p>
        </w:tc>
        <w:tc>
          <w:tcPr>
            <w:tcW w:w="220" w:type="dxa"/>
            <w:vAlign w:val="bottom"/>
          </w:tcPr>
          <w:p>
            <w:pPr>
              <w:spacing w:after="0"/>
              <w:rPr>
                <w:sz w:val="17"/>
                <w:szCs w:val="17"/>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(28)</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0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r>
      <w:tr>
        <w:trPr>
          <w:trHeight w:val="205"/>
        </w:trPr>
        <w:tc>
          <w:tcPr>
            <w:tcW w:w="75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5"/>
                <w:szCs w:val="15"/>
                <w:color w:val="auto"/>
              </w:rPr>
              <w:t>Proceeds from sale of business</w:t>
            </w:r>
          </w:p>
        </w:tc>
        <w:tc>
          <w:tcPr>
            <w:tcW w:w="2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shd w:val="clear" w:color="auto" w:fill="CCEEFF"/>
          </w:tcPr>
          <w:p>
            <w:pPr>
              <w:spacing w:after="0"/>
              <w:rPr>
                <w:sz w:val="17"/>
                <w:szCs w:val="17"/>
                <w:color w:val="auto"/>
              </w:rPr>
            </w:pPr>
          </w:p>
        </w:tc>
        <w:tc>
          <w:tcPr>
            <w:tcW w:w="70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1,457</w:t>
            </w:r>
          </w:p>
        </w:tc>
      </w:tr>
      <w:tr>
        <w:trPr>
          <w:trHeight w:val="200"/>
        </w:trPr>
        <w:tc>
          <w:tcPr>
            <w:tcW w:w="756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5"/>
                <w:szCs w:val="15"/>
                <w:color w:val="auto"/>
              </w:rPr>
              <w:t>Other</w:t>
            </w:r>
          </w:p>
        </w:tc>
        <w:tc>
          <w:tcPr>
            <w:tcW w:w="2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15</w:t>
            </w:r>
          </w:p>
        </w:tc>
        <w:tc>
          <w:tcPr>
            <w:tcW w:w="1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5"/>
                <w:szCs w:val="15"/>
                <w:color w:val="auto"/>
              </w:rPr>
              <w:t>4</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5"/>
                <w:szCs w:val="15"/>
                <w:color w:val="auto"/>
              </w:rPr>
              <w:t>1</w:t>
            </w:r>
          </w:p>
        </w:tc>
      </w:tr>
      <w:tr>
        <w:trPr>
          <w:trHeight w:val="198"/>
        </w:trPr>
        <w:tc>
          <w:tcPr>
            <w:tcW w:w="7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Net Cash (Used in) Provided by Investing Activities</w:t>
            </w:r>
          </w:p>
        </w:tc>
        <w:tc>
          <w:tcPr>
            <w:tcW w:w="22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(725)</w:t>
            </w:r>
          </w:p>
        </w:tc>
        <w:tc>
          <w:tcPr>
            <w:tcW w:w="12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(523)</w:t>
            </w:r>
          </w:p>
        </w:tc>
        <w:tc>
          <w:tcPr>
            <w:tcW w:w="10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1,065</w:t>
            </w:r>
          </w:p>
        </w:tc>
      </w:tr>
      <w:tr>
        <w:trPr>
          <w:trHeight w:val="182"/>
        </w:trPr>
        <w:tc>
          <w:tcPr>
            <w:tcW w:w="7560" w:type="dxa"/>
            <w:vAlign w:val="bottom"/>
          </w:tcPr>
          <w:p>
            <w:pPr>
              <w:ind w:left="20"/>
              <w:spacing w:after="0"/>
              <w:rPr>
                <w:sz w:val="20"/>
                <w:szCs w:val="20"/>
                <w:color w:val="auto"/>
              </w:rPr>
            </w:pPr>
            <w:r>
              <w:rPr>
                <w:rFonts w:ascii="Times New Roman" w:cs="Times New Roman" w:eastAsia="Times New Roman" w:hAnsi="Times New Roman"/>
                <w:sz w:val="15"/>
                <w:szCs w:val="15"/>
                <w:b w:val="1"/>
                <w:bCs w:val="1"/>
                <w:color w:val="auto"/>
              </w:rPr>
              <w:t>Cash Flows from Financing Activities</w:t>
            </w: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203"/>
        </w:trPr>
        <w:tc>
          <w:tcPr>
            <w:tcW w:w="75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5"/>
                <w:szCs w:val="15"/>
                <w:color w:val="auto"/>
              </w:rPr>
              <w:t>Contributions from noncontrolling interests, net of distributions</w:t>
            </w: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1,493</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1,028</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0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60</w:t>
            </w:r>
          </w:p>
        </w:tc>
      </w:tr>
      <w:tr>
        <w:trPr>
          <w:trHeight w:val="200"/>
        </w:trPr>
        <w:tc>
          <w:tcPr>
            <w:tcW w:w="7560" w:type="dxa"/>
            <w:vAlign w:val="bottom"/>
          </w:tcPr>
          <w:p>
            <w:pPr>
              <w:ind w:left="340"/>
              <w:spacing w:after="0"/>
              <w:rPr>
                <w:sz w:val="20"/>
                <w:szCs w:val="20"/>
                <w:color w:val="auto"/>
              </w:rPr>
            </w:pPr>
            <w:r>
              <w:rPr>
                <w:rFonts w:ascii="Times New Roman" w:cs="Times New Roman" w:eastAsia="Times New Roman" w:hAnsi="Times New Roman"/>
                <w:sz w:val="15"/>
                <w:szCs w:val="15"/>
                <w:color w:val="auto"/>
              </w:rPr>
              <w:t>Payments of dividends and distributions</w:t>
            </w:r>
          </w:p>
        </w:tc>
        <w:tc>
          <w:tcPr>
            <w:tcW w:w="2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(334)</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(311)</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(289)</w:t>
            </w:r>
          </w:p>
        </w:tc>
      </w:tr>
      <w:tr>
        <w:trPr>
          <w:trHeight w:val="205"/>
        </w:trPr>
        <w:tc>
          <w:tcPr>
            <w:tcW w:w="75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5"/>
                <w:szCs w:val="15"/>
                <w:color w:val="auto"/>
              </w:rPr>
              <w:t>Distributions to CEG of escrowed amounts</w:t>
            </w:r>
          </w:p>
        </w:tc>
        <w:tc>
          <w:tcPr>
            <w:tcW w:w="2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(64)</w:t>
            </w:r>
          </w:p>
        </w:tc>
      </w:tr>
      <w:tr>
        <w:trPr>
          <w:trHeight w:val="200"/>
        </w:trPr>
        <w:tc>
          <w:tcPr>
            <w:tcW w:w="7560" w:type="dxa"/>
            <w:vAlign w:val="bottom"/>
          </w:tcPr>
          <w:p>
            <w:pPr>
              <w:ind w:left="340"/>
              <w:spacing w:after="0"/>
              <w:rPr>
                <w:sz w:val="20"/>
                <w:szCs w:val="20"/>
                <w:color w:val="auto"/>
              </w:rPr>
            </w:pPr>
            <w:r>
              <w:rPr>
                <w:rFonts w:ascii="Times New Roman" w:cs="Times New Roman" w:eastAsia="Times New Roman" w:hAnsi="Times New Roman"/>
                <w:sz w:val="15"/>
                <w:szCs w:val="15"/>
                <w:color w:val="auto"/>
              </w:rPr>
              <w:t>Tax-related distributions</w:t>
            </w:r>
          </w:p>
        </w:tc>
        <w:tc>
          <w:tcPr>
            <w:tcW w:w="2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(21)</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w:t>
            </w:r>
          </w:p>
        </w:tc>
      </w:tr>
      <w:tr>
        <w:trPr>
          <w:trHeight w:val="205"/>
        </w:trPr>
        <w:tc>
          <w:tcPr>
            <w:tcW w:w="75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5"/>
                <w:szCs w:val="15"/>
                <w:color w:val="auto"/>
              </w:rPr>
              <w:t>Buyouts of noncontrolling interest and redeemable noncontrolling interest</w:t>
            </w: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0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r>
      <w:tr>
        <w:trPr>
          <w:trHeight w:val="200"/>
        </w:trPr>
        <w:tc>
          <w:tcPr>
            <w:tcW w:w="7560" w:type="dxa"/>
            <w:vAlign w:val="bottom"/>
          </w:tcPr>
          <w:p>
            <w:pPr>
              <w:ind w:left="340"/>
              <w:spacing w:after="0"/>
              <w:rPr>
                <w:sz w:val="20"/>
                <w:szCs w:val="20"/>
                <w:color w:val="auto"/>
              </w:rPr>
            </w:pPr>
            <w:r>
              <w:rPr>
                <w:rFonts w:ascii="Times New Roman" w:cs="Times New Roman" w:eastAsia="Times New Roman" w:hAnsi="Times New Roman"/>
                <w:sz w:val="15"/>
                <w:szCs w:val="15"/>
                <w:color w:val="auto"/>
              </w:rPr>
              <w:t>Proceeds from the revolving credit facility</w:t>
            </w:r>
          </w:p>
        </w:tc>
        <w:tc>
          <w:tcPr>
            <w:tcW w:w="220" w:type="dxa"/>
            <w:vAlign w:val="bottom"/>
          </w:tcPr>
          <w:p>
            <w:pPr>
              <w:spacing w:after="0"/>
              <w:rPr>
                <w:sz w:val="17"/>
                <w:szCs w:val="17"/>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17"/>
                <w:szCs w:val="17"/>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tcPr>
          <w:p>
            <w:pPr>
              <w:spacing w:after="0"/>
              <w:rPr>
                <w:sz w:val="17"/>
                <w:szCs w:val="17"/>
                <w:color w:val="auto"/>
              </w:rPr>
            </w:pPr>
          </w:p>
        </w:tc>
        <w:tc>
          <w:tcPr>
            <w:tcW w:w="70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80</w:t>
            </w:r>
          </w:p>
        </w:tc>
      </w:tr>
      <w:tr>
        <w:trPr>
          <w:trHeight w:val="205"/>
        </w:trPr>
        <w:tc>
          <w:tcPr>
            <w:tcW w:w="75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5"/>
                <w:szCs w:val="15"/>
                <w:color w:val="auto"/>
              </w:rPr>
              <w:t>Payments for the revolving credit facility</w:t>
            </w:r>
          </w:p>
        </w:tc>
        <w:tc>
          <w:tcPr>
            <w:tcW w:w="2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(325)</w:t>
            </w:r>
          </w:p>
        </w:tc>
      </w:tr>
      <w:tr>
        <w:trPr>
          <w:trHeight w:val="200"/>
        </w:trPr>
        <w:tc>
          <w:tcPr>
            <w:tcW w:w="7560" w:type="dxa"/>
            <w:vAlign w:val="bottom"/>
          </w:tcPr>
          <w:p>
            <w:pPr>
              <w:ind w:left="340"/>
              <w:spacing w:after="0"/>
              <w:rPr>
                <w:sz w:val="20"/>
                <w:szCs w:val="20"/>
                <w:color w:val="auto"/>
              </w:rPr>
            </w:pPr>
            <w:r>
              <w:rPr>
                <w:rFonts w:ascii="Times New Roman" w:cs="Times New Roman" w:eastAsia="Times New Roman" w:hAnsi="Times New Roman"/>
                <w:sz w:val="15"/>
                <w:szCs w:val="15"/>
                <w:color w:val="auto"/>
              </w:rPr>
              <w:t>Proceeds from issuance of long-term debt</w:t>
            </w:r>
          </w:p>
        </w:tc>
        <w:tc>
          <w:tcPr>
            <w:tcW w:w="2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466</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563</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0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244</w:t>
            </w:r>
          </w:p>
        </w:tc>
      </w:tr>
      <w:tr>
        <w:trPr>
          <w:trHeight w:val="205"/>
        </w:trPr>
        <w:tc>
          <w:tcPr>
            <w:tcW w:w="75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5"/>
                <w:szCs w:val="15"/>
                <w:color w:val="auto"/>
              </w:rPr>
              <w:t>Payments of debt issuance costs</w:t>
            </w: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(18)</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w:t>
            </w:r>
          </w:p>
        </w:tc>
      </w:tr>
      <w:tr>
        <w:trPr>
          <w:trHeight w:val="200"/>
        </w:trPr>
        <w:tc>
          <w:tcPr>
            <w:tcW w:w="7560" w:type="dxa"/>
            <w:vAlign w:val="bottom"/>
          </w:tcPr>
          <w:p>
            <w:pPr>
              <w:ind w:left="340"/>
              <w:spacing w:after="0"/>
              <w:rPr>
                <w:sz w:val="20"/>
                <w:szCs w:val="20"/>
                <w:color w:val="auto"/>
              </w:rPr>
            </w:pPr>
            <w:r>
              <w:rPr>
                <w:rFonts w:ascii="Times New Roman" w:cs="Times New Roman" w:eastAsia="Times New Roman" w:hAnsi="Times New Roman"/>
                <w:sz w:val="15"/>
                <w:szCs w:val="15"/>
                <w:color w:val="auto"/>
              </w:rPr>
              <w:t>Payments for long-term debt</w:t>
            </w:r>
          </w:p>
        </w:tc>
        <w:tc>
          <w:tcPr>
            <w:tcW w:w="2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(1,966)</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(1,349)</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(1,198)</w:t>
            </w:r>
          </w:p>
        </w:tc>
      </w:tr>
      <w:tr>
        <w:trPr>
          <w:trHeight w:val="205"/>
        </w:trPr>
        <w:tc>
          <w:tcPr>
            <w:tcW w:w="75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5"/>
                <w:szCs w:val="15"/>
                <w:color w:val="auto"/>
              </w:rPr>
              <w:t>Other</w:t>
            </w:r>
          </w:p>
        </w:tc>
        <w:tc>
          <w:tcPr>
            <w:tcW w:w="22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w:t>
            </w:r>
          </w:p>
        </w:tc>
        <w:tc>
          <w:tcPr>
            <w:tcW w:w="12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w:t>
            </w:r>
          </w:p>
        </w:tc>
        <w:tc>
          <w:tcPr>
            <w:tcW w:w="10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w:t>
            </w:r>
          </w:p>
        </w:tc>
      </w:tr>
      <w:tr>
        <w:trPr>
          <w:trHeight w:val="194"/>
        </w:trPr>
        <w:tc>
          <w:tcPr>
            <w:tcW w:w="75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5"/>
                <w:szCs w:val="15"/>
                <w:b w:val="1"/>
                <w:bCs w:val="1"/>
                <w:color w:val="auto"/>
              </w:rPr>
              <w:t>Net Cash Used in Financing Activities</w:t>
            </w:r>
          </w:p>
        </w:tc>
        <w:tc>
          <w:tcPr>
            <w:tcW w:w="2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(363)</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(124)</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(1,510)</w:t>
            </w:r>
          </w:p>
        </w:tc>
      </w:tr>
      <w:tr>
        <w:trPr>
          <w:trHeight w:val="198"/>
        </w:trPr>
        <w:tc>
          <w:tcPr>
            <w:tcW w:w="7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Net (Decrease) Increase in Cash, Cash Equivalents and Restricted Cash</w:t>
            </w: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(318)</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55</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0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342</w:t>
            </w:r>
          </w:p>
        </w:tc>
      </w:tr>
      <w:tr>
        <w:trPr>
          <w:trHeight w:val="202"/>
        </w:trPr>
        <w:tc>
          <w:tcPr>
            <w:tcW w:w="75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5"/>
                <w:szCs w:val="15"/>
                <w:b w:val="1"/>
                <w:bCs w:val="1"/>
                <w:color w:val="auto"/>
              </w:rPr>
              <w:t>Cash, Cash Equivalents and Restricted Cash at Beginning of Period</w:t>
            </w:r>
          </w:p>
        </w:tc>
        <w:tc>
          <w:tcPr>
            <w:tcW w:w="2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1,051</w:t>
            </w:r>
          </w:p>
        </w:tc>
        <w:tc>
          <w:tcPr>
            <w:tcW w:w="1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5"/>
                <w:szCs w:val="15"/>
                <w:color w:val="auto"/>
              </w:rPr>
              <w:t>996</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5"/>
                <w:szCs w:val="15"/>
                <w:color w:val="auto"/>
              </w:rPr>
              <w:t>654</w:t>
            </w:r>
          </w:p>
        </w:tc>
      </w:tr>
      <w:tr>
        <w:trPr>
          <w:trHeight w:val="221"/>
        </w:trPr>
        <w:tc>
          <w:tcPr>
            <w:tcW w:w="7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Cash, Cash Equivalents and Restricted Cash at End of Period</w:t>
            </w:r>
          </w:p>
        </w:tc>
        <w:tc>
          <w:tcPr>
            <w:tcW w:w="220" w:type="dxa"/>
            <w:vAlign w:val="bottom"/>
            <w:tcBorders>
              <w:bottom w:val="single" w:sz="8" w:color="auto"/>
            </w:tcBorders>
            <w:shd w:val="clear" w:color="auto" w:fill="CCEEFF"/>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733</w:t>
            </w:r>
          </w:p>
        </w:tc>
        <w:tc>
          <w:tcPr>
            <w:tcW w:w="1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44"/>
              <w:spacing w:after="0"/>
              <w:rPr>
                <w:sz w:val="20"/>
                <w:szCs w:val="20"/>
                <w:color w:val="auto"/>
              </w:rPr>
            </w:pPr>
            <w:r>
              <w:rPr>
                <w:rFonts w:ascii="Times New Roman" w:cs="Times New Roman" w:eastAsia="Times New Roman" w:hAnsi="Times New Roman"/>
                <w:sz w:val="15"/>
                <w:szCs w:val="15"/>
                <w:color w:val="auto"/>
                <w:w w:val="79"/>
              </w:rPr>
              <w:t>$</w:t>
            </w:r>
          </w:p>
        </w:tc>
        <w:tc>
          <w:tcPr>
            <w:tcW w:w="740" w:type="dxa"/>
            <w:vAlign w:val="bottom"/>
            <w:tcBorders>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1,051</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64"/>
              <w:spacing w:after="0"/>
              <w:rPr>
                <w:sz w:val="20"/>
                <w:szCs w:val="20"/>
                <w:color w:val="auto"/>
              </w:rPr>
            </w:pPr>
            <w:r>
              <w:rPr>
                <w:rFonts w:ascii="Times New Roman" w:cs="Times New Roman" w:eastAsia="Times New Roman" w:hAnsi="Times New Roman"/>
                <w:sz w:val="15"/>
                <w:szCs w:val="15"/>
                <w:color w:val="auto"/>
              </w:rPr>
              <w:t>$</w:t>
            </w:r>
          </w:p>
        </w:tc>
        <w:tc>
          <w:tcPr>
            <w:tcW w:w="700" w:type="dxa"/>
            <w:vAlign w:val="bottom"/>
            <w:tcBorders>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996</w:t>
            </w:r>
          </w:p>
        </w:tc>
      </w:tr>
      <w:tr>
        <w:trPr>
          <w:trHeight w:val="20"/>
        </w:trPr>
        <w:tc>
          <w:tcPr>
            <w:tcW w:w="75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r>
      <w:tr>
        <w:trPr>
          <w:trHeight w:val="150"/>
        </w:trPr>
        <w:tc>
          <w:tcPr>
            <w:tcW w:w="7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00" w:type="dxa"/>
            <w:vAlign w:val="bottom"/>
          </w:tcPr>
          <w:p>
            <w:pPr>
              <w:spacing w:after="0"/>
              <w:rPr>
                <w:sz w:val="13"/>
                <w:szCs w:val="13"/>
                <w:color w:val="auto"/>
              </w:rPr>
            </w:pPr>
          </w:p>
        </w:tc>
      </w:tr>
      <w:tr>
        <w:trPr>
          <w:trHeight w:val="203"/>
        </w:trPr>
        <w:tc>
          <w:tcPr>
            <w:tcW w:w="7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Supplemental Disclosures:</w:t>
            </w: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r>
      <w:tr>
        <w:trPr>
          <w:trHeight w:val="200"/>
        </w:trPr>
        <w:tc>
          <w:tcPr>
            <w:tcW w:w="756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Interest paid, net of amount capitalized</w:t>
            </w:r>
          </w:p>
        </w:tc>
        <w:tc>
          <w:tcPr>
            <w:tcW w:w="22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(324)</w:t>
            </w:r>
          </w:p>
        </w:tc>
        <w:tc>
          <w:tcPr>
            <w:tcW w:w="120" w:type="dxa"/>
            <w:vAlign w:val="bottom"/>
          </w:tcPr>
          <w:p>
            <w:pPr>
              <w:spacing w:after="0"/>
              <w:rPr>
                <w:sz w:val="17"/>
                <w:szCs w:val="17"/>
                <w:color w:val="auto"/>
              </w:rPr>
            </w:pPr>
          </w:p>
        </w:tc>
        <w:tc>
          <w:tcPr>
            <w:tcW w:w="20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w w:val="79"/>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(304)</w:t>
            </w:r>
          </w:p>
        </w:tc>
        <w:tc>
          <w:tcPr>
            <w:tcW w:w="100" w:type="dxa"/>
            <w:vAlign w:val="bottom"/>
          </w:tcPr>
          <w:p>
            <w:pPr>
              <w:spacing w:after="0"/>
              <w:rPr>
                <w:sz w:val="17"/>
                <w:szCs w:val="17"/>
                <w:color w:val="auto"/>
              </w:rPr>
            </w:pPr>
          </w:p>
        </w:tc>
        <w:tc>
          <w:tcPr>
            <w:tcW w:w="240" w:type="dxa"/>
            <w:vAlign w:val="bottom"/>
          </w:tcPr>
          <w:p>
            <w:pPr>
              <w:jc w:val="right"/>
              <w:ind w:right="64"/>
              <w:spacing w:after="0"/>
              <w:rPr>
                <w:sz w:val="20"/>
                <w:szCs w:val="20"/>
                <w:color w:val="auto"/>
              </w:rPr>
            </w:pPr>
            <w:r>
              <w:rPr>
                <w:rFonts w:ascii="Times New Roman" w:cs="Times New Roman" w:eastAsia="Times New Roman" w:hAnsi="Times New Roman"/>
                <w:sz w:val="15"/>
                <w:szCs w:val="15"/>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(317)</w:t>
            </w:r>
          </w:p>
        </w:tc>
      </w:tr>
      <w:tr>
        <w:trPr>
          <w:trHeight w:val="205"/>
        </w:trPr>
        <w:tc>
          <w:tcPr>
            <w:tcW w:w="75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Income taxes paid, net of refunds received</w:t>
            </w: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(31)</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w:t>
            </w:r>
          </w:p>
        </w:tc>
      </w:tr>
      <w:tr>
        <w:trPr>
          <w:trHeight w:val="202"/>
        </w:trPr>
        <w:tc>
          <w:tcPr>
            <w:tcW w:w="7560" w:type="dxa"/>
            <w:vAlign w:val="bottom"/>
          </w:tcPr>
          <w:p>
            <w:pPr>
              <w:ind w:left="20"/>
              <w:spacing w:after="0"/>
              <w:rPr>
                <w:sz w:val="20"/>
                <w:szCs w:val="20"/>
                <w:color w:val="auto"/>
              </w:rPr>
            </w:pPr>
            <w:r>
              <w:rPr>
                <w:rFonts w:ascii="Times New Roman" w:cs="Times New Roman" w:eastAsia="Times New Roman" w:hAnsi="Times New Roman"/>
                <w:sz w:val="15"/>
                <w:szCs w:val="15"/>
                <w:b w:val="1"/>
                <w:bCs w:val="1"/>
                <w:color w:val="auto"/>
              </w:rPr>
              <w:t>Non-cash financing activity:</w:t>
            </w: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00" w:type="dxa"/>
            <w:vAlign w:val="bottom"/>
          </w:tcPr>
          <w:p>
            <w:pPr>
              <w:spacing w:after="0"/>
              <w:rPr>
                <w:sz w:val="17"/>
                <w:szCs w:val="17"/>
                <w:color w:val="auto"/>
              </w:rPr>
            </w:pPr>
          </w:p>
        </w:tc>
      </w:tr>
      <w:tr>
        <w:trPr>
          <w:trHeight w:val="203"/>
        </w:trPr>
        <w:tc>
          <w:tcPr>
            <w:tcW w:w="75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Non-cash adjustment for change in tax basis</w:t>
            </w: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61</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4</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w:t>
            </w:r>
          </w:p>
        </w:tc>
      </w:tr>
    </w:tbl>
    <w:p>
      <w:pPr>
        <w:spacing w:after="0" w:line="28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9</w:t>
      </w:r>
    </w:p>
    <w:p>
      <w:pPr>
        <w:sectPr>
          <w:pgSz w:w="11900" w:h="16838" w:orient="portrait"/>
          <w:cols w:equalWidth="0" w:num="1">
            <w:col w:w="10660"/>
          </w:cols>
          <w:pgMar w:left="620" w:top="765" w:right="619" w:bottom="1440" w:gutter="0" w:footer="0" w:header="0"/>
        </w:sectPr>
      </w:pPr>
    </w:p>
    <w:bookmarkStart w:id="12" w:name="page13"/>
    <w:bookmarkEnd w:id="12"/>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CLEARWAY ENERGY, INC.</w:t>
      </w:r>
    </w:p>
    <w:p>
      <w:pPr>
        <w:spacing w:after="0" w:line="6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CONSOLIDATED STATEMENTS OF STOCKHOLDERS' EQUITY</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7"/>
              </w:rPr>
              <w:t>Additional</w:t>
            </w:r>
          </w:p>
        </w:tc>
        <w:tc>
          <w:tcPr>
            <w:tcW w:w="80" w:type="dxa"/>
            <w:vAlign w:val="bottom"/>
          </w:tcPr>
          <w:p>
            <w:pPr>
              <w:spacing w:after="0"/>
              <w:rPr>
                <w:sz w:val="12"/>
                <w:szCs w:val="12"/>
                <w:color w:val="auto"/>
              </w:rPr>
            </w:pPr>
          </w:p>
        </w:tc>
        <w:tc>
          <w:tcPr>
            <w:tcW w:w="102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4"/>
              </w:rPr>
              <w:t>(Accumulated</w:t>
            </w:r>
          </w:p>
        </w:tc>
        <w:tc>
          <w:tcPr>
            <w:tcW w:w="80" w:type="dxa"/>
            <w:vAlign w:val="bottom"/>
          </w:tcPr>
          <w:p>
            <w:pPr>
              <w:spacing w:after="0"/>
              <w:rPr>
                <w:sz w:val="12"/>
                <w:szCs w:val="12"/>
                <w:color w:val="auto"/>
              </w:rPr>
            </w:pPr>
          </w:p>
        </w:tc>
        <w:tc>
          <w:tcPr>
            <w:tcW w:w="112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7"/>
              </w:rPr>
              <w:t>Accumulated</w:t>
            </w:r>
          </w:p>
        </w:tc>
        <w:tc>
          <w:tcPr>
            <w:tcW w:w="80" w:type="dxa"/>
            <w:vAlign w:val="bottom"/>
          </w:tcPr>
          <w:p>
            <w:pPr>
              <w:spacing w:after="0"/>
              <w:rPr>
                <w:sz w:val="12"/>
                <w:szCs w:val="12"/>
                <w:color w:val="auto"/>
              </w:rPr>
            </w:pPr>
          </w:p>
        </w:tc>
        <w:tc>
          <w:tcPr>
            <w:tcW w:w="80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rPr>
              <w:t>Non-</w:t>
            </w:r>
          </w:p>
        </w:tc>
        <w:tc>
          <w:tcPr>
            <w:tcW w:w="100" w:type="dxa"/>
            <w:vAlign w:val="bottom"/>
          </w:tcPr>
          <w:p>
            <w:pPr>
              <w:spacing w:after="0"/>
              <w:rPr>
                <w:sz w:val="12"/>
                <w:szCs w:val="12"/>
                <w:color w:val="auto"/>
              </w:rPr>
            </w:pPr>
          </w:p>
        </w:tc>
        <w:tc>
          <w:tcPr>
            <w:tcW w:w="880" w:type="dxa"/>
            <w:vAlign w:val="bottom"/>
            <w:vMerge w:val="restart"/>
          </w:tcPr>
          <w:p>
            <w:pPr>
              <w:jc w:val="center"/>
              <w:ind w:right="49"/>
              <w:spacing w:after="0"/>
              <w:rPr>
                <w:sz w:val="20"/>
                <w:szCs w:val="20"/>
                <w:color w:val="auto"/>
              </w:rPr>
            </w:pPr>
            <w:r>
              <w:rPr>
                <w:rFonts w:ascii="Times New Roman" w:cs="Times New Roman" w:eastAsia="Times New Roman" w:hAnsi="Times New Roman"/>
                <w:sz w:val="13"/>
                <w:szCs w:val="13"/>
                <w:b w:val="1"/>
                <w:bCs w:val="1"/>
                <w:color w:val="auto"/>
                <w:w w:val="94"/>
              </w:rPr>
              <w:t>Total</w:t>
            </w:r>
          </w:p>
        </w:tc>
        <w:tc>
          <w:tcPr>
            <w:tcW w:w="0" w:type="dxa"/>
            <w:vAlign w:val="bottom"/>
          </w:tcPr>
          <w:p>
            <w:pPr>
              <w:spacing w:after="0"/>
              <w:rPr>
                <w:sz w:val="1"/>
                <w:szCs w:val="1"/>
                <w:color w:val="auto"/>
              </w:rPr>
            </w:pPr>
          </w:p>
        </w:tc>
      </w:tr>
      <w:tr>
        <w:trPr>
          <w:trHeight w:val="121"/>
        </w:trPr>
        <w:tc>
          <w:tcPr>
            <w:tcW w:w="39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102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1120" w:type="dxa"/>
            <w:vAlign w:val="bottom"/>
            <w:gridSpan w:val="2"/>
          </w:tcPr>
          <w:p>
            <w:pPr>
              <w:jc w:val="center"/>
              <w:ind w:right="240"/>
              <w:spacing w:after="0" w:line="122" w:lineRule="exact"/>
              <w:rPr>
                <w:sz w:val="20"/>
                <w:szCs w:val="20"/>
                <w:color w:val="auto"/>
              </w:rPr>
            </w:pPr>
            <w:r>
              <w:rPr>
                <w:rFonts w:ascii="Times New Roman" w:cs="Times New Roman" w:eastAsia="Times New Roman" w:hAnsi="Times New Roman"/>
                <w:sz w:val="13"/>
                <w:szCs w:val="13"/>
                <w:b w:val="1"/>
                <w:bCs w:val="1"/>
                <w:color w:val="auto"/>
                <w:w w:val="96"/>
              </w:rPr>
              <w:t>Other</w:t>
            </w:r>
          </w:p>
        </w:tc>
        <w:tc>
          <w:tcPr>
            <w:tcW w:w="80" w:type="dxa"/>
            <w:vAlign w:val="bottom"/>
          </w:tcPr>
          <w:p>
            <w:pPr>
              <w:spacing w:after="0"/>
              <w:rPr>
                <w:sz w:val="10"/>
                <w:szCs w:val="10"/>
                <w:color w:val="auto"/>
              </w:rPr>
            </w:pPr>
          </w:p>
        </w:tc>
        <w:tc>
          <w:tcPr>
            <w:tcW w:w="80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3940" w:type="dxa"/>
            <w:vAlign w:val="bottom"/>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(In millions)</w:t>
            </w:r>
          </w:p>
        </w:tc>
        <w:tc>
          <w:tcPr>
            <w:tcW w:w="100" w:type="dxa"/>
            <w:vAlign w:val="bottom"/>
          </w:tcPr>
          <w:p>
            <w:pPr>
              <w:spacing w:after="0"/>
              <w:rPr>
                <w:sz w:val="11"/>
                <w:szCs w:val="11"/>
                <w:color w:val="auto"/>
              </w:rPr>
            </w:pPr>
          </w:p>
        </w:tc>
        <w:tc>
          <w:tcPr>
            <w:tcW w:w="720" w:type="dxa"/>
            <w:vAlign w:val="bottom"/>
            <w:gridSpan w:val="2"/>
          </w:tcPr>
          <w:p>
            <w:pPr>
              <w:spacing w:after="0" w:line="135" w:lineRule="exact"/>
              <w:rPr>
                <w:sz w:val="20"/>
                <w:szCs w:val="20"/>
                <w:color w:val="auto"/>
              </w:rPr>
            </w:pPr>
            <w:r>
              <w:rPr>
                <w:rFonts w:ascii="Times New Roman" w:cs="Times New Roman" w:eastAsia="Times New Roman" w:hAnsi="Times New Roman"/>
                <w:sz w:val="13"/>
                <w:szCs w:val="13"/>
                <w:b w:val="1"/>
                <w:bCs w:val="1"/>
                <w:color w:val="auto"/>
              </w:rPr>
              <w:t>Preferred</w:t>
            </w:r>
          </w:p>
        </w:tc>
        <w:tc>
          <w:tcPr>
            <w:tcW w:w="80" w:type="dxa"/>
            <w:vAlign w:val="bottom"/>
          </w:tcPr>
          <w:p>
            <w:pPr>
              <w:spacing w:after="0"/>
              <w:rPr>
                <w:sz w:val="11"/>
                <w:szCs w:val="11"/>
                <w:color w:val="auto"/>
              </w:rPr>
            </w:pPr>
          </w:p>
        </w:tc>
        <w:tc>
          <w:tcPr>
            <w:tcW w:w="720" w:type="dxa"/>
            <w:vAlign w:val="bottom"/>
            <w:gridSpan w:val="2"/>
          </w:tcPr>
          <w:p>
            <w:pPr>
              <w:jc w:val="center"/>
              <w:ind w:right="200"/>
              <w:spacing w:after="0" w:line="135" w:lineRule="exact"/>
              <w:rPr>
                <w:sz w:val="20"/>
                <w:szCs w:val="20"/>
                <w:color w:val="auto"/>
              </w:rPr>
            </w:pPr>
            <w:r>
              <w:rPr>
                <w:rFonts w:ascii="Times New Roman" w:cs="Times New Roman" w:eastAsia="Times New Roman" w:hAnsi="Times New Roman"/>
                <w:sz w:val="13"/>
                <w:szCs w:val="13"/>
                <w:b w:val="1"/>
                <w:bCs w:val="1"/>
                <w:color w:val="auto"/>
                <w:w w:val="93"/>
              </w:rPr>
              <w:t>Common</w:t>
            </w:r>
          </w:p>
        </w:tc>
        <w:tc>
          <w:tcPr>
            <w:tcW w:w="100" w:type="dxa"/>
            <w:vAlign w:val="bottom"/>
          </w:tcPr>
          <w:p>
            <w:pPr>
              <w:spacing w:after="0"/>
              <w:rPr>
                <w:sz w:val="11"/>
                <w:szCs w:val="11"/>
                <w:color w:val="auto"/>
              </w:rPr>
            </w:pPr>
          </w:p>
        </w:tc>
        <w:tc>
          <w:tcPr>
            <w:tcW w:w="840" w:type="dxa"/>
            <w:vAlign w:val="bottom"/>
            <w:gridSpan w:val="2"/>
          </w:tcPr>
          <w:p>
            <w:pPr>
              <w:jc w:val="center"/>
              <w:ind w:right="220"/>
              <w:spacing w:after="0" w:line="135" w:lineRule="exact"/>
              <w:rPr>
                <w:sz w:val="20"/>
                <w:szCs w:val="20"/>
                <w:color w:val="auto"/>
              </w:rPr>
            </w:pPr>
            <w:r>
              <w:rPr>
                <w:rFonts w:ascii="Times New Roman" w:cs="Times New Roman" w:eastAsia="Times New Roman" w:hAnsi="Times New Roman"/>
                <w:sz w:val="13"/>
                <w:szCs w:val="13"/>
                <w:b w:val="1"/>
                <w:bCs w:val="1"/>
                <w:color w:val="auto"/>
              </w:rPr>
              <w:t>Paid-In</w:t>
            </w:r>
          </w:p>
        </w:tc>
        <w:tc>
          <w:tcPr>
            <w:tcW w:w="1100" w:type="dxa"/>
            <w:vAlign w:val="bottom"/>
            <w:gridSpan w:val="3"/>
          </w:tcPr>
          <w:p>
            <w:pPr>
              <w:ind w:left="20"/>
              <w:spacing w:after="0" w:line="135" w:lineRule="exact"/>
              <w:rPr>
                <w:sz w:val="20"/>
                <w:szCs w:val="20"/>
                <w:color w:val="auto"/>
              </w:rPr>
            </w:pPr>
            <w:r>
              <w:rPr>
                <w:rFonts w:ascii="Times New Roman" w:cs="Times New Roman" w:eastAsia="Times New Roman" w:hAnsi="Times New Roman"/>
                <w:sz w:val="13"/>
                <w:szCs w:val="13"/>
                <w:b w:val="1"/>
                <w:bCs w:val="1"/>
                <w:color w:val="auto"/>
              </w:rPr>
              <w:t>Deficit) Retained</w:t>
            </w:r>
          </w:p>
        </w:tc>
        <w:tc>
          <w:tcPr>
            <w:tcW w:w="80" w:type="dxa"/>
            <w:vAlign w:val="bottom"/>
          </w:tcPr>
          <w:p>
            <w:pPr>
              <w:spacing w:after="0"/>
              <w:rPr>
                <w:sz w:val="11"/>
                <w:szCs w:val="11"/>
                <w:color w:val="auto"/>
              </w:rPr>
            </w:pPr>
          </w:p>
        </w:tc>
        <w:tc>
          <w:tcPr>
            <w:tcW w:w="1120" w:type="dxa"/>
            <w:vAlign w:val="bottom"/>
            <w:gridSpan w:val="2"/>
          </w:tcPr>
          <w:p>
            <w:pPr>
              <w:jc w:val="center"/>
              <w:ind w:right="240"/>
              <w:spacing w:after="0" w:line="135" w:lineRule="exact"/>
              <w:rPr>
                <w:sz w:val="20"/>
                <w:szCs w:val="20"/>
                <w:color w:val="auto"/>
              </w:rPr>
            </w:pPr>
            <w:r>
              <w:rPr>
                <w:rFonts w:ascii="Times New Roman" w:cs="Times New Roman" w:eastAsia="Times New Roman" w:hAnsi="Times New Roman"/>
                <w:sz w:val="13"/>
                <w:szCs w:val="13"/>
                <w:b w:val="1"/>
                <w:bCs w:val="1"/>
                <w:color w:val="auto"/>
                <w:w w:val="96"/>
              </w:rPr>
              <w:t>Comprehensive</w:t>
            </w:r>
          </w:p>
        </w:tc>
        <w:tc>
          <w:tcPr>
            <w:tcW w:w="80" w:type="dxa"/>
            <w:vAlign w:val="bottom"/>
          </w:tcPr>
          <w:p>
            <w:pPr>
              <w:spacing w:after="0"/>
              <w:rPr>
                <w:sz w:val="11"/>
                <w:szCs w:val="11"/>
                <w:color w:val="auto"/>
              </w:rPr>
            </w:pPr>
          </w:p>
        </w:tc>
        <w:tc>
          <w:tcPr>
            <w:tcW w:w="800" w:type="dxa"/>
            <w:vAlign w:val="bottom"/>
            <w:gridSpan w:val="2"/>
          </w:tcPr>
          <w:p>
            <w:pPr>
              <w:jc w:val="center"/>
              <w:ind w:right="200"/>
              <w:spacing w:after="0" w:line="135" w:lineRule="exact"/>
              <w:rPr>
                <w:sz w:val="20"/>
                <w:szCs w:val="20"/>
                <w:color w:val="auto"/>
              </w:rPr>
            </w:pPr>
            <w:r>
              <w:rPr>
                <w:rFonts w:ascii="Times New Roman" w:cs="Times New Roman" w:eastAsia="Times New Roman" w:hAnsi="Times New Roman"/>
                <w:sz w:val="13"/>
                <w:szCs w:val="13"/>
                <w:b w:val="1"/>
                <w:bCs w:val="1"/>
                <w:color w:val="auto"/>
                <w:w w:val="98"/>
              </w:rPr>
              <w:t>controlling</w:t>
            </w:r>
          </w:p>
        </w:tc>
        <w:tc>
          <w:tcPr>
            <w:tcW w:w="100" w:type="dxa"/>
            <w:vAlign w:val="bottom"/>
          </w:tcPr>
          <w:p>
            <w:pPr>
              <w:spacing w:after="0"/>
              <w:rPr>
                <w:sz w:val="11"/>
                <w:szCs w:val="11"/>
                <w:color w:val="auto"/>
              </w:rPr>
            </w:pPr>
          </w:p>
        </w:tc>
        <w:tc>
          <w:tcPr>
            <w:tcW w:w="880" w:type="dxa"/>
            <w:vAlign w:val="bottom"/>
          </w:tcPr>
          <w:p>
            <w:pPr>
              <w:jc w:val="center"/>
              <w:ind w:right="29"/>
              <w:spacing w:after="0" w:line="135" w:lineRule="exact"/>
              <w:rPr>
                <w:sz w:val="20"/>
                <w:szCs w:val="20"/>
                <w:color w:val="auto"/>
              </w:rPr>
            </w:pPr>
            <w:r>
              <w:rPr>
                <w:rFonts w:ascii="Times New Roman" w:cs="Times New Roman" w:eastAsia="Times New Roman" w:hAnsi="Times New Roman"/>
                <w:sz w:val="13"/>
                <w:szCs w:val="13"/>
                <w:b w:val="1"/>
                <w:bCs w:val="1"/>
                <w:color w:val="auto"/>
                <w:w w:val="96"/>
              </w:rPr>
              <w:t>Stockholders’</w:t>
            </w:r>
          </w:p>
        </w:tc>
        <w:tc>
          <w:tcPr>
            <w:tcW w:w="0" w:type="dxa"/>
            <w:vAlign w:val="bottom"/>
          </w:tcPr>
          <w:p>
            <w:pPr>
              <w:spacing w:after="0"/>
              <w:rPr>
                <w:sz w:val="1"/>
                <w:szCs w:val="1"/>
                <w:color w:val="auto"/>
              </w:rPr>
            </w:pPr>
          </w:p>
        </w:tc>
      </w:tr>
      <w:tr>
        <w:trPr>
          <w:trHeight w:val="169"/>
        </w:trPr>
        <w:tc>
          <w:tcPr>
            <w:tcW w:w="39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2"/>
          </w:tcPr>
          <w:p>
            <w:pPr>
              <w:ind w:left="100"/>
              <w:spacing w:after="0"/>
              <w:rPr>
                <w:sz w:val="20"/>
                <w:szCs w:val="20"/>
                <w:color w:val="auto"/>
              </w:rPr>
            </w:pPr>
            <w:r>
              <w:rPr>
                <w:rFonts w:ascii="Times New Roman" w:cs="Times New Roman" w:eastAsia="Times New Roman" w:hAnsi="Times New Roman"/>
                <w:sz w:val="13"/>
                <w:szCs w:val="13"/>
                <w:b w:val="1"/>
                <w:bCs w:val="1"/>
                <w:color w:val="auto"/>
              </w:rPr>
              <w:t>Stock</w:t>
            </w:r>
          </w:p>
        </w:tc>
        <w:tc>
          <w:tcPr>
            <w:tcW w:w="80" w:type="dxa"/>
            <w:vAlign w:val="bottom"/>
          </w:tcPr>
          <w:p>
            <w:pPr>
              <w:spacing w:after="0"/>
              <w:rPr>
                <w:sz w:val="14"/>
                <w:szCs w:val="14"/>
                <w:color w:val="auto"/>
              </w:rPr>
            </w:pPr>
          </w:p>
        </w:tc>
        <w:tc>
          <w:tcPr>
            <w:tcW w:w="72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6"/>
              </w:rPr>
              <w:t>Stock</w:t>
            </w:r>
          </w:p>
        </w:tc>
        <w:tc>
          <w:tcPr>
            <w:tcW w:w="100" w:type="dxa"/>
            <w:vAlign w:val="bottom"/>
          </w:tcPr>
          <w:p>
            <w:pPr>
              <w:spacing w:after="0"/>
              <w:rPr>
                <w:sz w:val="14"/>
                <w:szCs w:val="14"/>
                <w:color w:val="auto"/>
              </w:rPr>
            </w:pPr>
          </w:p>
        </w:tc>
        <w:tc>
          <w:tcPr>
            <w:tcW w:w="84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7"/>
              </w:rPr>
              <w:t>Capital</w:t>
            </w:r>
          </w:p>
        </w:tc>
        <w:tc>
          <w:tcPr>
            <w:tcW w:w="80" w:type="dxa"/>
            <w:vAlign w:val="bottom"/>
          </w:tcPr>
          <w:p>
            <w:pPr>
              <w:spacing w:after="0"/>
              <w:rPr>
                <w:sz w:val="14"/>
                <w:szCs w:val="14"/>
                <w:color w:val="auto"/>
              </w:rPr>
            </w:pPr>
          </w:p>
        </w:tc>
        <w:tc>
          <w:tcPr>
            <w:tcW w:w="102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8"/>
              </w:rPr>
              <w:t>Earnings</w:t>
            </w:r>
          </w:p>
        </w:tc>
        <w:tc>
          <w:tcPr>
            <w:tcW w:w="80" w:type="dxa"/>
            <w:vAlign w:val="bottom"/>
          </w:tcPr>
          <w:p>
            <w:pPr>
              <w:spacing w:after="0"/>
              <w:rPr>
                <w:sz w:val="14"/>
                <w:szCs w:val="14"/>
                <w:color w:val="auto"/>
              </w:rPr>
            </w:pPr>
          </w:p>
        </w:tc>
        <w:tc>
          <w:tcPr>
            <w:tcW w:w="112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6"/>
              </w:rPr>
              <w:t>(Loss) Income</w:t>
            </w:r>
          </w:p>
        </w:tc>
        <w:tc>
          <w:tcPr>
            <w:tcW w:w="80" w:type="dxa"/>
            <w:vAlign w:val="bottom"/>
          </w:tcPr>
          <w:p>
            <w:pPr>
              <w:spacing w:after="0"/>
              <w:rPr>
                <w:sz w:val="14"/>
                <w:szCs w:val="14"/>
                <w:color w:val="auto"/>
              </w:rPr>
            </w:pPr>
          </w:p>
        </w:tc>
        <w:tc>
          <w:tcPr>
            <w:tcW w:w="80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6"/>
              </w:rPr>
              <w:t>Interest</w:t>
            </w:r>
          </w:p>
        </w:tc>
        <w:tc>
          <w:tcPr>
            <w:tcW w:w="100" w:type="dxa"/>
            <w:vAlign w:val="bottom"/>
          </w:tcPr>
          <w:p>
            <w:pPr>
              <w:spacing w:after="0"/>
              <w:rPr>
                <w:sz w:val="14"/>
                <w:szCs w:val="14"/>
                <w:color w:val="auto"/>
              </w:rPr>
            </w:pPr>
          </w:p>
        </w:tc>
        <w:tc>
          <w:tcPr>
            <w:tcW w:w="880" w:type="dxa"/>
            <w:vAlign w:val="bottom"/>
          </w:tcPr>
          <w:p>
            <w:pPr>
              <w:jc w:val="center"/>
              <w:ind w:right="49"/>
              <w:spacing w:after="0"/>
              <w:rPr>
                <w:sz w:val="20"/>
                <w:szCs w:val="20"/>
                <w:color w:val="auto"/>
              </w:rPr>
            </w:pPr>
            <w:r>
              <w:rPr>
                <w:rFonts w:ascii="Times New Roman" w:cs="Times New Roman" w:eastAsia="Times New Roman" w:hAnsi="Times New Roman"/>
                <w:sz w:val="13"/>
                <w:szCs w:val="13"/>
                <w:b w:val="1"/>
                <w:bCs w:val="1"/>
                <w:color w:val="auto"/>
                <w:w w:val="95"/>
              </w:rPr>
              <w:t>Equity</w:t>
            </w:r>
          </w:p>
        </w:tc>
        <w:tc>
          <w:tcPr>
            <w:tcW w:w="0" w:type="dxa"/>
            <w:vAlign w:val="bottom"/>
          </w:tcPr>
          <w:p>
            <w:pPr>
              <w:spacing w:after="0"/>
              <w:rPr>
                <w:sz w:val="1"/>
                <w:szCs w:val="1"/>
                <w:color w:val="auto"/>
              </w:rPr>
            </w:pPr>
          </w:p>
        </w:tc>
      </w:tr>
      <w:tr>
        <w:trPr>
          <w:trHeight w:val="195"/>
        </w:trPr>
        <w:tc>
          <w:tcPr>
            <w:tcW w:w="39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Balances at December 31, 2021</w:t>
            </w: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Borders>
              <w:top w:val="single" w:sz="8" w:color="auto"/>
            </w:tcBorders>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6"/>
                <w:szCs w:val="16"/>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top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1,872</w:t>
            </w:r>
          </w:p>
        </w:tc>
        <w:tc>
          <w:tcPr>
            <w:tcW w:w="100" w:type="dxa"/>
            <w:vAlign w:val="bottom"/>
          </w:tcPr>
          <w:p>
            <w:pPr>
              <w:spacing w:after="0"/>
              <w:rPr>
                <w:sz w:val="16"/>
                <w:szCs w:val="16"/>
                <w:color w:val="auto"/>
              </w:rPr>
            </w:pPr>
          </w:p>
        </w:tc>
        <w:tc>
          <w:tcPr>
            <w:tcW w:w="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w:t>
            </w:r>
          </w:p>
        </w:tc>
        <w:tc>
          <w:tcPr>
            <w:tcW w:w="140" w:type="dxa"/>
            <w:vAlign w:val="bottom"/>
          </w:tcPr>
          <w:p>
            <w:pPr>
              <w:spacing w:after="0"/>
              <w:rPr>
                <w:sz w:val="16"/>
                <w:szCs w:val="16"/>
                <w:color w:val="auto"/>
              </w:rPr>
            </w:pPr>
          </w:p>
        </w:tc>
        <w:tc>
          <w:tcPr>
            <w:tcW w:w="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140" w:type="dxa"/>
            <w:vAlign w:val="bottom"/>
          </w:tcPr>
          <w:p>
            <w:pPr>
              <w:spacing w:after="0"/>
              <w:rPr>
                <w:sz w:val="16"/>
                <w:szCs w:val="16"/>
                <w:color w:val="auto"/>
              </w:rPr>
            </w:pPr>
          </w:p>
        </w:tc>
        <w:tc>
          <w:tcPr>
            <w:tcW w:w="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1,466</w:t>
            </w:r>
          </w:p>
        </w:tc>
        <w:tc>
          <w:tcPr>
            <w:tcW w:w="100" w:type="dxa"/>
            <w:vAlign w:val="bottom"/>
          </w:tcPr>
          <w:p>
            <w:pPr>
              <w:spacing w:after="0"/>
              <w:rPr>
                <w:sz w:val="16"/>
                <w:szCs w:val="16"/>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3,300</w:t>
            </w:r>
          </w:p>
        </w:tc>
        <w:tc>
          <w:tcPr>
            <w:tcW w:w="0" w:type="dxa"/>
            <w:vAlign w:val="bottom"/>
          </w:tcPr>
          <w:p>
            <w:pPr>
              <w:spacing w:after="0"/>
              <w:rPr>
                <w:sz w:val="1"/>
                <w:szCs w:val="1"/>
                <w:color w:val="auto"/>
              </w:rPr>
            </w:pPr>
          </w:p>
        </w:tc>
      </w:tr>
      <w:tr>
        <w:trPr>
          <w:trHeight w:val="210"/>
        </w:trPr>
        <w:tc>
          <w:tcPr>
            <w:tcW w:w="39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Net income</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582</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467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1,049</w:t>
            </w:r>
          </w:p>
        </w:tc>
        <w:tc>
          <w:tcPr>
            <w:tcW w:w="0" w:type="dxa"/>
            <w:vAlign w:val="bottom"/>
          </w:tcPr>
          <w:p>
            <w:pPr>
              <w:spacing w:after="0"/>
              <w:rPr>
                <w:sz w:val="1"/>
                <w:szCs w:val="1"/>
                <w:color w:val="auto"/>
              </w:rPr>
            </w:pPr>
          </w:p>
        </w:tc>
      </w:tr>
      <w:tr>
        <w:trPr>
          <w:trHeight w:val="139"/>
        </w:trPr>
        <w:tc>
          <w:tcPr>
            <w:tcW w:w="3940" w:type="dxa"/>
            <w:vAlign w:val="bottom"/>
          </w:tcPr>
          <w:p>
            <w:pPr>
              <w:ind w:left="120"/>
              <w:spacing w:after="0" w:line="139" w:lineRule="exact"/>
              <w:rPr>
                <w:sz w:val="20"/>
                <w:szCs w:val="20"/>
                <w:color w:val="auto"/>
              </w:rPr>
            </w:pPr>
            <w:r>
              <w:rPr>
                <w:rFonts w:ascii="Times New Roman" w:cs="Times New Roman" w:eastAsia="Times New Roman" w:hAnsi="Times New Roman"/>
                <w:sz w:val="14"/>
                <w:szCs w:val="14"/>
                <w:color w:val="auto"/>
              </w:rPr>
              <w:t>Unrealized gain on derivatives and changes in accumulated OCL,</w:t>
            </w:r>
          </w:p>
        </w:tc>
        <w:tc>
          <w:tcPr>
            <w:tcW w:w="100" w:type="dxa"/>
            <w:vAlign w:val="bottom"/>
          </w:tcPr>
          <w:p>
            <w:pPr>
              <w:spacing w:after="0"/>
              <w:rPr>
                <w:sz w:val="12"/>
                <w:szCs w:val="12"/>
                <w:color w:val="auto"/>
              </w:rPr>
            </w:pPr>
          </w:p>
        </w:tc>
        <w:tc>
          <w:tcPr>
            <w:tcW w:w="720" w:type="dxa"/>
            <w:vAlign w:val="bottom"/>
            <w:gridSpan w:val="2"/>
            <w:vMerge w:val="restart"/>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7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8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0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980" w:type="dxa"/>
            <w:vAlign w:val="bottom"/>
            <w:vMerge w:val="restart"/>
          </w:tcPr>
          <w:p>
            <w:pPr>
              <w:jc w:val="right"/>
              <w:ind w:right="9"/>
              <w:spacing w:after="0"/>
              <w:rPr>
                <w:sz w:val="20"/>
                <w:szCs w:val="20"/>
                <w:color w:val="auto"/>
              </w:rPr>
            </w:pPr>
            <w:r>
              <w:rPr>
                <w:rFonts w:ascii="Times New Roman" w:cs="Times New Roman" w:eastAsia="Times New Roman" w:hAnsi="Times New Roman"/>
                <w:sz w:val="14"/>
                <w:szCs w:val="14"/>
                <w:color w:val="auto"/>
              </w:rPr>
              <w:t>11</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vMerge w:val="restart"/>
          </w:tcPr>
          <w:p>
            <w:pPr>
              <w:jc w:val="right"/>
              <w:ind w:right="9"/>
              <w:spacing w:after="0"/>
              <w:rPr>
                <w:sz w:val="20"/>
                <w:szCs w:val="20"/>
                <w:color w:val="auto"/>
              </w:rPr>
            </w:pPr>
            <w:r>
              <w:rPr>
                <w:rFonts w:ascii="Times New Roman" w:cs="Times New Roman" w:eastAsia="Times New Roman" w:hAnsi="Times New Roman"/>
                <w:sz w:val="14"/>
                <w:szCs w:val="14"/>
                <w:color w:val="auto"/>
              </w:rPr>
              <w:t>17</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vMerge w:val="restart"/>
          </w:tcPr>
          <w:p>
            <w:pPr>
              <w:jc w:val="right"/>
              <w:ind w:right="9"/>
              <w:spacing w:after="0"/>
              <w:rPr>
                <w:sz w:val="20"/>
                <w:szCs w:val="20"/>
                <w:color w:val="auto"/>
              </w:rPr>
            </w:pPr>
            <w:r>
              <w:rPr>
                <w:rFonts w:ascii="Times New Roman" w:cs="Times New Roman" w:eastAsia="Times New Roman" w:hAnsi="Times New Roman"/>
                <w:sz w:val="14"/>
                <w:szCs w:val="14"/>
                <w:color w:val="auto"/>
              </w:rPr>
              <w:t>28</w:t>
            </w:r>
          </w:p>
        </w:tc>
        <w:tc>
          <w:tcPr>
            <w:tcW w:w="0" w:type="dxa"/>
            <w:vAlign w:val="bottom"/>
          </w:tcPr>
          <w:p>
            <w:pPr>
              <w:spacing w:after="0"/>
              <w:rPr>
                <w:sz w:val="1"/>
                <w:szCs w:val="1"/>
                <w:color w:val="auto"/>
              </w:rPr>
            </w:pPr>
          </w:p>
        </w:tc>
      </w:tr>
      <w:tr>
        <w:trPr>
          <w:trHeight w:val="193"/>
        </w:trPr>
        <w:tc>
          <w:tcPr>
            <w:tcW w:w="39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net of tax</w:t>
            </w:r>
          </w:p>
        </w:tc>
        <w:tc>
          <w:tcPr>
            <w:tcW w:w="10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39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Distributions to CEG, net of contributions, non-cash</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0" w:type="dxa"/>
            <w:vAlign w:val="bottom"/>
          </w:tcPr>
          <w:p>
            <w:pPr>
              <w:spacing w:after="0"/>
              <w:rPr>
                <w:sz w:val="1"/>
                <w:szCs w:val="1"/>
                <w:color w:val="auto"/>
              </w:rPr>
            </w:pPr>
          </w:p>
        </w:tc>
      </w:tr>
      <w:tr>
        <w:trPr>
          <w:trHeight w:val="195"/>
        </w:trPr>
        <w:tc>
          <w:tcPr>
            <w:tcW w:w="39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Contributions from CEG, net of distributions, cash</w:t>
            </w:r>
          </w:p>
        </w:tc>
        <w:tc>
          <w:tcPr>
            <w:tcW w:w="100" w:type="dxa"/>
            <w:vAlign w:val="bottom"/>
          </w:tcPr>
          <w:p>
            <w:pPr>
              <w:spacing w:after="0"/>
              <w:rPr>
                <w:sz w:val="16"/>
                <w:szCs w:val="16"/>
                <w:color w:val="auto"/>
              </w:rPr>
            </w:pPr>
          </w:p>
        </w:tc>
        <w:tc>
          <w:tcPr>
            <w:tcW w:w="720" w:type="dxa"/>
            <w:vAlign w:val="bottom"/>
            <w:gridSpan w:val="2"/>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70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16</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16</w:t>
            </w:r>
          </w:p>
        </w:tc>
        <w:tc>
          <w:tcPr>
            <w:tcW w:w="0" w:type="dxa"/>
            <w:vAlign w:val="bottom"/>
          </w:tcPr>
          <w:p>
            <w:pPr>
              <w:spacing w:after="0"/>
              <w:rPr>
                <w:sz w:val="1"/>
                <w:szCs w:val="1"/>
                <w:color w:val="auto"/>
              </w:rPr>
            </w:pPr>
          </w:p>
        </w:tc>
      </w:tr>
      <w:tr>
        <w:trPr>
          <w:trHeight w:val="146"/>
        </w:trPr>
        <w:tc>
          <w:tcPr>
            <w:tcW w:w="3940" w:type="dxa"/>
            <w:vAlign w:val="bottom"/>
            <w:shd w:val="clear" w:color="auto" w:fill="CCEEFF"/>
          </w:tcPr>
          <w:p>
            <w:pPr>
              <w:ind w:left="120"/>
              <w:spacing w:after="0" w:line="147" w:lineRule="exact"/>
              <w:rPr>
                <w:sz w:val="20"/>
                <w:szCs w:val="20"/>
                <w:color w:val="auto"/>
              </w:rPr>
            </w:pPr>
            <w:r>
              <w:rPr>
                <w:rFonts w:ascii="Times New Roman" w:cs="Times New Roman" w:eastAsia="Times New Roman" w:hAnsi="Times New Roman"/>
                <w:sz w:val="14"/>
                <w:szCs w:val="14"/>
                <w:color w:val="auto"/>
              </w:rPr>
              <w:t>Contributions from noncontrolling interests, net of distributions,</w:t>
            </w:r>
          </w:p>
        </w:tc>
        <w:tc>
          <w:tcPr>
            <w:tcW w:w="100" w:type="dxa"/>
            <w:vAlign w:val="bottom"/>
            <w:shd w:val="clear" w:color="auto" w:fill="CCEEFF"/>
          </w:tcPr>
          <w:p>
            <w:pPr>
              <w:spacing w:after="0"/>
              <w:rPr>
                <w:sz w:val="12"/>
                <w:szCs w:val="12"/>
                <w:color w:val="auto"/>
              </w:rPr>
            </w:pPr>
          </w:p>
        </w:tc>
        <w:tc>
          <w:tcPr>
            <w:tcW w:w="720" w:type="dxa"/>
            <w:vAlign w:val="bottom"/>
            <w:gridSpan w:val="2"/>
            <w:vMerge w:val="restart"/>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7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84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10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11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700" w:type="dxa"/>
            <w:vAlign w:val="bottom"/>
            <w:vMerge w:val="restart"/>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51</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vMerge w:val="restart"/>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51</w:t>
            </w:r>
          </w:p>
        </w:tc>
        <w:tc>
          <w:tcPr>
            <w:tcW w:w="0" w:type="dxa"/>
            <w:vAlign w:val="bottom"/>
          </w:tcPr>
          <w:p>
            <w:pPr>
              <w:spacing w:after="0"/>
              <w:rPr>
                <w:sz w:val="1"/>
                <w:szCs w:val="1"/>
                <w:color w:val="auto"/>
              </w:rPr>
            </w:pPr>
          </w:p>
        </w:tc>
      </w:tr>
      <w:tr>
        <w:trPr>
          <w:trHeight w:val="198"/>
        </w:trPr>
        <w:tc>
          <w:tcPr>
            <w:tcW w:w="39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cash</w:t>
            </w:r>
          </w:p>
        </w:tc>
        <w:tc>
          <w:tcPr>
            <w:tcW w:w="100" w:type="dxa"/>
            <w:vAlign w:val="bottom"/>
            <w:shd w:val="clear" w:color="auto" w:fill="CCEEFF"/>
          </w:tcPr>
          <w:p>
            <w:pPr>
              <w:spacing w:after="0"/>
              <w:rPr>
                <w:sz w:val="17"/>
                <w:szCs w:val="17"/>
                <w:color w:val="auto"/>
              </w:rPr>
            </w:pPr>
          </w:p>
        </w:tc>
        <w:tc>
          <w:tcPr>
            <w:tcW w:w="720" w:type="dxa"/>
            <w:vAlign w:val="bottom"/>
            <w:gridSpan w:val="2"/>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gridSpan w:val="2"/>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20" w:type="dxa"/>
            <w:vAlign w:val="bottom"/>
            <w:gridSpan w:val="2"/>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20" w:type="dxa"/>
            <w:vAlign w:val="bottom"/>
            <w:gridSpan w:val="2"/>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39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Transfer of assets under common control</w:t>
            </w:r>
          </w:p>
        </w:tc>
        <w:tc>
          <w:tcPr>
            <w:tcW w:w="100" w:type="dxa"/>
            <w:vAlign w:val="bottom"/>
          </w:tcPr>
          <w:p>
            <w:pPr>
              <w:spacing w:after="0"/>
              <w:rPr>
                <w:sz w:val="16"/>
                <w:szCs w:val="16"/>
                <w:color w:val="auto"/>
              </w:rPr>
            </w:pPr>
          </w:p>
        </w:tc>
        <w:tc>
          <w:tcPr>
            <w:tcW w:w="720" w:type="dxa"/>
            <w:vAlign w:val="bottom"/>
            <w:gridSpan w:val="2"/>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w:t>
            </w:r>
          </w:p>
        </w:tc>
        <w:tc>
          <w:tcPr>
            <w:tcW w:w="0" w:type="dxa"/>
            <w:vAlign w:val="bottom"/>
          </w:tcPr>
          <w:p>
            <w:pPr>
              <w:spacing w:after="0"/>
              <w:rPr>
                <w:sz w:val="1"/>
                <w:szCs w:val="1"/>
                <w:color w:val="auto"/>
              </w:rPr>
            </w:pPr>
          </w:p>
        </w:tc>
      </w:tr>
      <w:tr>
        <w:trPr>
          <w:trHeight w:val="210"/>
        </w:trPr>
        <w:tc>
          <w:tcPr>
            <w:tcW w:w="39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Capistrano Wind Portfolio Acquisition</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4</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11</w:t>
            </w:r>
          </w:p>
        </w:tc>
        <w:tc>
          <w:tcPr>
            <w:tcW w:w="0" w:type="dxa"/>
            <w:vAlign w:val="bottom"/>
          </w:tcPr>
          <w:p>
            <w:pPr>
              <w:spacing w:after="0"/>
              <w:rPr>
                <w:sz w:val="1"/>
                <w:szCs w:val="1"/>
                <w:color w:val="auto"/>
              </w:rPr>
            </w:pPr>
          </w:p>
        </w:tc>
      </w:tr>
      <w:tr>
        <w:trPr>
          <w:trHeight w:val="195"/>
        </w:trPr>
        <w:tc>
          <w:tcPr>
            <w:tcW w:w="39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Kawailoa Sale to Clearway Renew</w:t>
            </w:r>
          </w:p>
        </w:tc>
        <w:tc>
          <w:tcPr>
            <w:tcW w:w="100" w:type="dxa"/>
            <w:vAlign w:val="bottom"/>
          </w:tcPr>
          <w:p>
            <w:pPr>
              <w:spacing w:after="0"/>
              <w:rPr>
                <w:sz w:val="16"/>
                <w:szCs w:val="16"/>
                <w:color w:val="auto"/>
              </w:rPr>
            </w:pPr>
          </w:p>
        </w:tc>
        <w:tc>
          <w:tcPr>
            <w:tcW w:w="720" w:type="dxa"/>
            <w:vAlign w:val="bottom"/>
            <w:gridSpan w:val="2"/>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w:t>
            </w:r>
          </w:p>
        </w:tc>
        <w:tc>
          <w:tcPr>
            <w:tcW w:w="0" w:type="dxa"/>
            <w:vAlign w:val="bottom"/>
          </w:tcPr>
          <w:p>
            <w:pPr>
              <w:spacing w:after="0"/>
              <w:rPr>
                <w:sz w:val="1"/>
                <w:szCs w:val="1"/>
                <w:color w:val="auto"/>
              </w:rPr>
            </w:pPr>
          </w:p>
        </w:tc>
      </w:tr>
      <w:tr>
        <w:trPr>
          <w:trHeight w:val="210"/>
        </w:trPr>
        <w:tc>
          <w:tcPr>
            <w:tcW w:w="39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Tax-related distributions</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0" w:type="dxa"/>
            <w:vAlign w:val="bottom"/>
          </w:tcPr>
          <w:p>
            <w:pPr>
              <w:spacing w:after="0"/>
              <w:rPr>
                <w:sz w:val="1"/>
                <w:szCs w:val="1"/>
                <w:color w:val="auto"/>
              </w:rPr>
            </w:pPr>
          </w:p>
        </w:tc>
      </w:tr>
      <w:tr>
        <w:trPr>
          <w:trHeight w:val="195"/>
        </w:trPr>
        <w:tc>
          <w:tcPr>
            <w:tcW w:w="39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Non-cash adjustment for change in tax basis</w:t>
            </w:r>
          </w:p>
        </w:tc>
        <w:tc>
          <w:tcPr>
            <w:tcW w:w="100" w:type="dxa"/>
            <w:vAlign w:val="bottom"/>
          </w:tcPr>
          <w:p>
            <w:pPr>
              <w:spacing w:after="0"/>
              <w:rPr>
                <w:sz w:val="16"/>
                <w:szCs w:val="16"/>
                <w:color w:val="auto"/>
              </w:rPr>
            </w:pPr>
          </w:p>
        </w:tc>
        <w:tc>
          <w:tcPr>
            <w:tcW w:w="720" w:type="dxa"/>
            <w:vAlign w:val="bottom"/>
            <w:gridSpan w:val="2"/>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210"/>
        </w:trPr>
        <w:tc>
          <w:tcPr>
            <w:tcW w:w="39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Stock-based compensation</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6"/>
        </w:trPr>
        <w:tc>
          <w:tcPr>
            <w:tcW w:w="39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Common stock dividends and distributions to CEG</w:t>
            </w:r>
          </w:p>
        </w:tc>
        <w:tc>
          <w:tcPr>
            <w:tcW w:w="100" w:type="dxa"/>
            <w:vAlign w:val="bottom"/>
          </w:tcPr>
          <w:p>
            <w:pPr>
              <w:spacing w:after="0"/>
              <w:rPr>
                <w:sz w:val="17"/>
                <w:szCs w:val="17"/>
                <w:color w:val="auto"/>
              </w:rPr>
            </w:pPr>
          </w:p>
        </w:tc>
        <w:tc>
          <w:tcPr>
            <w:tcW w:w="720" w:type="dxa"/>
            <w:vAlign w:val="bottom"/>
            <w:gridSpan w:val="2"/>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7"/>
                <w:szCs w:val="17"/>
                <w:color w:val="auto"/>
              </w:rPr>
            </w:pP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(122)</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(289)</w:t>
            </w:r>
          </w:p>
        </w:tc>
        <w:tc>
          <w:tcPr>
            <w:tcW w:w="0" w:type="dxa"/>
            <w:vAlign w:val="bottom"/>
          </w:tcPr>
          <w:p>
            <w:pPr>
              <w:spacing w:after="0"/>
              <w:rPr>
                <w:sz w:val="1"/>
                <w:szCs w:val="1"/>
                <w:color w:val="auto"/>
              </w:rPr>
            </w:pPr>
          </w:p>
        </w:tc>
      </w:tr>
      <w:tr>
        <w:trPr>
          <w:trHeight w:val="203"/>
        </w:trPr>
        <w:tc>
          <w:tcPr>
            <w:tcW w:w="39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Balances at December 31, 2022</w:t>
            </w:r>
          </w:p>
        </w:tc>
        <w:tc>
          <w:tcPr>
            <w:tcW w:w="1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1,761</w:t>
            </w:r>
          </w:p>
        </w:tc>
        <w:tc>
          <w:tcPr>
            <w:tcW w:w="1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463</w:t>
            </w:r>
          </w:p>
        </w:tc>
        <w:tc>
          <w:tcPr>
            <w:tcW w:w="1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9</w:t>
            </w:r>
          </w:p>
        </w:tc>
        <w:tc>
          <w:tcPr>
            <w:tcW w:w="1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1,792</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4,026</w:t>
            </w:r>
          </w:p>
        </w:tc>
        <w:tc>
          <w:tcPr>
            <w:tcW w:w="0" w:type="dxa"/>
            <w:vAlign w:val="bottom"/>
          </w:tcPr>
          <w:p>
            <w:pPr>
              <w:spacing w:after="0"/>
              <w:rPr>
                <w:sz w:val="1"/>
                <w:szCs w:val="1"/>
                <w:color w:val="auto"/>
              </w:rPr>
            </w:pPr>
          </w:p>
        </w:tc>
      </w:tr>
      <w:tr>
        <w:trPr>
          <w:trHeight w:val="195"/>
        </w:trPr>
        <w:tc>
          <w:tcPr>
            <w:tcW w:w="39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Net income (loss)</w:t>
            </w:r>
          </w:p>
        </w:tc>
        <w:tc>
          <w:tcPr>
            <w:tcW w:w="100" w:type="dxa"/>
            <w:vAlign w:val="bottom"/>
          </w:tcPr>
          <w:p>
            <w:pPr>
              <w:spacing w:after="0"/>
              <w:rPr>
                <w:sz w:val="16"/>
                <w:szCs w:val="16"/>
                <w:color w:val="auto"/>
              </w:rPr>
            </w:pPr>
          </w:p>
        </w:tc>
        <w:tc>
          <w:tcPr>
            <w:tcW w:w="720" w:type="dxa"/>
            <w:vAlign w:val="bottom"/>
            <w:gridSpan w:val="2"/>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8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79</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(110)</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w:t>
            </w:r>
          </w:p>
        </w:tc>
        <w:tc>
          <w:tcPr>
            <w:tcW w:w="0" w:type="dxa"/>
            <w:vAlign w:val="bottom"/>
          </w:tcPr>
          <w:p>
            <w:pPr>
              <w:spacing w:after="0"/>
              <w:rPr>
                <w:sz w:val="1"/>
                <w:szCs w:val="1"/>
                <w:color w:val="auto"/>
              </w:rPr>
            </w:pPr>
          </w:p>
        </w:tc>
      </w:tr>
      <w:tr>
        <w:trPr>
          <w:trHeight w:val="146"/>
        </w:trPr>
        <w:tc>
          <w:tcPr>
            <w:tcW w:w="3940" w:type="dxa"/>
            <w:vAlign w:val="bottom"/>
            <w:shd w:val="clear" w:color="auto" w:fill="CCEEFF"/>
          </w:tcPr>
          <w:p>
            <w:pPr>
              <w:ind w:left="120"/>
              <w:spacing w:after="0" w:line="147" w:lineRule="exact"/>
              <w:rPr>
                <w:sz w:val="20"/>
                <w:szCs w:val="20"/>
                <w:color w:val="auto"/>
              </w:rPr>
            </w:pPr>
            <w:r>
              <w:rPr>
                <w:rFonts w:ascii="Times New Roman" w:cs="Times New Roman" w:eastAsia="Times New Roman" w:hAnsi="Times New Roman"/>
                <w:sz w:val="14"/>
                <w:szCs w:val="14"/>
                <w:color w:val="auto"/>
              </w:rPr>
              <w:t>Unrealized loss on derivatives and changes in accumulated OCL,</w:t>
            </w:r>
          </w:p>
        </w:tc>
        <w:tc>
          <w:tcPr>
            <w:tcW w:w="100" w:type="dxa"/>
            <w:vAlign w:val="bottom"/>
            <w:shd w:val="clear" w:color="auto" w:fill="CCEEFF"/>
          </w:tcPr>
          <w:p>
            <w:pPr>
              <w:spacing w:after="0"/>
              <w:rPr>
                <w:sz w:val="12"/>
                <w:szCs w:val="12"/>
                <w:color w:val="auto"/>
              </w:rPr>
            </w:pPr>
          </w:p>
        </w:tc>
        <w:tc>
          <w:tcPr>
            <w:tcW w:w="720" w:type="dxa"/>
            <w:vAlign w:val="bottom"/>
            <w:gridSpan w:val="2"/>
            <w:vMerge w:val="restart"/>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7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84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10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0" w:type="dxa"/>
            <w:vAlign w:val="bottom"/>
          </w:tcPr>
          <w:p>
            <w:pPr>
              <w:spacing w:after="0"/>
              <w:rPr>
                <w:sz w:val="1"/>
                <w:szCs w:val="1"/>
                <w:color w:val="auto"/>
              </w:rPr>
            </w:pPr>
          </w:p>
        </w:tc>
      </w:tr>
      <w:tr>
        <w:trPr>
          <w:trHeight w:val="198"/>
        </w:trPr>
        <w:tc>
          <w:tcPr>
            <w:tcW w:w="39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net of tax</w:t>
            </w:r>
          </w:p>
        </w:tc>
        <w:tc>
          <w:tcPr>
            <w:tcW w:w="100" w:type="dxa"/>
            <w:vAlign w:val="bottom"/>
            <w:shd w:val="clear" w:color="auto" w:fill="CCEEFF"/>
          </w:tcPr>
          <w:p>
            <w:pPr>
              <w:spacing w:after="0"/>
              <w:rPr>
                <w:sz w:val="17"/>
                <w:szCs w:val="17"/>
                <w:color w:val="auto"/>
              </w:rPr>
            </w:pPr>
          </w:p>
        </w:tc>
        <w:tc>
          <w:tcPr>
            <w:tcW w:w="720" w:type="dxa"/>
            <w:vAlign w:val="bottom"/>
            <w:gridSpan w:val="2"/>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gridSpan w:val="2"/>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20" w:type="dxa"/>
            <w:vAlign w:val="bottom"/>
            <w:gridSpan w:val="2"/>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80" w:type="dxa"/>
            <w:vAlign w:val="bottom"/>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39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Distributions to CEG, net of contributions, cash</w:t>
            </w:r>
          </w:p>
        </w:tc>
        <w:tc>
          <w:tcPr>
            <w:tcW w:w="100" w:type="dxa"/>
            <w:vAlign w:val="bottom"/>
          </w:tcPr>
          <w:p>
            <w:pPr>
              <w:spacing w:after="0"/>
              <w:rPr>
                <w:sz w:val="16"/>
                <w:szCs w:val="16"/>
                <w:color w:val="auto"/>
              </w:rPr>
            </w:pPr>
          </w:p>
        </w:tc>
        <w:tc>
          <w:tcPr>
            <w:tcW w:w="720" w:type="dxa"/>
            <w:vAlign w:val="bottom"/>
            <w:gridSpan w:val="2"/>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w:t>
            </w:r>
          </w:p>
        </w:tc>
        <w:tc>
          <w:tcPr>
            <w:tcW w:w="0" w:type="dxa"/>
            <w:vAlign w:val="bottom"/>
          </w:tcPr>
          <w:p>
            <w:pPr>
              <w:spacing w:after="0"/>
              <w:rPr>
                <w:sz w:val="1"/>
                <w:szCs w:val="1"/>
                <w:color w:val="auto"/>
              </w:rPr>
            </w:pPr>
          </w:p>
        </w:tc>
      </w:tr>
      <w:tr>
        <w:trPr>
          <w:trHeight w:val="146"/>
        </w:trPr>
        <w:tc>
          <w:tcPr>
            <w:tcW w:w="3940" w:type="dxa"/>
            <w:vAlign w:val="bottom"/>
            <w:shd w:val="clear" w:color="auto" w:fill="CCEEFF"/>
          </w:tcPr>
          <w:p>
            <w:pPr>
              <w:ind w:left="100"/>
              <w:spacing w:after="0" w:line="147" w:lineRule="exact"/>
              <w:rPr>
                <w:sz w:val="20"/>
                <w:szCs w:val="20"/>
                <w:color w:val="auto"/>
              </w:rPr>
            </w:pPr>
            <w:r>
              <w:rPr>
                <w:rFonts w:ascii="Times New Roman" w:cs="Times New Roman" w:eastAsia="Times New Roman" w:hAnsi="Times New Roman"/>
                <w:sz w:val="14"/>
                <w:szCs w:val="14"/>
                <w:color w:val="auto"/>
              </w:rPr>
              <w:t>Contributions from noncontrolling interests, net of distributions,</w:t>
            </w:r>
          </w:p>
        </w:tc>
        <w:tc>
          <w:tcPr>
            <w:tcW w:w="100" w:type="dxa"/>
            <w:vAlign w:val="bottom"/>
            <w:shd w:val="clear" w:color="auto" w:fill="CCEEFF"/>
          </w:tcPr>
          <w:p>
            <w:pPr>
              <w:spacing w:after="0"/>
              <w:rPr>
                <w:sz w:val="12"/>
                <w:szCs w:val="12"/>
                <w:color w:val="auto"/>
              </w:rPr>
            </w:pPr>
          </w:p>
        </w:tc>
        <w:tc>
          <w:tcPr>
            <w:tcW w:w="720" w:type="dxa"/>
            <w:vAlign w:val="bottom"/>
            <w:gridSpan w:val="2"/>
            <w:vMerge w:val="restart"/>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7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84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10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11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700" w:type="dxa"/>
            <w:vAlign w:val="bottom"/>
            <w:vMerge w:val="restart"/>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1,123</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vMerge w:val="restart"/>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1,123</w:t>
            </w:r>
          </w:p>
        </w:tc>
        <w:tc>
          <w:tcPr>
            <w:tcW w:w="0" w:type="dxa"/>
            <w:vAlign w:val="bottom"/>
          </w:tcPr>
          <w:p>
            <w:pPr>
              <w:spacing w:after="0"/>
              <w:rPr>
                <w:sz w:val="1"/>
                <w:szCs w:val="1"/>
                <w:color w:val="auto"/>
              </w:rPr>
            </w:pPr>
          </w:p>
        </w:tc>
      </w:tr>
      <w:tr>
        <w:trPr>
          <w:trHeight w:val="198"/>
        </w:trPr>
        <w:tc>
          <w:tcPr>
            <w:tcW w:w="39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cash</w:t>
            </w:r>
          </w:p>
        </w:tc>
        <w:tc>
          <w:tcPr>
            <w:tcW w:w="100" w:type="dxa"/>
            <w:vAlign w:val="bottom"/>
            <w:shd w:val="clear" w:color="auto" w:fill="CCEEFF"/>
          </w:tcPr>
          <w:p>
            <w:pPr>
              <w:spacing w:after="0"/>
              <w:rPr>
                <w:sz w:val="17"/>
                <w:szCs w:val="17"/>
                <w:color w:val="auto"/>
              </w:rPr>
            </w:pPr>
          </w:p>
        </w:tc>
        <w:tc>
          <w:tcPr>
            <w:tcW w:w="720" w:type="dxa"/>
            <w:vAlign w:val="bottom"/>
            <w:gridSpan w:val="2"/>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gridSpan w:val="2"/>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20" w:type="dxa"/>
            <w:vAlign w:val="bottom"/>
            <w:gridSpan w:val="2"/>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20" w:type="dxa"/>
            <w:vAlign w:val="bottom"/>
            <w:gridSpan w:val="2"/>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39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Distributions to noncontrolling interests, non-cash</w:t>
            </w:r>
          </w:p>
        </w:tc>
        <w:tc>
          <w:tcPr>
            <w:tcW w:w="100" w:type="dxa"/>
            <w:vAlign w:val="bottom"/>
          </w:tcPr>
          <w:p>
            <w:pPr>
              <w:spacing w:after="0"/>
              <w:rPr>
                <w:sz w:val="16"/>
                <w:szCs w:val="16"/>
                <w:color w:val="auto"/>
              </w:rPr>
            </w:pPr>
          </w:p>
        </w:tc>
        <w:tc>
          <w:tcPr>
            <w:tcW w:w="720" w:type="dxa"/>
            <w:vAlign w:val="bottom"/>
            <w:gridSpan w:val="2"/>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0" w:type="dxa"/>
            <w:vAlign w:val="bottom"/>
          </w:tcPr>
          <w:p>
            <w:pPr>
              <w:spacing w:after="0"/>
              <w:rPr>
                <w:sz w:val="1"/>
                <w:szCs w:val="1"/>
                <w:color w:val="auto"/>
              </w:rPr>
            </w:pPr>
          </w:p>
        </w:tc>
      </w:tr>
      <w:tr>
        <w:trPr>
          <w:trHeight w:val="210"/>
        </w:trPr>
        <w:tc>
          <w:tcPr>
            <w:tcW w:w="39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Tax-related distributions</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0" w:type="dxa"/>
            <w:vAlign w:val="bottom"/>
          </w:tcPr>
          <w:p>
            <w:pPr>
              <w:spacing w:after="0"/>
              <w:rPr>
                <w:sz w:val="1"/>
                <w:szCs w:val="1"/>
                <w:color w:val="auto"/>
              </w:rPr>
            </w:pPr>
          </w:p>
        </w:tc>
      </w:tr>
      <w:tr>
        <w:trPr>
          <w:trHeight w:val="195"/>
        </w:trPr>
        <w:tc>
          <w:tcPr>
            <w:tcW w:w="39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Transfer of assets under common control</w:t>
            </w:r>
          </w:p>
        </w:tc>
        <w:tc>
          <w:tcPr>
            <w:tcW w:w="100" w:type="dxa"/>
            <w:vAlign w:val="bottom"/>
          </w:tcPr>
          <w:p>
            <w:pPr>
              <w:spacing w:after="0"/>
              <w:rPr>
                <w:sz w:val="16"/>
                <w:szCs w:val="16"/>
                <w:color w:val="auto"/>
              </w:rPr>
            </w:pPr>
          </w:p>
        </w:tc>
        <w:tc>
          <w:tcPr>
            <w:tcW w:w="720" w:type="dxa"/>
            <w:vAlign w:val="bottom"/>
            <w:gridSpan w:val="2"/>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70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348</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286</w:t>
            </w:r>
          </w:p>
        </w:tc>
        <w:tc>
          <w:tcPr>
            <w:tcW w:w="0" w:type="dxa"/>
            <w:vAlign w:val="bottom"/>
          </w:tcPr>
          <w:p>
            <w:pPr>
              <w:spacing w:after="0"/>
              <w:rPr>
                <w:sz w:val="1"/>
                <w:szCs w:val="1"/>
                <w:color w:val="auto"/>
              </w:rPr>
            </w:pPr>
          </w:p>
        </w:tc>
      </w:tr>
      <w:tr>
        <w:trPr>
          <w:trHeight w:val="210"/>
        </w:trPr>
        <w:tc>
          <w:tcPr>
            <w:tcW w:w="39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Buyout of noncontrolling interest</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16</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0" w:type="dxa"/>
            <w:vAlign w:val="bottom"/>
          </w:tcPr>
          <w:p>
            <w:pPr>
              <w:spacing w:after="0"/>
              <w:rPr>
                <w:sz w:val="1"/>
                <w:szCs w:val="1"/>
                <w:color w:val="auto"/>
              </w:rPr>
            </w:pPr>
          </w:p>
        </w:tc>
      </w:tr>
      <w:tr>
        <w:trPr>
          <w:trHeight w:val="195"/>
        </w:trPr>
        <w:tc>
          <w:tcPr>
            <w:tcW w:w="39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Buyout of redeemable noncontrolling interest</w:t>
            </w:r>
          </w:p>
        </w:tc>
        <w:tc>
          <w:tcPr>
            <w:tcW w:w="100" w:type="dxa"/>
            <w:vAlign w:val="bottom"/>
          </w:tcPr>
          <w:p>
            <w:pPr>
              <w:spacing w:after="0"/>
              <w:rPr>
                <w:sz w:val="16"/>
                <w:szCs w:val="16"/>
                <w:color w:val="auto"/>
              </w:rPr>
            </w:pPr>
          </w:p>
        </w:tc>
        <w:tc>
          <w:tcPr>
            <w:tcW w:w="720" w:type="dxa"/>
            <w:vAlign w:val="bottom"/>
            <w:gridSpan w:val="2"/>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4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10</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70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7</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17</w:t>
            </w:r>
          </w:p>
        </w:tc>
        <w:tc>
          <w:tcPr>
            <w:tcW w:w="0" w:type="dxa"/>
            <w:vAlign w:val="bottom"/>
          </w:tcPr>
          <w:p>
            <w:pPr>
              <w:spacing w:after="0"/>
              <w:rPr>
                <w:sz w:val="1"/>
                <w:szCs w:val="1"/>
                <w:color w:val="auto"/>
              </w:rPr>
            </w:pPr>
          </w:p>
        </w:tc>
      </w:tr>
      <w:tr>
        <w:trPr>
          <w:trHeight w:val="210"/>
        </w:trPr>
        <w:tc>
          <w:tcPr>
            <w:tcW w:w="39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Non-cash adjustments for change in tax basis</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4</w:t>
            </w:r>
          </w:p>
        </w:tc>
        <w:tc>
          <w:tcPr>
            <w:tcW w:w="0" w:type="dxa"/>
            <w:vAlign w:val="bottom"/>
          </w:tcPr>
          <w:p>
            <w:pPr>
              <w:spacing w:after="0"/>
              <w:rPr>
                <w:sz w:val="1"/>
                <w:szCs w:val="1"/>
                <w:color w:val="auto"/>
              </w:rPr>
            </w:pPr>
          </w:p>
        </w:tc>
      </w:tr>
      <w:tr>
        <w:trPr>
          <w:trHeight w:val="195"/>
        </w:trPr>
        <w:tc>
          <w:tcPr>
            <w:tcW w:w="39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Stock-based compensation</w:t>
            </w:r>
          </w:p>
        </w:tc>
        <w:tc>
          <w:tcPr>
            <w:tcW w:w="100" w:type="dxa"/>
            <w:vAlign w:val="bottom"/>
          </w:tcPr>
          <w:p>
            <w:pPr>
              <w:spacing w:after="0"/>
              <w:rPr>
                <w:sz w:val="16"/>
                <w:szCs w:val="16"/>
                <w:color w:val="auto"/>
              </w:rPr>
            </w:pPr>
          </w:p>
        </w:tc>
        <w:tc>
          <w:tcPr>
            <w:tcW w:w="720" w:type="dxa"/>
            <w:vAlign w:val="bottom"/>
            <w:gridSpan w:val="2"/>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4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8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2</w:t>
            </w:r>
          </w:p>
        </w:tc>
        <w:tc>
          <w:tcPr>
            <w:tcW w:w="0" w:type="dxa"/>
            <w:vAlign w:val="bottom"/>
          </w:tcPr>
          <w:p>
            <w:pPr>
              <w:spacing w:after="0"/>
              <w:rPr>
                <w:sz w:val="1"/>
                <w:szCs w:val="1"/>
                <w:color w:val="auto"/>
              </w:rPr>
            </w:pPr>
          </w:p>
        </w:tc>
      </w:tr>
      <w:tr>
        <w:trPr>
          <w:trHeight w:val="210"/>
        </w:trPr>
        <w:tc>
          <w:tcPr>
            <w:tcW w:w="39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Common stock dividends and distributions to CEG unit holders</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(311)</w:t>
            </w:r>
          </w:p>
        </w:tc>
        <w:tc>
          <w:tcPr>
            <w:tcW w:w="0" w:type="dxa"/>
            <w:vAlign w:val="bottom"/>
          </w:tcPr>
          <w:p>
            <w:pPr>
              <w:spacing w:after="0"/>
              <w:rPr>
                <w:sz w:val="1"/>
                <w:szCs w:val="1"/>
                <w:color w:val="auto"/>
              </w:rPr>
            </w:pPr>
          </w:p>
        </w:tc>
      </w:tr>
      <w:tr>
        <w:trPr>
          <w:trHeight w:val="189"/>
        </w:trPr>
        <w:tc>
          <w:tcPr>
            <w:tcW w:w="39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Balances at December 31, 2023</w:t>
            </w:r>
          </w:p>
        </w:tc>
        <w:tc>
          <w:tcPr>
            <w:tcW w:w="100" w:type="dxa"/>
            <w:vAlign w:val="bottom"/>
            <w:tcBorders>
              <w:top w:val="single" w:sz="8" w:color="auto"/>
            </w:tcBorders>
          </w:tcPr>
          <w:p>
            <w:pPr>
              <w:spacing w:after="0"/>
              <w:rPr>
                <w:sz w:val="16"/>
                <w:szCs w:val="16"/>
                <w:color w:val="auto"/>
              </w:rPr>
            </w:pPr>
          </w:p>
        </w:tc>
        <w:tc>
          <w:tcPr>
            <w:tcW w:w="600" w:type="dxa"/>
            <w:vAlign w:val="bottom"/>
            <w:tcBorders>
              <w:top w:val="single" w:sz="8" w:color="auto"/>
            </w:tcBorders>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62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1,732</w:t>
            </w:r>
          </w:p>
        </w:tc>
        <w:tc>
          <w:tcPr>
            <w:tcW w:w="10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361</w:t>
            </w:r>
          </w:p>
        </w:tc>
        <w:tc>
          <w:tcPr>
            <w:tcW w:w="14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7</w:t>
            </w:r>
          </w:p>
        </w:tc>
        <w:tc>
          <w:tcPr>
            <w:tcW w:w="14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2,893</w:t>
            </w:r>
          </w:p>
        </w:tc>
        <w:tc>
          <w:tcPr>
            <w:tcW w:w="1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4,994</w:t>
            </w:r>
          </w:p>
        </w:tc>
        <w:tc>
          <w:tcPr>
            <w:tcW w:w="0" w:type="dxa"/>
            <w:vAlign w:val="bottom"/>
          </w:tcPr>
          <w:p>
            <w:pPr>
              <w:spacing w:after="0"/>
              <w:rPr>
                <w:sz w:val="1"/>
                <w:szCs w:val="1"/>
                <w:color w:val="auto"/>
              </w:rPr>
            </w:pPr>
          </w:p>
        </w:tc>
      </w:tr>
      <w:tr>
        <w:trPr>
          <w:trHeight w:val="210"/>
        </w:trPr>
        <w:tc>
          <w:tcPr>
            <w:tcW w:w="39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Net income (loss)</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88</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w:t>
            </w:r>
          </w:p>
        </w:tc>
        <w:tc>
          <w:tcPr>
            <w:tcW w:w="0" w:type="dxa"/>
            <w:vAlign w:val="bottom"/>
          </w:tcPr>
          <w:p>
            <w:pPr>
              <w:spacing w:after="0"/>
              <w:rPr>
                <w:sz w:val="1"/>
                <w:szCs w:val="1"/>
                <w:color w:val="auto"/>
              </w:rPr>
            </w:pPr>
          </w:p>
        </w:tc>
      </w:tr>
      <w:tr>
        <w:trPr>
          <w:trHeight w:val="139"/>
        </w:trPr>
        <w:tc>
          <w:tcPr>
            <w:tcW w:w="3940" w:type="dxa"/>
            <w:vAlign w:val="bottom"/>
          </w:tcPr>
          <w:p>
            <w:pPr>
              <w:ind w:left="100"/>
              <w:spacing w:after="0" w:line="139" w:lineRule="exact"/>
              <w:rPr>
                <w:sz w:val="20"/>
                <w:szCs w:val="20"/>
                <w:color w:val="auto"/>
              </w:rPr>
            </w:pPr>
            <w:r>
              <w:rPr>
                <w:rFonts w:ascii="Times New Roman" w:cs="Times New Roman" w:eastAsia="Times New Roman" w:hAnsi="Times New Roman"/>
                <w:sz w:val="14"/>
                <w:szCs w:val="14"/>
                <w:color w:val="auto"/>
              </w:rPr>
              <w:t>Unrealized loss on derivatives and changes in accumulated OCI,</w:t>
            </w:r>
          </w:p>
        </w:tc>
        <w:tc>
          <w:tcPr>
            <w:tcW w:w="100" w:type="dxa"/>
            <w:vAlign w:val="bottom"/>
          </w:tcPr>
          <w:p>
            <w:pPr>
              <w:spacing w:after="0"/>
              <w:rPr>
                <w:sz w:val="12"/>
                <w:szCs w:val="12"/>
                <w:color w:val="auto"/>
              </w:rPr>
            </w:pPr>
          </w:p>
        </w:tc>
        <w:tc>
          <w:tcPr>
            <w:tcW w:w="720" w:type="dxa"/>
            <w:vAlign w:val="bottom"/>
            <w:gridSpan w:val="2"/>
            <w:vMerge w:val="restart"/>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7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8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0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0" w:type="dxa"/>
            <w:vAlign w:val="bottom"/>
          </w:tcPr>
          <w:p>
            <w:pPr>
              <w:spacing w:after="0"/>
              <w:rPr>
                <w:sz w:val="1"/>
                <w:szCs w:val="1"/>
                <w:color w:val="auto"/>
              </w:rPr>
            </w:pPr>
          </w:p>
        </w:tc>
      </w:tr>
      <w:tr>
        <w:trPr>
          <w:trHeight w:val="193"/>
        </w:trPr>
        <w:tc>
          <w:tcPr>
            <w:tcW w:w="39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net of tax</w:t>
            </w:r>
          </w:p>
        </w:tc>
        <w:tc>
          <w:tcPr>
            <w:tcW w:w="10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39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Contributions from CEG, net of distributions, cash</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194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194</w:t>
            </w:r>
          </w:p>
        </w:tc>
        <w:tc>
          <w:tcPr>
            <w:tcW w:w="0" w:type="dxa"/>
            <w:vAlign w:val="bottom"/>
          </w:tcPr>
          <w:p>
            <w:pPr>
              <w:spacing w:after="0"/>
              <w:rPr>
                <w:sz w:val="1"/>
                <w:szCs w:val="1"/>
                <w:color w:val="auto"/>
              </w:rPr>
            </w:pPr>
          </w:p>
        </w:tc>
      </w:tr>
      <w:tr>
        <w:trPr>
          <w:trHeight w:val="139"/>
        </w:trPr>
        <w:tc>
          <w:tcPr>
            <w:tcW w:w="3940" w:type="dxa"/>
            <w:vAlign w:val="bottom"/>
          </w:tcPr>
          <w:p>
            <w:pPr>
              <w:ind w:left="100"/>
              <w:spacing w:after="0" w:line="139" w:lineRule="exact"/>
              <w:rPr>
                <w:sz w:val="20"/>
                <w:szCs w:val="20"/>
                <w:color w:val="auto"/>
              </w:rPr>
            </w:pPr>
            <w:r>
              <w:rPr>
                <w:rFonts w:ascii="Times New Roman" w:cs="Times New Roman" w:eastAsia="Times New Roman" w:hAnsi="Times New Roman"/>
                <w:sz w:val="14"/>
                <w:szCs w:val="14"/>
                <w:color w:val="auto"/>
              </w:rPr>
              <w:t>Contributions from noncontrolling interests, net of distributions,</w:t>
            </w:r>
          </w:p>
        </w:tc>
        <w:tc>
          <w:tcPr>
            <w:tcW w:w="100" w:type="dxa"/>
            <w:vAlign w:val="bottom"/>
          </w:tcPr>
          <w:p>
            <w:pPr>
              <w:spacing w:after="0"/>
              <w:rPr>
                <w:sz w:val="12"/>
                <w:szCs w:val="12"/>
                <w:color w:val="auto"/>
              </w:rPr>
            </w:pPr>
          </w:p>
        </w:tc>
        <w:tc>
          <w:tcPr>
            <w:tcW w:w="720" w:type="dxa"/>
            <w:vAlign w:val="bottom"/>
            <w:gridSpan w:val="2"/>
            <w:vMerge w:val="restart"/>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7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8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0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1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700" w:type="dxa"/>
            <w:vAlign w:val="bottom"/>
            <w:vMerge w:val="restart"/>
          </w:tcPr>
          <w:p>
            <w:pPr>
              <w:jc w:val="right"/>
              <w:ind w:right="9"/>
              <w:spacing w:after="0"/>
              <w:rPr>
                <w:sz w:val="20"/>
                <w:szCs w:val="20"/>
                <w:color w:val="auto"/>
              </w:rPr>
            </w:pPr>
            <w:r>
              <w:rPr>
                <w:rFonts w:ascii="Times New Roman" w:cs="Times New Roman" w:eastAsia="Times New Roman" w:hAnsi="Times New Roman"/>
                <w:sz w:val="14"/>
                <w:szCs w:val="14"/>
                <w:color w:val="auto"/>
              </w:rPr>
              <w:t>1,321</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vMerge w:val="restart"/>
          </w:tcPr>
          <w:p>
            <w:pPr>
              <w:jc w:val="right"/>
              <w:ind w:right="9"/>
              <w:spacing w:after="0"/>
              <w:rPr>
                <w:sz w:val="20"/>
                <w:szCs w:val="20"/>
                <w:color w:val="auto"/>
              </w:rPr>
            </w:pPr>
            <w:r>
              <w:rPr>
                <w:rFonts w:ascii="Times New Roman" w:cs="Times New Roman" w:eastAsia="Times New Roman" w:hAnsi="Times New Roman"/>
                <w:sz w:val="14"/>
                <w:szCs w:val="14"/>
                <w:color w:val="auto"/>
              </w:rPr>
              <w:t>1,321</w:t>
            </w:r>
          </w:p>
        </w:tc>
        <w:tc>
          <w:tcPr>
            <w:tcW w:w="0" w:type="dxa"/>
            <w:vAlign w:val="bottom"/>
          </w:tcPr>
          <w:p>
            <w:pPr>
              <w:spacing w:after="0"/>
              <w:rPr>
                <w:sz w:val="1"/>
                <w:szCs w:val="1"/>
                <w:color w:val="auto"/>
              </w:rPr>
            </w:pPr>
          </w:p>
        </w:tc>
      </w:tr>
      <w:tr>
        <w:trPr>
          <w:trHeight w:val="193"/>
        </w:trPr>
        <w:tc>
          <w:tcPr>
            <w:tcW w:w="39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cash</w:t>
            </w:r>
          </w:p>
        </w:tc>
        <w:tc>
          <w:tcPr>
            <w:tcW w:w="10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39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Distributions to noncontrolling interests, non-cash</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195"/>
        </w:trPr>
        <w:tc>
          <w:tcPr>
            <w:tcW w:w="39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Tax-related distributions</w:t>
            </w:r>
          </w:p>
        </w:tc>
        <w:tc>
          <w:tcPr>
            <w:tcW w:w="100" w:type="dxa"/>
            <w:vAlign w:val="bottom"/>
          </w:tcPr>
          <w:p>
            <w:pPr>
              <w:spacing w:after="0"/>
              <w:rPr>
                <w:sz w:val="16"/>
                <w:szCs w:val="16"/>
                <w:color w:val="auto"/>
              </w:rPr>
            </w:pPr>
          </w:p>
        </w:tc>
        <w:tc>
          <w:tcPr>
            <w:tcW w:w="720" w:type="dxa"/>
            <w:vAlign w:val="bottom"/>
            <w:gridSpan w:val="2"/>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210"/>
        </w:trPr>
        <w:tc>
          <w:tcPr>
            <w:tcW w:w="39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Transfer of assets under common control</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7</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(593)</w:t>
            </w:r>
          </w:p>
        </w:tc>
        <w:tc>
          <w:tcPr>
            <w:tcW w:w="0" w:type="dxa"/>
            <w:vAlign w:val="bottom"/>
          </w:tcPr>
          <w:p>
            <w:pPr>
              <w:spacing w:after="0"/>
              <w:rPr>
                <w:sz w:val="1"/>
                <w:szCs w:val="1"/>
                <w:color w:val="auto"/>
              </w:rPr>
            </w:pPr>
          </w:p>
        </w:tc>
      </w:tr>
      <w:tr>
        <w:trPr>
          <w:trHeight w:val="195"/>
        </w:trPr>
        <w:tc>
          <w:tcPr>
            <w:tcW w:w="39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Buyout of noncontrolling interest</w:t>
            </w:r>
          </w:p>
        </w:tc>
        <w:tc>
          <w:tcPr>
            <w:tcW w:w="100" w:type="dxa"/>
            <w:vAlign w:val="bottom"/>
          </w:tcPr>
          <w:p>
            <w:pPr>
              <w:spacing w:after="0"/>
              <w:rPr>
                <w:sz w:val="16"/>
                <w:szCs w:val="16"/>
                <w:color w:val="auto"/>
              </w:rPr>
            </w:pPr>
          </w:p>
        </w:tc>
        <w:tc>
          <w:tcPr>
            <w:tcW w:w="720" w:type="dxa"/>
            <w:vAlign w:val="bottom"/>
            <w:gridSpan w:val="2"/>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0" w:type="dxa"/>
            <w:vAlign w:val="bottom"/>
          </w:tcPr>
          <w:p>
            <w:pPr>
              <w:spacing w:after="0"/>
              <w:rPr>
                <w:sz w:val="1"/>
                <w:szCs w:val="1"/>
                <w:color w:val="auto"/>
              </w:rPr>
            </w:pPr>
          </w:p>
        </w:tc>
      </w:tr>
      <w:tr>
        <w:trPr>
          <w:trHeight w:val="210"/>
        </w:trPr>
        <w:tc>
          <w:tcPr>
            <w:tcW w:w="39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Buyout of redeemable noncontrolling interest</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7</w:t>
            </w:r>
          </w:p>
        </w:tc>
        <w:tc>
          <w:tcPr>
            <w:tcW w:w="0" w:type="dxa"/>
            <w:vAlign w:val="bottom"/>
          </w:tcPr>
          <w:p>
            <w:pPr>
              <w:spacing w:after="0"/>
              <w:rPr>
                <w:sz w:val="1"/>
                <w:szCs w:val="1"/>
                <w:color w:val="auto"/>
              </w:rPr>
            </w:pPr>
          </w:p>
        </w:tc>
      </w:tr>
      <w:tr>
        <w:trPr>
          <w:trHeight w:val="195"/>
        </w:trPr>
        <w:tc>
          <w:tcPr>
            <w:tcW w:w="39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Non-cash adjustments for change in tax basis</w:t>
            </w:r>
          </w:p>
        </w:tc>
        <w:tc>
          <w:tcPr>
            <w:tcW w:w="100" w:type="dxa"/>
            <w:vAlign w:val="bottom"/>
          </w:tcPr>
          <w:p>
            <w:pPr>
              <w:spacing w:after="0"/>
              <w:rPr>
                <w:sz w:val="16"/>
                <w:szCs w:val="16"/>
                <w:color w:val="auto"/>
              </w:rPr>
            </w:pPr>
          </w:p>
        </w:tc>
        <w:tc>
          <w:tcPr>
            <w:tcW w:w="720" w:type="dxa"/>
            <w:vAlign w:val="bottom"/>
            <w:gridSpan w:val="2"/>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4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61</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8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61</w:t>
            </w:r>
          </w:p>
        </w:tc>
        <w:tc>
          <w:tcPr>
            <w:tcW w:w="0" w:type="dxa"/>
            <w:vAlign w:val="bottom"/>
          </w:tcPr>
          <w:p>
            <w:pPr>
              <w:spacing w:after="0"/>
              <w:rPr>
                <w:sz w:val="1"/>
                <w:szCs w:val="1"/>
                <w:color w:val="auto"/>
              </w:rPr>
            </w:pPr>
          </w:p>
        </w:tc>
      </w:tr>
      <w:tr>
        <w:trPr>
          <w:trHeight w:val="210"/>
        </w:trPr>
        <w:tc>
          <w:tcPr>
            <w:tcW w:w="39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Stock-based compensation</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195"/>
        </w:trPr>
        <w:tc>
          <w:tcPr>
            <w:tcW w:w="39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Common stock dividends and distributions to CEG unit holders</w:t>
            </w:r>
          </w:p>
        </w:tc>
        <w:tc>
          <w:tcPr>
            <w:tcW w:w="100" w:type="dxa"/>
            <w:vAlign w:val="bottom"/>
          </w:tcPr>
          <w:p>
            <w:pPr>
              <w:spacing w:after="0"/>
              <w:rPr>
                <w:sz w:val="16"/>
                <w:szCs w:val="16"/>
                <w:color w:val="auto"/>
              </w:rPr>
            </w:pPr>
          </w:p>
        </w:tc>
        <w:tc>
          <w:tcPr>
            <w:tcW w:w="720" w:type="dxa"/>
            <w:vAlign w:val="bottom"/>
            <w:gridSpan w:val="2"/>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(194)</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(140)</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(334)</w:t>
            </w:r>
          </w:p>
        </w:tc>
        <w:tc>
          <w:tcPr>
            <w:tcW w:w="0" w:type="dxa"/>
            <w:vAlign w:val="bottom"/>
          </w:tcPr>
          <w:p>
            <w:pPr>
              <w:spacing w:after="0"/>
              <w:rPr>
                <w:sz w:val="1"/>
                <w:szCs w:val="1"/>
                <w:color w:val="auto"/>
              </w:rPr>
            </w:pPr>
          </w:p>
        </w:tc>
      </w:tr>
      <w:tr>
        <w:trPr>
          <w:trHeight w:val="210"/>
        </w:trPr>
        <w:tc>
          <w:tcPr>
            <w:tcW w:w="39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Other</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2</w:t>
            </w:r>
          </w:p>
        </w:tc>
        <w:tc>
          <w:tcPr>
            <w:tcW w:w="0" w:type="dxa"/>
            <w:vAlign w:val="bottom"/>
          </w:tcPr>
          <w:p>
            <w:pPr>
              <w:spacing w:after="0"/>
              <w:rPr>
                <w:sz w:val="1"/>
                <w:szCs w:val="1"/>
                <w:color w:val="auto"/>
              </w:rPr>
            </w:pPr>
          </w:p>
        </w:tc>
      </w:tr>
      <w:tr>
        <w:trPr>
          <w:trHeight w:val="196"/>
        </w:trPr>
        <w:tc>
          <w:tcPr>
            <w:tcW w:w="39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Balances at December 31, 2024</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Borders>
              <w:top w:val="single" w:sz="8" w:color="auto"/>
              <w:bottom w:val="single" w:sz="8" w:color="auto"/>
            </w:tcBorders>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Borders>
              <w:top w:val="single" w:sz="8" w:color="auto"/>
            </w:tcBorders>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top w:val="single" w:sz="8" w:color="auto"/>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1,805</w:t>
            </w:r>
          </w:p>
        </w:tc>
        <w:tc>
          <w:tcPr>
            <w:tcW w:w="100" w:type="dxa"/>
            <w:vAlign w:val="bottom"/>
          </w:tcPr>
          <w:p>
            <w:pPr>
              <w:spacing w:after="0"/>
              <w:rPr>
                <w:sz w:val="17"/>
                <w:szCs w:val="17"/>
                <w:color w:val="auto"/>
              </w:rPr>
            </w:pPr>
          </w:p>
        </w:tc>
        <w:tc>
          <w:tcPr>
            <w:tcW w:w="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254</w:t>
            </w:r>
          </w:p>
        </w:tc>
        <w:tc>
          <w:tcPr>
            <w:tcW w:w="140" w:type="dxa"/>
            <w:vAlign w:val="bottom"/>
          </w:tcPr>
          <w:p>
            <w:pPr>
              <w:spacing w:after="0"/>
              <w:rPr>
                <w:sz w:val="17"/>
                <w:szCs w:val="17"/>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top w:val="single" w:sz="8" w:color="auto"/>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3</w:t>
            </w:r>
          </w:p>
        </w:tc>
        <w:tc>
          <w:tcPr>
            <w:tcW w:w="140" w:type="dxa"/>
            <w:vAlign w:val="bottom"/>
          </w:tcPr>
          <w:p>
            <w:pPr>
              <w:spacing w:after="0"/>
              <w:rPr>
                <w:sz w:val="17"/>
                <w:szCs w:val="17"/>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3,501</w:t>
            </w:r>
          </w:p>
        </w:tc>
        <w:tc>
          <w:tcPr>
            <w:tcW w:w="10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5,564</w:t>
            </w:r>
          </w:p>
        </w:tc>
        <w:tc>
          <w:tcPr>
            <w:tcW w:w="0" w:type="dxa"/>
            <w:vAlign w:val="bottom"/>
          </w:tcPr>
          <w:p>
            <w:pPr>
              <w:spacing w:after="0"/>
              <w:rPr>
                <w:sz w:val="1"/>
                <w:szCs w:val="1"/>
                <w:color w:val="auto"/>
              </w:rPr>
            </w:pPr>
          </w:p>
        </w:tc>
      </w:tr>
      <w:tr>
        <w:trPr>
          <w:trHeight w:val="20"/>
        </w:trPr>
        <w:tc>
          <w:tcPr>
            <w:tcW w:w="39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10</w:t>
      </w:r>
    </w:p>
    <w:p>
      <w:pPr>
        <w:sectPr>
          <w:pgSz w:w="11900" w:h="16838" w:orient="portrait"/>
          <w:cols w:equalWidth="0" w:num="1">
            <w:col w:w="10660"/>
          </w:cols>
          <w:pgMar w:left="620" w:top="765" w:right="61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20"/>
          <w:szCs w:val="20"/>
          <w:b w:val="1"/>
          <w:bCs w:val="1"/>
          <w:color w:val="auto"/>
        </w:rPr>
        <w:t>Appendix Table A-1: Three Months Ended December 31, 2024, Segment Adjusted EBITDA Reconciliation</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The following table summarizes the calculation of Adjusted EBITDA and provides a reconciliation to Net Income/(Loss):</w:t>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4180" w:type="dxa"/>
            <w:vAlign w:val="bottom"/>
            <w:gridSpan w:val="2"/>
          </w:tcPr>
          <w:p>
            <w:pPr>
              <w:ind w:left="20"/>
              <w:spacing w:after="0"/>
              <w:rPr>
                <w:sz w:val="20"/>
                <w:szCs w:val="20"/>
                <w:color w:val="auto"/>
              </w:rPr>
            </w:pPr>
            <w:r>
              <w:rPr>
                <w:rFonts w:ascii="Times New Roman" w:cs="Times New Roman" w:eastAsia="Times New Roman" w:hAnsi="Times New Roman"/>
                <w:sz w:val="18"/>
                <w:szCs w:val="18"/>
                <w:i w:val="1"/>
                <w:iCs w:val="1"/>
                <w:color w:val="auto"/>
              </w:rPr>
              <w:t>($ in millions)</w:t>
            </w:r>
          </w:p>
        </w:tc>
        <w:tc>
          <w:tcPr>
            <w:tcW w:w="126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Flexible Generation</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Renewables</w:t>
            </w:r>
          </w:p>
        </w:tc>
        <w:tc>
          <w:tcPr>
            <w:tcW w:w="14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Corporate</w:t>
            </w:r>
          </w:p>
        </w:tc>
        <w:tc>
          <w:tcPr>
            <w:tcW w:w="14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29"/>
        </w:trPr>
        <w:tc>
          <w:tcPr>
            <w:tcW w:w="40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(Loss)</w:t>
            </w:r>
          </w:p>
        </w:tc>
        <w:tc>
          <w:tcPr>
            <w:tcW w:w="140" w:type="dxa"/>
            <w:vAlign w:val="bottom"/>
            <w:tcBorders>
              <w:bottom w:val="single" w:sz="8" w:color="CCEEFF"/>
            </w:tcBorders>
          </w:tcPr>
          <w:p>
            <w:pPr>
              <w:spacing w:after="0"/>
              <w:rPr>
                <w:sz w:val="19"/>
                <w:szCs w:val="19"/>
                <w:color w:val="auto"/>
              </w:rPr>
            </w:pPr>
          </w:p>
        </w:tc>
        <w:tc>
          <w:tcPr>
            <w:tcW w:w="5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4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40" w:type="dxa"/>
            <w:vAlign w:val="bottom"/>
            <w:tcBorders>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223"/>
        </w:trPr>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Plus:</w:t>
            </w:r>
          </w:p>
        </w:tc>
        <w:tc>
          <w:tcPr>
            <w:tcW w:w="14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29"/>
        </w:trPr>
        <w:tc>
          <w:tcPr>
            <w:tcW w:w="41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Income tax (benefit)/expense</w:t>
            </w:r>
          </w:p>
        </w:tc>
        <w:tc>
          <w:tcPr>
            <w:tcW w:w="5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41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expense, net</w:t>
            </w:r>
          </w:p>
        </w:tc>
        <w:tc>
          <w:tcPr>
            <w:tcW w:w="5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29"/>
        </w:trPr>
        <w:tc>
          <w:tcPr>
            <w:tcW w:w="41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Depreciation, amortization, and ARO</w:t>
            </w:r>
          </w:p>
        </w:tc>
        <w:tc>
          <w:tcPr>
            <w:tcW w:w="5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w:t>
            </w:r>
          </w:p>
        </w:tc>
      </w:tr>
      <w:tr>
        <w:trPr>
          <w:trHeight w:val="229"/>
        </w:trPr>
        <w:tc>
          <w:tcPr>
            <w:tcW w:w="41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Contract amortization</w:t>
            </w:r>
          </w:p>
        </w:tc>
        <w:tc>
          <w:tcPr>
            <w:tcW w:w="5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r>
      <w:tr>
        <w:trPr>
          <w:trHeight w:val="230"/>
        </w:trPr>
        <w:tc>
          <w:tcPr>
            <w:tcW w:w="41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Loss on debt extinguishment</w:t>
            </w:r>
          </w:p>
        </w:tc>
        <w:tc>
          <w:tcPr>
            <w:tcW w:w="560" w:type="dxa"/>
            <w:vAlign w:val="bottom"/>
          </w:tcPr>
          <w:p>
            <w:pPr>
              <w:spacing w:after="0"/>
              <w:rPr>
                <w:sz w:val="19"/>
                <w:szCs w:val="19"/>
                <w:color w:val="auto"/>
              </w:rPr>
            </w:pP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29"/>
        </w:trPr>
        <w:tc>
          <w:tcPr>
            <w:tcW w:w="41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Mark to Market (MtM) losses on economic hedges</w:t>
            </w:r>
          </w:p>
        </w:tc>
        <w:tc>
          <w:tcPr>
            <w:tcW w:w="5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230"/>
        </w:trPr>
        <w:tc>
          <w:tcPr>
            <w:tcW w:w="41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Transaction and integration costs</w:t>
            </w:r>
          </w:p>
        </w:tc>
        <w:tc>
          <w:tcPr>
            <w:tcW w:w="560" w:type="dxa"/>
            <w:vAlign w:val="bottom"/>
          </w:tcPr>
          <w:p>
            <w:pPr>
              <w:spacing w:after="0"/>
              <w:rPr>
                <w:sz w:val="19"/>
                <w:szCs w:val="19"/>
                <w:color w:val="auto"/>
              </w:rPr>
            </w:pP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184"/>
        </w:trPr>
        <w:tc>
          <w:tcPr>
            <w:tcW w:w="4180" w:type="dxa"/>
            <w:vAlign w:val="bottom"/>
            <w:gridSpan w:val="2"/>
            <w:shd w:val="clear" w:color="auto" w:fill="CCEEFF"/>
          </w:tcPr>
          <w:p>
            <w:pPr>
              <w:ind w:left="180"/>
              <w:spacing w:after="0" w:line="184" w:lineRule="exact"/>
              <w:rPr>
                <w:sz w:val="20"/>
                <w:szCs w:val="20"/>
                <w:color w:val="auto"/>
              </w:rPr>
            </w:pPr>
            <w:r>
              <w:rPr>
                <w:rFonts w:ascii="Times New Roman" w:cs="Times New Roman" w:eastAsia="Times New Roman" w:hAnsi="Times New Roman"/>
                <w:sz w:val="18"/>
                <w:szCs w:val="18"/>
                <w:color w:val="auto"/>
              </w:rPr>
              <w:t>Adjustments to reflect CWEN’s pro-rata share of</w:t>
            </w:r>
          </w:p>
        </w:tc>
        <w:tc>
          <w:tcPr>
            <w:tcW w:w="56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r>
      <w:tr>
        <w:trPr>
          <w:trHeight w:val="234"/>
        </w:trPr>
        <w:tc>
          <w:tcPr>
            <w:tcW w:w="41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Adjusted EBITDA from unconsolidated affiliates</w:t>
            </w:r>
          </w:p>
        </w:tc>
        <w:tc>
          <w:tcPr>
            <w:tcW w:w="56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29"/>
        </w:trPr>
        <w:tc>
          <w:tcPr>
            <w:tcW w:w="41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Non-cash equity compensation</w:t>
            </w:r>
          </w:p>
        </w:tc>
        <w:tc>
          <w:tcPr>
            <w:tcW w:w="560" w:type="dxa"/>
            <w:vAlign w:val="bottom"/>
          </w:tcPr>
          <w:p>
            <w:pPr>
              <w:spacing w:after="0"/>
              <w:rPr>
                <w:sz w:val="19"/>
                <w:szCs w:val="19"/>
                <w:color w:val="auto"/>
              </w:rPr>
            </w:pP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48"/>
        </w:trPr>
        <w:tc>
          <w:tcPr>
            <w:tcW w:w="404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56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178</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228</w:t>
            </w:r>
          </w:p>
        </w:tc>
      </w:tr>
      <w:tr>
        <w:trPr>
          <w:trHeight w:val="20"/>
        </w:trPr>
        <w:tc>
          <w:tcPr>
            <w:tcW w:w="40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Appendix Table A-2: Three Months Ended December 31, 2023, Segment Adjusted EBITDA Reconciliation</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The following table summarizes the calculation of Adjusted EBITDA and provides a reconciliation to Net Income/(Loss):</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4180" w:type="dxa"/>
            <w:vAlign w:val="bottom"/>
            <w:gridSpan w:val="2"/>
          </w:tcPr>
          <w:p>
            <w:pPr>
              <w:ind w:left="20"/>
              <w:spacing w:after="0"/>
              <w:rPr>
                <w:sz w:val="20"/>
                <w:szCs w:val="20"/>
                <w:color w:val="auto"/>
              </w:rPr>
            </w:pPr>
            <w:r>
              <w:rPr>
                <w:rFonts w:ascii="Times New Roman" w:cs="Times New Roman" w:eastAsia="Times New Roman" w:hAnsi="Times New Roman"/>
                <w:sz w:val="18"/>
                <w:szCs w:val="18"/>
                <w:i w:val="1"/>
                <w:iCs w:val="1"/>
                <w:color w:val="auto"/>
              </w:rPr>
              <w:t>($ in millions)</w:t>
            </w:r>
          </w:p>
        </w:tc>
        <w:tc>
          <w:tcPr>
            <w:tcW w:w="126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Flexible Generation</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71"/>
              <w:spacing w:after="0"/>
              <w:rPr>
                <w:sz w:val="20"/>
                <w:szCs w:val="20"/>
                <w:color w:val="auto"/>
              </w:rPr>
            </w:pPr>
            <w:r>
              <w:rPr>
                <w:rFonts w:ascii="Times New Roman" w:cs="Times New Roman" w:eastAsia="Times New Roman" w:hAnsi="Times New Roman"/>
                <w:sz w:val="14"/>
                <w:szCs w:val="14"/>
                <w:b w:val="1"/>
                <w:bCs w:val="1"/>
                <w:color w:val="auto"/>
              </w:rPr>
              <w:t>Renewables</w:t>
            </w:r>
          </w:p>
        </w:tc>
        <w:tc>
          <w:tcPr>
            <w:tcW w:w="14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231"/>
              <w:spacing w:after="0"/>
              <w:rPr>
                <w:sz w:val="20"/>
                <w:szCs w:val="20"/>
                <w:color w:val="auto"/>
              </w:rPr>
            </w:pPr>
            <w:r>
              <w:rPr>
                <w:rFonts w:ascii="Times New Roman" w:cs="Times New Roman" w:eastAsia="Times New Roman" w:hAnsi="Times New Roman"/>
                <w:sz w:val="14"/>
                <w:szCs w:val="14"/>
                <w:b w:val="1"/>
                <w:bCs w:val="1"/>
                <w:color w:val="auto"/>
              </w:rPr>
              <w:t>Corporate</w:t>
            </w:r>
          </w:p>
        </w:tc>
        <w:tc>
          <w:tcPr>
            <w:tcW w:w="14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91"/>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29"/>
        </w:trPr>
        <w:tc>
          <w:tcPr>
            <w:tcW w:w="40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(Loss)</w:t>
            </w:r>
          </w:p>
        </w:tc>
        <w:tc>
          <w:tcPr>
            <w:tcW w:w="140" w:type="dxa"/>
            <w:vAlign w:val="bottom"/>
            <w:tcBorders>
              <w:bottom w:val="single" w:sz="8" w:color="CCEEFF"/>
            </w:tcBorders>
          </w:tcPr>
          <w:p>
            <w:pPr>
              <w:spacing w:after="0"/>
              <w:rPr>
                <w:sz w:val="19"/>
                <w:szCs w:val="19"/>
                <w:color w:val="auto"/>
              </w:rPr>
            </w:pPr>
          </w:p>
        </w:tc>
        <w:tc>
          <w:tcPr>
            <w:tcW w:w="5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14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40" w:type="dxa"/>
            <w:vAlign w:val="bottom"/>
            <w:tcBorders>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w:t>
            </w:r>
          </w:p>
        </w:tc>
      </w:tr>
      <w:tr>
        <w:trPr>
          <w:trHeight w:val="223"/>
        </w:trPr>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Plus:</w:t>
            </w:r>
          </w:p>
        </w:tc>
        <w:tc>
          <w:tcPr>
            <w:tcW w:w="14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29"/>
        </w:trPr>
        <w:tc>
          <w:tcPr>
            <w:tcW w:w="41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Income tax benefit</w:t>
            </w:r>
          </w:p>
        </w:tc>
        <w:tc>
          <w:tcPr>
            <w:tcW w:w="560" w:type="dxa"/>
            <w:vAlign w:val="bottom"/>
          </w:tcPr>
          <w:p>
            <w:pPr>
              <w:spacing w:after="0"/>
              <w:rPr>
                <w:sz w:val="19"/>
                <w:szCs w:val="19"/>
                <w:color w:val="auto"/>
              </w:rPr>
            </w:pP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r>
      <w:tr>
        <w:trPr>
          <w:trHeight w:val="230"/>
        </w:trPr>
        <w:tc>
          <w:tcPr>
            <w:tcW w:w="41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Expense, net</w:t>
            </w:r>
          </w:p>
        </w:tc>
        <w:tc>
          <w:tcPr>
            <w:tcW w:w="5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w:t>
            </w:r>
          </w:p>
        </w:tc>
      </w:tr>
      <w:tr>
        <w:trPr>
          <w:trHeight w:val="230"/>
        </w:trPr>
        <w:tc>
          <w:tcPr>
            <w:tcW w:w="41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Depreciation, amortization, and ARO</w:t>
            </w:r>
          </w:p>
        </w:tc>
        <w:tc>
          <w:tcPr>
            <w:tcW w:w="5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w:t>
            </w:r>
          </w:p>
        </w:tc>
      </w:tr>
      <w:tr>
        <w:trPr>
          <w:trHeight w:val="230"/>
        </w:trPr>
        <w:tc>
          <w:tcPr>
            <w:tcW w:w="41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Contract amortization</w:t>
            </w:r>
          </w:p>
        </w:tc>
        <w:tc>
          <w:tcPr>
            <w:tcW w:w="5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r>
      <w:tr>
        <w:trPr>
          <w:trHeight w:val="175"/>
        </w:trPr>
        <w:tc>
          <w:tcPr>
            <w:tcW w:w="4180" w:type="dxa"/>
            <w:vAlign w:val="bottom"/>
            <w:gridSpan w:val="2"/>
          </w:tcPr>
          <w:p>
            <w:pPr>
              <w:ind w:left="180"/>
              <w:spacing w:after="0" w:line="176" w:lineRule="exact"/>
              <w:rPr>
                <w:sz w:val="20"/>
                <w:szCs w:val="20"/>
                <w:color w:val="auto"/>
              </w:rPr>
            </w:pPr>
            <w:r>
              <w:rPr>
                <w:rFonts w:ascii="Times New Roman" w:cs="Times New Roman" w:eastAsia="Times New Roman" w:hAnsi="Times New Roman"/>
                <w:sz w:val="18"/>
                <w:szCs w:val="18"/>
                <w:color w:val="auto"/>
              </w:rPr>
              <w:t>Impairment losses and impairment on equity</w:t>
            </w:r>
          </w:p>
        </w:tc>
        <w:tc>
          <w:tcPr>
            <w:tcW w:w="5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243"/>
        </w:trPr>
        <w:tc>
          <w:tcPr>
            <w:tcW w:w="41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investment</w:t>
            </w:r>
          </w:p>
        </w:tc>
        <w:tc>
          <w:tcPr>
            <w:tcW w:w="560" w:type="dxa"/>
            <w:vAlign w:val="bottom"/>
          </w:tcPr>
          <w:p>
            <w:pPr>
              <w:spacing w:after="0"/>
              <w:rPr>
                <w:sz w:val="21"/>
                <w:szCs w:val="21"/>
                <w:color w:val="auto"/>
              </w:rPr>
            </w:pP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30"/>
        </w:trPr>
        <w:tc>
          <w:tcPr>
            <w:tcW w:w="41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Loss on Debt Extinguishment</w:t>
            </w:r>
          </w:p>
        </w:tc>
        <w:tc>
          <w:tcPr>
            <w:tcW w:w="56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30"/>
        </w:trPr>
        <w:tc>
          <w:tcPr>
            <w:tcW w:w="41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Mark to Market (MtM) losses on economic hedges</w:t>
            </w:r>
          </w:p>
        </w:tc>
        <w:tc>
          <w:tcPr>
            <w:tcW w:w="5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29"/>
        </w:trPr>
        <w:tc>
          <w:tcPr>
            <w:tcW w:w="41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Transaction and integration costs</w:t>
            </w:r>
          </w:p>
        </w:tc>
        <w:tc>
          <w:tcPr>
            <w:tcW w:w="56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30"/>
        </w:trPr>
        <w:tc>
          <w:tcPr>
            <w:tcW w:w="41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Other non-recurring</w:t>
            </w:r>
          </w:p>
        </w:tc>
        <w:tc>
          <w:tcPr>
            <w:tcW w:w="5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175"/>
        </w:trPr>
        <w:tc>
          <w:tcPr>
            <w:tcW w:w="4180" w:type="dxa"/>
            <w:vAlign w:val="bottom"/>
            <w:gridSpan w:val="2"/>
            <w:shd w:val="clear" w:color="auto" w:fill="CCEEFF"/>
          </w:tcPr>
          <w:p>
            <w:pPr>
              <w:ind w:left="180"/>
              <w:spacing w:after="0" w:line="176" w:lineRule="exact"/>
              <w:rPr>
                <w:sz w:val="20"/>
                <w:szCs w:val="20"/>
                <w:color w:val="auto"/>
              </w:rPr>
            </w:pPr>
            <w:r>
              <w:rPr>
                <w:rFonts w:ascii="Times New Roman" w:cs="Times New Roman" w:eastAsia="Times New Roman" w:hAnsi="Times New Roman"/>
                <w:sz w:val="18"/>
                <w:szCs w:val="18"/>
                <w:color w:val="auto"/>
              </w:rPr>
              <w:t>Adjustments to reflect CWEN’s pro-rata share of</w:t>
            </w:r>
          </w:p>
        </w:tc>
        <w:tc>
          <w:tcPr>
            <w:tcW w:w="56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r>
      <w:tr>
        <w:trPr>
          <w:trHeight w:val="243"/>
        </w:trPr>
        <w:tc>
          <w:tcPr>
            <w:tcW w:w="41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Adjusted EBITDA from unconsolidated affiliates</w:t>
            </w:r>
          </w:p>
        </w:tc>
        <w:tc>
          <w:tcPr>
            <w:tcW w:w="56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29"/>
        </w:trPr>
        <w:tc>
          <w:tcPr>
            <w:tcW w:w="41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Non-cash equity compensation</w:t>
            </w:r>
          </w:p>
        </w:tc>
        <w:tc>
          <w:tcPr>
            <w:tcW w:w="560" w:type="dxa"/>
            <w:vAlign w:val="bottom"/>
          </w:tcPr>
          <w:p>
            <w:pPr>
              <w:spacing w:after="0"/>
              <w:rPr>
                <w:sz w:val="19"/>
                <w:szCs w:val="19"/>
                <w:color w:val="auto"/>
              </w:rPr>
            </w:pP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48"/>
        </w:trPr>
        <w:tc>
          <w:tcPr>
            <w:tcW w:w="404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56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142</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201</w:t>
            </w:r>
          </w:p>
        </w:tc>
      </w:tr>
      <w:tr>
        <w:trPr>
          <w:trHeight w:val="20"/>
        </w:trPr>
        <w:tc>
          <w:tcPr>
            <w:tcW w:w="40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6"/>
          <w:szCs w:val="16"/>
          <w:color w:val="auto"/>
        </w:rPr>
        <w:t>11</w:t>
      </w:r>
    </w:p>
    <w:p>
      <w:pPr>
        <w:sectPr>
          <w:pgSz w:w="11900" w:h="16838" w:orient="portrait"/>
          <w:cols w:equalWidth="0" w:num="1">
            <w:col w:w="10139"/>
          </w:cols>
          <w:pgMar w:left="320" w:top="761" w:right="1440" w:bottom="1440" w:gutter="0" w:footer="0" w:header="0"/>
        </w:sectPr>
      </w:pPr>
    </w:p>
    <w:bookmarkStart w:id="14" w:name="page15"/>
    <w:bookmarkEnd w:id="14"/>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Appendix Table A-3: Twelve Months Ended December 31, 2024, Segment Adjusted EBITDA Reconciliation</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The following table summarizes the calculation of Adjusted EBITDA and provides a reconciliation to Net Income/(Loss):</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4180" w:type="dxa"/>
            <w:vAlign w:val="bottom"/>
            <w:gridSpan w:val="2"/>
          </w:tcPr>
          <w:p>
            <w:pPr>
              <w:ind w:left="20"/>
              <w:spacing w:after="0"/>
              <w:rPr>
                <w:sz w:val="20"/>
                <w:szCs w:val="20"/>
                <w:color w:val="auto"/>
              </w:rPr>
            </w:pPr>
            <w:r>
              <w:rPr>
                <w:rFonts w:ascii="Times New Roman" w:cs="Times New Roman" w:eastAsia="Times New Roman" w:hAnsi="Times New Roman"/>
                <w:sz w:val="18"/>
                <w:szCs w:val="18"/>
                <w:i w:val="1"/>
                <w:iCs w:val="1"/>
                <w:color w:val="auto"/>
              </w:rPr>
              <w:t>($ in millions)</w:t>
            </w:r>
          </w:p>
        </w:tc>
        <w:tc>
          <w:tcPr>
            <w:tcW w:w="126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Flexible Generation</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73"/>
              <w:spacing w:after="0"/>
              <w:rPr>
                <w:sz w:val="20"/>
                <w:szCs w:val="20"/>
                <w:color w:val="auto"/>
              </w:rPr>
            </w:pPr>
            <w:r>
              <w:rPr>
                <w:rFonts w:ascii="Times New Roman" w:cs="Times New Roman" w:eastAsia="Times New Roman" w:hAnsi="Times New Roman"/>
                <w:sz w:val="14"/>
                <w:szCs w:val="14"/>
                <w:b w:val="1"/>
                <w:bCs w:val="1"/>
                <w:color w:val="auto"/>
              </w:rPr>
              <w:t>Renewables</w:t>
            </w:r>
          </w:p>
        </w:tc>
        <w:tc>
          <w:tcPr>
            <w:tcW w:w="14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Corporate</w:t>
            </w:r>
          </w:p>
        </w:tc>
        <w:tc>
          <w:tcPr>
            <w:tcW w:w="14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91"/>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30"/>
        </w:trPr>
        <w:tc>
          <w:tcPr>
            <w:tcW w:w="404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(Loss)</w:t>
            </w:r>
          </w:p>
        </w:tc>
        <w:tc>
          <w:tcPr>
            <w:tcW w:w="140" w:type="dxa"/>
            <w:vAlign w:val="bottom"/>
            <w:tcBorders>
              <w:top w:val="single" w:sz="8" w:color="CCEEFF"/>
            </w:tcBorders>
            <w:shd w:val="clear" w:color="auto" w:fill="CCEEFF"/>
          </w:tcPr>
          <w:p>
            <w:pPr>
              <w:spacing w:after="0"/>
              <w:rPr>
                <w:sz w:val="19"/>
                <w:szCs w:val="19"/>
                <w:color w:val="auto"/>
              </w:rPr>
            </w:pPr>
          </w:p>
        </w:tc>
        <w:tc>
          <w:tcPr>
            <w:tcW w:w="520" w:type="dxa"/>
            <w:vAlign w:val="bottom"/>
            <w:tcBorders>
              <w:top w:val="single" w:sz="8" w:color="auto"/>
              <w:bottom w:val="single" w:sz="8" w:color="auto"/>
            </w:tcBorders>
            <w:shd w:val="clear" w:color="auto" w:fill="CCEEFF"/>
          </w:tcPr>
          <w:p>
            <w:pPr>
              <w:spacing w:after="0"/>
              <w:rPr>
                <w:sz w:val="19"/>
                <w:szCs w:val="19"/>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14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(158)</w:t>
            </w:r>
          </w:p>
        </w:tc>
        <w:tc>
          <w:tcPr>
            <w:tcW w:w="14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r>
      <w:tr>
        <w:trPr>
          <w:trHeight w:val="223"/>
        </w:trPr>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Plus:</w:t>
            </w:r>
          </w:p>
        </w:tc>
        <w:tc>
          <w:tcPr>
            <w:tcW w:w="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30"/>
        </w:trPr>
        <w:tc>
          <w:tcPr>
            <w:tcW w:w="41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Income tax expense</w:t>
            </w:r>
          </w:p>
        </w:tc>
        <w:tc>
          <w:tcPr>
            <w:tcW w:w="52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29"/>
        </w:trPr>
        <w:tc>
          <w:tcPr>
            <w:tcW w:w="41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Interest expense, net</w:t>
            </w:r>
          </w:p>
        </w:tc>
        <w:tc>
          <w:tcPr>
            <w:tcW w:w="5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w:t>
            </w:r>
          </w:p>
        </w:tc>
      </w:tr>
      <w:tr>
        <w:trPr>
          <w:trHeight w:val="230"/>
        </w:trPr>
        <w:tc>
          <w:tcPr>
            <w:tcW w:w="41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Depreciation, amortization, and ARO</w:t>
            </w:r>
          </w:p>
        </w:tc>
        <w:tc>
          <w:tcPr>
            <w:tcW w:w="5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512</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627</w:t>
            </w:r>
          </w:p>
        </w:tc>
      </w:tr>
      <w:tr>
        <w:trPr>
          <w:trHeight w:val="229"/>
        </w:trPr>
        <w:tc>
          <w:tcPr>
            <w:tcW w:w="41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Contract amortization</w:t>
            </w:r>
          </w:p>
        </w:tc>
        <w:tc>
          <w:tcPr>
            <w:tcW w:w="5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w:t>
            </w:r>
          </w:p>
        </w:tc>
      </w:tr>
      <w:tr>
        <w:trPr>
          <w:trHeight w:val="229"/>
        </w:trPr>
        <w:tc>
          <w:tcPr>
            <w:tcW w:w="41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Loss on debt extinguishment</w:t>
            </w:r>
          </w:p>
        </w:tc>
        <w:tc>
          <w:tcPr>
            <w:tcW w:w="52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184"/>
        </w:trPr>
        <w:tc>
          <w:tcPr>
            <w:tcW w:w="4180" w:type="dxa"/>
            <w:vAlign w:val="bottom"/>
            <w:gridSpan w:val="2"/>
          </w:tcPr>
          <w:p>
            <w:pPr>
              <w:ind w:left="180"/>
              <w:spacing w:after="0" w:line="184" w:lineRule="exact"/>
              <w:rPr>
                <w:sz w:val="20"/>
                <w:szCs w:val="20"/>
                <w:color w:val="auto"/>
              </w:rPr>
            </w:pPr>
            <w:r>
              <w:rPr>
                <w:rFonts w:ascii="Times New Roman" w:cs="Times New Roman" w:eastAsia="Times New Roman" w:hAnsi="Times New Roman"/>
                <w:sz w:val="18"/>
                <w:szCs w:val="18"/>
                <w:color w:val="auto"/>
              </w:rPr>
              <w:t>Mark to Market (MtM) losses/(gains) on economic</w:t>
            </w:r>
          </w:p>
        </w:tc>
        <w:tc>
          <w:tcPr>
            <w:tcW w:w="5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234"/>
        </w:trPr>
        <w:tc>
          <w:tcPr>
            <w:tcW w:w="41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hedges</w:t>
            </w:r>
          </w:p>
        </w:tc>
        <w:tc>
          <w:tcPr>
            <w:tcW w:w="5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230"/>
        </w:trPr>
        <w:tc>
          <w:tcPr>
            <w:tcW w:w="41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Transaction and integration costs</w:t>
            </w:r>
          </w:p>
        </w:tc>
        <w:tc>
          <w:tcPr>
            <w:tcW w:w="52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29"/>
        </w:trPr>
        <w:tc>
          <w:tcPr>
            <w:tcW w:w="41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Other non-recurring Items</w:t>
            </w:r>
          </w:p>
        </w:tc>
        <w:tc>
          <w:tcPr>
            <w:tcW w:w="5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184"/>
        </w:trPr>
        <w:tc>
          <w:tcPr>
            <w:tcW w:w="4180" w:type="dxa"/>
            <w:vAlign w:val="bottom"/>
            <w:gridSpan w:val="2"/>
            <w:shd w:val="clear" w:color="auto" w:fill="CCEEFF"/>
          </w:tcPr>
          <w:p>
            <w:pPr>
              <w:ind w:left="180"/>
              <w:spacing w:after="0" w:line="184" w:lineRule="exact"/>
              <w:rPr>
                <w:sz w:val="20"/>
                <w:szCs w:val="20"/>
                <w:color w:val="auto"/>
              </w:rPr>
            </w:pPr>
            <w:r>
              <w:rPr>
                <w:rFonts w:ascii="Times New Roman" w:cs="Times New Roman" w:eastAsia="Times New Roman" w:hAnsi="Times New Roman"/>
                <w:sz w:val="18"/>
                <w:szCs w:val="18"/>
                <w:color w:val="auto"/>
              </w:rPr>
              <w:t>Adjustments to reflect CWEN’s pro-rata share of</w:t>
            </w:r>
          </w:p>
        </w:tc>
        <w:tc>
          <w:tcPr>
            <w:tcW w:w="52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r>
      <w:tr>
        <w:trPr>
          <w:trHeight w:val="234"/>
        </w:trPr>
        <w:tc>
          <w:tcPr>
            <w:tcW w:w="41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Adjusted EBITDA from unconsolidated affiliates</w:t>
            </w:r>
          </w:p>
        </w:tc>
        <w:tc>
          <w:tcPr>
            <w:tcW w:w="52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230"/>
        </w:trPr>
        <w:tc>
          <w:tcPr>
            <w:tcW w:w="41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Non-cash equity compensation</w:t>
            </w:r>
          </w:p>
        </w:tc>
        <w:tc>
          <w:tcPr>
            <w:tcW w:w="520" w:type="dxa"/>
            <w:vAlign w:val="bottom"/>
          </w:tcPr>
          <w:p>
            <w:pPr>
              <w:spacing w:after="0"/>
              <w:rPr>
                <w:sz w:val="19"/>
                <w:szCs w:val="19"/>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48"/>
        </w:trPr>
        <w:tc>
          <w:tcPr>
            <w:tcW w:w="404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52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948</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(34)</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1,146</w:t>
            </w:r>
          </w:p>
        </w:tc>
      </w:tr>
      <w:tr>
        <w:trPr>
          <w:trHeight w:val="20"/>
        </w:trPr>
        <w:tc>
          <w:tcPr>
            <w:tcW w:w="40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Appendix Table A-4: Twelve Months Ended December 31, 2023, Segment Adjusted EBITDA Reconciliation</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The following table summarizes the calculation of Adjusted EBITDA and provides a reconciliation to Net Income/(Loss):</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4180" w:type="dxa"/>
            <w:vAlign w:val="bottom"/>
            <w:gridSpan w:val="2"/>
          </w:tcPr>
          <w:p>
            <w:pPr>
              <w:ind w:left="20"/>
              <w:spacing w:after="0"/>
              <w:rPr>
                <w:sz w:val="20"/>
                <w:szCs w:val="20"/>
                <w:color w:val="auto"/>
              </w:rPr>
            </w:pPr>
            <w:r>
              <w:rPr>
                <w:rFonts w:ascii="Times New Roman" w:cs="Times New Roman" w:eastAsia="Times New Roman" w:hAnsi="Times New Roman"/>
                <w:sz w:val="18"/>
                <w:szCs w:val="18"/>
                <w:i w:val="1"/>
                <w:iCs w:val="1"/>
                <w:color w:val="auto"/>
              </w:rPr>
              <w:t>($ in millions)</w:t>
            </w:r>
          </w:p>
        </w:tc>
        <w:tc>
          <w:tcPr>
            <w:tcW w:w="126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Flexible Generation</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71"/>
              <w:spacing w:after="0"/>
              <w:rPr>
                <w:sz w:val="20"/>
                <w:szCs w:val="20"/>
                <w:color w:val="auto"/>
              </w:rPr>
            </w:pPr>
            <w:r>
              <w:rPr>
                <w:rFonts w:ascii="Times New Roman" w:cs="Times New Roman" w:eastAsia="Times New Roman" w:hAnsi="Times New Roman"/>
                <w:sz w:val="14"/>
                <w:szCs w:val="14"/>
                <w:b w:val="1"/>
                <w:bCs w:val="1"/>
                <w:color w:val="auto"/>
              </w:rPr>
              <w:t>Renewables</w:t>
            </w:r>
          </w:p>
        </w:tc>
        <w:tc>
          <w:tcPr>
            <w:tcW w:w="14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231"/>
              <w:spacing w:after="0"/>
              <w:rPr>
                <w:sz w:val="20"/>
                <w:szCs w:val="20"/>
                <w:color w:val="auto"/>
              </w:rPr>
            </w:pPr>
            <w:r>
              <w:rPr>
                <w:rFonts w:ascii="Times New Roman" w:cs="Times New Roman" w:eastAsia="Times New Roman" w:hAnsi="Times New Roman"/>
                <w:sz w:val="14"/>
                <w:szCs w:val="14"/>
                <w:b w:val="1"/>
                <w:bCs w:val="1"/>
                <w:color w:val="auto"/>
              </w:rPr>
              <w:t>Corporate</w:t>
            </w:r>
          </w:p>
        </w:tc>
        <w:tc>
          <w:tcPr>
            <w:tcW w:w="14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91"/>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30"/>
        </w:trPr>
        <w:tc>
          <w:tcPr>
            <w:tcW w:w="404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(Loss)</w:t>
            </w:r>
          </w:p>
        </w:tc>
        <w:tc>
          <w:tcPr>
            <w:tcW w:w="140" w:type="dxa"/>
            <w:vAlign w:val="bottom"/>
            <w:tcBorders>
              <w:top w:val="single" w:sz="8" w:color="CCEEFF"/>
            </w:tcBorders>
            <w:shd w:val="clear" w:color="auto" w:fill="CCEEFF"/>
          </w:tcPr>
          <w:p>
            <w:pPr>
              <w:spacing w:after="0"/>
              <w:rPr>
                <w:sz w:val="19"/>
                <w:szCs w:val="19"/>
                <w:color w:val="auto"/>
              </w:rPr>
            </w:pPr>
          </w:p>
        </w:tc>
        <w:tc>
          <w:tcPr>
            <w:tcW w:w="52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4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14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23"/>
        </w:trPr>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Plus:</w:t>
            </w:r>
          </w:p>
        </w:tc>
        <w:tc>
          <w:tcPr>
            <w:tcW w:w="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30"/>
        </w:trPr>
        <w:tc>
          <w:tcPr>
            <w:tcW w:w="41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Income tax benefit</w:t>
            </w:r>
          </w:p>
        </w:tc>
        <w:tc>
          <w:tcPr>
            <w:tcW w:w="5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30"/>
        </w:trPr>
        <w:tc>
          <w:tcPr>
            <w:tcW w:w="41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Interest expense, net</w:t>
            </w:r>
          </w:p>
        </w:tc>
        <w:tc>
          <w:tcPr>
            <w:tcW w:w="5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w:t>
            </w:r>
          </w:p>
        </w:tc>
      </w:tr>
      <w:tr>
        <w:trPr>
          <w:trHeight w:val="229"/>
        </w:trPr>
        <w:tc>
          <w:tcPr>
            <w:tcW w:w="41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Depreciation, amortization, and ARO</w:t>
            </w:r>
          </w:p>
        </w:tc>
        <w:tc>
          <w:tcPr>
            <w:tcW w:w="5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526</w:t>
            </w:r>
          </w:p>
        </w:tc>
      </w:tr>
      <w:tr>
        <w:trPr>
          <w:trHeight w:val="230"/>
        </w:trPr>
        <w:tc>
          <w:tcPr>
            <w:tcW w:w="41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Contract amortization</w:t>
            </w:r>
          </w:p>
        </w:tc>
        <w:tc>
          <w:tcPr>
            <w:tcW w:w="5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w:t>
            </w:r>
          </w:p>
        </w:tc>
      </w:tr>
      <w:tr>
        <w:trPr>
          <w:trHeight w:val="175"/>
        </w:trPr>
        <w:tc>
          <w:tcPr>
            <w:tcW w:w="4180" w:type="dxa"/>
            <w:vAlign w:val="bottom"/>
            <w:gridSpan w:val="2"/>
            <w:shd w:val="clear" w:color="auto" w:fill="CCEEFF"/>
          </w:tcPr>
          <w:p>
            <w:pPr>
              <w:ind w:left="180"/>
              <w:spacing w:after="0" w:line="176" w:lineRule="exact"/>
              <w:rPr>
                <w:sz w:val="20"/>
                <w:szCs w:val="20"/>
                <w:color w:val="auto"/>
              </w:rPr>
            </w:pPr>
            <w:r>
              <w:rPr>
                <w:rFonts w:ascii="Times New Roman" w:cs="Times New Roman" w:eastAsia="Times New Roman" w:hAnsi="Times New Roman"/>
                <w:sz w:val="18"/>
                <w:szCs w:val="18"/>
                <w:color w:val="auto"/>
              </w:rPr>
              <w:t>Impairment losses and impairment on equity</w:t>
            </w:r>
          </w:p>
        </w:tc>
        <w:tc>
          <w:tcPr>
            <w:tcW w:w="5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r>
      <w:tr>
        <w:trPr>
          <w:trHeight w:val="243"/>
        </w:trPr>
        <w:tc>
          <w:tcPr>
            <w:tcW w:w="41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investment</w:t>
            </w:r>
          </w:p>
        </w:tc>
        <w:tc>
          <w:tcPr>
            <w:tcW w:w="52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29"/>
        </w:trPr>
        <w:tc>
          <w:tcPr>
            <w:tcW w:w="41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Loss on debt extinguishment</w:t>
            </w:r>
          </w:p>
        </w:tc>
        <w:tc>
          <w:tcPr>
            <w:tcW w:w="5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175"/>
        </w:trPr>
        <w:tc>
          <w:tcPr>
            <w:tcW w:w="4180" w:type="dxa"/>
            <w:vAlign w:val="bottom"/>
            <w:gridSpan w:val="2"/>
            <w:shd w:val="clear" w:color="auto" w:fill="CCEEFF"/>
          </w:tcPr>
          <w:p>
            <w:pPr>
              <w:ind w:left="180"/>
              <w:spacing w:after="0" w:line="176" w:lineRule="exact"/>
              <w:rPr>
                <w:sz w:val="20"/>
                <w:szCs w:val="20"/>
                <w:color w:val="auto"/>
              </w:rPr>
            </w:pPr>
            <w:r>
              <w:rPr>
                <w:rFonts w:ascii="Times New Roman" w:cs="Times New Roman" w:eastAsia="Times New Roman" w:hAnsi="Times New Roman"/>
                <w:sz w:val="18"/>
                <w:szCs w:val="18"/>
                <w:color w:val="auto"/>
              </w:rPr>
              <w:t>Mark to Market (MtM) losses/(gains) on economic</w:t>
            </w:r>
          </w:p>
        </w:tc>
        <w:tc>
          <w:tcPr>
            <w:tcW w:w="5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r>
      <w:tr>
        <w:trPr>
          <w:trHeight w:val="243"/>
        </w:trPr>
        <w:tc>
          <w:tcPr>
            <w:tcW w:w="41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hedges</w:t>
            </w:r>
          </w:p>
        </w:tc>
        <w:tc>
          <w:tcPr>
            <w:tcW w:w="52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29"/>
        </w:trPr>
        <w:tc>
          <w:tcPr>
            <w:tcW w:w="41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Transaction and integration costs</w:t>
            </w:r>
          </w:p>
        </w:tc>
        <w:tc>
          <w:tcPr>
            <w:tcW w:w="5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30"/>
        </w:trPr>
        <w:tc>
          <w:tcPr>
            <w:tcW w:w="41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non-recurring Items</w:t>
            </w:r>
          </w:p>
        </w:tc>
        <w:tc>
          <w:tcPr>
            <w:tcW w:w="5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175"/>
        </w:trPr>
        <w:tc>
          <w:tcPr>
            <w:tcW w:w="4180" w:type="dxa"/>
            <w:vAlign w:val="bottom"/>
            <w:gridSpan w:val="2"/>
          </w:tcPr>
          <w:p>
            <w:pPr>
              <w:ind w:left="180"/>
              <w:spacing w:after="0" w:line="176" w:lineRule="exact"/>
              <w:rPr>
                <w:sz w:val="20"/>
                <w:szCs w:val="20"/>
                <w:color w:val="auto"/>
              </w:rPr>
            </w:pPr>
            <w:r>
              <w:rPr>
                <w:rFonts w:ascii="Times New Roman" w:cs="Times New Roman" w:eastAsia="Times New Roman" w:hAnsi="Times New Roman"/>
                <w:sz w:val="18"/>
                <w:szCs w:val="18"/>
                <w:color w:val="auto"/>
              </w:rPr>
              <w:t>Adjustments to reflect CWEN’s pro-rata share of</w:t>
            </w:r>
          </w:p>
        </w:tc>
        <w:tc>
          <w:tcPr>
            <w:tcW w:w="5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243"/>
        </w:trPr>
        <w:tc>
          <w:tcPr>
            <w:tcW w:w="41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Adjusted EBITDA from unconsolidated affiliates</w:t>
            </w:r>
          </w:p>
        </w:tc>
        <w:tc>
          <w:tcPr>
            <w:tcW w:w="52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r>
      <w:tr>
        <w:trPr>
          <w:trHeight w:val="230"/>
        </w:trPr>
        <w:tc>
          <w:tcPr>
            <w:tcW w:w="41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Non-cash equity compensation</w:t>
            </w:r>
          </w:p>
        </w:tc>
        <w:tc>
          <w:tcPr>
            <w:tcW w:w="5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23"/>
        </w:trPr>
        <w:tc>
          <w:tcPr>
            <w:tcW w:w="40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140" w:type="dxa"/>
            <w:vAlign w:val="bottom"/>
          </w:tcPr>
          <w:p>
            <w:pPr>
              <w:spacing w:after="0"/>
              <w:rPr>
                <w:sz w:val="19"/>
                <w:szCs w:val="19"/>
                <w:color w:val="auto"/>
              </w:rPr>
            </w:pPr>
          </w:p>
        </w:tc>
        <w:tc>
          <w:tcPr>
            <w:tcW w:w="5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301</w:t>
            </w:r>
          </w:p>
        </w:tc>
        <w:tc>
          <w:tcPr>
            <w:tcW w:w="12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787</w:t>
            </w:r>
          </w:p>
        </w:tc>
        <w:tc>
          <w:tcPr>
            <w:tcW w:w="14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(30)</w:t>
            </w:r>
          </w:p>
        </w:tc>
        <w:tc>
          <w:tcPr>
            <w:tcW w:w="14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1,058</w:t>
            </w:r>
          </w:p>
        </w:tc>
      </w:tr>
      <w:tr>
        <w:trPr>
          <w:trHeight w:val="21"/>
        </w:trPr>
        <w:tc>
          <w:tcPr>
            <w:tcW w:w="4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703"/>
        </w:trPr>
        <w:tc>
          <w:tcPr>
            <w:tcW w:w="4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2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w w:val="99"/>
              </w:rPr>
              <w:t>12</w:t>
            </w:r>
          </w:p>
        </w:tc>
        <w:tc>
          <w:tcPr>
            <w:tcW w:w="10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r>
    </w:tbl>
    <w:p>
      <w:pPr>
        <w:sectPr>
          <w:pgSz w:w="11900" w:h="16838" w:orient="portrait"/>
          <w:cols w:equalWidth="0" w:num="1">
            <w:col w:w="10139"/>
          </w:cols>
          <w:pgMar w:left="320" w:top="1440" w:right="1440"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20"/>
          <w:szCs w:val="20"/>
          <w:b w:val="1"/>
          <w:bCs w:val="1"/>
          <w:color w:val="auto"/>
        </w:rPr>
        <w:t>Appendix Table A-5: Cash Available for Distribution Reconciliation</w:t>
      </w:r>
    </w:p>
    <w:p>
      <w:pPr>
        <w:spacing w:after="0" w:line="32" w:lineRule="exact"/>
        <w:rPr>
          <w:sz w:val="20"/>
          <w:szCs w:val="20"/>
          <w:color w:val="auto"/>
        </w:rPr>
      </w:pPr>
    </w:p>
    <w:p>
      <w:pPr>
        <w:ind w:right="200"/>
        <w:spacing w:after="0" w:line="253" w:lineRule="auto"/>
        <w:rPr>
          <w:sz w:val="20"/>
          <w:szCs w:val="20"/>
          <w:color w:val="auto"/>
        </w:rPr>
      </w:pPr>
      <w:r>
        <w:rPr>
          <w:rFonts w:ascii="Times New Roman" w:cs="Times New Roman" w:eastAsia="Times New Roman" w:hAnsi="Times New Roman"/>
          <w:sz w:val="20"/>
          <w:szCs w:val="20"/>
          <w:color w:val="auto"/>
        </w:rPr>
        <w:t>The following table summarizes the calculation of Cash Available for Distribution and provides a reconciliation to Cash from Operating Activities:</w:t>
      </w:r>
    </w:p>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580" w:type="dxa"/>
            <w:vAlign w:val="bottom"/>
            <w:gridSpan w:val="5"/>
          </w:tcPr>
          <w:p>
            <w:pPr>
              <w:ind w:left="30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60" w:type="dxa"/>
            <w:vAlign w:val="bottom"/>
          </w:tcPr>
          <w:p>
            <w:pPr>
              <w:spacing w:after="0"/>
              <w:rPr>
                <w:sz w:val="19"/>
                <w:szCs w:val="19"/>
                <w:color w:val="auto"/>
              </w:rPr>
            </w:pPr>
          </w:p>
        </w:tc>
        <w:tc>
          <w:tcPr>
            <w:tcW w:w="2180" w:type="dxa"/>
            <w:vAlign w:val="bottom"/>
            <w:gridSpan w:val="4"/>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Twelve Months Ended</w:t>
            </w:r>
          </w:p>
        </w:tc>
      </w:tr>
      <w:tr>
        <w:trPr>
          <w:trHeight w:val="238"/>
        </w:trPr>
        <w:tc>
          <w:tcPr>
            <w:tcW w:w="5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 in millions)</w:t>
            </w:r>
          </w:p>
        </w:tc>
        <w:tc>
          <w:tcPr>
            <w:tcW w:w="2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12/31/24</w:t>
            </w:r>
          </w:p>
        </w:tc>
        <w:tc>
          <w:tcPr>
            <w:tcW w:w="12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12/31/23</w:t>
            </w:r>
          </w:p>
        </w:tc>
        <w:tc>
          <w:tcPr>
            <w:tcW w:w="14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12/31/24</w:t>
            </w:r>
          </w:p>
        </w:tc>
        <w:tc>
          <w:tcPr>
            <w:tcW w:w="12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12/31/23</w:t>
            </w:r>
          </w:p>
        </w:tc>
      </w:tr>
      <w:tr>
        <w:trPr>
          <w:trHeight w:val="223"/>
        </w:trPr>
        <w:tc>
          <w:tcPr>
            <w:tcW w:w="52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2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228</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201</w:t>
            </w:r>
          </w:p>
        </w:tc>
        <w:tc>
          <w:tcPr>
            <w:tcW w:w="14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1,146</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1,058</w:t>
            </w:r>
          </w:p>
        </w:tc>
      </w:tr>
      <w:tr>
        <w:trPr>
          <w:trHeight w:val="250"/>
        </w:trPr>
        <w:tc>
          <w:tcPr>
            <w:tcW w:w="5200" w:type="dxa"/>
            <w:vAlign w:val="bottom"/>
          </w:tcPr>
          <w:p>
            <w:pPr>
              <w:ind w:left="180"/>
              <w:spacing w:after="0" w:line="250" w:lineRule="exact"/>
              <w:rPr>
                <w:sz w:val="20"/>
                <w:szCs w:val="20"/>
                <w:color w:val="auto"/>
              </w:rPr>
            </w:pPr>
            <w:r>
              <w:rPr>
                <w:rFonts w:ascii="Times New Roman" w:cs="Times New Roman" w:eastAsia="Times New Roman" w:hAnsi="Times New Roman"/>
                <w:sz w:val="18"/>
                <w:szCs w:val="18"/>
                <w:color w:val="auto"/>
              </w:rPr>
              <w:t>Cash interest paid</w:t>
            </w:r>
            <w:r>
              <w:rPr>
                <w:rFonts w:ascii="Times New Roman" w:cs="Times New Roman" w:eastAsia="Times New Roman" w:hAnsi="Times New Roman"/>
                <w:sz w:val="23"/>
                <w:szCs w:val="23"/>
                <w:color w:val="auto"/>
                <w:vertAlign w:val="superscript"/>
              </w:rPr>
              <w:t>4</w:t>
            </w:r>
          </w:p>
        </w:tc>
        <w:tc>
          <w:tcPr>
            <w:tcW w:w="2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w:t>
            </w:r>
          </w:p>
        </w:tc>
      </w:tr>
      <w:tr>
        <w:trPr>
          <w:trHeight w:val="229"/>
        </w:trPr>
        <w:tc>
          <w:tcPr>
            <w:tcW w:w="5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Changes in prepaid and accrued liabilities for tolling agreements</w:t>
            </w: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176"/>
        </w:trPr>
        <w:tc>
          <w:tcPr>
            <w:tcW w:w="5200" w:type="dxa"/>
            <w:vAlign w:val="bottom"/>
          </w:tcPr>
          <w:p>
            <w:pPr>
              <w:ind w:left="180"/>
              <w:spacing w:after="0" w:line="176" w:lineRule="exact"/>
              <w:rPr>
                <w:sz w:val="20"/>
                <w:szCs w:val="20"/>
                <w:color w:val="auto"/>
              </w:rPr>
            </w:pPr>
            <w:r>
              <w:rPr>
                <w:rFonts w:ascii="Times New Roman" w:cs="Times New Roman" w:eastAsia="Times New Roman" w:hAnsi="Times New Roman"/>
                <w:sz w:val="18"/>
                <w:szCs w:val="18"/>
                <w:color w:val="auto"/>
              </w:rPr>
              <w:t>Adjustments to reflect sale-type leases and payments for lease</w:t>
            </w:r>
          </w:p>
        </w:tc>
        <w:tc>
          <w:tcPr>
            <w:tcW w:w="2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243"/>
        </w:trPr>
        <w:tc>
          <w:tcPr>
            <w:tcW w:w="5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expenses</w:t>
            </w:r>
          </w:p>
        </w:tc>
        <w:tc>
          <w:tcPr>
            <w:tcW w:w="2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30"/>
        </w:trPr>
        <w:tc>
          <w:tcPr>
            <w:tcW w:w="5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Pro-rata Adjusted EBITDA from unconsolidated affiliates</w:t>
            </w: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w:t>
            </w:r>
          </w:p>
        </w:tc>
      </w:tr>
      <w:tr>
        <w:trPr>
          <w:trHeight w:val="229"/>
        </w:trPr>
        <w:tc>
          <w:tcPr>
            <w:tcW w:w="5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Distributions from unconsolidated affiliates</w:t>
            </w: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30"/>
        </w:trPr>
        <w:tc>
          <w:tcPr>
            <w:tcW w:w="5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Income tax payments</w:t>
            </w: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520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Changes in working capital and other</w:t>
            </w:r>
          </w:p>
        </w:tc>
        <w:tc>
          <w:tcPr>
            <w:tcW w:w="2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14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23"/>
        </w:trPr>
        <w:tc>
          <w:tcPr>
            <w:tcW w:w="52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from Operating Activities</w:t>
            </w:r>
          </w:p>
        </w:tc>
        <w:tc>
          <w:tcPr>
            <w:tcW w:w="2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192</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206</w:t>
            </w:r>
          </w:p>
        </w:tc>
        <w:tc>
          <w:tcPr>
            <w:tcW w:w="14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770</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702</w:t>
            </w:r>
          </w:p>
        </w:tc>
      </w:tr>
      <w:tr>
        <w:trPr>
          <w:trHeight w:val="223"/>
        </w:trPr>
        <w:tc>
          <w:tcPr>
            <w:tcW w:w="5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Changes in working capital and other</w:t>
            </w: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57"/>
        </w:trPr>
        <w:tc>
          <w:tcPr>
            <w:tcW w:w="5200" w:type="dxa"/>
            <w:vAlign w:val="bottom"/>
            <w:shd w:val="clear" w:color="auto" w:fill="CCEEFF"/>
          </w:tcPr>
          <w:p>
            <w:pPr>
              <w:ind w:left="180"/>
              <w:spacing w:after="0" w:line="256" w:lineRule="exact"/>
              <w:rPr>
                <w:sz w:val="20"/>
                <w:szCs w:val="20"/>
                <w:color w:val="auto"/>
              </w:rPr>
            </w:pPr>
            <w:r>
              <w:rPr>
                <w:rFonts w:ascii="Times New Roman" w:cs="Times New Roman" w:eastAsia="Times New Roman" w:hAnsi="Times New Roman"/>
                <w:sz w:val="18"/>
                <w:szCs w:val="18"/>
                <w:color w:val="auto"/>
              </w:rPr>
              <w:t>Return of investment from unconsolidated affiliates</w:t>
            </w:r>
            <w:r>
              <w:rPr>
                <w:rFonts w:ascii="Times New Roman" w:cs="Times New Roman" w:eastAsia="Times New Roman" w:hAnsi="Times New Roman"/>
                <w:sz w:val="23"/>
                <w:szCs w:val="23"/>
                <w:color w:val="auto"/>
                <w:vertAlign w:val="superscript"/>
              </w:rPr>
              <w:t>5</w:t>
            </w:r>
          </w:p>
        </w:tc>
        <w:tc>
          <w:tcPr>
            <w:tcW w:w="26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1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2"/>
                <w:szCs w:val="22"/>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57"/>
        </w:trPr>
        <w:tc>
          <w:tcPr>
            <w:tcW w:w="5200" w:type="dxa"/>
            <w:vAlign w:val="bottom"/>
          </w:tcPr>
          <w:p>
            <w:pPr>
              <w:ind w:left="180"/>
              <w:spacing w:after="0" w:line="256" w:lineRule="exact"/>
              <w:rPr>
                <w:sz w:val="20"/>
                <w:szCs w:val="20"/>
                <w:color w:val="auto"/>
              </w:rPr>
            </w:pPr>
            <w:r>
              <w:rPr>
                <w:rFonts w:ascii="Times New Roman" w:cs="Times New Roman" w:eastAsia="Times New Roman" w:hAnsi="Times New Roman"/>
                <w:sz w:val="18"/>
                <w:szCs w:val="18"/>
                <w:color w:val="auto"/>
              </w:rPr>
              <w:t>Net contributions (to)/from non-controlling interest</w:t>
            </w:r>
            <w:r>
              <w:rPr>
                <w:rFonts w:ascii="Times New Roman" w:cs="Times New Roman" w:eastAsia="Times New Roman" w:hAnsi="Times New Roman"/>
                <w:sz w:val="23"/>
                <w:szCs w:val="23"/>
                <w:color w:val="auto"/>
                <w:vertAlign w:val="superscript"/>
              </w:rPr>
              <w:t>6</w:t>
            </w:r>
          </w:p>
        </w:tc>
        <w:tc>
          <w:tcPr>
            <w:tcW w:w="26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29"/>
        </w:trPr>
        <w:tc>
          <w:tcPr>
            <w:tcW w:w="5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receipts from notes receivable</w:t>
            </w: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5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Maintenance capital expenditures</w:t>
            </w: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57"/>
        </w:trPr>
        <w:tc>
          <w:tcPr>
            <w:tcW w:w="5200" w:type="dxa"/>
            <w:vAlign w:val="bottom"/>
            <w:tcBorders>
              <w:bottom w:val="single" w:sz="8" w:color="auto"/>
            </w:tcBorders>
            <w:shd w:val="clear" w:color="auto" w:fill="CCEEFF"/>
          </w:tcPr>
          <w:p>
            <w:pPr>
              <w:ind w:left="180"/>
              <w:spacing w:after="0" w:line="256" w:lineRule="exact"/>
              <w:rPr>
                <w:sz w:val="20"/>
                <w:szCs w:val="20"/>
                <w:color w:val="auto"/>
              </w:rPr>
            </w:pPr>
            <w:r>
              <w:rPr>
                <w:rFonts w:ascii="Times New Roman" w:cs="Times New Roman" w:eastAsia="Times New Roman" w:hAnsi="Times New Roman"/>
                <w:sz w:val="18"/>
                <w:szCs w:val="18"/>
                <w:color w:val="auto"/>
              </w:rPr>
              <w:t>Principal amortization of indebtedness</w:t>
            </w:r>
            <w:r>
              <w:rPr>
                <w:rFonts w:ascii="Times New Roman" w:cs="Times New Roman" w:eastAsia="Times New Roman" w:hAnsi="Times New Roman"/>
                <w:sz w:val="23"/>
                <w:szCs w:val="23"/>
                <w:color w:val="auto"/>
                <w:vertAlign w:val="superscript"/>
              </w:rPr>
              <w:t>7</w:t>
            </w:r>
          </w:p>
        </w:tc>
        <w:tc>
          <w:tcPr>
            <w:tcW w:w="260" w:type="dxa"/>
            <w:vAlign w:val="bottom"/>
            <w:tcBorders>
              <w:bottom w:val="single" w:sz="8" w:color="auto"/>
            </w:tcBorders>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120" w:type="dxa"/>
            <w:vAlign w:val="bottom"/>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140" w:type="dxa"/>
            <w:vAlign w:val="bottom"/>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w:t>
            </w:r>
          </w:p>
        </w:tc>
        <w:tc>
          <w:tcPr>
            <w:tcW w:w="12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w:t>
            </w:r>
          </w:p>
        </w:tc>
      </w:tr>
      <w:tr>
        <w:trPr>
          <w:trHeight w:val="223"/>
        </w:trPr>
        <w:tc>
          <w:tcPr>
            <w:tcW w:w="5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Cash Available for Distribution before Adjustments</w:t>
            </w:r>
          </w:p>
        </w:tc>
        <w:tc>
          <w:tcPr>
            <w:tcW w:w="2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40</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52</w:t>
            </w:r>
          </w:p>
        </w:tc>
        <w:tc>
          <w:tcPr>
            <w:tcW w:w="14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415</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341</w:t>
            </w:r>
          </w:p>
        </w:tc>
      </w:tr>
      <w:tr>
        <w:trPr>
          <w:trHeight w:val="169"/>
        </w:trPr>
        <w:tc>
          <w:tcPr>
            <w:tcW w:w="5200" w:type="dxa"/>
            <w:vAlign w:val="bottom"/>
            <w:shd w:val="clear" w:color="auto" w:fill="CCEEFF"/>
          </w:tcPr>
          <w:p>
            <w:pPr>
              <w:ind w:left="180"/>
              <w:spacing w:after="0" w:line="169" w:lineRule="exact"/>
              <w:rPr>
                <w:sz w:val="20"/>
                <w:szCs w:val="20"/>
                <w:color w:val="auto"/>
              </w:rPr>
            </w:pPr>
            <w:r>
              <w:rPr>
                <w:rFonts w:ascii="Times New Roman" w:cs="Times New Roman" w:eastAsia="Times New Roman" w:hAnsi="Times New Roman"/>
                <w:sz w:val="18"/>
                <w:szCs w:val="18"/>
                <w:color w:val="auto"/>
              </w:rPr>
              <w:t>2024 Impact of drop down from timing of construction debt service;</w:t>
            </w:r>
          </w:p>
        </w:tc>
        <w:tc>
          <w:tcPr>
            <w:tcW w:w="26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r>
      <w:tr>
        <w:trPr>
          <w:trHeight w:val="243"/>
        </w:trPr>
        <w:tc>
          <w:tcPr>
            <w:tcW w:w="5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2023 Impact of drop down from timing of construction debt service;</w:t>
            </w:r>
          </w:p>
        </w:tc>
        <w:tc>
          <w:tcPr>
            <w:tcW w:w="26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50"/>
        </w:trPr>
        <w:tc>
          <w:tcPr>
            <w:tcW w:w="5200" w:type="dxa"/>
            <w:vAlign w:val="bottom"/>
            <w:tcBorders>
              <w:top w:val="single" w:sz="8" w:color="auto"/>
              <w:bottom w:val="single" w:sz="8" w:color="auto"/>
            </w:tcBorders>
          </w:tcPr>
          <w:p>
            <w:pPr>
              <w:ind w:left="20"/>
              <w:spacing w:after="0" w:line="250" w:lineRule="exact"/>
              <w:rPr>
                <w:sz w:val="20"/>
                <w:szCs w:val="20"/>
                <w:color w:val="auto"/>
              </w:rPr>
            </w:pPr>
            <w:r>
              <w:rPr>
                <w:rFonts w:ascii="Times New Roman" w:cs="Times New Roman" w:eastAsia="Times New Roman" w:hAnsi="Times New Roman"/>
                <w:sz w:val="18"/>
                <w:szCs w:val="18"/>
                <w:b w:val="1"/>
                <w:bCs w:val="1"/>
                <w:color w:val="auto"/>
              </w:rPr>
              <w:t>Cash Available for Distribution</w:t>
            </w:r>
            <w:r>
              <w:rPr>
                <w:rFonts w:ascii="Times New Roman" w:cs="Times New Roman" w:eastAsia="Times New Roman" w:hAnsi="Times New Roman"/>
                <w:sz w:val="23"/>
                <w:szCs w:val="23"/>
                <w:b w:val="1"/>
                <w:bCs w:val="1"/>
                <w:color w:val="auto"/>
                <w:vertAlign w:val="superscript"/>
              </w:rPr>
              <w:t>8</w:t>
            </w:r>
          </w:p>
        </w:tc>
        <w:tc>
          <w:tcPr>
            <w:tcW w:w="26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40</w:t>
            </w:r>
          </w:p>
        </w:tc>
        <w:tc>
          <w:tcPr>
            <w:tcW w:w="120" w:type="dxa"/>
            <w:vAlign w:val="bottom"/>
          </w:tcPr>
          <w:p>
            <w:pPr>
              <w:spacing w:after="0"/>
              <w:rPr>
                <w:sz w:val="21"/>
                <w:szCs w:val="21"/>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53</w:t>
            </w:r>
          </w:p>
        </w:tc>
        <w:tc>
          <w:tcPr>
            <w:tcW w:w="14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425</w:t>
            </w:r>
          </w:p>
        </w:tc>
        <w:tc>
          <w:tcPr>
            <w:tcW w:w="12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342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934085</wp:posOffset>
            </wp:positionV>
            <wp:extent cx="171450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120" w:hanging="112"/>
        <w:spacing w:after="0"/>
        <w:tabs>
          <w:tab w:leader="none" w:pos="120" w:val="left"/>
        </w:tabs>
        <w:numPr>
          <w:ilvl w:val="0"/>
          <w:numId w:val="6"/>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4"/>
          <w:szCs w:val="14"/>
          <w:color w:val="auto"/>
        </w:rPr>
        <w:t>2024 includes $9 million related to swap breakage receipts in connection with the NIMH refinancing</w:t>
      </w:r>
    </w:p>
    <w:p>
      <w:pPr>
        <w:ind w:left="120" w:hanging="112"/>
        <w:spacing w:after="0" w:line="196" w:lineRule="auto"/>
        <w:tabs>
          <w:tab w:leader="none" w:pos="120" w:val="left"/>
        </w:tabs>
        <w:numPr>
          <w:ilvl w:val="0"/>
          <w:numId w:val="7"/>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4"/>
          <w:szCs w:val="14"/>
          <w:color w:val="auto"/>
        </w:rPr>
        <w:t>2024 excludes $28 million related to Rosamond Central BESS return of capital at substantial completion funding</w:t>
      </w:r>
    </w:p>
    <w:p>
      <w:pPr>
        <w:spacing w:after="0" w:line="28" w:lineRule="exact"/>
        <w:rPr>
          <w:sz w:val="20"/>
          <w:szCs w:val="20"/>
          <w:color w:val="auto"/>
        </w:rPr>
      </w:pPr>
    </w:p>
    <w:p>
      <w:pPr>
        <w:ind w:right="260" w:firstLine="8"/>
        <w:spacing w:after="0" w:line="205" w:lineRule="auto"/>
        <w:tabs>
          <w:tab w:leader="none" w:pos="103" w:val="left"/>
        </w:tabs>
        <w:numPr>
          <w:ilvl w:val="0"/>
          <w:numId w:val="8"/>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4"/>
          <w:szCs w:val="14"/>
          <w:color w:val="auto"/>
        </w:rPr>
        <w:t>2024 excludes $1,441 million of contributions related to the funding of Texas Solar Nova 2, Rosamond Central Battery Storage, Victory Pass, Arica, Cedar Creek, and Cedro Hill; 2023 excludes $1,025 million of contributions related to the funding of Rosamond Central Battery Storage, Waiawa, Daggett, Victory Pass, Arica and Texas Solar Nova 1;</w:t>
      </w:r>
    </w:p>
    <w:p>
      <w:pPr>
        <w:spacing w:after="0" w:line="28" w:lineRule="exact"/>
        <w:rPr>
          <w:sz w:val="20"/>
          <w:szCs w:val="20"/>
          <w:color w:val="auto"/>
        </w:rPr>
      </w:pPr>
    </w:p>
    <w:p>
      <w:pPr>
        <w:ind w:firstLine="8"/>
        <w:spacing w:after="0" w:line="215" w:lineRule="auto"/>
        <w:tabs>
          <w:tab w:leader="none" w:pos="103" w:val="left"/>
        </w:tabs>
        <w:numPr>
          <w:ilvl w:val="0"/>
          <w:numId w:val="9"/>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4"/>
          <w:szCs w:val="14"/>
          <w:color w:val="auto"/>
        </w:rPr>
        <w:t>2024 excludes $1,391 million for the repayment of bridge loans in connection with Texas Solar Nova 2, Rosamond Central, Victory Pass, Arica, Cedar Creek, and Dan's Mountain and $291 million for the refinancing of NIMH Solar and Capistrano portfolio; 2023 excludes $1,024 million for the repayment of construction loans in connection with Waiawa, Daggett, Cedro Hill, Victory Pass, Arica and Texas Solar Nova 1, and $24 million for the repayment of balloon at Walnut Creek Holdings;</w:t>
      </w:r>
    </w:p>
    <w:p>
      <w:pPr>
        <w:ind w:left="120" w:hanging="112"/>
        <w:spacing w:after="0" w:line="196" w:lineRule="auto"/>
        <w:tabs>
          <w:tab w:leader="none" w:pos="120" w:val="left"/>
        </w:tabs>
        <w:numPr>
          <w:ilvl w:val="0"/>
          <w:numId w:val="10"/>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4"/>
          <w:szCs w:val="14"/>
          <w:color w:val="auto"/>
        </w:rPr>
        <w:t>2023 Excludes income tax payments related to Thermal sale</w:t>
      </w:r>
    </w:p>
    <w:p>
      <w:pPr>
        <w:spacing w:after="0" w:line="213"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6"/>
          <w:szCs w:val="16"/>
          <w:color w:val="auto"/>
        </w:rPr>
        <w:t>13</w:t>
      </w:r>
    </w:p>
    <w:p>
      <w:pPr>
        <w:sectPr>
          <w:pgSz w:w="11900" w:h="16838" w:orient="portrait"/>
          <w:cols w:equalWidth="0" w:num="1">
            <w:col w:w="10980"/>
          </w:cols>
          <w:pgMar w:left="320" w:top="1004" w:right="599" w:bottom="1440" w:gutter="0" w:footer="0" w:header="0"/>
        </w:sectPr>
      </w:pPr>
    </w:p>
    <w:bookmarkStart w:id="16" w:name="page17"/>
    <w:bookmarkEnd w:id="16"/>
    <w:p>
      <w:pPr>
        <w:ind w:right="2179"/>
        <w:spacing w:after="0" w:line="287" w:lineRule="auto"/>
        <w:rPr>
          <w:sz w:val="20"/>
          <w:szCs w:val="20"/>
          <w:color w:val="auto"/>
        </w:rPr>
      </w:pPr>
      <w:r>
        <w:rPr>
          <w:rFonts w:ascii="Times New Roman" w:cs="Times New Roman" w:eastAsia="Times New Roman" w:hAnsi="Times New Roman"/>
          <w:sz w:val="20"/>
          <w:szCs w:val="20"/>
          <w:b w:val="1"/>
          <w:bCs w:val="1"/>
          <w:color w:val="auto"/>
        </w:rPr>
        <w:t xml:space="preserve">Appendix Table A-6: Twelve Months Ended December 31, 2024, Sources and Uses of Liquidity </w:t>
      </w:r>
      <w:r>
        <w:rPr>
          <w:rFonts w:ascii="Times New Roman" w:cs="Times New Roman" w:eastAsia="Times New Roman" w:hAnsi="Times New Roman"/>
          <w:sz w:val="20"/>
          <w:szCs w:val="20"/>
          <w:color w:val="auto"/>
        </w:rPr>
        <w:t>The following table summarizes the sources and uses of liquidity in 2024:</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92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520" w:type="dxa"/>
            <w:vAlign w:val="bottom"/>
          </w:tcPr>
          <w:p>
            <w:pPr>
              <w:jc w:val="center"/>
              <w:ind w:right="97"/>
              <w:spacing w:after="0"/>
              <w:rPr>
                <w:sz w:val="20"/>
                <w:szCs w:val="20"/>
                <w:color w:val="auto"/>
              </w:rPr>
            </w:pPr>
            <w:r>
              <w:rPr>
                <w:rFonts w:ascii="Times New Roman" w:cs="Times New Roman" w:eastAsia="Times New Roman" w:hAnsi="Times New Roman"/>
                <w:sz w:val="18"/>
                <w:szCs w:val="18"/>
                <w:b w:val="1"/>
                <w:bCs w:val="1"/>
                <w:color w:val="auto"/>
                <w:w w:val="99"/>
              </w:rPr>
              <w:t>Twelve Months</w:t>
            </w:r>
          </w:p>
        </w:tc>
      </w:tr>
      <w:tr>
        <w:trPr>
          <w:trHeight w:val="229"/>
        </w:trPr>
        <w:tc>
          <w:tcPr>
            <w:tcW w:w="492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520" w:type="dxa"/>
            <w:vAlign w:val="bottom"/>
          </w:tcPr>
          <w:p>
            <w:pPr>
              <w:jc w:val="center"/>
              <w:ind w:right="97"/>
              <w:spacing w:after="0"/>
              <w:rPr>
                <w:sz w:val="20"/>
                <w:szCs w:val="20"/>
                <w:color w:val="auto"/>
              </w:rPr>
            </w:pPr>
            <w:r>
              <w:rPr>
                <w:rFonts w:ascii="Times New Roman" w:cs="Times New Roman" w:eastAsia="Times New Roman" w:hAnsi="Times New Roman"/>
                <w:sz w:val="18"/>
                <w:szCs w:val="18"/>
                <w:b w:val="1"/>
                <w:bCs w:val="1"/>
                <w:color w:val="auto"/>
                <w:w w:val="99"/>
              </w:rPr>
              <w:t>Ended</w:t>
            </w:r>
          </w:p>
        </w:tc>
      </w:tr>
      <w:tr>
        <w:trPr>
          <w:trHeight w:val="238"/>
        </w:trPr>
        <w:tc>
          <w:tcPr>
            <w:tcW w:w="49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 in millions)</w:t>
            </w:r>
          </w:p>
        </w:tc>
        <w:tc>
          <w:tcPr>
            <w:tcW w:w="164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center"/>
              <w:ind w:right="77"/>
              <w:spacing w:after="0"/>
              <w:rPr>
                <w:sz w:val="20"/>
                <w:szCs w:val="20"/>
                <w:color w:val="auto"/>
              </w:rPr>
            </w:pPr>
            <w:r>
              <w:rPr>
                <w:rFonts w:ascii="Times New Roman" w:cs="Times New Roman" w:eastAsia="Times New Roman" w:hAnsi="Times New Roman"/>
                <w:sz w:val="18"/>
                <w:szCs w:val="18"/>
                <w:b w:val="1"/>
                <w:bCs w:val="1"/>
                <w:color w:val="auto"/>
                <w:w w:val="99"/>
              </w:rPr>
              <w:t>12/31/24</w:t>
            </w:r>
          </w:p>
        </w:tc>
      </w:tr>
      <w:tr>
        <w:trPr>
          <w:trHeight w:val="209"/>
        </w:trPr>
        <w:tc>
          <w:tcPr>
            <w:tcW w:w="4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Sources:</w:t>
            </w:r>
          </w:p>
        </w:tc>
        <w:tc>
          <w:tcPr>
            <w:tcW w:w="164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r>
      <w:tr>
        <w:trPr>
          <w:trHeight w:val="213"/>
        </w:trPr>
        <w:tc>
          <w:tcPr>
            <w:tcW w:w="49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Contributions from noncontrolling interests, net of distributions</w:t>
            </w:r>
          </w:p>
        </w:tc>
        <w:tc>
          <w:tcPr>
            <w:tcW w:w="164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1,493</w:t>
            </w:r>
          </w:p>
        </w:tc>
      </w:tr>
      <w:tr>
        <w:trPr>
          <w:trHeight w:val="219"/>
        </w:trPr>
        <w:tc>
          <w:tcPr>
            <w:tcW w:w="49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Net Cash Provided by Operating Activities</w:t>
            </w:r>
          </w:p>
        </w:tc>
        <w:tc>
          <w:tcPr>
            <w:tcW w:w="164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770</w:t>
            </w:r>
          </w:p>
        </w:tc>
      </w:tr>
      <w:tr>
        <w:trPr>
          <w:trHeight w:val="213"/>
        </w:trPr>
        <w:tc>
          <w:tcPr>
            <w:tcW w:w="49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Proceeds from issuance of long-term debt</w:t>
            </w:r>
          </w:p>
        </w:tc>
        <w:tc>
          <w:tcPr>
            <w:tcW w:w="164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466</w:t>
            </w:r>
          </w:p>
        </w:tc>
      </w:tr>
      <w:tr>
        <w:trPr>
          <w:trHeight w:val="219"/>
        </w:trPr>
        <w:tc>
          <w:tcPr>
            <w:tcW w:w="49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Decrease in note receivable — affiliate</w:t>
            </w:r>
          </w:p>
        </w:tc>
        <w:tc>
          <w:tcPr>
            <w:tcW w:w="164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184</w:t>
            </w:r>
          </w:p>
        </w:tc>
      </w:tr>
      <w:tr>
        <w:trPr>
          <w:trHeight w:val="213"/>
        </w:trPr>
        <w:tc>
          <w:tcPr>
            <w:tcW w:w="49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Return of investments from unconsolidated affiliates</w:t>
            </w:r>
          </w:p>
        </w:tc>
        <w:tc>
          <w:tcPr>
            <w:tcW w:w="164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w:t>
            </w:r>
          </w:p>
        </w:tc>
      </w:tr>
      <w:tr>
        <w:trPr>
          <w:trHeight w:val="212"/>
        </w:trPr>
        <w:tc>
          <w:tcPr>
            <w:tcW w:w="4920" w:type="dxa"/>
            <w:vAlign w:val="bottom"/>
            <w:tcBorders>
              <w:bottom w:val="single" w:sz="8" w:color="auto"/>
            </w:tcBorders>
            <w:shd w:val="clear" w:color="auto" w:fill="CCEEFF"/>
          </w:tcPr>
          <w:p>
            <w:pPr>
              <w:spacing w:after="0"/>
              <w:rPr>
                <w:sz w:val="18"/>
                <w:szCs w:val="18"/>
                <w:color w:val="auto"/>
              </w:rPr>
            </w:pPr>
          </w:p>
        </w:tc>
        <w:tc>
          <w:tcPr>
            <w:tcW w:w="1640" w:type="dxa"/>
            <w:vAlign w:val="bottom"/>
            <w:tcBorders>
              <w:bottom w:val="single" w:sz="8" w:color="auto"/>
            </w:tcBorders>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spacing w:after="0"/>
              <w:rPr>
                <w:sz w:val="18"/>
                <w:szCs w:val="18"/>
                <w:color w:val="auto"/>
              </w:rPr>
            </w:pPr>
          </w:p>
        </w:tc>
      </w:tr>
      <w:tr>
        <w:trPr>
          <w:trHeight w:val="214"/>
        </w:trPr>
        <w:tc>
          <w:tcPr>
            <w:tcW w:w="49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Uses:</w:t>
            </w:r>
          </w:p>
        </w:tc>
        <w:tc>
          <w:tcPr>
            <w:tcW w:w="1640" w:type="dxa"/>
            <w:vAlign w:val="bottom"/>
          </w:tcPr>
          <w:p>
            <w:pPr>
              <w:spacing w:after="0"/>
              <w:rPr>
                <w:sz w:val="18"/>
                <w:szCs w:val="18"/>
                <w:color w:val="auto"/>
              </w:rPr>
            </w:pPr>
          </w:p>
        </w:tc>
        <w:tc>
          <w:tcPr>
            <w:tcW w:w="1520" w:type="dxa"/>
            <w:vAlign w:val="bottom"/>
          </w:tcPr>
          <w:p>
            <w:pPr>
              <w:spacing w:after="0"/>
              <w:rPr>
                <w:sz w:val="18"/>
                <w:szCs w:val="18"/>
                <w:color w:val="auto"/>
              </w:rPr>
            </w:pPr>
          </w:p>
        </w:tc>
      </w:tr>
      <w:tr>
        <w:trPr>
          <w:trHeight w:val="218"/>
        </w:trPr>
        <w:tc>
          <w:tcPr>
            <w:tcW w:w="49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Payments for long-term debt</w:t>
            </w:r>
          </w:p>
        </w:tc>
        <w:tc>
          <w:tcPr>
            <w:tcW w:w="164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(1,966)</w:t>
            </w:r>
          </w:p>
        </w:tc>
      </w:tr>
      <w:tr>
        <w:trPr>
          <w:trHeight w:val="213"/>
        </w:trPr>
        <w:tc>
          <w:tcPr>
            <w:tcW w:w="49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Acquisition of Drop Down Assets, net of cash acquired</w:t>
            </w:r>
          </w:p>
        </w:tc>
        <w:tc>
          <w:tcPr>
            <w:tcW w:w="164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(678)</w:t>
            </w:r>
          </w:p>
        </w:tc>
      </w:tr>
      <w:tr>
        <w:trPr>
          <w:trHeight w:val="219"/>
        </w:trPr>
        <w:tc>
          <w:tcPr>
            <w:tcW w:w="49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Payments of dividends and distributions</w:t>
            </w:r>
          </w:p>
        </w:tc>
        <w:tc>
          <w:tcPr>
            <w:tcW w:w="164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(334)</w:t>
            </w:r>
          </w:p>
        </w:tc>
      </w:tr>
      <w:tr>
        <w:trPr>
          <w:trHeight w:val="213"/>
        </w:trPr>
        <w:tc>
          <w:tcPr>
            <w:tcW w:w="49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Capital expenditures</w:t>
            </w:r>
          </w:p>
        </w:tc>
        <w:tc>
          <w:tcPr>
            <w:tcW w:w="164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(287)</w:t>
            </w:r>
          </w:p>
        </w:tc>
      </w:tr>
      <w:tr>
        <w:trPr>
          <w:trHeight w:val="219"/>
        </w:trPr>
        <w:tc>
          <w:tcPr>
            <w:tcW w:w="49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Other net cash outflows</w:t>
            </w:r>
          </w:p>
        </w:tc>
        <w:tc>
          <w:tcPr>
            <w:tcW w:w="164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w:t>
            </w:r>
          </w:p>
        </w:tc>
      </w:tr>
      <w:tr>
        <w:trPr>
          <w:trHeight w:val="250"/>
        </w:trPr>
        <w:tc>
          <w:tcPr>
            <w:tcW w:w="4920" w:type="dxa"/>
            <w:vAlign w:val="bottom"/>
            <w:tcBorders>
              <w:bottom w:val="single" w:sz="8" w:color="auto"/>
            </w:tcBorders>
          </w:tcPr>
          <w:p>
            <w:pPr>
              <w:spacing w:after="0"/>
              <w:rPr>
                <w:sz w:val="21"/>
                <w:szCs w:val="21"/>
                <w:color w:val="auto"/>
              </w:rPr>
            </w:pPr>
          </w:p>
        </w:tc>
        <w:tc>
          <w:tcPr>
            <w:tcW w:w="1640" w:type="dxa"/>
            <w:vAlign w:val="bottom"/>
            <w:tcBorders>
              <w:bottom w:val="single" w:sz="8" w:color="auto"/>
            </w:tcBorders>
          </w:tcPr>
          <w:p>
            <w:pPr>
              <w:spacing w:after="0"/>
              <w:rPr>
                <w:sz w:val="21"/>
                <w:szCs w:val="21"/>
                <w:color w:val="auto"/>
              </w:rPr>
            </w:pPr>
          </w:p>
        </w:tc>
        <w:tc>
          <w:tcPr>
            <w:tcW w:w="1520" w:type="dxa"/>
            <w:vAlign w:val="bottom"/>
            <w:tcBorders>
              <w:bottom w:val="single" w:sz="8" w:color="auto"/>
            </w:tcBorders>
          </w:tcPr>
          <w:p>
            <w:pPr>
              <w:spacing w:after="0"/>
              <w:rPr>
                <w:sz w:val="21"/>
                <w:szCs w:val="21"/>
                <w:color w:val="auto"/>
              </w:rPr>
            </w:pPr>
          </w:p>
        </w:tc>
      </w:tr>
      <w:tr>
        <w:trPr>
          <w:trHeight w:val="223"/>
        </w:trPr>
        <w:tc>
          <w:tcPr>
            <w:tcW w:w="49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Change in total cash, cash equivalents, and restricted cash</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(318)</w:t>
            </w:r>
          </w:p>
        </w:tc>
      </w:tr>
      <w:tr>
        <w:trPr>
          <w:trHeight w:val="480"/>
        </w:trPr>
        <w:tc>
          <w:tcPr>
            <w:tcW w:w="4920" w:type="dxa"/>
            <w:vAlign w:val="bottom"/>
          </w:tcPr>
          <w:p>
            <w:pPr>
              <w:spacing w:after="0"/>
              <w:rPr>
                <w:sz w:val="24"/>
                <w:szCs w:val="24"/>
                <w:color w:val="auto"/>
              </w:rPr>
            </w:pPr>
          </w:p>
        </w:tc>
        <w:tc>
          <w:tcPr>
            <w:tcW w:w="1640" w:type="dxa"/>
            <w:vAlign w:val="bottom"/>
          </w:tcPr>
          <w:p>
            <w:pPr>
              <w:jc w:val="right"/>
              <w:ind w:right="779"/>
              <w:spacing w:after="0"/>
              <w:rPr>
                <w:sz w:val="20"/>
                <w:szCs w:val="20"/>
                <w:color w:val="auto"/>
              </w:rPr>
            </w:pPr>
            <w:r>
              <w:rPr>
                <w:rFonts w:ascii="Times New Roman" w:cs="Times New Roman" w:eastAsia="Times New Roman" w:hAnsi="Times New Roman"/>
                <w:sz w:val="16"/>
                <w:szCs w:val="16"/>
                <w:color w:val="auto"/>
              </w:rPr>
              <w:t>14</w:t>
            </w:r>
          </w:p>
        </w:tc>
        <w:tc>
          <w:tcPr>
            <w:tcW w:w="1520" w:type="dxa"/>
            <w:vAlign w:val="bottom"/>
          </w:tcPr>
          <w:p>
            <w:pPr>
              <w:spacing w:after="0"/>
              <w:rPr>
                <w:sz w:val="24"/>
                <w:szCs w:val="24"/>
                <w:color w:val="auto"/>
              </w:rPr>
            </w:pPr>
          </w:p>
        </w:tc>
      </w:tr>
    </w:tbl>
    <w:p>
      <w:pPr>
        <w:sectPr>
          <w:pgSz w:w="11900" w:h="16838" w:orient="portrait"/>
          <w:cols w:equalWidth="0" w:num="1">
            <w:col w:w="10139"/>
          </w:cols>
          <w:pgMar w:left="320" w:top="761" w:right="1440"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20"/>
          <w:szCs w:val="20"/>
          <w:b w:val="1"/>
          <w:bCs w:val="1"/>
          <w:color w:val="auto"/>
        </w:rPr>
        <w:t>Appendix Table A-7: Adjusted EBITDA and Cash Available for Distribution Guidance</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12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 in millions)</w:t>
            </w:r>
          </w:p>
        </w:tc>
        <w:tc>
          <w:tcPr>
            <w:tcW w:w="1740" w:type="dxa"/>
            <w:vAlign w:val="bottom"/>
          </w:tcPr>
          <w:p>
            <w:pPr>
              <w:jc w:val="right"/>
              <w:ind w:right="198"/>
              <w:spacing w:after="0"/>
              <w:rPr>
                <w:sz w:val="20"/>
                <w:szCs w:val="20"/>
                <w:color w:val="auto"/>
              </w:rPr>
            </w:pPr>
            <w:r>
              <w:rPr>
                <w:rFonts w:ascii="Times New Roman" w:cs="Times New Roman" w:eastAsia="Times New Roman" w:hAnsi="Times New Roman"/>
                <w:sz w:val="18"/>
                <w:szCs w:val="18"/>
                <w:b w:val="1"/>
                <w:bCs w:val="1"/>
                <w:color w:val="auto"/>
              </w:rPr>
              <w:t>2025 Full Year</w:t>
            </w:r>
          </w:p>
        </w:tc>
        <w:tc>
          <w:tcPr>
            <w:tcW w:w="0" w:type="dxa"/>
            <w:vAlign w:val="bottom"/>
          </w:tcPr>
          <w:p>
            <w:pPr>
              <w:spacing w:after="0"/>
              <w:rPr>
                <w:sz w:val="1"/>
                <w:szCs w:val="1"/>
                <w:color w:val="auto"/>
              </w:rPr>
            </w:pPr>
          </w:p>
        </w:tc>
      </w:tr>
      <w:tr>
        <w:trPr>
          <w:trHeight w:val="243"/>
        </w:trPr>
        <w:tc>
          <w:tcPr>
            <w:tcW w:w="5120" w:type="dxa"/>
            <w:vAlign w:val="bottom"/>
            <w:tcBorders>
              <w:bottom w:val="single" w:sz="8" w:color="auto"/>
            </w:tcBorders>
            <w:vMerge w:val="continue"/>
          </w:tcPr>
          <w:p>
            <w:pPr>
              <w:spacing w:after="0"/>
              <w:rPr>
                <w:sz w:val="21"/>
                <w:szCs w:val="21"/>
                <w:color w:val="auto"/>
              </w:rPr>
            </w:pPr>
          </w:p>
        </w:tc>
        <w:tc>
          <w:tcPr>
            <w:tcW w:w="1740" w:type="dxa"/>
            <w:vAlign w:val="bottom"/>
            <w:tcBorders>
              <w:bottom w:val="single" w:sz="8" w:color="auto"/>
            </w:tcBorders>
          </w:tcPr>
          <w:p>
            <w:pPr>
              <w:jc w:val="right"/>
              <w:ind w:right="118"/>
              <w:spacing w:after="0"/>
              <w:rPr>
                <w:sz w:val="20"/>
                <w:szCs w:val="20"/>
                <w:color w:val="auto"/>
              </w:rPr>
            </w:pPr>
            <w:r>
              <w:rPr>
                <w:rFonts w:ascii="Times New Roman" w:cs="Times New Roman" w:eastAsia="Times New Roman" w:hAnsi="Times New Roman"/>
                <w:sz w:val="18"/>
                <w:szCs w:val="18"/>
                <w:b w:val="1"/>
                <w:bCs w:val="1"/>
                <w:color w:val="auto"/>
              </w:rPr>
              <w:t>Guidance Range</w:t>
            </w:r>
          </w:p>
        </w:tc>
        <w:tc>
          <w:tcPr>
            <w:tcW w:w="0" w:type="dxa"/>
            <w:vAlign w:val="bottom"/>
          </w:tcPr>
          <w:p>
            <w:pPr>
              <w:spacing w:after="0"/>
              <w:rPr>
                <w:sz w:val="1"/>
                <w:szCs w:val="1"/>
                <w:color w:val="auto"/>
              </w:rPr>
            </w:pPr>
          </w:p>
        </w:tc>
      </w:tr>
      <w:tr>
        <w:trPr>
          <w:trHeight w:val="223"/>
        </w:trPr>
        <w:tc>
          <w:tcPr>
            <w:tcW w:w="51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(40) - 0</w:t>
            </w:r>
          </w:p>
        </w:tc>
        <w:tc>
          <w:tcPr>
            <w:tcW w:w="0" w:type="dxa"/>
            <w:vAlign w:val="bottom"/>
          </w:tcPr>
          <w:p>
            <w:pPr>
              <w:spacing w:after="0"/>
              <w:rPr>
                <w:sz w:val="1"/>
                <w:szCs w:val="1"/>
                <w:color w:val="auto"/>
              </w:rPr>
            </w:pPr>
          </w:p>
        </w:tc>
      </w:tr>
      <w:tr>
        <w:trPr>
          <w:trHeight w:val="223"/>
        </w:trPr>
        <w:tc>
          <w:tcPr>
            <w:tcW w:w="5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Income Tax Expense</w:t>
            </w:r>
          </w:p>
        </w:tc>
        <w:tc>
          <w:tcPr>
            <w:tcW w:w="1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0" w:type="dxa"/>
            <w:vAlign w:val="bottom"/>
          </w:tcPr>
          <w:p>
            <w:pPr>
              <w:spacing w:after="0"/>
              <w:rPr>
                <w:sz w:val="1"/>
                <w:szCs w:val="1"/>
                <w:color w:val="auto"/>
              </w:rPr>
            </w:pPr>
          </w:p>
        </w:tc>
      </w:tr>
      <w:tr>
        <w:trPr>
          <w:trHeight w:val="230"/>
        </w:trPr>
        <w:tc>
          <w:tcPr>
            <w:tcW w:w="51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Expense, net</w:t>
            </w: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335</w:t>
            </w:r>
          </w:p>
        </w:tc>
        <w:tc>
          <w:tcPr>
            <w:tcW w:w="0" w:type="dxa"/>
            <w:vAlign w:val="bottom"/>
          </w:tcPr>
          <w:p>
            <w:pPr>
              <w:spacing w:after="0"/>
              <w:rPr>
                <w:sz w:val="1"/>
                <w:szCs w:val="1"/>
                <w:color w:val="auto"/>
              </w:rPr>
            </w:pPr>
          </w:p>
        </w:tc>
      </w:tr>
      <w:tr>
        <w:trPr>
          <w:trHeight w:val="229"/>
        </w:trPr>
        <w:tc>
          <w:tcPr>
            <w:tcW w:w="5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Depreciation, Amortization, and ARO Expense</w:t>
            </w:r>
          </w:p>
        </w:tc>
        <w:tc>
          <w:tcPr>
            <w:tcW w:w="1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840</w:t>
            </w:r>
          </w:p>
        </w:tc>
        <w:tc>
          <w:tcPr>
            <w:tcW w:w="0" w:type="dxa"/>
            <w:vAlign w:val="bottom"/>
          </w:tcPr>
          <w:p>
            <w:pPr>
              <w:spacing w:after="0"/>
              <w:rPr>
                <w:sz w:val="1"/>
                <w:szCs w:val="1"/>
                <w:color w:val="auto"/>
              </w:rPr>
            </w:pPr>
          </w:p>
        </w:tc>
      </w:tr>
      <w:tr>
        <w:trPr>
          <w:trHeight w:val="176"/>
        </w:trPr>
        <w:tc>
          <w:tcPr>
            <w:tcW w:w="5120" w:type="dxa"/>
            <w:vAlign w:val="bottom"/>
            <w:shd w:val="clear" w:color="auto" w:fill="CCEEFF"/>
          </w:tcPr>
          <w:p>
            <w:pPr>
              <w:ind w:left="220"/>
              <w:spacing w:after="0" w:line="176" w:lineRule="exact"/>
              <w:rPr>
                <w:sz w:val="20"/>
                <w:szCs w:val="20"/>
                <w:color w:val="auto"/>
              </w:rPr>
            </w:pPr>
            <w:r>
              <w:rPr>
                <w:rFonts w:ascii="Times New Roman" w:cs="Times New Roman" w:eastAsia="Times New Roman" w:hAnsi="Times New Roman"/>
                <w:sz w:val="18"/>
                <w:szCs w:val="18"/>
                <w:color w:val="auto"/>
              </w:rPr>
              <w:t>Adjustment to reflect CWEN share of Adjusted EBITDA in</w:t>
            </w:r>
          </w:p>
        </w:tc>
        <w:tc>
          <w:tcPr>
            <w:tcW w:w="17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51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unconsolidated affiliates</w:t>
            </w: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w:t>
            </w:r>
          </w:p>
        </w:tc>
        <w:tc>
          <w:tcPr>
            <w:tcW w:w="0" w:type="dxa"/>
            <w:vAlign w:val="bottom"/>
          </w:tcPr>
          <w:p>
            <w:pPr>
              <w:spacing w:after="0"/>
              <w:rPr>
                <w:sz w:val="1"/>
                <w:szCs w:val="1"/>
                <w:color w:val="auto"/>
              </w:rPr>
            </w:pPr>
          </w:p>
        </w:tc>
      </w:tr>
      <w:tr>
        <w:trPr>
          <w:trHeight w:val="230"/>
        </w:trPr>
        <w:tc>
          <w:tcPr>
            <w:tcW w:w="512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Non-Cash Equity Compensation</w:t>
            </w: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0" w:type="dxa"/>
            <w:vAlign w:val="bottom"/>
          </w:tcPr>
          <w:p>
            <w:pPr>
              <w:spacing w:after="0"/>
              <w:rPr>
                <w:sz w:val="1"/>
                <w:szCs w:val="1"/>
                <w:color w:val="auto"/>
              </w:rPr>
            </w:pPr>
          </w:p>
        </w:tc>
      </w:tr>
      <w:tr>
        <w:trPr>
          <w:trHeight w:val="223"/>
        </w:trPr>
        <w:tc>
          <w:tcPr>
            <w:tcW w:w="51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1,195 - 1,235</w:t>
            </w:r>
          </w:p>
        </w:tc>
        <w:tc>
          <w:tcPr>
            <w:tcW w:w="0" w:type="dxa"/>
            <w:vAlign w:val="bottom"/>
          </w:tcPr>
          <w:p>
            <w:pPr>
              <w:spacing w:after="0"/>
              <w:rPr>
                <w:sz w:val="1"/>
                <w:szCs w:val="1"/>
                <w:color w:val="auto"/>
              </w:rPr>
            </w:pPr>
          </w:p>
        </w:tc>
      </w:tr>
      <w:tr>
        <w:trPr>
          <w:trHeight w:val="223"/>
        </w:trPr>
        <w:tc>
          <w:tcPr>
            <w:tcW w:w="5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Cash interest paid</w:t>
            </w:r>
          </w:p>
        </w:tc>
        <w:tc>
          <w:tcPr>
            <w:tcW w:w="1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(314)</w:t>
            </w:r>
          </w:p>
        </w:tc>
        <w:tc>
          <w:tcPr>
            <w:tcW w:w="0" w:type="dxa"/>
            <w:vAlign w:val="bottom"/>
          </w:tcPr>
          <w:p>
            <w:pPr>
              <w:spacing w:after="0"/>
              <w:rPr>
                <w:sz w:val="1"/>
                <w:szCs w:val="1"/>
                <w:color w:val="auto"/>
              </w:rPr>
            </w:pPr>
          </w:p>
        </w:tc>
      </w:tr>
      <w:tr>
        <w:trPr>
          <w:trHeight w:val="229"/>
        </w:trPr>
        <w:tc>
          <w:tcPr>
            <w:tcW w:w="51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Changes in prepaid and accrued liabilities for tolling agreements</w:t>
            </w: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0" w:type="dxa"/>
            <w:vAlign w:val="bottom"/>
          </w:tcPr>
          <w:p>
            <w:pPr>
              <w:spacing w:after="0"/>
              <w:rPr>
                <w:sz w:val="1"/>
                <w:szCs w:val="1"/>
                <w:color w:val="auto"/>
              </w:rPr>
            </w:pPr>
          </w:p>
        </w:tc>
      </w:tr>
      <w:tr>
        <w:trPr>
          <w:trHeight w:val="176"/>
        </w:trPr>
        <w:tc>
          <w:tcPr>
            <w:tcW w:w="5120" w:type="dxa"/>
            <w:vAlign w:val="bottom"/>
          </w:tcPr>
          <w:p>
            <w:pPr>
              <w:ind w:left="220"/>
              <w:spacing w:after="0" w:line="176" w:lineRule="exact"/>
              <w:rPr>
                <w:sz w:val="20"/>
                <w:szCs w:val="20"/>
                <w:color w:val="auto"/>
              </w:rPr>
            </w:pPr>
            <w:r>
              <w:rPr>
                <w:rFonts w:ascii="Times New Roman" w:cs="Times New Roman" w:eastAsia="Times New Roman" w:hAnsi="Times New Roman"/>
                <w:sz w:val="18"/>
                <w:szCs w:val="18"/>
                <w:color w:val="auto"/>
              </w:rPr>
              <w:t>Adjustments to reflect sale-type leases and payments for lease</w:t>
            </w:r>
          </w:p>
        </w:tc>
        <w:tc>
          <w:tcPr>
            <w:tcW w:w="1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0"/>
        </w:trPr>
        <w:tc>
          <w:tcPr>
            <w:tcW w:w="51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expenses</w:t>
            </w:r>
          </w:p>
        </w:tc>
        <w:tc>
          <w:tcPr>
            <w:tcW w:w="1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0" w:type="dxa"/>
            <w:vAlign w:val="bottom"/>
          </w:tcPr>
          <w:p>
            <w:pPr>
              <w:spacing w:after="0"/>
              <w:rPr>
                <w:sz w:val="1"/>
                <w:szCs w:val="1"/>
                <w:color w:val="auto"/>
              </w:rPr>
            </w:pPr>
          </w:p>
        </w:tc>
      </w:tr>
      <w:tr>
        <w:trPr>
          <w:trHeight w:val="233"/>
        </w:trPr>
        <w:tc>
          <w:tcPr>
            <w:tcW w:w="51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Pro-rata Adjusted EBITDA from unconsolidated affiliates</w:t>
            </w: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w:t>
            </w:r>
          </w:p>
        </w:tc>
        <w:tc>
          <w:tcPr>
            <w:tcW w:w="0" w:type="dxa"/>
            <w:vAlign w:val="bottom"/>
          </w:tcPr>
          <w:p>
            <w:pPr>
              <w:spacing w:after="0"/>
              <w:rPr>
                <w:sz w:val="1"/>
                <w:szCs w:val="1"/>
                <w:color w:val="auto"/>
              </w:rPr>
            </w:pPr>
          </w:p>
        </w:tc>
      </w:tr>
      <w:tr>
        <w:trPr>
          <w:trHeight w:val="257"/>
        </w:trPr>
        <w:tc>
          <w:tcPr>
            <w:tcW w:w="5120" w:type="dxa"/>
            <w:vAlign w:val="bottom"/>
          </w:tcPr>
          <w:p>
            <w:pPr>
              <w:ind w:left="180"/>
              <w:spacing w:after="0" w:line="256" w:lineRule="exact"/>
              <w:rPr>
                <w:sz w:val="20"/>
                <w:szCs w:val="20"/>
                <w:color w:val="auto"/>
              </w:rPr>
            </w:pPr>
            <w:r>
              <w:rPr>
                <w:rFonts w:ascii="Times New Roman" w:cs="Times New Roman" w:eastAsia="Times New Roman" w:hAnsi="Times New Roman"/>
                <w:sz w:val="18"/>
                <w:szCs w:val="18"/>
                <w:color w:val="auto"/>
              </w:rPr>
              <w:t>Cash distributions from unconsolidated affiliates</w:t>
            </w:r>
            <w:r>
              <w:rPr>
                <w:rFonts w:ascii="Times New Roman" w:cs="Times New Roman" w:eastAsia="Times New Roman" w:hAnsi="Times New Roman"/>
                <w:sz w:val="23"/>
                <w:szCs w:val="23"/>
                <w:color w:val="auto"/>
                <w:vertAlign w:val="superscript"/>
              </w:rPr>
              <w:t>9</w:t>
            </w:r>
          </w:p>
        </w:tc>
        <w:tc>
          <w:tcPr>
            <w:tcW w:w="1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w:t>
            </w:r>
          </w:p>
        </w:tc>
        <w:tc>
          <w:tcPr>
            <w:tcW w:w="0" w:type="dxa"/>
            <w:vAlign w:val="bottom"/>
          </w:tcPr>
          <w:p>
            <w:pPr>
              <w:spacing w:after="0"/>
              <w:rPr>
                <w:sz w:val="1"/>
                <w:szCs w:val="1"/>
                <w:color w:val="auto"/>
              </w:rPr>
            </w:pPr>
          </w:p>
        </w:tc>
      </w:tr>
      <w:tr>
        <w:trPr>
          <w:trHeight w:val="229"/>
        </w:trPr>
        <w:tc>
          <w:tcPr>
            <w:tcW w:w="5120" w:type="dxa"/>
            <w:vAlign w:val="bottom"/>
            <w:tcBorders>
              <w:bottom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Income Tax Payments</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0" w:type="dxa"/>
            <w:vAlign w:val="bottom"/>
          </w:tcPr>
          <w:p>
            <w:pPr>
              <w:spacing w:after="0"/>
              <w:rPr>
                <w:sz w:val="1"/>
                <w:szCs w:val="1"/>
                <w:color w:val="auto"/>
              </w:rPr>
            </w:pPr>
          </w:p>
        </w:tc>
      </w:tr>
      <w:tr>
        <w:trPr>
          <w:trHeight w:val="223"/>
        </w:trPr>
        <w:tc>
          <w:tcPr>
            <w:tcW w:w="51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Cash from Operating Activities</w:t>
            </w: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844 - 884</w:t>
            </w:r>
          </w:p>
        </w:tc>
        <w:tc>
          <w:tcPr>
            <w:tcW w:w="0" w:type="dxa"/>
            <w:vAlign w:val="bottom"/>
          </w:tcPr>
          <w:p>
            <w:pPr>
              <w:spacing w:after="0"/>
              <w:rPr>
                <w:sz w:val="1"/>
                <w:szCs w:val="1"/>
                <w:color w:val="auto"/>
              </w:rPr>
            </w:pPr>
          </w:p>
        </w:tc>
      </w:tr>
      <w:tr>
        <w:trPr>
          <w:trHeight w:val="250"/>
        </w:trPr>
        <w:tc>
          <w:tcPr>
            <w:tcW w:w="5120" w:type="dxa"/>
            <w:vAlign w:val="bottom"/>
            <w:shd w:val="clear" w:color="auto" w:fill="CCEEFF"/>
          </w:tcPr>
          <w:p>
            <w:pPr>
              <w:ind w:left="180"/>
              <w:spacing w:after="0" w:line="250" w:lineRule="exact"/>
              <w:rPr>
                <w:sz w:val="20"/>
                <w:szCs w:val="20"/>
                <w:color w:val="auto"/>
              </w:rPr>
            </w:pPr>
            <w:r>
              <w:rPr>
                <w:rFonts w:ascii="Times New Roman" w:cs="Times New Roman" w:eastAsia="Times New Roman" w:hAnsi="Times New Roman"/>
                <w:sz w:val="18"/>
                <w:szCs w:val="18"/>
                <w:color w:val="auto"/>
              </w:rPr>
              <w:t>Net distributions to non-controlling interest</w:t>
            </w:r>
            <w:r>
              <w:rPr>
                <w:rFonts w:ascii="Times New Roman" w:cs="Times New Roman" w:eastAsia="Times New Roman" w:hAnsi="Times New Roman"/>
                <w:sz w:val="23"/>
                <w:szCs w:val="23"/>
                <w:color w:val="auto"/>
                <w:vertAlign w:val="superscript"/>
              </w:rPr>
              <w:t>10</w:t>
            </w: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w:t>
            </w:r>
          </w:p>
        </w:tc>
        <w:tc>
          <w:tcPr>
            <w:tcW w:w="0" w:type="dxa"/>
            <w:vAlign w:val="bottom"/>
          </w:tcPr>
          <w:p>
            <w:pPr>
              <w:spacing w:after="0"/>
              <w:rPr>
                <w:sz w:val="1"/>
                <w:szCs w:val="1"/>
                <w:color w:val="auto"/>
              </w:rPr>
            </w:pPr>
          </w:p>
        </w:tc>
      </w:tr>
      <w:tr>
        <w:trPr>
          <w:trHeight w:val="229"/>
        </w:trPr>
        <w:tc>
          <w:tcPr>
            <w:tcW w:w="5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Cash receipts from notes receivable</w:t>
            </w:r>
          </w:p>
        </w:tc>
        <w:tc>
          <w:tcPr>
            <w:tcW w:w="1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0" w:type="dxa"/>
            <w:vAlign w:val="bottom"/>
          </w:tcPr>
          <w:p>
            <w:pPr>
              <w:spacing w:after="0"/>
              <w:rPr>
                <w:sz w:val="1"/>
                <w:szCs w:val="1"/>
                <w:color w:val="auto"/>
              </w:rPr>
            </w:pPr>
          </w:p>
        </w:tc>
      </w:tr>
      <w:tr>
        <w:trPr>
          <w:trHeight w:val="229"/>
        </w:trPr>
        <w:tc>
          <w:tcPr>
            <w:tcW w:w="51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Maintenance capital expenditures</w:t>
            </w: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0" w:type="dxa"/>
            <w:vAlign w:val="bottom"/>
          </w:tcPr>
          <w:p>
            <w:pPr>
              <w:spacing w:after="0"/>
              <w:rPr>
                <w:sz w:val="1"/>
                <w:szCs w:val="1"/>
                <w:color w:val="auto"/>
              </w:rPr>
            </w:pPr>
          </w:p>
        </w:tc>
      </w:tr>
      <w:tr>
        <w:trPr>
          <w:trHeight w:val="230"/>
        </w:trPr>
        <w:tc>
          <w:tcPr>
            <w:tcW w:w="5120" w:type="dxa"/>
            <w:vAlign w:val="bottom"/>
            <w:tcBorders>
              <w:bottom w:val="single" w:sz="8" w:color="auto"/>
            </w:tcBorders>
          </w:tcPr>
          <w:p>
            <w:pPr>
              <w:ind w:left="180"/>
              <w:spacing w:after="0" w:line="230" w:lineRule="exact"/>
              <w:rPr>
                <w:sz w:val="20"/>
                <w:szCs w:val="20"/>
                <w:color w:val="auto"/>
              </w:rPr>
            </w:pPr>
            <w:r>
              <w:rPr>
                <w:rFonts w:ascii="Times New Roman" w:cs="Times New Roman" w:eastAsia="Times New Roman" w:hAnsi="Times New Roman"/>
                <w:sz w:val="18"/>
                <w:szCs w:val="18"/>
                <w:color w:val="auto"/>
              </w:rPr>
              <w:t>Principal amortization of indebtedness</w:t>
            </w:r>
            <w:r>
              <w:rPr>
                <w:rFonts w:ascii="Times New Roman" w:cs="Times New Roman" w:eastAsia="Times New Roman" w:hAnsi="Times New Roman"/>
                <w:sz w:val="23"/>
                <w:szCs w:val="23"/>
                <w:color w:val="auto"/>
                <w:vertAlign w:val="superscript"/>
              </w:rPr>
              <w:t>11</w:t>
            </w: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(304)</w:t>
            </w:r>
          </w:p>
        </w:tc>
        <w:tc>
          <w:tcPr>
            <w:tcW w:w="0" w:type="dxa"/>
            <w:vAlign w:val="bottom"/>
          </w:tcPr>
          <w:p>
            <w:pPr>
              <w:spacing w:after="0"/>
              <w:rPr>
                <w:sz w:val="1"/>
                <w:szCs w:val="1"/>
                <w:color w:val="auto"/>
              </w:rPr>
            </w:pPr>
          </w:p>
        </w:tc>
      </w:tr>
      <w:tr>
        <w:trPr>
          <w:trHeight w:val="223"/>
        </w:trPr>
        <w:tc>
          <w:tcPr>
            <w:tcW w:w="51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Available for Distribution</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400 - 440</w:t>
            </w:r>
          </w:p>
        </w:tc>
        <w:tc>
          <w:tcPr>
            <w:tcW w:w="0" w:type="dxa"/>
            <w:vAlign w:val="bottom"/>
          </w:tcPr>
          <w:p>
            <w:pPr>
              <w:spacing w:after="0"/>
              <w:rPr>
                <w:sz w:val="1"/>
                <w:szCs w:val="1"/>
                <w:color w:val="auto"/>
              </w:rPr>
            </w:pPr>
          </w:p>
        </w:tc>
      </w:tr>
    </w:tbl>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Appendix Table A-8: Adjusted EBITDA and Cash Available for Distribution Growth Projects</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60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 in millions)</w:t>
            </w:r>
          </w:p>
        </w:tc>
        <w:tc>
          <w:tcPr>
            <w:tcW w:w="2320" w:type="dxa"/>
            <w:vAlign w:val="bottom"/>
          </w:tcPr>
          <w:p>
            <w:pPr>
              <w:jc w:val="right"/>
              <w:ind w:right="538"/>
              <w:spacing w:after="0"/>
              <w:rPr>
                <w:sz w:val="20"/>
                <w:szCs w:val="20"/>
                <w:color w:val="auto"/>
              </w:rPr>
            </w:pPr>
            <w:r>
              <w:rPr>
                <w:rFonts w:ascii="Times New Roman" w:cs="Times New Roman" w:eastAsia="Times New Roman" w:hAnsi="Times New Roman"/>
                <w:sz w:val="18"/>
                <w:szCs w:val="18"/>
                <w:b w:val="1"/>
                <w:bCs w:val="1"/>
                <w:color w:val="auto"/>
              </w:rPr>
              <w:t>Tuolumne wind</w:t>
            </w:r>
          </w:p>
        </w:tc>
        <w:tc>
          <w:tcPr>
            <w:tcW w:w="2220" w:type="dxa"/>
            <w:vAlign w:val="bottom"/>
          </w:tcPr>
          <w:p>
            <w:pPr>
              <w:jc w:val="right"/>
              <w:ind w:right="358"/>
              <w:spacing w:after="0"/>
              <w:rPr>
                <w:sz w:val="20"/>
                <w:szCs w:val="20"/>
                <w:color w:val="auto"/>
              </w:rPr>
            </w:pPr>
            <w:r>
              <w:rPr>
                <w:rFonts w:ascii="Times New Roman" w:cs="Times New Roman" w:eastAsia="Times New Roman" w:hAnsi="Times New Roman"/>
                <w:sz w:val="18"/>
                <w:szCs w:val="18"/>
                <w:b w:val="1"/>
                <w:bCs w:val="1"/>
                <w:color w:val="auto"/>
              </w:rPr>
              <w:t>Honeycomb Phase 1</w:t>
            </w:r>
          </w:p>
        </w:tc>
        <w:tc>
          <w:tcPr>
            <w:tcW w:w="2100" w:type="dxa"/>
            <w:vAlign w:val="bottom"/>
          </w:tcPr>
          <w:p>
            <w:pPr>
              <w:jc w:val="right"/>
              <w:ind w:right="158"/>
              <w:spacing w:after="0"/>
              <w:rPr>
                <w:sz w:val="20"/>
                <w:szCs w:val="20"/>
                <w:color w:val="auto"/>
              </w:rPr>
            </w:pPr>
            <w:r>
              <w:rPr>
                <w:rFonts w:ascii="Times New Roman" w:cs="Times New Roman" w:eastAsia="Times New Roman" w:hAnsi="Times New Roman"/>
                <w:sz w:val="18"/>
                <w:szCs w:val="18"/>
                <w:b w:val="1"/>
                <w:bCs w:val="1"/>
                <w:color w:val="auto"/>
              </w:rPr>
              <w:t>Mt Storm Repowering</w:t>
            </w:r>
          </w:p>
        </w:tc>
        <w:tc>
          <w:tcPr>
            <w:tcW w:w="0" w:type="dxa"/>
            <w:vAlign w:val="bottom"/>
          </w:tcPr>
          <w:p>
            <w:pPr>
              <w:spacing w:after="0"/>
              <w:rPr>
                <w:sz w:val="1"/>
                <w:szCs w:val="1"/>
                <w:color w:val="auto"/>
              </w:rPr>
            </w:pPr>
          </w:p>
        </w:tc>
      </w:tr>
      <w:tr>
        <w:trPr>
          <w:trHeight w:val="243"/>
        </w:trPr>
        <w:tc>
          <w:tcPr>
            <w:tcW w:w="4600" w:type="dxa"/>
            <w:vAlign w:val="bottom"/>
            <w:gridSpan w:val="2"/>
            <w:vMerge w:val="continue"/>
          </w:tcPr>
          <w:p>
            <w:pPr>
              <w:spacing w:after="0"/>
              <w:rPr>
                <w:sz w:val="21"/>
                <w:szCs w:val="21"/>
                <w:color w:val="auto"/>
              </w:rPr>
            </w:pPr>
          </w:p>
        </w:tc>
        <w:tc>
          <w:tcPr>
            <w:tcW w:w="2320" w:type="dxa"/>
            <w:vAlign w:val="bottom"/>
          </w:tcPr>
          <w:p>
            <w:pPr>
              <w:jc w:val="right"/>
              <w:ind w:right="278"/>
              <w:spacing w:after="0"/>
              <w:rPr>
                <w:sz w:val="20"/>
                <w:szCs w:val="20"/>
                <w:color w:val="auto"/>
              </w:rPr>
            </w:pPr>
            <w:r>
              <w:rPr>
                <w:rFonts w:ascii="Times New Roman" w:cs="Times New Roman" w:eastAsia="Times New Roman" w:hAnsi="Times New Roman"/>
                <w:sz w:val="18"/>
                <w:szCs w:val="18"/>
                <w:b w:val="1"/>
                <w:bCs w:val="1"/>
                <w:color w:val="auto"/>
              </w:rPr>
              <w:t>5 Year Ave. 2026-2030</w:t>
            </w:r>
          </w:p>
        </w:tc>
        <w:tc>
          <w:tcPr>
            <w:tcW w:w="2220" w:type="dxa"/>
            <w:vAlign w:val="bottom"/>
          </w:tcPr>
          <w:p>
            <w:pPr>
              <w:jc w:val="right"/>
              <w:ind w:right="298"/>
              <w:spacing w:after="0"/>
              <w:rPr>
                <w:sz w:val="20"/>
                <w:szCs w:val="20"/>
                <w:color w:val="auto"/>
              </w:rPr>
            </w:pPr>
            <w:r>
              <w:rPr>
                <w:rFonts w:ascii="Times New Roman" w:cs="Times New Roman" w:eastAsia="Times New Roman" w:hAnsi="Times New Roman"/>
                <w:sz w:val="18"/>
                <w:szCs w:val="18"/>
                <w:b w:val="1"/>
                <w:bCs w:val="1"/>
                <w:color w:val="auto"/>
              </w:rPr>
              <w:t>5 Year Ave. 2027-2031</w:t>
            </w:r>
          </w:p>
        </w:tc>
        <w:tc>
          <w:tcPr>
            <w:tcW w:w="2100" w:type="dxa"/>
            <w:vAlign w:val="bottom"/>
          </w:tcPr>
          <w:p>
            <w:pPr>
              <w:jc w:val="right"/>
              <w:ind w:right="178"/>
              <w:spacing w:after="0"/>
              <w:rPr>
                <w:sz w:val="20"/>
                <w:szCs w:val="20"/>
                <w:color w:val="auto"/>
              </w:rPr>
            </w:pPr>
            <w:r>
              <w:rPr>
                <w:rFonts w:ascii="Times New Roman" w:cs="Times New Roman" w:eastAsia="Times New Roman" w:hAnsi="Times New Roman"/>
                <w:sz w:val="18"/>
                <w:szCs w:val="18"/>
                <w:b w:val="1"/>
                <w:bCs w:val="1"/>
                <w:color w:val="auto"/>
              </w:rPr>
              <w:t>5 Year Ave. 2028-2032</w:t>
            </w:r>
          </w:p>
        </w:tc>
        <w:tc>
          <w:tcPr>
            <w:tcW w:w="0" w:type="dxa"/>
            <w:vAlign w:val="bottom"/>
          </w:tcPr>
          <w:p>
            <w:pPr>
              <w:spacing w:after="0"/>
              <w:rPr>
                <w:sz w:val="1"/>
                <w:szCs w:val="1"/>
                <w:color w:val="auto"/>
              </w:rPr>
            </w:pPr>
          </w:p>
        </w:tc>
      </w:tr>
      <w:tr>
        <w:trPr>
          <w:trHeight w:val="223"/>
        </w:trPr>
        <w:tc>
          <w:tcPr>
            <w:tcW w:w="446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140" w:type="dxa"/>
            <w:vAlign w:val="bottom"/>
            <w:tcBorders>
              <w:top w:val="single" w:sz="8" w:color="CCEEFF"/>
            </w:tcBorders>
            <w:shd w:val="clear" w:color="auto" w:fill="CCEEFF"/>
          </w:tcPr>
          <w:p>
            <w:pPr>
              <w:spacing w:after="0"/>
              <w:rPr>
                <w:sz w:val="19"/>
                <w:szCs w:val="19"/>
                <w:color w:val="auto"/>
              </w:rPr>
            </w:pPr>
          </w:p>
        </w:tc>
        <w:tc>
          <w:tcPr>
            <w:tcW w:w="2320" w:type="dxa"/>
            <w:vAlign w:val="bottom"/>
            <w:tcBorders>
              <w:top w:val="single" w:sz="8" w:color="auto"/>
              <w:bottom w:val="single" w:sz="8" w:color="auto"/>
            </w:tcBorders>
            <w:shd w:val="clear" w:color="auto" w:fill="CCEEFF"/>
          </w:tcPr>
          <w:p>
            <w:pPr>
              <w:jc w:val="right"/>
              <w:ind w:right="98"/>
              <w:spacing w:after="0"/>
              <w:rPr>
                <w:sz w:val="20"/>
                <w:szCs w:val="20"/>
                <w:color w:val="auto"/>
              </w:rPr>
            </w:pPr>
            <w:r>
              <w:rPr>
                <w:rFonts w:ascii="Times New Roman" w:cs="Times New Roman" w:eastAsia="Times New Roman" w:hAnsi="Times New Roman"/>
                <w:sz w:val="16"/>
                <w:szCs w:val="16"/>
                <w:b w:val="1"/>
                <w:bCs w:val="1"/>
                <w:color w:val="auto"/>
              </w:rPr>
              <w:t>7</w:t>
            </w:r>
          </w:p>
        </w:tc>
        <w:tc>
          <w:tcPr>
            <w:tcW w:w="2220" w:type="dxa"/>
            <w:vAlign w:val="bottom"/>
            <w:tcBorders>
              <w:top w:val="single" w:sz="8" w:color="auto"/>
              <w:bottom w:val="single" w:sz="8" w:color="auto"/>
            </w:tcBorders>
            <w:shd w:val="clear" w:color="auto" w:fill="CCEEFF"/>
          </w:tcPr>
          <w:p>
            <w:pPr>
              <w:jc w:val="right"/>
              <w:ind w:right="98"/>
              <w:spacing w:after="0"/>
              <w:rPr>
                <w:sz w:val="20"/>
                <w:szCs w:val="20"/>
                <w:color w:val="auto"/>
              </w:rPr>
            </w:pPr>
            <w:r>
              <w:rPr>
                <w:rFonts w:ascii="Times New Roman" w:cs="Times New Roman" w:eastAsia="Times New Roman" w:hAnsi="Times New Roman"/>
                <w:sz w:val="16"/>
                <w:szCs w:val="16"/>
                <w:b w:val="1"/>
                <w:bCs w:val="1"/>
                <w:color w:val="auto"/>
              </w:rPr>
              <w:t>6</w:t>
            </w:r>
          </w:p>
        </w:tc>
        <w:tc>
          <w:tcPr>
            <w:tcW w:w="2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19-21</w:t>
            </w:r>
          </w:p>
        </w:tc>
        <w:tc>
          <w:tcPr>
            <w:tcW w:w="0" w:type="dxa"/>
            <w:vAlign w:val="bottom"/>
          </w:tcPr>
          <w:p>
            <w:pPr>
              <w:spacing w:after="0"/>
              <w:rPr>
                <w:sz w:val="1"/>
                <w:szCs w:val="1"/>
                <w:color w:val="auto"/>
              </w:rPr>
            </w:pPr>
          </w:p>
        </w:tc>
      </w:tr>
      <w:tr>
        <w:trPr>
          <w:trHeight w:val="223"/>
        </w:trPr>
        <w:tc>
          <w:tcPr>
            <w:tcW w:w="44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Interest Expense, net</w:t>
            </w:r>
          </w:p>
        </w:tc>
        <w:tc>
          <w:tcPr>
            <w:tcW w:w="140" w:type="dxa"/>
            <w:vAlign w:val="bottom"/>
          </w:tcPr>
          <w:p>
            <w:pPr>
              <w:spacing w:after="0"/>
              <w:rPr>
                <w:sz w:val="19"/>
                <w:szCs w:val="19"/>
                <w:color w:val="auto"/>
              </w:rPr>
            </w:pPr>
          </w:p>
        </w:tc>
        <w:tc>
          <w:tcPr>
            <w:tcW w:w="2320" w:type="dxa"/>
            <w:vAlign w:val="bottom"/>
          </w:tcPr>
          <w:p>
            <w:pPr>
              <w:jc w:val="right"/>
              <w:ind w:right="98"/>
              <w:spacing w:after="0"/>
              <w:rPr>
                <w:sz w:val="20"/>
                <w:szCs w:val="20"/>
                <w:color w:val="auto"/>
              </w:rPr>
            </w:pPr>
            <w:r>
              <w:rPr>
                <w:rFonts w:ascii="Times New Roman" w:cs="Times New Roman" w:eastAsia="Times New Roman" w:hAnsi="Times New Roman"/>
                <w:sz w:val="16"/>
                <w:szCs w:val="16"/>
                <w:color w:val="auto"/>
              </w:rPr>
              <w:t>8</w:t>
            </w:r>
          </w:p>
        </w:tc>
        <w:tc>
          <w:tcPr>
            <w:tcW w:w="2220" w:type="dxa"/>
            <w:vAlign w:val="bottom"/>
          </w:tcPr>
          <w:p>
            <w:pPr>
              <w:jc w:val="right"/>
              <w:ind w:right="98"/>
              <w:spacing w:after="0"/>
              <w:rPr>
                <w:sz w:val="20"/>
                <w:szCs w:val="20"/>
                <w:color w:val="auto"/>
              </w:rPr>
            </w:pPr>
            <w:r>
              <w:rPr>
                <w:rFonts w:ascii="Times New Roman" w:cs="Times New Roman" w:eastAsia="Times New Roman" w:hAnsi="Times New Roman"/>
                <w:sz w:val="16"/>
                <w:szCs w:val="16"/>
                <w:color w:val="auto"/>
              </w:rPr>
              <w:t>18</w:t>
            </w:r>
          </w:p>
        </w:tc>
        <w:tc>
          <w:tcPr>
            <w:tcW w:w="2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0" w:type="dxa"/>
            <w:vAlign w:val="bottom"/>
          </w:tcPr>
          <w:p>
            <w:pPr>
              <w:spacing w:after="0"/>
              <w:rPr>
                <w:sz w:val="1"/>
                <w:szCs w:val="1"/>
                <w:color w:val="auto"/>
              </w:rPr>
            </w:pPr>
          </w:p>
        </w:tc>
      </w:tr>
      <w:tr>
        <w:trPr>
          <w:trHeight w:val="230"/>
        </w:trPr>
        <w:tc>
          <w:tcPr>
            <w:tcW w:w="46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Depreciation, Amortization, and ARO Expense</w:t>
            </w:r>
          </w:p>
        </w:tc>
        <w:tc>
          <w:tcPr>
            <w:tcW w:w="2320" w:type="dxa"/>
            <w:vAlign w:val="bottom"/>
            <w:shd w:val="clear" w:color="auto" w:fill="CCEEFF"/>
          </w:tcPr>
          <w:p>
            <w:pPr>
              <w:jc w:val="right"/>
              <w:ind w:right="98"/>
              <w:spacing w:after="0"/>
              <w:rPr>
                <w:sz w:val="20"/>
                <w:szCs w:val="20"/>
                <w:color w:val="auto"/>
              </w:rPr>
            </w:pPr>
            <w:r>
              <w:rPr>
                <w:rFonts w:ascii="Times New Roman" w:cs="Times New Roman" w:eastAsia="Times New Roman" w:hAnsi="Times New Roman"/>
                <w:sz w:val="16"/>
                <w:szCs w:val="16"/>
                <w:color w:val="auto"/>
              </w:rPr>
              <w:t>17</w:t>
            </w:r>
          </w:p>
        </w:tc>
        <w:tc>
          <w:tcPr>
            <w:tcW w:w="2220" w:type="dxa"/>
            <w:vAlign w:val="bottom"/>
            <w:shd w:val="clear" w:color="auto" w:fill="CCEEFF"/>
          </w:tcPr>
          <w:p>
            <w:pPr>
              <w:jc w:val="right"/>
              <w:ind w:right="98"/>
              <w:spacing w:after="0"/>
              <w:rPr>
                <w:sz w:val="20"/>
                <w:szCs w:val="20"/>
                <w:color w:val="auto"/>
              </w:rPr>
            </w:pPr>
            <w:r>
              <w:rPr>
                <w:rFonts w:ascii="Times New Roman" w:cs="Times New Roman" w:eastAsia="Times New Roman" w:hAnsi="Times New Roman"/>
                <w:sz w:val="16"/>
                <w:szCs w:val="16"/>
                <w:color w:val="auto"/>
              </w:rPr>
              <w:t>19</w:t>
            </w:r>
          </w:p>
        </w:tc>
        <w:tc>
          <w:tcPr>
            <w:tcW w:w="2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0" w:type="dxa"/>
            <w:vAlign w:val="bottom"/>
          </w:tcPr>
          <w:p>
            <w:pPr>
              <w:spacing w:after="0"/>
              <w:rPr>
                <w:sz w:val="1"/>
                <w:szCs w:val="1"/>
                <w:color w:val="auto"/>
              </w:rPr>
            </w:pPr>
          </w:p>
        </w:tc>
      </w:tr>
      <w:tr>
        <w:trPr>
          <w:trHeight w:val="223"/>
        </w:trPr>
        <w:tc>
          <w:tcPr>
            <w:tcW w:w="44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140" w:type="dxa"/>
            <w:vAlign w:val="bottom"/>
            <w:tcBorders>
              <w:bottom w:val="single" w:sz="8" w:color="CCEEFF"/>
            </w:tcBorders>
          </w:tcPr>
          <w:p>
            <w:pPr>
              <w:spacing w:after="0"/>
              <w:rPr>
                <w:sz w:val="19"/>
                <w:szCs w:val="19"/>
                <w:color w:val="auto"/>
              </w:rPr>
            </w:pPr>
          </w:p>
        </w:tc>
        <w:tc>
          <w:tcPr>
            <w:tcW w:w="2320" w:type="dxa"/>
            <w:vAlign w:val="bottom"/>
            <w:tcBorders>
              <w:top w:val="single" w:sz="8" w:color="auto"/>
              <w:bottom w:val="single" w:sz="8" w:color="auto"/>
            </w:tcBorders>
          </w:tcPr>
          <w:p>
            <w:pPr>
              <w:jc w:val="right"/>
              <w:ind w:right="98"/>
              <w:spacing w:after="0"/>
              <w:rPr>
                <w:sz w:val="20"/>
                <w:szCs w:val="20"/>
                <w:color w:val="auto"/>
              </w:rPr>
            </w:pPr>
            <w:r>
              <w:rPr>
                <w:rFonts w:ascii="Times New Roman" w:cs="Times New Roman" w:eastAsia="Times New Roman" w:hAnsi="Times New Roman"/>
                <w:sz w:val="16"/>
                <w:szCs w:val="16"/>
                <w:b w:val="1"/>
                <w:bCs w:val="1"/>
                <w:color w:val="auto"/>
              </w:rPr>
              <w:t>32</w:t>
            </w:r>
          </w:p>
        </w:tc>
        <w:tc>
          <w:tcPr>
            <w:tcW w:w="2220" w:type="dxa"/>
            <w:vAlign w:val="bottom"/>
            <w:tcBorders>
              <w:top w:val="single" w:sz="8" w:color="auto"/>
              <w:bottom w:val="single" w:sz="8" w:color="auto"/>
            </w:tcBorders>
          </w:tcPr>
          <w:p>
            <w:pPr>
              <w:jc w:val="right"/>
              <w:ind w:right="98"/>
              <w:spacing w:after="0"/>
              <w:rPr>
                <w:sz w:val="20"/>
                <w:szCs w:val="20"/>
                <w:color w:val="auto"/>
              </w:rPr>
            </w:pPr>
            <w:r>
              <w:rPr>
                <w:rFonts w:ascii="Times New Roman" w:cs="Times New Roman" w:eastAsia="Times New Roman" w:hAnsi="Times New Roman"/>
                <w:sz w:val="16"/>
                <w:szCs w:val="16"/>
                <w:b w:val="1"/>
                <w:bCs w:val="1"/>
                <w:color w:val="auto"/>
              </w:rPr>
              <w:t>43</w:t>
            </w:r>
          </w:p>
        </w:tc>
        <w:tc>
          <w:tcPr>
            <w:tcW w:w="2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41-43</w:t>
            </w:r>
          </w:p>
        </w:tc>
        <w:tc>
          <w:tcPr>
            <w:tcW w:w="0" w:type="dxa"/>
            <w:vAlign w:val="bottom"/>
          </w:tcPr>
          <w:p>
            <w:pPr>
              <w:spacing w:after="0"/>
              <w:rPr>
                <w:sz w:val="1"/>
                <w:szCs w:val="1"/>
                <w:color w:val="auto"/>
              </w:rPr>
            </w:pPr>
          </w:p>
        </w:tc>
      </w:tr>
      <w:tr>
        <w:trPr>
          <w:trHeight w:val="223"/>
        </w:trPr>
        <w:tc>
          <w:tcPr>
            <w:tcW w:w="4460" w:type="dxa"/>
            <w:vAlign w:val="bottom"/>
            <w:tcBorders>
              <w:bottom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interest paid</w:t>
            </w:r>
          </w:p>
        </w:tc>
        <w:tc>
          <w:tcPr>
            <w:tcW w:w="140" w:type="dxa"/>
            <w:vAlign w:val="bottom"/>
            <w:shd w:val="clear" w:color="auto" w:fill="CCEEFF"/>
          </w:tcPr>
          <w:p>
            <w:pPr>
              <w:spacing w:after="0"/>
              <w:rPr>
                <w:sz w:val="19"/>
                <w:szCs w:val="19"/>
                <w:color w:val="auto"/>
              </w:rPr>
            </w:pPr>
          </w:p>
        </w:tc>
        <w:tc>
          <w:tcPr>
            <w:tcW w:w="2320" w:type="dxa"/>
            <w:vAlign w:val="bottom"/>
            <w:tcBorders>
              <w:bottom w:val="single" w:sz="8" w:color="auto"/>
            </w:tcBorders>
            <w:shd w:val="clear" w:color="auto" w:fill="CCEEFF"/>
          </w:tcPr>
          <w:p>
            <w:pPr>
              <w:jc w:val="right"/>
              <w:ind w:right="58"/>
              <w:spacing w:after="0"/>
              <w:rPr>
                <w:sz w:val="20"/>
                <w:szCs w:val="20"/>
                <w:color w:val="auto"/>
              </w:rPr>
            </w:pPr>
            <w:r>
              <w:rPr>
                <w:rFonts w:ascii="Times New Roman" w:cs="Times New Roman" w:eastAsia="Times New Roman" w:hAnsi="Times New Roman"/>
                <w:sz w:val="16"/>
                <w:szCs w:val="16"/>
                <w:color w:val="auto"/>
              </w:rPr>
              <w:t>(8)</w:t>
            </w:r>
          </w:p>
        </w:tc>
        <w:tc>
          <w:tcPr>
            <w:tcW w:w="2220" w:type="dxa"/>
            <w:vAlign w:val="bottom"/>
            <w:tcBorders>
              <w:bottom w:val="single" w:sz="8" w:color="auto"/>
            </w:tcBorders>
            <w:shd w:val="clear" w:color="auto" w:fill="CCEEFF"/>
          </w:tcPr>
          <w:p>
            <w:pPr>
              <w:jc w:val="right"/>
              <w:ind w:right="58"/>
              <w:spacing w:after="0"/>
              <w:rPr>
                <w:sz w:val="20"/>
                <w:szCs w:val="20"/>
                <w:color w:val="auto"/>
              </w:rPr>
            </w:pPr>
            <w:r>
              <w:rPr>
                <w:rFonts w:ascii="Times New Roman" w:cs="Times New Roman" w:eastAsia="Times New Roman" w:hAnsi="Times New Roman"/>
                <w:sz w:val="16"/>
                <w:szCs w:val="16"/>
                <w:color w:val="auto"/>
              </w:rPr>
              <w:t>(18)</w:t>
            </w:r>
          </w:p>
        </w:tc>
        <w:tc>
          <w:tcPr>
            <w:tcW w:w="2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0" w:type="dxa"/>
            <w:vAlign w:val="bottom"/>
          </w:tcPr>
          <w:p>
            <w:pPr>
              <w:spacing w:after="0"/>
              <w:rPr>
                <w:sz w:val="1"/>
                <w:szCs w:val="1"/>
                <w:color w:val="auto"/>
              </w:rPr>
            </w:pPr>
          </w:p>
        </w:tc>
      </w:tr>
      <w:tr>
        <w:trPr>
          <w:trHeight w:val="223"/>
        </w:trPr>
        <w:tc>
          <w:tcPr>
            <w:tcW w:w="44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Cash from Operating Activities</w:t>
            </w:r>
          </w:p>
        </w:tc>
        <w:tc>
          <w:tcPr>
            <w:tcW w:w="140" w:type="dxa"/>
            <w:vAlign w:val="bottom"/>
            <w:tcBorders>
              <w:bottom w:val="single" w:sz="8" w:color="CCEEFF"/>
            </w:tcBorders>
          </w:tcPr>
          <w:p>
            <w:pPr>
              <w:spacing w:after="0"/>
              <w:rPr>
                <w:sz w:val="19"/>
                <w:szCs w:val="19"/>
                <w:color w:val="auto"/>
              </w:rPr>
            </w:pPr>
          </w:p>
        </w:tc>
        <w:tc>
          <w:tcPr>
            <w:tcW w:w="2320" w:type="dxa"/>
            <w:vAlign w:val="bottom"/>
            <w:tcBorders>
              <w:bottom w:val="single" w:sz="8" w:color="auto"/>
            </w:tcBorders>
          </w:tcPr>
          <w:p>
            <w:pPr>
              <w:jc w:val="right"/>
              <w:ind w:right="98"/>
              <w:spacing w:after="0"/>
              <w:rPr>
                <w:sz w:val="20"/>
                <w:szCs w:val="20"/>
                <w:color w:val="auto"/>
              </w:rPr>
            </w:pPr>
            <w:r>
              <w:rPr>
                <w:rFonts w:ascii="Times New Roman" w:cs="Times New Roman" w:eastAsia="Times New Roman" w:hAnsi="Times New Roman"/>
                <w:sz w:val="16"/>
                <w:szCs w:val="16"/>
                <w:b w:val="1"/>
                <w:bCs w:val="1"/>
                <w:color w:val="auto"/>
              </w:rPr>
              <w:t>24</w:t>
            </w:r>
          </w:p>
        </w:tc>
        <w:tc>
          <w:tcPr>
            <w:tcW w:w="2220" w:type="dxa"/>
            <w:vAlign w:val="bottom"/>
            <w:tcBorders>
              <w:bottom w:val="single" w:sz="8" w:color="auto"/>
            </w:tcBorders>
          </w:tcPr>
          <w:p>
            <w:pPr>
              <w:jc w:val="right"/>
              <w:ind w:right="98"/>
              <w:spacing w:after="0"/>
              <w:rPr>
                <w:sz w:val="20"/>
                <w:szCs w:val="20"/>
                <w:color w:val="auto"/>
              </w:rPr>
            </w:pPr>
            <w:r>
              <w:rPr>
                <w:rFonts w:ascii="Times New Roman" w:cs="Times New Roman" w:eastAsia="Times New Roman" w:hAnsi="Times New Roman"/>
                <w:sz w:val="16"/>
                <w:szCs w:val="16"/>
                <w:b w:val="1"/>
                <w:bCs w:val="1"/>
                <w:color w:val="auto"/>
              </w:rPr>
              <w:t>25</w:t>
            </w:r>
          </w:p>
        </w:tc>
        <w:tc>
          <w:tcPr>
            <w:tcW w:w="2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24-26</w:t>
            </w:r>
          </w:p>
        </w:tc>
        <w:tc>
          <w:tcPr>
            <w:tcW w:w="0" w:type="dxa"/>
            <w:vAlign w:val="bottom"/>
          </w:tcPr>
          <w:p>
            <w:pPr>
              <w:spacing w:after="0"/>
              <w:rPr>
                <w:sz w:val="1"/>
                <w:szCs w:val="1"/>
                <w:color w:val="auto"/>
              </w:rPr>
            </w:pPr>
          </w:p>
        </w:tc>
      </w:tr>
      <w:tr>
        <w:trPr>
          <w:trHeight w:val="223"/>
        </w:trPr>
        <w:tc>
          <w:tcPr>
            <w:tcW w:w="44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 distributions (to)/from non-controlling interest</w:t>
            </w:r>
          </w:p>
        </w:tc>
        <w:tc>
          <w:tcPr>
            <w:tcW w:w="140" w:type="dxa"/>
            <w:vAlign w:val="bottom"/>
            <w:shd w:val="clear" w:color="auto" w:fill="CCEEFF"/>
          </w:tcPr>
          <w:p>
            <w:pPr>
              <w:spacing w:after="0"/>
              <w:rPr>
                <w:sz w:val="19"/>
                <w:szCs w:val="19"/>
                <w:color w:val="auto"/>
              </w:rPr>
            </w:pPr>
          </w:p>
        </w:tc>
        <w:tc>
          <w:tcPr>
            <w:tcW w:w="2320" w:type="dxa"/>
            <w:vAlign w:val="bottom"/>
            <w:shd w:val="clear" w:color="auto" w:fill="CCEEFF"/>
          </w:tcPr>
          <w:p>
            <w:pPr>
              <w:jc w:val="right"/>
              <w:ind w:right="98"/>
              <w:spacing w:after="0"/>
              <w:rPr>
                <w:sz w:val="20"/>
                <w:szCs w:val="20"/>
                <w:color w:val="auto"/>
              </w:rPr>
            </w:pPr>
            <w:r>
              <w:rPr>
                <w:rFonts w:ascii="Times New Roman" w:cs="Times New Roman" w:eastAsia="Times New Roman" w:hAnsi="Times New Roman"/>
                <w:sz w:val="16"/>
                <w:szCs w:val="16"/>
                <w:color w:val="auto"/>
              </w:rPr>
              <w:t>—</w:t>
            </w:r>
          </w:p>
        </w:tc>
        <w:tc>
          <w:tcPr>
            <w:tcW w:w="2220" w:type="dxa"/>
            <w:vAlign w:val="bottom"/>
            <w:shd w:val="clear" w:color="auto" w:fill="CCEEFF"/>
          </w:tcPr>
          <w:p>
            <w:pPr>
              <w:jc w:val="right"/>
              <w:ind w:right="58"/>
              <w:spacing w:after="0"/>
              <w:rPr>
                <w:sz w:val="20"/>
                <w:szCs w:val="20"/>
                <w:color w:val="auto"/>
              </w:rPr>
            </w:pPr>
            <w:r>
              <w:rPr>
                <w:rFonts w:ascii="Times New Roman" w:cs="Times New Roman" w:eastAsia="Times New Roman" w:hAnsi="Times New Roman"/>
                <w:sz w:val="16"/>
                <w:szCs w:val="16"/>
                <w:color w:val="auto"/>
              </w:rPr>
              <w:t>(4)</w:t>
            </w:r>
          </w:p>
        </w:tc>
        <w:tc>
          <w:tcPr>
            <w:tcW w:w="2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0" w:type="dxa"/>
            <w:vAlign w:val="bottom"/>
          </w:tcPr>
          <w:p>
            <w:pPr>
              <w:spacing w:after="0"/>
              <w:rPr>
                <w:sz w:val="1"/>
                <w:szCs w:val="1"/>
                <w:color w:val="auto"/>
              </w:rPr>
            </w:pPr>
          </w:p>
        </w:tc>
      </w:tr>
      <w:tr>
        <w:trPr>
          <w:trHeight w:val="230"/>
        </w:trPr>
        <w:tc>
          <w:tcPr>
            <w:tcW w:w="46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Maintenance capital expenditures</w:t>
            </w:r>
          </w:p>
        </w:tc>
        <w:tc>
          <w:tcPr>
            <w:tcW w:w="2320" w:type="dxa"/>
            <w:vAlign w:val="bottom"/>
          </w:tcPr>
          <w:p>
            <w:pPr>
              <w:jc w:val="right"/>
              <w:ind w:right="58"/>
              <w:spacing w:after="0"/>
              <w:rPr>
                <w:sz w:val="20"/>
                <w:szCs w:val="20"/>
                <w:color w:val="auto"/>
              </w:rPr>
            </w:pPr>
            <w:r>
              <w:rPr>
                <w:rFonts w:ascii="Times New Roman" w:cs="Times New Roman" w:eastAsia="Times New Roman" w:hAnsi="Times New Roman"/>
                <w:sz w:val="16"/>
                <w:szCs w:val="16"/>
                <w:color w:val="auto"/>
              </w:rPr>
              <w:t>(1)</w:t>
            </w:r>
          </w:p>
        </w:tc>
        <w:tc>
          <w:tcPr>
            <w:tcW w:w="2220" w:type="dxa"/>
            <w:vAlign w:val="bottom"/>
          </w:tcPr>
          <w:p>
            <w:pPr>
              <w:jc w:val="right"/>
              <w:ind w:right="58"/>
              <w:spacing w:after="0"/>
              <w:rPr>
                <w:sz w:val="20"/>
                <w:szCs w:val="20"/>
                <w:color w:val="auto"/>
              </w:rPr>
            </w:pPr>
            <w:r>
              <w:rPr>
                <w:rFonts w:ascii="Times New Roman" w:cs="Times New Roman" w:eastAsia="Times New Roman" w:hAnsi="Times New Roman"/>
                <w:sz w:val="16"/>
                <w:szCs w:val="16"/>
                <w:color w:val="auto"/>
              </w:rPr>
              <w:t>(3)</w:t>
            </w:r>
          </w:p>
        </w:tc>
        <w:tc>
          <w:tcPr>
            <w:tcW w:w="2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0" w:type="dxa"/>
            <w:vAlign w:val="bottom"/>
          </w:tcPr>
          <w:p>
            <w:pPr>
              <w:spacing w:after="0"/>
              <w:rPr>
                <w:sz w:val="1"/>
                <w:szCs w:val="1"/>
                <w:color w:val="auto"/>
              </w:rPr>
            </w:pPr>
          </w:p>
        </w:tc>
      </w:tr>
      <w:tr>
        <w:trPr>
          <w:trHeight w:val="230"/>
        </w:trPr>
        <w:tc>
          <w:tcPr>
            <w:tcW w:w="46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Principal amortization of indebtedness</w:t>
            </w:r>
          </w:p>
        </w:tc>
        <w:tc>
          <w:tcPr>
            <w:tcW w:w="2320" w:type="dxa"/>
            <w:vAlign w:val="bottom"/>
            <w:shd w:val="clear" w:color="auto" w:fill="CCEEFF"/>
          </w:tcPr>
          <w:p>
            <w:pPr>
              <w:jc w:val="right"/>
              <w:ind w:right="58"/>
              <w:spacing w:after="0"/>
              <w:rPr>
                <w:sz w:val="20"/>
                <w:szCs w:val="20"/>
                <w:color w:val="auto"/>
              </w:rPr>
            </w:pPr>
            <w:r>
              <w:rPr>
                <w:rFonts w:ascii="Times New Roman" w:cs="Times New Roman" w:eastAsia="Times New Roman" w:hAnsi="Times New Roman"/>
                <w:sz w:val="16"/>
                <w:szCs w:val="16"/>
                <w:color w:val="auto"/>
              </w:rPr>
              <w:t>(14)</w:t>
            </w:r>
          </w:p>
        </w:tc>
        <w:tc>
          <w:tcPr>
            <w:tcW w:w="2220" w:type="dxa"/>
            <w:vAlign w:val="bottom"/>
            <w:shd w:val="clear" w:color="auto" w:fill="CCEEFF"/>
          </w:tcPr>
          <w:p>
            <w:pPr>
              <w:jc w:val="right"/>
              <w:ind w:right="58"/>
              <w:spacing w:after="0"/>
              <w:rPr>
                <w:sz w:val="20"/>
                <w:szCs w:val="20"/>
                <w:color w:val="auto"/>
              </w:rPr>
            </w:pPr>
            <w:r>
              <w:rPr>
                <w:rFonts w:ascii="Times New Roman" w:cs="Times New Roman" w:eastAsia="Times New Roman" w:hAnsi="Times New Roman"/>
                <w:sz w:val="16"/>
                <w:szCs w:val="16"/>
                <w:color w:val="auto"/>
              </w:rPr>
              <w:t>(8)</w:t>
            </w:r>
          </w:p>
        </w:tc>
        <w:tc>
          <w:tcPr>
            <w:tcW w:w="2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0" w:type="dxa"/>
            <w:vAlign w:val="bottom"/>
          </w:tcPr>
          <w:p>
            <w:pPr>
              <w:spacing w:after="0"/>
              <w:rPr>
                <w:sz w:val="1"/>
                <w:szCs w:val="1"/>
                <w:color w:val="auto"/>
              </w:rPr>
            </w:pPr>
          </w:p>
        </w:tc>
      </w:tr>
      <w:tr>
        <w:trPr>
          <w:trHeight w:val="223"/>
        </w:trPr>
        <w:tc>
          <w:tcPr>
            <w:tcW w:w="44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Estimated Cash Available for Distribution</w:t>
            </w:r>
          </w:p>
        </w:tc>
        <w:tc>
          <w:tcPr>
            <w:tcW w:w="140" w:type="dxa"/>
            <w:vAlign w:val="bottom"/>
          </w:tcPr>
          <w:p>
            <w:pPr>
              <w:spacing w:after="0"/>
              <w:rPr>
                <w:sz w:val="19"/>
                <w:szCs w:val="19"/>
                <w:color w:val="auto"/>
              </w:rPr>
            </w:pPr>
          </w:p>
        </w:tc>
        <w:tc>
          <w:tcPr>
            <w:tcW w:w="2320" w:type="dxa"/>
            <w:vAlign w:val="bottom"/>
            <w:tcBorders>
              <w:top w:val="single" w:sz="8" w:color="auto"/>
              <w:bottom w:val="single" w:sz="8" w:color="auto"/>
            </w:tcBorders>
          </w:tcPr>
          <w:p>
            <w:pPr>
              <w:jc w:val="right"/>
              <w:ind w:right="98"/>
              <w:spacing w:after="0"/>
              <w:rPr>
                <w:sz w:val="20"/>
                <w:szCs w:val="20"/>
                <w:color w:val="auto"/>
              </w:rPr>
            </w:pPr>
            <w:r>
              <w:rPr>
                <w:rFonts w:ascii="Times New Roman" w:cs="Times New Roman" w:eastAsia="Times New Roman" w:hAnsi="Times New Roman"/>
                <w:sz w:val="16"/>
                <w:szCs w:val="16"/>
                <w:b w:val="1"/>
                <w:bCs w:val="1"/>
                <w:color w:val="auto"/>
              </w:rPr>
              <w:t>9</w:t>
            </w:r>
          </w:p>
        </w:tc>
        <w:tc>
          <w:tcPr>
            <w:tcW w:w="2220" w:type="dxa"/>
            <w:vAlign w:val="bottom"/>
            <w:tcBorders>
              <w:top w:val="single" w:sz="8" w:color="auto"/>
              <w:bottom w:val="single" w:sz="8" w:color="auto"/>
            </w:tcBorders>
          </w:tcPr>
          <w:p>
            <w:pPr>
              <w:jc w:val="right"/>
              <w:ind w:right="98"/>
              <w:spacing w:after="0"/>
              <w:rPr>
                <w:sz w:val="20"/>
                <w:szCs w:val="20"/>
                <w:color w:val="auto"/>
              </w:rPr>
            </w:pPr>
            <w:r>
              <w:rPr>
                <w:rFonts w:ascii="Times New Roman" w:cs="Times New Roman" w:eastAsia="Times New Roman" w:hAnsi="Times New Roman"/>
                <w:sz w:val="16"/>
                <w:szCs w:val="16"/>
                <w:b w:val="1"/>
                <w:bCs w:val="1"/>
                <w:color w:val="auto"/>
              </w:rPr>
              <w:t>10</w:t>
            </w:r>
          </w:p>
        </w:tc>
        <w:tc>
          <w:tcPr>
            <w:tcW w:w="2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26-28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317500</wp:posOffset>
            </wp:positionV>
            <wp:extent cx="171450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200" w:lineRule="exact"/>
        <w:rPr>
          <w:sz w:val="20"/>
          <w:szCs w:val="20"/>
          <w:color w:val="auto"/>
        </w:rPr>
      </w:pPr>
    </w:p>
    <w:p>
      <w:pPr>
        <w:spacing w:after="0" w:line="329" w:lineRule="exact"/>
        <w:rPr>
          <w:sz w:val="20"/>
          <w:szCs w:val="20"/>
          <w:color w:val="auto"/>
        </w:rPr>
      </w:pPr>
    </w:p>
    <w:p>
      <w:pPr>
        <w:ind w:left="120" w:hanging="112"/>
        <w:spacing w:after="0"/>
        <w:tabs>
          <w:tab w:leader="none" w:pos="120" w:val="left"/>
        </w:tabs>
        <w:numPr>
          <w:ilvl w:val="0"/>
          <w:numId w:val="11"/>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4"/>
          <w:szCs w:val="14"/>
          <w:color w:val="auto"/>
        </w:rPr>
        <w:t>Distribution from unconsolidated affiliates can be classified as Return of Investment on Unconsolidated Affiliates when actuals are reported. This is below cash from operating activities</w:t>
      </w:r>
    </w:p>
    <w:p>
      <w:pPr>
        <w:ind w:left="160" w:hanging="152"/>
        <w:spacing w:after="0" w:line="204" w:lineRule="auto"/>
        <w:tabs>
          <w:tab w:leader="none" w:pos="160" w:val="left"/>
        </w:tabs>
        <w:numPr>
          <w:ilvl w:val="0"/>
          <w:numId w:val="12"/>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4"/>
          <w:szCs w:val="14"/>
          <w:color w:val="auto"/>
        </w:rPr>
        <w:t>Includes tax equity proceeds and distributions to tax equity partners</w:t>
      </w:r>
    </w:p>
    <w:p>
      <w:pPr>
        <w:spacing w:after="0" w:line="4" w:lineRule="exact"/>
        <w:rPr>
          <w:rFonts w:ascii="Times New Roman" w:cs="Times New Roman" w:eastAsia="Times New Roman" w:hAnsi="Times New Roman"/>
          <w:sz w:val="22"/>
          <w:szCs w:val="22"/>
          <w:color w:val="auto"/>
          <w:vertAlign w:val="superscript"/>
        </w:rPr>
      </w:pPr>
    </w:p>
    <w:p>
      <w:pPr>
        <w:ind w:left="160" w:hanging="152"/>
        <w:spacing w:after="0" w:line="189" w:lineRule="auto"/>
        <w:tabs>
          <w:tab w:leader="none" w:pos="160" w:val="left"/>
        </w:tabs>
        <w:numPr>
          <w:ilvl w:val="0"/>
          <w:numId w:val="12"/>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2"/>
          <w:szCs w:val="12"/>
          <w:color w:val="auto"/>
        </w:rPr>
        <w:t>2025 excludes maturities assumed to be refinanced</w:t>
      </w:r>
    </w:p>
    <w:p>
      <w:pPr>
        <w:spacing w:after="0" w:line="1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15</w:t>
      </w:r>
    </w:p>
    <w:p>
      <w:pPr>
        <w:sectPr>
          <w:pgSz w:w="11900" w:h="16838" w:orient="portrait"/>
          <w:cols w:equalWidth="0" w:num="1">
            <w:col w:w="11240"/>
          </w:cols>
          <w:pgMar w:left="320" w:top="761"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20"/>
          <w:szCs w:val="20"/>
          <w:b w:val="1"/>
          <w:bCs w:val="1"/>
          <w:color w:val="auto"/>
        </w:rPr>
        <w:t>Non-GAAP Financial Information</w:t>
      </w:r>
    </w:p>
    <w:p>
      <w:pPr>
        <w:spacing w:after="0" w:line="3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EBITDA and Adjusted EBITDA</w:t>
      </w:r>
    </w:p>
    <w:p>
      <w:pPr>
        <w:spacing w:after="0" w:line="29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EBITDA, Adjusted EBITDA, and Cash Available for Distribution (CAFD) are non-GAAP financial measures. These measurements are not recognized in accordance with GAAP and should not be viewed as an alternative to GAAP measures of performance. The presentation of non-GAAP financial measures should not be construed as an inference that Clearway Energy’s future results will be unaffected by unusual or non-recurring items.</w:t>
      </w:r>
    </w:p>
    <w:p>
      <w:pPr>
        <w:spacing w:after="0" w:line="20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EBITDA represents net income before interest (including loss on debt extinguishment), taxes, depreciation and amortization. EBITDA is presented because Clearway Energy considers it an important supplemental measure of its performance and believes debt and equity holders frequently use EBITDA to analyze operating performance and debt service capacity. EBITDA has limitations as an analytical tool, and you should not consider it in isolation, or as a substitute for analysis of our operating results as reported under GAAP. Some of these limitations are:</w:t>
      </w:r>
    </w:p>
    <w:p>
      <w:pPr>
        <w:spacing w:after="0" w:line="3" w:lineRule="exact"/>
        <w:rPr>
          <w:sz w:val="20"/>
          <w:szCs w:val="20"/>
          <w:color w:val="auto"/>
        </w:rPr>
      </w:pPr>
    </w:p>
    <w:p>
      <w:pPr>
        <w:ind w:left="320" w:hanging="312"/>
        <w:spacing w:after="0"/>
        <w:tabs>
          <w:tab w:leader="none" w:pos="3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EBITDA does not reflect cash expenditures, or future requirements for capital expenditures, or contractual commitments;</w:t>
      </w:r>
    </w:p>
    <w:p>
      <w:pPr>
        <w:spacing w:after="0" w:line="9"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EBITDA does not reflect changes in, or cash requirements for, working capital needs;</w:t>
      </w:r>
    </w:p>
    <w:p>
      <w:pPr>
        <w:spacing w:after="0" w:line="9" w:lineRule="exact"/>
        <w:rPr>
          <w:rFonts w:ascii="Times New Roman" w:cs="Times New Roman" w:eastAsia="Times New Roman" w:hAnsi="Times New Roman"/>
          <w:sz w:val="18"/>
          <w:szCs w:val="18"/>
          <w:color w:val="auto"/>
        </w:rPr>
      </w:pPr>
    </w:p>
    <w:p>
      <w:pPr>
        <w:ind w:left="340" w:right="20" w:hanging="332"/>
        <w:spacing w:after="0" w:line="250" w:lineRule="auto"/>
        <w:tabs>
          <w:tab w:leader="none" w:pos="33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EBITDA does not reflect the significant interest expense, or the cash requirements necessary to service interest or principal payments, on debt or cash income tax payments;</w:t>
      </w:r>
    </w:p>
    <w:p>
      <w:pPr>
        <w:ind w:left="340" w:hanging="332"/>
        <w:spacing w:after="0" w:line="250" w:lineRule="auto"/>
        <w:tabs>
          <w:tab w:leader="none" w:pos="33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Although depreciation and amortization are non-cash charges, the assets being depreciated and amortized will often have to be replaced in the future, and EBITDA does not reflect any cash requirements for such replacements; and</w:t>
      </w:r>
    </w:p>
    <w:p>
      <w:pPr>
        <w:ind w:left="320" w:hanging="312"/>
        <w:spacing w:after="0"/>
        <w:tabs>
          <w:tab w:leader="none" w:pos="3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companies in this industry may calculate EBITDA differently than Clearway Energy does, limiting its usefulness as a comparative measure.</w:t>
      </w:r>
    </w:p>
    <w:p>
      <w:pPr>
        <w:spacing w:after="0" w:line="23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Because of these limitations, EBITDA should not be considered as a measure of discretionary cash available to use to invest in the growth of Clearway Energy’s business. Clearway Energy compensates for these limitations by relying primarily on our GAAP results and using EBITDA and Adjusted EBITDA only supplementally. See the statements of cash flow included in the financial statements that are a part of this news release.</w:t>
      </w:r>
    </w:p>
    <w:p>
      <w:pPr>
        <w:spacing w:after="0" w:line="20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Adjusted EBITDA is presented as a further supplemental measure of operating performance. Adjusted EBITDA represents EBITDA adjusted for mark-to-market gains or losses, non-cash equity compensation expense, asset write offs and impairments; and factors which we do not consider indicative of future operating performance such as transition and integration related costs. The reader is encouraged to evaluate each adjustment and the reasons Clearway Energy considers it appropriate for supplemental analysis. As an analytical tool, Adjusted EBITDA is subject to all of the limitations applicable to EBITDA. In addition, in evaluating Adjusted EBITDA, the reader should be aware that in the future Clearway Energy may incur expenses similar to the adjustments in this news release.</w:t>
      </w:r>
    </w:p>
    <w:p>
      <w:pPr>
        <w:spacing w:after="0" w:line="21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Management believes Adjusted EBITDA is useful to investors and other users of our financial statements in evaluating our operating performance because it provides them with an additional tool to compare business performance across companies and across periods. This measure is widely used by investors to measure a company’s operating performance without regard to items such as interest expense, taxes, depreciation and amortization, which can vary substantially from company to company depending upon accounting methods and book value of assets, capital structure and the method by which assets were acquired.</w:t>
      </w:r>
    </w:p>
    <w:p>
      <w:pPr>
        <w:spacing w:after="0" w:line="21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Additionally, Management believes that investors commonly adjust EBITDA information to eliminate the effect of restructuring and other expenses, which vary widely from company to company and impair comparability. As we define it, Adjusted EBITDA represents EBITDA adjusted for the effects of impairment losses, gains or losses on sales, non-cash equity compensation expense, dispositions or retirements of assets, any mark-to-market gains or losses from accounting for derivatives, adjustments to exclude gains or losses on the repurchase, modification or extinguishment of debt, and any extraordinary, unusual or non-recurring items plus adjustments to reflect the Adjusted EBITDA from our unconsolidated investments. We adjust for these items in our Adjusted EBITDA as our management believes that these items would distort their ability to efficiently view and assess our core operating trends.</w:t>
      </w:r>
    </w:p>
    <w:p>
      <w:pPr>
        <w:spacing w:after="0" w:line="21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summary, our management uses Adjusted EBITDA as a measure of operating performance to assist in comparing performance from period to period on a consistent basis and to readily view operating trends, as a measure for planning and forecasting overall expectations and for evaluating actual results against such expectations, and in communications with our Board of Directors, shareholders, creditors, analysts and investors concerning our financial performance.</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16</w:t>
      </w:r>
    </w:p>
    <w:p>
      <w:pPr>
        <w:sectPr>
          <w:pgSz w:w="11900" w:h="16838" w:orient="portrait"/>
          <w:cols w:equalWidth="0" w:num="1">
            <w:col w:w="11240"/>
          </w:cols>
          <w:pgMar w:left="320" w:top="1301"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i w:val="1"/>
          <w:iCs w:val="1"/>
          <w:color w:val="auto"/>
        </w:rPr>
        <w:t>Cash Available for Distribution</w:t>
      </w:r>
    </w:p>
    <w:p>
      <w:pPr>
        <w:spacing w:after="0" w:line="29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 non-GAAP measure, Cash Available for Distribution is defined as of December 31, 2024 as Adjusted EBITDA plus cash distributions/return of investment from unconsolidated affiliates, cash receipts from notes receivable, cash distributions from noncontrolling interests, adjustments to reflect sales-type lease cash payments and payments for lease expenses, less cash distributions to noncontrolling interests, maintenance capital expenditures, pro-rata Adjusted EBITDA from unconsolidated affiliates, cash interest paid, income taxes paid, principal amortization of indebtedness, changes in prepaid and accrued capacity payments, and adjusted for development expenses. Management believes CAFD is a relevant supplemental measure of the Company’s ability to earn and distribute cash returns to investors.</w:t>
      </w:r>
    </w:p>
    <w:p>
      <w:pPr>
        <w:spacing w:after="0" w:line="21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believe CAFD is useful to investors in evaluating our operating performance because securities analysts and other interested parties use such calculations as a measure of our ability to make quarterly distributions. In addition, CAFD is used by our management team for determining future acquisitions and managing our growth. The GAAP measure most directly comparable to CAFD is cash provided by operating activities.</w:t>
      </w:r>
    </w:p>
    <w:p>
      <w:pPr>
        <w:spacing w:after="0" w:line="20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However, CAFD has limitations as an analytical tool because it does not include changes in operating assets and liabilities and excludes the effect of certain other cash flow items, all of which could have a material effect on our financial condition and results from operations. CAFD is a non-GAAP measure and should not be considered an alternative to cash provided by operating activities or any other performance or liquidity measure determined in accordance with GAAP, nor is it indicative of funds available to fund our cash needs. In addition, our calculations of CAFD are not necessarily comparable to CAFD as calculated by other companies. Investors should not rely on these measures as a substitute for any GAAP measure, including cash provided by operating activities.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17</w:t>
      </w:r>
    </w:p>
    <w:sectPr>
      <w:pgSz w:w="11900" w:h="16838" w:orient="portrait"/>
      <w:cols w:equalWidth="0" w:num="1">
        <w:col w:w="11240"/>
      </w:cols>
      <w:pgMar w:left="320" w:top="819"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B71EFB"/>
    <w:multiLevelType w:val="hybridMultilevel"/>
    <w:lvl w:ilvl="0">
      <w:lvlJc w:val="left"/>
      <w:lvlText w:val="☐"/>
      <w:numFmt w:val="bullet"/>
      <w:start w:val="1"/>
    </w:lvl>
  </w:abstractNum>
  <w:abstractNum w:abstractNumId="1">
    <w:nsid w:val="79E2A9E3"/>
    <w:multiLevelType w:val="hybridMultilevel"/>
    <w:lvl w:ilvl="0">
      <w:lvlJc w:val="left"/>
      <w:lvlText w:val="•"/>
      <w:numFmt w:val="bullet"/>
      <w:start w:val="1"/>
    </w:lvl>
  </w:abstractNum>
  <w:abstractNum w:abstractNumId="2">
    <w:nsid w:val="7545E146"/>
    <w:multiLevelType w:val="hybridMultilevel"/>
    <w:lvl w:ilvl="0">
      <w:lvlJc w:val="left"/>
      <w:lvlText w:val="2"/>
      <w:numFmt w:val="bullet"/>
      <w:start w:val="1"/>
    </w:lvl>
  </w:abstractNum>
  <w:abstractNum w:abstractNumId="3">
    <w:nsid w:val="515F007C"/>
    <w:multiLevelType w:val="hybridMultilevel"/>
    <w:lvl w:ilvl="0">
      <w:lvlJc w:val="left"/>
      <w:lvlText w:val="3"/>
      <w:numFmt w:val="bullet"/>
      <w:start w:val="1"/>
    </w:lvl>
  </w:abstractNum>
  <w:abstractNum w:abstractNumId="4">
    <w:nsid w:val="5BD062C2"/>
    <w:multiLevelType w:val="hybridMultilevel"/>
    <w:lvl w:ilvl="0">
      <w:lvlJc w:val="left"/>
      <w:lvlText w:val="•"/>
      <w:numFmt w:val="bullet"/>
      <w:start w:val="1"/>
    </w:lvl>
  </w:abstractNum>
  <w:abstractNum w:abstractNumId="5">
    <w:nsid w:val="12200854"/>
    <w:multiLevelType w:val="hybridMultilevel"/>
    <w:lvl w:ilvl="0">
      <w:lvlJc w:val="left"/>
      <w:lvlText w:val="4"/>
      <w:numFmt w:val="bullet"/>
      <w:start w:val="1"/>
    </w:lvl>
  </w:abstractNum>
  <w:abstractNum w:abstractNumId="6">
    <w:nsid w:val="4DB127F8"/>
    <w:multiLevelType w:val="hybridMultilevel"/>
    <w:lvl w:ilvl="0">
      <w:lvlJc w:val="left"/>
      <w:lvlText w:val="5"/>
      <w:numFmt w:val="bullet"/>
      <w:start w:val="1"/>
    </w:lvl>
  </w:abstractNum>
  <w:abstractNum w:abstractNumId="7">
    <w:nsid w:val="216231B"/>
    <w:multiLevelType w:val="hybridMultilevel"/>
    <w:lvl w:ilvl="0">
      <w:lvlJc w:val="left"/>
      <w:lvlText w:val="6"/>
      <w:numFmt w:val="bullet"/>
      <w:start w:val="1"/>
    </w:lvl>
  </w:abstractNum>
  <w:abstractNum w:abstractNumId="8">
    <w:nsid w:val="1F16E9E8"/>
    <w:multiLevelType w:val="hybridMultilevel"/>
    <w:lvl w:ilvl="0">
      <w:lvlJc w:val="left"/>
      <w:lvlText w:val="7"/>
      <w:numFmt w:val="bullet"/>
      <w:start w:val="1"/>
    </w:lvl>
  </w:abstractNum>
  <w:abstractNum w:abstractNumId="9">
    <w:nsid w:val="1190CDE7"/>
    <w:multiLevelType w:val="hybridMultilevel"/>
    <w:lvl w:ilvl="0">
      <w:lvlJc w:val="left"/>
      <w:lvlText w:val="8"/>
      <w:numFmt w:val="bullet"/>
      <w:start w:val="1"/>
    </w:lvl>
  </w:abstractNum>
  <w:abstractNum w:abstractNumId="10">
    <w:nsid w:val="66EF438D"/>
    <w:multiLevelType w:val="hybridMultilevel"/>
    <w:lvl w:ilvl="0">
      <w:lvlJc w:val="left"/>
      <w:lvlText w:val="9"/>
      <w:numFmt w:val="bullet"/>
      <w:start w:val="1"/>
    </w:lvl>
  </w:abstractNum>
  <w:abstractNum w:abstractNumId="11">
    <w:nsid w:val="140E0F76"/>
    <w:multiLevelType w:val="hybridMultilevel"/>
    <w:lvl w:ilvl="0">
      <w:lvlJc w:val="left"/>
      <w:lvlText w:val="%1"/>
      <w:numFmt w:val="decimal"/>
      <w:start w:val="10"/>
    </w:lvl>
  </w:abstractNum>
  <w:abstractNum w:abstractNumId="12">
    <w:nsid w:val="3352255A"/>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2025-02-24T15:23:19Z</dcterms:created>
  <dcterms:modified xsi:type="dcterms:W3CDTF">2025-02-24T15:23:19Z</dcterms:modified>
</cp:coreProperties>
</file>