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Rubenstein Sarah</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300 CARNEGIE CENTER</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Clearway Energy,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CWEN</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10/15/2022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1125"/>
        <w:spacing w:after="0"/>
        <w:rPr>
          <w:sz w:val="20"/>
          <w:szCs w:val="20"/>
          <w:color w:val="auto"/>
        </w:rPr>
      </w:pPr>
      <w:r>
        <w:rPr>
          <w:rFonts w:ascii="Times New Roman" w:cs="Times New Roman" w:eastAsia="Times New Roman" w:hAnsi="Times New Roman"/>
          <w:sz w:val="17"/>
          <w:szCs w:val="17"/>
          <w:color w:val="0000FF"/>
        </w:rPr>
        <w:t>SVP &amp; CAO</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860" w:type="dxa"/>
            <w:vAlign w:val="bottom"/>
            <w:tcBorders>
              <w:bottom w:val="single" w:sz="8" w:color="9A9A9A"/>
            </w:tcBorders>
          </w:tcPr>
          <w:p>
            <w:pPr>
              <w:spacing w:after="0"/>
              <w:rPr>
                <w:sz w:val="15"/>
                <w:szCs w:val="15"/>
                <w:color w:val="auto"/>
              </w:rPr>
            </w:pPr>
          </w:p>
        </w:tc>
        <w:tc>
          <w:tcPr>
            <w:tcW w:w="700" w:type="dxa"/>
            <w:vAlign w:val="bottom"/>
            <w:tcBorders>
              <w:bottom w:val="single" w:sz="8" w:color="9A9A9A"/>
            </w:tcBorders>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60" w:type="dxa"/>
            <w:vAlign w:val="bottom"/>
            <w:gridSpan w:val="7"/>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5"/>
                <w:szCs w:val="15"/>
                <w:color w:val="auto"/>
              </w:rPr>
            </w:pPr>
          </w:p>
        </w:tc>
        <w:tc>
          <w:tcPr>
            <w:tcW w:w="3500" w:type="dxa"/>
            <w:vAlign w:val="bottom"/>
            <w:gridSpan w:val="9"/>
          </w:tcPr>
          <w:p>
            <w:pPr>
              <w:ind w:left="1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0" w:type="dxa"/>
            <w:vAlign w:val="bottom"/>
            <w:gridSpan w:val="4"/>
          </w:tcPr>
          <w:p>
            <w:pPr>
              <w:ind w:left="16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20" w:type="dxa"/>
            <w:vAlign w:val="bottom"/>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4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PRINCETON   NJ</w:t>
            </w:r>
          </w:p>
        </w:tc>
        <w:tc>
          <w:tcPr>
            <w:tcW w:w="860" w:type="dxa"/>
            <w:vAlign w:val="bottom"/>
          </w:tcPr>
          <w:p>
            <w:pPr>
              <w:spacing w:after="0"/>
              <w:rPr>
                <w:sz w:val="11"/>
                <w:szCs w:val="11"/>
                <w:color w:val="auto"/>
              </w:rPr>
            </w:pPr>
          </w:p>
        </w:tc>
        <w:tc>
          <w:tcPr>
            <w:tcW w:w="7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08540</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480" w:type="dxa"/>
            <w:vAlign w:val="bottom"/>
          </w:tcPr>
          <w:p>
            <w:pPr>
              <w:spacing w:after="0"/>
              <w:rPr>
                <w:sz w:val="9"/>
                <w:szCs w:val="9"/>
                <w:color w:val="auto"/>
              </w:rPr>
            </w:pPr>
          </w:p>
        </w:tc>
        <w:tc>
          <w:tcPr>
            <w:tcW w:w="420" w:type="dxa"/>
            <w:vAlign w:val="bottom"/>
          </w:tcPr>
          <w:p>
            <w:pPr>
              <w:spacing w:after="0"/>
              <w:rPr>
                <w:sz w:val="9"/>
                <w:szCs w:val="9"/>
                <w:color w:val="auto"/>
              </w:rPr>
            </w:pPr>
          </w:p>
        </w:tc>
        <w:tc>
          <w:tcPr>
            <w:tcW w:w="70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00" w:type="dxa"/>
            <w:vAlign w:val="bottom"/>
          </w:tcPr>
          <w:p>
            <w:pPr>
              <w:spacing w:after="0"/>
              <w:rPr>
                <w:sz w:val="9"/>
                <w:szCs w:val="9"/>
                <w:color w:val="auto"/>
              </w:rPr>
            </w:pP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2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70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2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vMerge w:val="restart"/>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70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48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vMerge w:val="continue"/>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700" w:type="dxa"/>
            <w:vAlign w:val="bottom"/>
            <w:vMerge w:val="continue"/>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4"/>
          </w:tcPr>
          <w:p>
            <w:pPr>
              <w:spacing w:after="0"/>
              <w:rPr>
                <w:sz w:val="10"/>
                <w:szCs w:val="10"/>
                <w:color w:val="auto"/>
              </w:rPr>
            </w:pPr>
          </w:p>
        </w:tc>
        <w:tc>
          <w:tcPr>
            <w:tcW w:w="1640" w:type="dxa"/>
            <w:vAlign w:val="bottom"/>
            <w:tcBorders>
              <w:bottom w:val="single" w:sz="8" w:color="2C2C2C"/>
            </w:tcBorders>
            <w:gridSpan w:val="4"/>
          </w:tcPr>
          <w:p>
            <w:pPr>
              <w:spacing w:after="0"/>
              <w:rPr>
                <w:sz w:val="10"/>
                <w:szCs w:val="10"/>
                <w:color w:val="auto"/>
              </w:rPr>
            </w:pPr>
          </w:p>
        </w:tc>
        <w:tc>
          <w:tcPr>
            <w:tcW w:w="244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gridSpan w:val="2"/>
          </w:tcPr>
          <w:p>
            <w:pPr>
              <w:spacing w:after="0"/>
              <w:rPr>
                <w:sz w:val="10"/>
                <w:szCs w:val="10"/>
                <w:color w:val="auto"/>
              </w:rPr>
            </w:pPr>
          </w:p>
        </w:tc>
        <w:tc>
          <w:tcPr>
            <w:tcW w:w="1200" w:type="dxa"/>
            <w:vAlign w:val="bottom"/>
            <w:tcBorders>
              <w:bottom w:val="single" w:sz="8" w:color="2C2C2C"/>
            </w:tcBorders>
            <w:gridSpan w:val="2"/>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2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17"/>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gridSpan w:val="2"/>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40" w:type="dxa"/>
            <w:vAlign w:val="bottom"/>
            <w:gridSpan w:val="3"/>
          </w:tcPr>
          <w:p>
            <w:pPr>
              <w:ind w:left="1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140" w:type="dxa"/>
            <w:vAlign w:val="bottom"/>
            <w:gridSpan w:val="8"/>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2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48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2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48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48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3100" w:type="dxa"/>
            <w:vAlign w:val="bottom"/>
            <w:tcBorders>
              <w:bottom w:val="single" w:sz="8" w:color="2C2C2C"/>
            </w:tcBorders>
            <w:gridSpan w:val="5"/>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3100" w:type="dxa"/>
            <w:vAlign w:val="bottom"/>
            <w:gridSpan w:val="5"/>
          </w:tcPr>
          <w:p>
            <w:pPr>
              <w:ind w:left="60"/>
              <w:spacing w:after="0"/>
              <w:rPr>
                <w:sz w:val="20"/>
                <w:szCs w:val="20"/>
                <w:color w:val="auto"/>
              </w:rPr>
            </w:pPr>
            <w:r>
              <w:rPr>
                <w:rFonts w:ascii="Times New Roman" w:cs="Times New Roman" w:eastAsia="Times New Roman" w:hAnsi="Times New Roman"/>
                <w:sz w:val="17"/>
                <w:szCs w:val="17"/>
                <w:color w:val="0000FF"/>
              </w:rPr>
              <w:t>Class C Common Stock, par value $.01 per</w:t>
            </w:r>
          </w:p>
        </w:tc>
        <w:tc>
          <w:tcPr>
            <w:tcW w:w="1140" w:type="dxa"/>
            <w:vAlign w:val="bottom"/>
            <w:gridSpan w:val="3"/>
            <w:vMerge w:val="restart"/>
          </w:tcPr>
          <w:p>
            <w:pPr>
              <w:jc w:val="right"/>
              <w:ind w:right="58"/>
              <w:spacing w:after="0"/>
              <w:rPr>
                <w:sz w:val="20"/>
                <w:szCs w:val="20"/>
                <w:color w:val="auto"/>
              </w:rPr>
            </w:pPr>
            <w:r>
              <w:rPr>
                <w:rFonts w:ascii="Times New Roman" w:cs="Times New Roman" w:eastAsia="Times New Roman" w:hAnsi="Times New Roman"/>
                <w:sz w:val="17"/>
                <w:szCs w:val="17"/>
                <w:color w:val="0000FF"/>
              </w:rPr>
              <w:t>10/15/2022</w:t>
            </w: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60" w:type="dxa"/>
            <w:vAlign w:val="bottom"/>
            <w:vMerge w:val="restart"/>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700" w:type="dxa"/>
            <w:vAlign w:val="bottom"/>
            <w:vMerge w:val="restart"/>
          </w:tcPr>
          <w:p>
            <w:pPr>
              <w:ind w:left="300"/>
              <w:spacing w:after="0"/>
              <w:rPr>
                <w:sz w:val="20"/>
                <w:szCs w:val="20"/>
                <w:color w:val="auto"/>
              </w:rPr>
            </w:pPr>
            <w:r>
              <w:rPr>
                <w:rFonts w:ascii="Times New Roman" w:cs="Times New Roman" w:eastAsia="Times New Roman" w:hAnsi="Times New Roman"/>
                <w:sz w:val="17"/>
                <w:szCs w:val="17"/>
                <w:color w:val="0000FF"/>
              </w:rPr>
              <w:t>268</w:t>
            </w:r>
          </w:p>
        </w:tc>
        <w:tc>
          <w:tcPr>
            <w:tcW w:w="460" w:type="dxa"/>
            <w:vAlign w:val="bottom"/>
            <w:vMerge w:val="restart"/>
          </w:tcPr>
          <w:p>
            <w:pPr>
              <w:ind w:left="320"/>
              <w:spacing w:after="0"/>
              <w:rPr>
                <w:sz w:val="20"/>
                <w:szCs w:val="20"/>
                <w:color w:val="auto"/>
              </w:rPr>
            </w:pPr>
            <w:r>
              <w:rPr>
                <w:rFonts w:ascii="Times New Roman" w:cs="Times New Roman" w:eastAsia="Times New Roman" w:hAnsi="Times New Roman"/>
                <w:sz w:val="17"/>
                <w:szCs w:val="17"/>
                <w:color w:val="0000FF"/>
                <w:w w:val="97"/>
              </w:rPr>
              <w:t>D</w:t>
            </w:r>
          </w:p>
        </w:tc>
        <w:tc>
          <w:tcPr>
            <w:tcW w:w="240" w:type="dxa"/>
            <w:vAlign w:val="bottom"/>
          </w:tcPr>
          <w:p>
            <w:pPr>
              <w:spacing w:after="0"/>
              <w:rPr>
                <w:sz w:val="21"/>
                <w:szCs w:val="21"/>
                <w:color w:val="auto"/>
              </w:rPr>
            </w:pPr>
          </w:p>
        </w:tc>
        <w:tc>
          <w:tcPr>
            <w:tcW w:w="3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1"/>
                <w:szCs w:val="11"/>
                <w:color w:val="008000"/>
              </w:rPr>
              <w:t>(1)</w:t>
            </w:r>
          </w:p>
        </w:tc>
        <w:tc>
          <w:tcPr>
            <w:tcW w:w="1380" w:type="dxa"/>
            <w:vAlign w:val="bottom"/>
            <w:gridSpan w:val="3"/>
            <w:vMerge w:val="restart"/>
          </w:tcPr>
          <w:p>
            <w:pPr>
              <w:ind w:left="460"/>
              <w:spacing w:after="0"/>
              <w:rPr>
                <w:sz w:val="20"/>
                <w:szCs w:val="20"/>
                <w:color w:val="auto"/>
              </w:rPr>
            </w:pPr>
            <w:r>
              <w:rPr>
                <w:rFonts w:ascii="Times New Roman" w:cs="Times New Roman" w:eastAsia="Times New Roman" w:hAnsi="Times New Roman"/>
                <w:sz w:val="17"/>
                <w:szCs w:val="17"/>
                <w:color w:val="0000FF"/>
              </w:rPr>
              <w:t>26,419</w:t>
            </w:r>
            <w:r>
              <w:rPr>
                <w:rFonts w:ascii="Times New Roman" w:cs="Times New Roman" w:eastAsia="Times New Roman" w:hAnsi="Times New Roman"/>
                <w:sz w:val="22"/>
                <w:szCs w:val="22"/>
                <w:color w:val="008000"/>
                <w:vertAlign w:val="superscript"/>
              </w:rPr>
              <w:t>(2)</w:t>
            </w:r>
          </w:p>
        </w:tc>
        <w:tc>
          <w:tcPr>
            <w:tcW w:w="940" w:type="dxa"/>
            <w:vAlign w:val="bottom"/>
            <w:vMerge w:val="restart"/>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share</w:t>
            </w:r>
          </w:p>
        </w:tc>
        <w:tc>
          <w:tcPr>
            <w:tcW w:w="8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140" w:type="dxa"/>
            <w:vAlign w:val="bottom"/>
            <w:gridSpan w:val="3"/>
            <w:vMerge w:val="continue"/>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4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gridSpan w:val="2"/>
            <w:vMerge w:val="continue"/>
          </w:tcPr>
          <w:p>
            <w:pPr>
              <w:spacing w:after="0"/>
              <w:rPr>
                <w:sz w:val="15"/>
                <w:szCs w:val="15"/>
                <w:color w:val="auto"/>
              </w:rPr>
            </w:pPr>
          </w:p>
        </w:tc>
        <w:tc>
          <w:tcPr>
            <w:tcW w:w="1380" w:type="dxa"/>
            <w:vAlign w:val="bottom"/>
            <w:gridSpan w:val="3"/>
            <w:vMerge w:val="continue"/>
          </w:tcPr>
          <w:p>
            <w:pPr>
              <w:spacing w:after="0"/>
              <w:rPr>
                <w:sz w:val="15"/>
                <w:szCs w:val="15"/>
                <w:color w:val="auto"/>
              </w:rPr>
            </w:pPr>
          </w:p>
        </w:tc>
        <w:tc>
          <w:tcPr>
            <w:tcW w:w="940" w:type="dxa"/>
            <w:vAlign w:val="bottom"/>
            <w:vMerge w:val="continue"/>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2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48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8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640" w:type="dxa"/>
            <w:vAlign w:val="bottom"/>
            <w:tcBorders>
              <w:bottom w:val="single" w:sz="8" w:color="2C2C2C"/>
            </w:tcBorders>
            <w:gridSpan w:val="4"/>
          </w:tcPr>
          <w:p>
            <w:pPr>
              <w:spacing w:after="0"/>
              <w:rPr>
                <w:sz w:val="8"/>
                <w:szCs w:val="8"/>
                <w:color w:val="auto"/>
              </w:rPr>
            </w:pPr>
          </w:p>
        </w:tc>
        <w:tc>
          <w:tcPr>
            <w:tcW w:w="2440" w:type="dxa"/>
            <w:vAlign w:val="bottom"/>
            <w:tcBorders>
              <w:bottom w:val="single" w:sz="8" w:color="2C2C2C"/>
            </w:tcBorders>
            <w:gridSpan w:val="5"/>
          </w:tcPr>
          <w:p>
            <w:pPr>
              <w:spacing w:after="0"/>
              <w:rPr>
                <w:sz w:val="8"/>
                <w:szCs w:val="8"/>
                <w:color w:val="auto"/>
              </w:rPr>
            </w:pPr>
          </w:p>
        </w:tc>
        <w:tc>
          <w:tcPr>
            <w:tcW w:w="260" w:type="dxa"/>
            <w:vAlign w:val="bottom"/>
            <w:tcBorders>
              <w:bottom w:val="single" w:sz="8" w:color="2C2C2C"/>
            </w:tcBorders>
            <w:gridSpan w:val="2"/>
          </w:tcPr>
          <w:p>
            <w:pPr>
              <w:spacing w:after="0"/>
              <w:rPr>
                <w:sz w:val="8"/>
                <w:szCs w:val="8"/>
                <w:color w:val="auto"/>
              </w:rPr>
            </w:pPr>
          </w:p>
        </w:tc>
        <w:tc>
          <w:tcPr>
            <w:tcW w:w="1200" w:type="dxa"/>
            <w:vAlign w:val="bottom"/>
            <w:tcBorders>
              <w:bottom w:val="single" w:sz="8" w:color="2C2C2C"/>
            </w:tcBorders>
            <w:gridSpan w:val="2"/>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2"/>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3"/>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320" w:firstLine="7"/>
        <w:spacing w:after="0" w:line="244"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October 15, 2019, Ms. Rubenstein was issued 2,062 Restricted Stock Units ("RSUs") by Clearway Energy, Inc. (f/k/a NRG Yield, Inc.) under Clearway Energy Inc.'s Amended and Restated 2013 Equity Incentive Plan (the "LTIP"). These RSUs vest ratably over a three-year period beginning on the first anniversary of the date of the grant. Each RSU is equivalent in value to one share of Class C Common Stock of Clearway Energy Inc., par value $.01 per share. On October 15, 2022, 689 shares vested. Ms. Rubenstein elected to satisfy her tax obligation upon the exchange of common stock for RSUs having a value on the date of the exchange equal to the withholding obligation. This form reflects the surrender of 268 shares of Class C Common Stock to satisfy the grantee's tax withholding obligation.</w:t>
      </w:r>
    </w:p>
    <w:p>
      <w:pPr>
        <w:spacing w:after="0" w:line="26" w:lineRule="exact"/>
        <w:rPr>
          <w:rFonts w:ascii="Times New Roman" w:cs="Times New Roman" w:eastAsia="Times New Roman" w:hAnsi="Times New Roman"/>
          <w:sz w:val="13"/>
          <w:szCs w:val="13"/>
          <w:color w:val="008000"/>
        </w:rPr>
      </w:pPr>
    </w:p>
    <w:p>
      <w:pPr>
        <w:ind w:left="40" w:right="1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 connection with the vesting of the RSUs described above, 92 DERs converted to Class C Common Stock, resulting in the reporting person holding 999 dividend equivalent rights that may only be settled in Class C Common Stock. Dividend equivalent rights accrue on the reporting person's restricted stock, which become exercisable proportionately with the restricted stock units to which they relate and may only be settled in Clearway Energy, Inc. Class C Common Stock. Each dividend equivalent right is the economic equivalent of one share of Clearway Energy, Inc. Class C Common Stock.</w:t>
      </w:r>
    </w:p>
    <w:p>
      <w:pPr>
        <w:spacing w:after="0" w:line="37"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9"/>
              </w:rPr>
              <w:t>/s/ Kevin P. Malcarney,</w:t>
            </w:r>
          </w:p>
        </w:tc>
        <w:tc>
          <w:tcPr>
            <w:tcW w:w="46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10/18/2022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29270"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2022-10-18T15:13:12Z</dcterms:created>
  <dcterms:modified xsi:type="dcterms:W3CDTF">2022-10-18T15:13:12Z</dcterms:modified>
</cp:coreProperties>
</file>