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Rubenstein Sarah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10/15/2022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SVP &amp; CAO</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4"/>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5"/>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Times New Roman" w:cs="Times New Roman" w:eastAsia="Times New Roman" w:hAnsi="Times New Roman"/>
                <w:sz w:val="17"/>
                <w:szCs w:val="17"/>
                <w:color w:val="0000FF"/>
              </w:rPr>
              <w:t>10/15/2022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268</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1"/>
                <w:szCs w:val="21"/>
                <w:color w:val="auto"/>
              </w:rPr>
            </w:pPr>
          </w:p>
        </w:tc>
        <w:tc>
          <w:tcPr>
            <w:tcW w:w="3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26,419</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15, 2019, Ms. Rubenstein was issued 2,062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October 15, 2022, 689 shares vested. Ms. Rubenstein elected to satisfy her tax obligation upon the exchange of common stock for RSUs having a value on the date of the exchange equal to the withholding obligation. This form reflects the surrender of 268 shares of Class C Common Stock to satisfy the grantee's tax withholding obligation.</w:t>
      </w:r>
    </w:p>
    <w:p>
      <w:pPr>
        <w:spacing w:after="0" w:line="26"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92 DERs converted to Class C Common Stock, resulting in the reporting person holding 999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10/18/2022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927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2022-10-18T15:13:12Z</dcterms:created>
  <dcterms:modified xsi:type="dcterms:W3CDTF">2022-10-18T15:13:12Z</dcterms:modified>
</cp:coreProperties>
</file>