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6, 2025</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39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8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940" w:type="dxa"/>
            <w:vAlign w:val="bottom"/>
          </w:tcPr>
          <w:p>
            <w:pPr>
              <w:jc w:val="right"/>
              <w:ind w:right="91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3080" w:type="dxa"/>
            <w:vAlign w:val="bottom"/>
          </w:tcPr>
          <w:p>
            <w:pPr>
              <w:jc w:val="center"/>
              <w:ind w:left="210"/>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22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394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30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CWEN</w:t>
            </w:r>
          </w:p>
        </w:tc>
        <w:tc>
          <w:tcPr>
            <w:tcW w:w="4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6, 2025, Clearway Energy, Inc. (the “Company”) and Clearway Energy LLC entered into an Equity Distribution Agreement (the “Agreement”) with Morgan Stanley &amp; Co. LLC, BofA Securities, Inc., Citigroup Global Markets Inc., J.P. Morgan Securities LLC and Wells Fargo Securities, LLC (collectively, the “Agents”). Pursuant to the terms of the Agreement, the Company may offer and sell shares of the Company’s Class C common stock, par value $0.01 per share (the “Shares”), from time to time through the Agents, as the Company’s sales agents for the offer and sale of the Shares, up to an aggregate sales price of $100,000,000 (the “ATM Program”). Sales of the Shares, if any, will be made by means of ordinary brokers’ transactions on the New York Stock Exchange, to or through a market maker or directly on or through an electronic communications network at market prices or as otherwise permitted by law. The Company intends to use the net proceeds from the sale of the Shares for general corporate purposes, including the repayment or refinancing of indebtedness and the funding of working capital, capital expenditures, acquisitions and investments. The Company may invest funds not required immediately for such purposes in marketable securities and short-term investments.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Shares will be issued pursuant to a prospectus supplement, dated August 6, 2025, to the Company’s shelf registration statement (the “Registration Statement”) on Form S-3 (File No. 333-273804), which became effective upon filing with the Securities and Exchange Commission on August 8, 2023. This Current Report on Form 8-K (this “Current Report”) shall not constitute an offer to sell or a solicitation of an offer to buy any security, including the Shares, nor will there be any sales of these securities in any state or jurisdiction in which such an offer, solicitation or sale would be unlawful prior to registration or qualification under the securities laws of any such state or jurisdiction.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The foregoing description of the Agreement does not purport to be complete and is qualified in its entirety by reference to the full text of the Agreement, a copy of which is filed as Exhibit 1.1 to this Current Report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On August 6, 2025, the Company issued a press release announcing the commencement of the ATM Program. A copy of such press release is attached hereto as Exhibit 99.1 and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The information furnished in this Item 7.01, including the attached exhibit, shall not be deemed “filed” for purposes of Section 18 of the Securities Exchange Act of 1934, as amended (the “Exchange Act”), or otherwise subject to the liabilities of that section, nor shall it be deemed incorporated by reference into any filings under the Securities Act of 1933, as amended (the “Securities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In connection with the offering of the Shares under the Agreement, the Company is filing the opinion of Baker Botts L.L.P. as part of this Current Report that is to be incorporated by reference into the Registration Statement. The opinion of Baker Botts L.L.P. is filed as Exhibit 5.1 to this Current Report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Securities Act and Section 21E of the Exchange Act.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anticipated consummation of the transactions described above, the anticipated benefits, opportunities and results with respect to such transactions and the Company’s anticipated use of proceeds from the sale of Shares under the ATM Program.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capital markets generally, whether the Company will offer or sell Shares under the ATM Program and the anticipated use of proceeds.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statements, whether as a result of new information, future events or otherwise, except as required by law. The foregoing review of factors that could cause the Company’s actual results to differ materially from those contemplated in the forward-looking statements included in this Current Report should be considered in connection with information regarding risks and uncertainties that may affect the Company’s future results included in the Company’s other filings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Equity Distribution Agreement, dated as of August 6, 2025, by and among Clearway Energy, Inc., Clearway Energy LLC, Morgan</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Stanley &amp; Co. LLC, BofA Securities, Inc., Citigroup Global Markets Inc., J.P. Morgan Securities LLC and Wells Fargo Securities, LLC.</w:t>
            </w:r>
          </w:p>
        </w:tc>
        <w:tc>
          <w:tcPr>
            <w:tcW w:w="2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Opinion of Baker Botts L.L.P.</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Consent of Baker Botts L.L.P. (included in Exhibit 5.1)</w:t>
            </w:r>
          </w:p>
        </w:tc>
        <w:tc>
          <w:tcPr>
            <w:tcW w:w="6120" w:type="dxa"/>
            <w:vAlign w:val="bottom"/>
            <w:gridSpan w:val="3"/>
          </w:tcPr>
          <w:p>
            <w:pPr>
              <w:spacing w:after="0"/>
              <w:rPr>
                <w:sz w:val="17"/>
                <w:szCs w:val="17"/>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August 6, 2025.</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140" w:hanging="1132"/>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Data File - the cover page XBRL tags are embedded within the Inline XBRL document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Class C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 value $0.01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Having an Aggregate Gross Sales Price of up to $100,000,000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West 33rd Street, 14th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Clearway Energy,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Clearway Energy LLC, a Delaware limited liability company (“</w:t>
      </w:r>
      <w:r>
        <w:rPr>
          <w:rFonts w:ascii="Times New Roman" w:cs="Times New Roman" w:eastAsia="Times New Roman" w:hAnsi="Times New Roman"/>
          <w:sz w:val="18"/>
          <w:szCs w:val="18"/>
          <w:u w:val="single" w:color="auto"/>
          <w:color w:val="auto"/>
        </w:rPr>
        <w:t>Clearway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LLC</w:t>
      </w:r>
      <w:r>
        <w:rPr>
          <w:rFonts w:ascii="Times New Roman" w:cs="Times New Roman" w:eastAsia="Times New Roman" w:hAnsi="Times New Roman"/>
          <w:sz w:val="18"/>
          <w:szCs w:val="18"/>
          <w:color w:val="auto"/>
        </w:rPr>
        <w:t>” and, together with the Company, the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confirm their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Morgan Stanley &amp; Co. LLC, BofA Securities, Inc., Citigroup Global Markets Inc., J.P. Morgan Securities LLC and Wells Fargo Securities, LLC (each a “</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Managers</w:t>
      </w:r>
      <w:r>
        <w:rPr>
          <w:rFonts w:ascii="Times New Roman" w:cs="Times New Roman" w:eastAsia="Times New Roman" w:hAnsi="Times New Roman"/>
          <w:sz w:val="18"/>
          <w:szCs w:val="18"/>
          <w:color w:val="auto"/>
        </w:rPr>
        <w:t>”) as follows: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Description of Shares</w:t>
      </w:r>
      <w:r>
        <w:rPr>
          <w:rFonts w:ascii="Times New Roman" w:cs="Times New Roman" w:eastAsia="Times New Roman" w:hAnsi="Times New Roman"/>
          <w:sz w:val="18"/>
          <w:szCs w:val="18"/>
          <w:color w:val="auto"/>
        </w:rPr>
        <w:t>. The Company proposes to issue and sell through or to the Managers, as sales agents, shares of Class C Common Stock, par value $0.01 per share, of the Company (“</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having an aggregate gross sales price to the public of up to $100,000,000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from time to time during the term of this Agreement and on the terms set forth in Section 3 of this Agreement. For purposes of selling the Shares through the Managers, the Company hereby appoints the Managers as exclusive agents of the Company with respect to the issuance and sale of the Shares from time to time from the Company pursuant to this Agreement, and the Managers agree to use their commercially reasonable efforts to sell the Shares in the manner and subject to the terms and conditions described in this Agreement. Certain terms used herein are defined in Section 23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The Company Parties, jointly and severally, represent and warrant to each Manager at the Execution Time and at each such time the following representations and warranties are repeated or deemed to be made pursuant to this Agreement, including each Applicable Time, each Representation Date (as defined below) and each Settlement Date (as defined below), as set forth below.</w:t>
      </w:r>
    </w:p>
    <w:p>
      <w:pPr>
        <w:spacing w:after="0" w:line="174" w:lineRule="exact"/>
        <w:rPr>
          <w:sz w:val="20"/>
          <w:szCs w:val="20"/>
          <w:color w:val="auto"/>
        </w:rPr>
      </w:pPr>
    </w:p>
    <w:p>
      <w:pPr>
        <w:jc w:val="both"/>
        <w:ind w:left="660"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xml:space="preserve"> The Company meets the requirements for use of Form S-3 under the Act and has prepared and filed with the Commission a registration statement on Form S-3 (File Number: 333-273804), including a related Base Prospectus, for registration under the Act of the offering and sale of the securities, including the Shares, and such Registration Statement, including any amendments thereto filed prior to the Execution Time or prior to any such time this representation is repeated or deemed to be made, has become effective. The Company has filed with the Commission the Prospectus Supplement relating to the Shares in accordance with Rule 424(b). As filed, the Prospectus contains all information required by the Act and the rules thereunder, and, except to the extent the Managers agree in writing to a modification, shall be in all substantive respects in the form furnished to the Managers prior to the Execution Time or prior to any such time this representation is repeated or deemed to be made. The Registration Statement, at the Execution Time, at each such time this representation is repeated or deemed to be made, and at all times during which a prospectus is required by the Act to be delivered (whether physically, deemed to be delivered pursuant to Rule 153 or through compliance with Rule 172 or any similar rule) in connection with any offer or sale of the Shares, meets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 If the Company files a successor registration statement with respect to the Shares, after effectiveness of any such registration statement, (i) all references to “Registration Statement” included in this Agreement shall be deemed to include such new registration statement, including all documents incorporated by reference therein pursuant to Item 12 of Form S-3, (ii) all references to “Base Prospectus” included in this Agreement shall be deemed to include the final form of prospectus, including all documents incorporated by reference therein pursuant to Item 12 of Form S-3, included in any such registration statement at the time such registration statement became effective and (iii) all references to “Prospectus Supplement” included in this Agreement shall be deemed to include any prospectus supplement, including all documents incorporated by reference therein pursuant to Item 12 of Form S-3, relating to the final form of prospectus included in any such registration statement.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 Stop Order.</w:t>
      </w:r>
      <w:r>
        <w:rPr>
          <w:rFonts w:ascii="Times New Roman" w:cs="Times New Roman" w:eastAsia="Times New Roman" w:hAnsi="Times New Roman"/>
          <w:sz w:val="18"/>
          <w:szCs w:val="18"/>
          <w:color w:val="auto"/>
        </w:rPr>
        <w:t xml:space="preserve"> The Commission has not issued any order preventing or suspending the use of the Prospectus or suspending the effectiveness of the Registration Statement, and no proceeding or examination for such purpose or pursuant to Section 8A of the Act has been instituted or, to the knowledge of any of the Company Parties, threatened by the Commission.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Ineligible Issuer.</w:t>
      </w:r>
      <w:r>
        <w:rPr>
          <w:rFonts w:ascii="Times New Roman" w:cs="Times New Roman" w:eastAsia="Times New Roman" w:hAnsi="Times New Roman"/>
          <w:sz w:val="18"/>
          <w:szCs w:val="18"/>
          <w:color w:val="auto"/>
        </w:rPr>
        <w:t xml:space="preserve"> At the time of filing the Registration Statement, at the earliest time thereafter that the Company or another offering participant made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 (within the meaning of Rule 164(h)(2) of the Act) of the Shares and at the date hereof, the Company was not and is not an “ineligible issuer,” as defined in Rule 405.</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No Material Misstatements or Omissions in the Registration Statement.</w:t>
      </w:r>
      <w:r>
        <w:rPr>
          <w:rFonts w:ascii="Times New Roman" w:cs="Times New Roman" w:eastAsia="Times New Roman" w:hAnsi="Times New Roman"/>
          <w:sz w:val="18"/>
          <w:szCs w:val="18"/>
          <w:color w:val="auto"/>
        </w:rPr>
        <w:t xml:space="preserve"> On each Effective Date,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Shares, the Registration Statement complied and will comply in all material respects with the applicable requirements of the Act and the Exchange Act and the respective rules thereunder and did not and will not contain an untrue statement of a material fact or omit to state a material fact required to be stated therein or necessary in order to make the statements therein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contained in or omitted from the Registration Statement in reliance upon and in conformity with written information furnished to the Company by or on behalf of the Managers specifically for inclusion therein, which information is specified in Section 7(b).</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No Material Misstatements or Omissions in the Prospectus.</w:t>
      </w:r>
      <w:r>
        <w:rPr>
          <w:rFonts w:ascii="Times New Roman" w:cs="Times New Roman" w:eastAsia="Times New Roman" w:hAnsi="Times New Roman"/>
          <w:sz w:val="18"/>
          <w:szCs w:val="18"/>
          <w:color w:val="auto"/>
        </w:rPr>
        <w:t xml:space="preserve"> On the date of any filing pursuant to Rule 424(b),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Shares, the Prospectus complied and will comply in all material respects with the applicable requirements of the Act and the Exchange Act and the respective rules thereunder and did not and will not include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representation or warranty is made as to information included in or omitted from the Prospectus in reliance upon and in conformity with written information furnished to the Company by or on behalf of the Managers specifically for inclusion therein, which information is specified in Section 7(b).</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No Other Prospectus.</w:t>
      </w:r>
      <w:r>
        <w:rPr>
          <w:rFonts w:ascii="Times New Roman" w:cs="Times New Roman" w:eastAsia="Times New Roman" w:hAnsi="Times New Roman"/>
          <w:sz w:val="18"/>
          <w:szCs w:val="18"/>
          <w:color w:val="auto"/>
        </w:rPr>
        <w:t xml:space="preserve"> Prior to the Execution Time, the Company has not, directly or indirectly, offered or sold any Shares by means of any “prospectus” (in each case within the meaning of the Act) or used any “prospectus” (in each case within the meaning of the Act) in connection with the offer or sale of Shares, and from and after the Execution Time, the Company will not, directly or indirectly, offer or sell any Shares pursuant to this Agreement by means of any “prospectus” (within the meaning of the Act) or use any “prospectus” (within the meaning of the Act) in connection with any such offer or sale of the Shares, other than the Prospectus, as amended or supplemented from time to time in accordance with the provisions of this Agreement; the Company has not, directly or indirectly, prepared, used or referred to any Issuer Free Writing Prospectus, as defined in Rule 433, in connection with offers or sales of Shares pursuant to this Agreement.</w:t>
      </w:r>
    </w:p>
    <w:p>
      <w:pPr>
        <w:spacing w:after="0" w:line="200" w:lineRule="exact"/>
        <w:rPr>
          <w:sz w:val="20"/>
          <w:szCs w:val="20"/>
          <w:color w:val="auto"/>
        </w:rPr>
      </w:pPr>
    </w:p>
    <w:p>
      <w:pPr>
        <w:spacing w:after="0" w:line="20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7" w:name="page8"/>
    <w:bookmarkEnd w:id="7"/>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Regulation M Exceptions</w:t>
      </w:r>
      <w:r>
        <w:rPr>
          <w:rFonts w:ascii="Times New Roman" w:cs="Times New Roman" w:eastAsia="Times New Roman" w:hAnsi="Times New Roman"/>
          <w:sz w:val="18"/>
          <w:szCs w:val="18"/>
          <w:color w:val="auto"/>
        </w:rPr>
        <w:t>. The Class C Common Stock is an “actively-traded security” as defined in Rule 101 of Regulation M under the Exchange Act by subsection (c)(1) of such rule.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Other Sales Agency Agreements</w:t>
      </w:r>
      <w:r>
        <w:rPr>
          <w:rFonts w:ascii="Times New Roman" w:cs="Times New Roman" w:eastAsia="Times New Roman" w:hAnsi="Times New Roman"/>
          <w:sz w:val="18"/>
          <w:szCs w:val="18"/>
          <w:color w:val="auto"/>
        </w:rPr>
        <w:t>. The Company is not a party to any other effective sales agency agreements or other similar arrangements, with any agent or any other representative in respect of at-the-market offerings of Class C Common Stock in accordance with Rule 415(a)(4) of the Act.</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and the Prospectus and to enter into and perform its obligations under this Agreement; and the Company is duly qualified as a foreign corporation to transact business and is in good standing or equivalent status in each other jurisdiction in which such qualification is required, whether by reason of the ownership or leasing of property or the conduct of business, except where the failure so to qualify or to be in good standing would not, individually or in the aggregate, reasonably be expected to have a Material Adverse Effect (as defined below).</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Good Standing of Subsidiaries</w:t>
      </w:r>
      <w:r>
        <w:rPr>
          <w:rFonts w:ascii="Times New Roman" w:cs="Times New Roman" w:eastAsia="Times New Roman" w:hAnsi="Times New Roman"/>
          <w:sz w:val="18"/>
          <w:szCs w:val="18"/>
          <w:color w:val="auto"/>
        </w:rPr>
        <w:t>. Each “significant subsidiary” (as such term is defined in Rule 1-02 of Regulation S-X) of the Company, including Clearway LLC,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and the Prospectus and is duly qualified to transact business and is in good standing or equivalent status in each jurisdiction in which such qualification is required, whether by reason of the ownership or leasing of property or the conduct of business, except where the failure to so qualify or to be in good standing would not, individually or in the aggregate, reasonably be expected to have a Material Adverse Effect (as defined below). Except as otherwise disclosed in the Registration Statement and the Prospectus or as would not, individually or in the aggregate, reasonably be expected to have a Material Adverse Effect, all of the issued and outstanding capital stock or other ownership interests of each subsidiary (except to the extent held by Clearway Energy Group LLC (“</w:t>
      </w:r>
      <w:r>
        <w:rPr>
          <w:rFonts w:ascii="Times New Roman" w:cs="Times New Roman" w:eastAsia="Times New Roman" w:hAnsi="Times New Roman"/>
          <w:sz w:val="18"/>
          <w:szCs w:val="18"/>
          <w:u w:val="single" w:color="auto"/>
          <w:color w:val="auto"/>
        </w:rPr>
        <w:t>CEG</w:t>
      </w:r>
      <w:r>
        <w:rPr>
          <w:rFonts w:ascii="Times New Roman" w:cs="Times New Roman" w:eastAsia="Times New Roman" w:hAnsi="Times New Roman"/>
          <w:sz w:val="18"/>
          <w:szCs w:val="18"/>
          <w:color w:val="auto"/>
        </w:rPr>
        <w:t>”)) has been duly authorized and validly issued, is fully paid and non-assessable and is owned by the Company, directly or through subsidiaries, free and clear of any security interest, mortgage, pledge, lien, encumbrance or claim. The only subsidiaries of the Company are the subsidiaries listed on Exhibit 21.1 to the Company’s Annual Report on Form 10-K for the year ended December 31, 2024 filed with the Commission on February 25, 2025 (the “</w:t>
      </w:r>
      <w:r>
        <w:rPr>
          <w:rFonts w:ascii="Times New Roman" w:cs="Times New Roman" w:eastAsia="Times New Roman" w:hAnsi="Times New Roman"/>
          <w:sz w:val="18"/>
          <w:szCs w:val="18"/>
          <w:u w:val="single" w:color="auto"/>
          <w:color w:val="auto"/>
        </w:rPr>
        <w:t>2024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and those subsidiaries that, collectively, do not constitute a “significant subsidiary” (as such term is defined in Rule 1-02 of Regulation S-X).</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8" w:name="page9"/>
    <w:bookmarkEnd w:id="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Well-Known Seasoned Issuer</w:t>
      </w:r>
      <w:r>
        <w:rPr>
          <w:rFonts w:ascii="Times New Roman" w:cs="Times New Roman" w:eastAsia="Times New Roman" w:hAnsi="Times New Roman"/>
          <w:sz w:val="18"/>
          <w:szCs w:val="18"/>
          <w:color w:val="auto"/>
        </w:rPr>
        <w:t>. (i) At the original effectiveness of the Registration Statement, (ii) if applicable, at the time of the most recent amendment thereto for the purposes of complying with Section 10(a)(3) of the Act (whether such amendment was by post-effective amendment, incorporated report filed pursuant to Section 13 or 15(d) of the Exchange Act or form of prospectus), (iii) at the time the Company or any person acting on its behalf (within the meaning, for this clause only, of Rule 163(c) under the Act) made any offer relating to the Shares in reliance on the exemption of Rule 163 under the Act, and (iv) as of each Applicable Time, the Company was and is a “well-known seasoned issuer” (as defined in Rule 405).</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The authorized, issued and outstanding shares of capital stock of the Company as of the Company’s most recently completed fiscal quarter or year are as set forth in the Company’s Quarterly Report on Form 10-Q or Annual Report on Form 10-K for the most recently completed fiscal quarter or year, as applicable (except for subsequent issuances, if any, pursuant to this Agreement, pursuant to reservations, agreements or employee benefit plans referred to in the Registration Statement and the Prospectus or pursuant to the exercise of convertible securities or options referred to in the Registration Statement and the Prospectus). All outstanding shares of capital stock of the Company have been duly authorized and validly issued and are fully paid and non-assessable. None of the outstanding shares of capital stock of, or ownership interests in, the Company or any subsidiary (except to the extent held by CEG) were issued in violation of the preemptive or other similar rights of any securityholder of the Company or such subsidiary.</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Authorization and Description of Shares</w:t>
      </w:r>
      <w:r>
        <w:rPr>
          <w:rFonts w:ascii="Times New Roman" w:cs="Times New Roman" w:eastAsia="Times New Roman" w:hAnsi="Times New Roman"/>
          <w:sz w:val="18"/>
          <w:szCs w:val="18"/>
          <w:color w:val="auto"/>
        </w:rPr>
        <w:t>. The Shares to be purchased by the Managers from the Company have been duly authorized for issuance and sale to the Managers pursuant to this Agreement and, when issued and delivered by the Company pursuant to this Agreement against payment of the consideration set forth herein, will be validly issued and fully paid and non-assessable; and the issuance of the Shares is not subject to the preemptive or other similar rights of any securityholder of the Company. The Class C Common Stock and Clearway LLC’s Class A units, Class B units, Class C units and Class D units (collectively, the “</w:t>
      </w:r>
      <w:r>
        <w:rPr>
          <w:rFonts w:ascii="Times New Roman" w:cs="Times New Roman" w:eastAsia="Times New Roman" w:hAnsi="Times New Roman"/>
          <w:sz w:val="18"/>
          <w:szCs w:val="18"/>
          <w:u w:val="single" w:color="auto"/>
          <w:color w:val="auto"/>
        </w:rPr>
        <w:t>LLC Units</w:t>
      </w:r>
      <w:r>
        <w:rPr>
          <w:rFonts w:ascii="Times New Roman" w:cs="Times New Roman" w:eastAsia="Times New Roman" w:hAnsi="Times New Roman"/>
          <w:sz w:val="18"/>
          <w:szCs w:val="18"/>
          <w:color w:val="auto"/>
        </w:rPr>
        <w:t>”) conform to all statements relating thereto contained in the Registration Statement and the Prospectus and such description conforms to the rights set forth in the instruments defining the same. No holder of Shares will be subject to personal liability by reason of being such a holder.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Accuracy of Descriptions</w:t>
      </w:r>
      <w:r>
        <w:rPr>
          <w:rFonts w:ascii="Times New Roman" w:cs="Times New Roman" w:eastAsia="Times New Roman" w:hAnsi="Times New Roman"/>
          <w:sz w:val="18"/>
          <w:szCs w:val="18"/>
          <w:color w:val="auto"/>
        </w:rPr>
        <w:t>. The statements under the heading “Business—Regulatory Matters” in the 2024 Annual Report and under the heading “Certain Relationships and Related Person Transactions” in the Company’s Definitive Proxy Statement on Schedule 14A filed with the Commission on March 13, 2025, insofar as such statements summarize legal matters, agreements, documents, proceedings or affiliate transactions discussed therein, including related party agreements, power purchase agreements, offtake agreements and contracts for differences, are accurate and fair summaries of such legal matters, agreements, documents, proceedings or affiliate transactions in all material respects. All agreements between the Company or any of its subsidiaries and any other party expressly referenced in the Registration Statement and the Prospectus, including the documents incorporated by reference therein pursuant to Item 12 of Form S-3 under the Act, are legal, valid and binding obligations of the Company or such subsidiary, as applicable, enforceable against the Company or such subsidiaries, as applicable, as appropriate, in accordance with their respective terms, except to the extent that enforceability may be limited by bankruptcy, insolvency, reorganization, moratorium or similar laws affecting creditors’ rights generally and by general equitable principles and except as rights to indemnity and contribution thereunder may be limited by applicable law or policies underlying such law. Except as described in the Registration Statement and the Prospectus, neither the Company nor, to the knowledge of the Company, CEG has sent or received any notice indicating the termination of or intention to terminate any of the contracts or agreements referred to or described in the Registration Statement and the Prospectus or filed as an exhibit to the Registration Statement.</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9" w:name="page10"/>
    <w:bookmarkEnd w:id="9"/>
    <w:p>
      <w:pPr>
        <w:jc w:val="both"/>
        <w:ind w:right="20" w:firstLine="648"/>
        <w:spacing w:after="0" w:line="267"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There are no persons with registration rights or other similar rights to have any securities registered for sale pursuant to the Registration Statement or otherwise registered for sale or sold by the Company under the Act pursuant to this Agreement, other than those rights that have been disclosed in the Registration Statement and the Prospectus and have been waived.</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i w:val="1"/>
          <w:iCs w:val="1"/>
          <w:color w:val="auto"/>
        </w:rPr>
        <w:t>Authorization, Execution and Delivery of the Equity Distribution Agreement.</w:t>
      </w:r>
      <w:r>
        <w:rPr>
          <w:rFonts w:ascii="Times New Roman" w:cs="Times New Roman" w:eastAsia="Times New Roman" w:hAnsi="Times New Roman"/>
          <w:sz w:val="18"/>
          <w:szCs w:val="18"/>
          <w:color w:val="auto"/>
        </w:rPr>
        <w:t xml:space="preserve"> This Agreement has been duly authorized, executed and delivered by the Company Parties.</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i w:val="1"/>
          <w:iCs w:val="1"/>
          <w:color w:val="auto"/>
        </w:rPr>
        <w:t>Absence of Violations, Defaults and Conflicts</w:t>
      </w:r>
      <w:r>
        <w:rPr>
          <w:rFonts w:ascii="Times New Roman" w:cs="Times New Roman" w:eastAsia="Times New Roman" w:hAnsi="Times New Roman"/>
          <w:sz w:val="18"/>
          <w:szCs w:val="18"/>
          <w:color w:val="auto"/>
        </w:rPr>
        <w:t>. Neither the Company nor any of its subsidiaries is (i) in violation of its charter, by-laws or similar organizational document, (ii)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w:t>
      </w:r>
      <w:r>
        <w:rPr>
          <w:rFonts w:ascii="Times New Roman" w:cs="Times New Roman" w:eastAsia="Times New Roman" w:hAnsi="Times New Roman"/>
          <w:sz w:val="18"/>
          <w:szCs w:val="18"/>
          <w:u w:val="single" w:color="auto"/>
          <w:color w:val="auto"/>
        </w:rPr>
        <w:t>Agreements and Instruments</w:t>
      </w:r>
      <w:r>
        <w:rPr>
          <w:rFonts w:ascii="Times New Roman" w:cs="Times New Roman" w:eastAsia="Times New Roman" w:hAnsi="Times New Roman"/>
          <w:sz w:val="18"/>
          <w:szCs w:val="18"/>
          <w:color w:val="auto"/>
        </w:rPr>
        <w:t>”), except for such defaults that would not, individually or in the aggregate, reasonably be expected to have a Material Adverse Effect, or (iii)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except for such violations that would not, individually or in the aggregate, reasonably be expected to have a Material Adverse Effect. The execution, delivery and performance of this Agreement and the consummation of the transactions contemplated herein and in the Registration Statement and the Prospectus, (including the issuance and sale of the Shares and the use of the proceeds from the sale of the Shares as described therein under the caption “Use of Proceeds”) and compliance by the Company Parties with their obligations hereunder have been duly authorized by all necessary corporate action and do not and will not, whether with or without the giving of notice or passage of time or both, conflict with, require a consent under,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individually or in the aggregate, reasonably be expected to have a Material Adverse Effect), nor will such actions (i) result in any violation of the provisions of the charter, by-laws or similar organizational document of the Company or any of its subsidiaries, (ii) conflict with or constitute a breach of, or a default or a Repayment Event (as defined below) under, or result in the creation or imposition of any lien, charge or encumbrance upon any property or assets of the Company or any of its subsidiaries pursuant to, or require the consent of any other party to, any Agreement and Instrument, except for such conflicts, breaches, defaults, liens, charges or encumbrances as would not, individually or in the aggregate, reasonably be expected to have a Material Adverse Effect or (iii) result in any violation of any law, statute, rule, regulation, judgment, order, writ or decree of any Governmental Entity, except for such violations as would not, individually or in the aggregate, reasonably be expected to have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i w:val="1"/>
          <w:iCs w:val="1"/>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Parties of their obligations hereunder, in connection with the offering, issuance or sale of the Shares hereunder or the consummation of the transactions contemplated by this Agreement except such as have been already obtained or as may be required under the Act and the rules and regulations promulgated thereunder, the rules of the New York Stock Exchange, state securities laws or the rules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i w:val="1"/>
          <w:iCs w:val="1"/>
          <w:color w:val="auto"/>
        </w:rPr>
        <w:t>Financial Statements; Non-GAAP Financial Measures</w:t>
      </w:r>
      <w:r>
        <w:rPr>
          <w:rFonts w:ascii="Times New Roman" w:cs="Times New Roman" w:eastAsia="Times New Roman" w:hAnsi="Times New Roman"/>
          <w:sz w:val="18"/>
          <w:szCs w:val="18"/>
          <w:color w:val="auto"/>
        </w:rPr>
        <w:t>. The financial statements included or incorporated by reference in the Registration Statement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throughout the periods involved, except as may be expressly stated in the related notes thereto. The pro forma financial statements, data and the related notes thereto, if any, included or incorporated by reference in the Registration Statement and the Prospectus present fairly in all material respects the information shown therein, have been prepared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Except as included or incorporated by reference therein, no historical or pro forma financial statements or supporting schedules are required to be included or incorporated by reference in the Registration Statement or the Prospectus under the Act or the rules and regulations promulgated thereunder. All disclosures contained in the Registration Statement or the Prospectus, or incorporated by reference therein, regarding “non-GAAP financial measures” (as such term is defined by the rules and regulations of the Commission) comply with Regulation G of the Exchange Act and Item 10 of Regulation S-K of the Act, to the extent applicable. The interactive data in eXtensible Business Reporting Language included or incorporated by reference in the Registration Statement has been prepared in accordance with the Commission’s rules and guidelines applicable thereto.</w:t>
      </w: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1" w:name="page12"/>
    <w:bookmarkEnd w:id="11"/>
    <w:p>
      <w:pPr>
        <w:jc w:val="both"/>
        <w:ind w:left="4" w:firstLine="648"/>
        <w:spacing w:after="0" w:line="267"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The accountants who certified the financial statements and supporting schedules included in the Registration Statement and the Prospectus are independent public accountants as required by the Act and the rules and regulations promulgated thereunder, the Exchange Act and the rules and regulations promulgated thereunder and the Public Company Accounting Oversight Board.</w:t>
      </w:r>
    </w:p>
    <w:p>
      <w:pPr>
        <w:spacing w:after="0" w:line="173"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i w:val="1"/>
          <w:iCs w:val="1"/>
          <w:color w:val="auto"/>
        </w:rPr>
        <w:t>Accounting Controls and Disclosure Controls</w:t>
      </w:r>
      <w:r>
        <w:rPr>
          <w:rFonts w:ascii="Times New Roman" w:cs="Times New Roman" w:eastAsia="Times New Roman" w:hAnsi="Times New Roman"/>
          <w:sz w:val="18"/>
          <w:szCs w:val="18"/>
          <w:color w:val="auto"/>
        </w:rPr>
        <w:t>. The Company and each of its subsidiaries maintain internal control over financial reporting (as defined under Rule 13a-15 and 15d-15 under the rules and regulations promulgated under the Exchange Act) and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w:t>
      </w:r>
    </w:p>
    <w:p>
      <w:pPr>
        <w:spacing w:after="0" w:line="1" w:lineRule="exact"/>
        <w:rPr>
          <w:sz w:val="20"/>
          <w:szCs w:val="20"/>
          <w:color w:val="auto"/>
        </w:rPr>
      </w:pPr>
    </w:p>
    <w:p>
      <w:pPr>
        <w:jc w:val="both"/>
        <w:ind w:left="4" w:hanging="4"/>
        <w:spacing w:after="0" w:line="250"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is prepared in accordance with the Commission’s rules and guidelines applicable thereto. Except as described in the Registration Statement and the Prospectus, since the Company’s inception, there has been (A) no material weakness in the Company’s internal control over financial reporting that could adversely affect the Company’s ability to record, process, summarize and report financial data and</w:t>
      </w:r>
    </w:p>
    <w:p>
      <w:pPr>
        <w:spacing w:after="0" w:line="1"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no change in the Company’s internal control over financial reporting that has materially affected, or is reasonably likely to materially affect, the Company’s internal control over financial reporting.</w:t>
      </w:r>
    </w:p>
    <w:p>
      <w:pPr>
        <w:spacing w:after="0" w:line="179"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Compliance with the Sarbanes-Oxley Act</w:t>
      </w:r>
      <w:r>
        <w:rPr>
          <w:rFonts w:ascii="Times New Roman" w:cs="Times New Roman" w:eastAsia="Times New Roman" w:hAnsi="Times New Roman"/>
          <w:sz w:val="18"/>
          <w:szCs w:val="18"/>
          <w:color w:val="auto"/>
        </w:rPr>
        <w:t>. The Company is in compliance in all material respects with all provisions of the Sarbanes-Oxley Act of 2002 and all rules and regulations promulgated thereunder or implementing the provisions thereof (the “</w:t>
      </w:r>
      <w:r>
        <w:rPr>
          <w:rFonts w:ascii="Times New Roman" w:cs="Times New Roman" w:eastAsia="Times New Roman" w:hAnsi="Times New Roman"/>
          <w:sz w:val="18"/>
          <w:szCs w:val="18"/>
          <w:u w:val="single" w:color="auto"/>
          <w:color w:val="auto"/>
        </w:rPr>
        <w:t>Sarbanes-Oxley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that are in effect and with which the Company is required to comply. To the Company’s knowledge, such internal controls over financial reporting are effective at a reasonable assurance level.</w:t>
      </w:r>
    </w:p>
    <w:p>
      <w:pPr>
        <w:spacing w:after="0" w:line="180"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i w:val="1"/>
          <w:iCs w:val="1"/>
          <w:color w:val="auto"/>
        </w:rPr>
        <w:t>No Material Adverse Change in Business.</w:t>
      </w:r>
      <w:r>
        <w:rPr>
          <w:rFonts w:ascii="Times New Roman" w:cs="Times New Roman" w:eastAsia="Times New Roman" w:hAnsi="Times New Roman"/>
          <w:sz w:val="18"/>
          <w:szCs w:val="18"/>
          <w:color w:val="auto"/>
        </w:rPr>
        <w:t xml:space="preserve"> Except as otherwise stated therein, since the respective dates as of which information is given in the Registration Statement and the Prospectus, (i) there has been no material adverse change in the condition, financial or otherwise, or in the earnings, business, operations or prospects as described in or contemplated by the Registration Statement and the Prospectus, whether or not arising from transactions in the ordinary course of business, of the Company and its subsidiaries, considered as one entity (a “</w:t>
      </w:r>
      <w:r>
        <w:rPr>
          <w:rFonts w:ascii="Times New Roman" w:cs="Times New Roman" w:eastAsia="Times New Roman" w:hAnsi="Times New Roman"/>
          <w:sz w:val="18"/>
          <w:szCs w:val="18"/>
          <w:u w:val="single" w:color="auto"/>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w:t>
      </w:r>
    </w:p>
    <w:p>
      <w:pPr>
        <w:spacing w:after="0" w:line="2" w:lineRule="exact"/>
        <w:rPr>
          <w:sz w:val="20"/>
          <w:szCs w:val="20"/>
          <w:color w:val="auto"/>
        </w:rPr>
      </w:pPr>
    </w:p>
    <w:p>
      <w:pPr>
        <w:ind w:left="4" w:hanging="4"/>
        <w:spacing w:after="0" w:line="260" w:lineRule="auto"/>
        <w:tabs>
          <w:tab w:leader="none" w:pos="3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dividend or distribution of any kind declared, paid or made by the Company or any of its subsidiaries on any class of their capital stock or other equity securities.</w:t>
      </w:r>
    </w:p>
    <w:p>
      <w:pPr>
        <w:spacing w:after="0" w:line="39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i w:val="1"/>
          <w:iCs w:val="1"/>
          <w:color w:val="auto"/>
        </w:rPr>
        <w:t>Title to Property</w:t>
      </w:r>
      <w:r>
        <w:rPr>
          <w:rFonts w:ascii="Times New Roman" w:cs="Times New Roman" w:eastAsia="Times New Roman" w:hAnsi="Times New Roman"/>
          <w:sz w:val="18"/>
          <w:szCs w:val="18"/>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(i) are described in the Registration Statement and the Prospectus or (ii) do not, individually or in the aggregate, materially and adversely affect the value of such properties taken as a whole and do not materially interfere with the use made and proposed to be made of such property by the Company or any of its subsidiaries considered as one enterprise; and all of the leases and subleases of the Company and its subsidiaries, considered as one enterprise, and under which the Company or any of its subsidiaries holds properties described in the Registration Statement or the Prospectus, are in full force and effect, with such exceptions as are not material and do not materially interfere with the use made or proposed to be made of such properties, and neither the Company nor any such subsidiary has received actual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i w:val="1"/>
          <w:iCs w:val="1"/>
          <w:color w:val="auto"/>
        </w:rPr>
        <w:t>Possession of Licenses and Permits</w:t>
      </w:r>
      <w:r>
        <w:rPr>
          <w:rFonts w:ascii="Times New Roman" w:cs="Times New Roman" w:eastAsia="Times New Roman" w:hAnsi="Times New Roman"/>
          <w:sz w:val="18"/>
          <w:szCs w:val="18"/>
          <w:color w:val="auto"/>
        </w:rPr>
        <w:t>. The Company and its subsidiaries have filed or caused to be filed with the appropriate Governmental Entities all forms, statements, reports, and documents (including all exhibits, amendments, and supplements thereto) (each a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required to be filed by it with respect to the Company and each of its subsidiary’s businesses and each of their facilities under all applicable laws and their respective rules and regulations thereunder, all of which complied in all respects with all applicable requirements of the appropriate law and rules and regulations thereunder in effect on the date each such Filing was made, except where the failure to do so would not, individually or in the aggregate, reasonably be expected to have a Material Adverse Effect. The Company and its subsidiaries possess such valid and current certificates, authorizations or permits issued by the appropriate Governmental Entities necessary to conduct the business now operated by them (each a “</w:t>
      </w:r>
      <w:r>
        <w:rPr>
          <w:rFonts w:ascii="Times New Roman" w:cs="Times New Roman" w:eastAsia="Times New Roman" w:hAnsi="Times New Roman"/>
          <w:sz w:val="18"/>
          <w:szCs w:val="18"/>
          <w:u w:val="single" w:color="auto"/>
          <w:color w:val="auto"/>
        </w:rPr>
        <w:t>Governmental License</w:t>
      </w:r>
      <w:r>
        <w:rPr>
          <w:rFonts w:ascii="Times New Roman" w:cs="Times New Roman" w:eastAsia="Times New Roman" w:hAnsi="Times New Roman"/>
          <w:sz w:val="18"/>
          <w:szCs w:val="18"/>
          <w:color w:val="auto"/>
        </w:rPr>
        <w:t>”), except where the failure so to possess would not, individually or in the aggregate, reasonably be expected to have a Material Adverse Effect. The Company and its subsidiaries are in compliance with the terms and conditions of all Governmental Licenses, except where the failure so to comply would not, individually or in the aggregate, reasonably be expected to have a Material Adverse Effect. All of the Governmental Licenses are valid and in full force and effect, except when the invalidity of such Governmental Licenses or the failure of such Governmental Licenses to be in full force and effect would not, individually or in the aggregate, reasonably be expected to have a Material Adverse Effect. Neither the Company nor any of its subsidiaries has received any notice of proceedings relating to the revocation or modification of any Governmental Licenses which, if the subject of an unfavorable decision, ruling or finding, would, individually or in the aggregate, reasonably be expected to have a Material Adverse Effect.</w:t>
      </w:r>
    </w:p>
    <w:p>
      <w:pPr>
        <w:spacing w:after="0" w:line="200" w:lineRule="exact"/>
        <w:rPr>
          <w:sz w:val="20"/>
          <w:szCs w:val="20"/>
          <w:color w:val="auto"/>
        </w:rPr>
      </w:pPr>
    </w:p>
    <w:p>
      <w:pPr>
        <w:spacing w:after="0" w:line="2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3" w:name="page14"/>
    <w:bookmarkEnd w:id="1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i w:val="1"/>
          <w:iCs w:val="1"/>
          <w:color w:val="auto"/>
        </w:rPr>
        <w:t>Possession of Intellectual Property</w:t>
      </w:r>
      <w:r>
        <w:rPr>
          <w:rFonts w:ascii="Times New Roman" w:cs="Times New Roman" w:eastAsia="Times New Roman" w:hAnsi="Times New Roman"/>
          <w:sz w:val="18"/>
          <w:szCs w:val="18"/>
          <w:color w:val="auto"/>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reasonably necessary to carry on the business now operated by them, except as would not, individually or in the aggregate, have a Material Adverse Effect, and neither the Company nor any of its subsidiaries has received any notice of any infringement of or conflict with asserted intellectual property rights of others with respect to any Intellectual Property, which infringement or conflict (if the subject of any unfavorable decision, ruling or finding) or invalidity or inadequacy, individually or in the aggregate, would have a Material Adverse Effect.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i w:val="1"/>
          <w:iCs w:val="1"/>
          <w:color w:val="auto"/>
        </w:rPr>
        <w:t>Absence of Proceedings</w:t>
      </w:r>
      <w:r>
        <w:rPr>
          <w:rFonts w:ascii="Times New Roman" w:cs="Times New Roman" w:eastAsia="Times New Roman" w:hAnsi="Times New Roman"/>
          <w:sz w:val="18"/>
          <w:szCs w:val="18"/>
          <w:color w:val="auto"/>
        </w:rPr>
        <w:t>. Except as disclosed in the Registration Statement and the Prospectus, there is no action, suit, proceeding, inquiry or investigation before or brought by any Governmental Entity now pending or, to the knowledge of the Company Parties, threatened, against or affecting the Company or any of its subsidiaries, which would, individually or in the aggregate, reasonably be expected to have a Material Adverse Effect, or which might materially and adversely affect their respective properties or assets or the consummation of the transactions contemplated in this Agreement or the performance by the Company of its obligations hereunder.</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(bb)            </w:t>
      </w:r>
      <w:r>
        <w:rPr>
          <w:rFonts w:ascii="Times New Roman" w:cs="Times New Roman" w:eastAsia="Times New Roman" w:hAnsi="Times New Roman"/>
          <w:sz w:val="18"/>
          <w:szCs w:val="18"/>
          <w:i w:val="1"/>
          <w:iCs w:val="1"/>
          <w:color w:val="auto"/>
        </w:rPr>
        <w:t>Accuracy of Exhibits</w:t>
      </w:r>
      <w:r>
        <w:rPr>
          <w:rFonts w:ascii="Times New Roman" w:cs="Times New Roman" w:eastAsia="Times New Roman" w:hAnsi="Times New Roman"/>
          <w:sz w:val="18"/>
          <w:szCs w:val="18"/>
          <w:color w:val="auto"/>
        </w:rPr>
        <w:t>. There are no contracts or documents which are required by the Act or the rules and regulations promulgated thereunder to be described in the Registration Statement or the Prospectus or to be filed as exhibits to the Registration Statement which have not been so described and filed as required.</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and its subsidiaries carry, or are entitled to the benefits of insurance, with financially sound institutions with policies in such amounts and with such deductibles and covering such risks as are generally deemed reasonably adequate and customary for their businesses including, without limitation, policies covering real and personal property owned or leased by the Company and its subsidiaries against theft, damage, destruction, acts of vandalism, flood and earthquakes.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have a Material Adverse Effect.</w:t>
      </w: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4" w:name="page15"/>
    <w:bookmarkEnd w:id="14"/>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(dd)            </w:t>
      </w:r>
      <w:r>
        <w:rPr>
          <w:rFonts w:ascii="Times New Roman" w:cs="Times New Roman" w:eastAsia="Times New Roman" w:hAnsi="Times New Roman"/>
          <w:sz w:val="18"/>
          <w:szCs w:val="18"/>
          <w:i w:val="1"/>
          <w:iCs w:val="1"/>
          <w:color w:val="auto"/>
        </w:rPr>
        <w:t>Absence of Certain Relationships</w:t>
      </w:r>
      <w:r>
        <w:rPr>
          <w:rFonts w:ascii="Times New Roman" w:cs="Times New Roman" w:eastAsia="Times New Roman" w:hAnsi="Times New Roman"/>
          <w:sz w:val="18"/>
          <w:szCs w:val="18"/>
          <w:color w:val="auto"/>
        </w:rPr>
        <w:t>. No relationship, direct or indirect, exists between or among the Company or its subsidiaries, on the one hand, and the directors, officers or stockholders of the Company, on the other hand, which is required under the Act to be described in the Registration Statement or the Prospectus which is not so described. Except as disclosed in the Registration Statement and the Prospectus, there are no outstanding loans or advances (except advances for business expenses in the ordinary course of business) or guarantees of indebtedness by the Company or any affiliate of the Company to the benefit of any of the officers or directors of the Company or any affiliate of the Company or any of their respective family members.</w:t>
      </w:r>
    </w:p>
    <w:p>
      <w:pPr>
        <w:spacing w:after="0" w:line="182" w:lineRule="exact"/>
        <w:rPr>
          <w:sz w:val="20"/>
          <w:szCs w:val="20"/>
          <w:color w:val="auto"/>
        </w:rPr>
      </w:pPr>
    </w:p>
    <w:p>
      <w:pPr>
        <w:jc w:val="both"/>
        <w:ind w:left="4" w:right="20" w:firstLine="648"/>
        <w:spacing w:after="0" w:line="284"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i w:val="1"/>
          <w:iCs w:val="1"/>
          <w:color w:val="auto"/>
        </w:rPr>
        <w:t>Absence of Labor Dispute</w:t>
      </w:r>
      <w:r>
        <w:rPr>
          <w:rFonts w:ascii="Times New Roman" w:cs="Times New Roman" w:eastAsia="Times New Roman" w:hAnsi="Times New Roman"/>
          <w:sz w:val="18"/>
          <w:szCs w:val="18"/>
          <w:color w:val="auto"/>
        </w:rPr>
        <w:t>. No labor dispute with the employees of the Company or any of its subsidiaries exists or, to the knowledge of the Company Parties, is imminent, which, in any case, would have a Material Adverse Effect.</w:t>
      </w:r>
    </w:p>
    <w:p>
      <w:pPr>
        <w:spacing w:after="0" w:line="158"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(ff)            </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Except as described in the Registration Statement and the Prospectus or would not, individually or in the aggregate, reasonably be expected to have a Material Adverse Effect, the Company and its subsidiaries (i) are conducting and have conducted their businesses, operations and facilities in compliance with Environmental Laws (as defined below); (ii) have duly obtained, possess, maintain in full force and effect and have fulfilled and performed all of their obligations under any and all permits, licenses or registrations required under Environmental Law (“</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(iii) have not received any notice from a governmental authority or any other third party alleging any violation of Environmental Law or liability thereunder; (iv) are not subject to any pending or, to the best knowledge of the Company or any of its subsidiaries, threatened claim in writing or other legal proceeding under any Environmental Laws against the Company or any of its subsidiaries; (v) do not have knowledge of any applicable Environmental Laws, or any unsatisfied conditions in an Environmental Permit, that, individually or in the aggregate, can reasonably be expected to require any material capital expenditures for either the installation of new pollution control equipment, or a switch in a project’s fuel or other material modification of current operations in order to maintain the Company’s or the subsidiaries’ compliance with Environmental Laws; and (vi) do not have knowledge of any facts or circumstances that reasonably would be expected to result in the Company or any of its subsidiaries being subjected to a material liability arising under Environmental Laws. As used in this paragraph, “Environmental Laws” means any and all applicable foreign, federal, state and local laws and regulations, or any enforceable administrative or judicial interpretation thereof, relating to pollution or the protection of human health or the environment, including, without limitation, those relating to (i) emissions, discharges or releases of Hazardous Substances into ambient air, surface water, groundwater or land,</w:t>
      </w:r>
    </w:p>
    <w:p>
      <w:pPr>
        <w:jc w:val="both"/>
        <w:ind w:left="4" w:hanging="4"/>
        <w:spacing w:after="0" w:line="253" w:lineRule="auto"/>
        <w:tabs>
          <w:tab w:leader="none" w:pos="3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manufacture, processing, distribution, use, treatment, storage, disposal, release, transport or handling of, or exposure to, Hazardous Substances, (iii) the protection of wildlife or endangered or threatened species or (iv) the investigation, remediation or cleanup of any Hazardous Substances. As used in this paragraph, “Hazardous Substances” means pollutants, contaminants, hazardous substances, materials or wastes, petroleum, petroleum products and their breakdown constituents or any other chemical substance regulated under Environmental Laws.</w:t>
      </w:r>
    </w:p>
    <w:p>
      <w:pPr>
        <w:spacing w:after="0" w:line="200" w:lineRule="exact"/>
        <w:rPr>
          <w:sz w:val="20"/>
          <w:szCs w:val="20"/>
          <w:color w:val="auto"/>
        </w:rPr>
      </w:pPr>
    </w:p>
    <w:p>
      <w:pPr>
        <w:spacing w:after="0" w:line="20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5" w:name="page16"/>
    <w:bookmarkEnd w:id="15"/>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(gg)            </w:t>
      </w:r>
      <w:r>
        <w:rPr>
          <w:rFonts w:ascii="Times New Roman" w:cs="Times New Roman" w:eastAsia="Times New Roman" w:hAnsi="Times New Roman"/>
          <w:sz w:val="18"/>
          <w:szCs w:val="18"/>
          <w:i w:val="1"/>
          <w:iCs w:val="1"/>
          <w:color w:val="auto"/>
        </w:rPr>
        <w:t>Payment of Taxes</w:t>
      </w:r>
      <w:r>
        <w:rPr>
          <w:rFonts w:ascii="Times New Roman" w:cs="Times New Roman" w:eastAsia="Times New Roman" w:hAnsi="Times New Roman"/>
          <w:sz w:val="18"/>
          <w:szCs w:val="18"/>
          <w:color w:val="auto"/>
        </w:rPr>
        <w:t>. All federal, state and other material tax returns required to be filed, and all federal, state and other material taxes required to be paid, by the Company Parties and their subsidiaries pursuant to applicable law have been filed and paid, except for taxes required to be paid pursuant to assessments against which appeals have been taken or will be timely taken and as to which adequate reserves have been provided in accordance with GAAP. The Company has made adequate charges, accruals and reserves in accordance with GAAP in the applicable financial statements referred to in Section 2(s) hereof in respect of all federal, state and other taxes for all periods as to which the tax liability of the Company and its consolidated subsidiaries has not been finally determined, except to the extent of any inadequacy that would not reasonably be expected to have a Material Adverse Effect.</w:t>
      </w:r>
    </w:p>
    <w:p>
      <w:pPr>
        <w:spacing w:after="0" w:line="183"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(hh)            </w:t>
      </w: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a Plan (as defined below),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Parties and their subsidiaries that could have a Material Adverse Effect;</w:t>
      </w:r>
    </w:p>
    <w:p>
      <w:pPr>
        <w:spacing w:after="0" w:line="2" w:lineRule="exact"/>
        <w:rPr>
          <w:sz w:val="20"/>
          <w:szCs w:val="20"/>
          <w:color w:val="auto"/>
        </w:rPr>
      </w:pPr>
    </w:p>
    <w:p>
      <w:pPr>
        <w:jc w:val="both"/>
        <w:ind w:left="4" w:hanging="4"/>
        <w:spacing w:after="0" w:line="251" w:lineRule="auto"/>
        <w:tabs>
          <w:tab w:leader="none" w:pos="3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contractual obligation, or any violation of law or applicable qualification standards, with respect to the employment or compensation of employees by any of the Company Parties and their subsidiaries that could have a Material Adverse Effect. None of the following events has occurred or is reasonably likely to occur: (w) a material increase in the aggregate amount of contributions required to be made to all Plans in the current fiscal year of any of the Company Parties and their subsidiaries compared to the amount of such contributions made in the most recently completed fiscal year of any of the Company Parties and their subsidiaries that could reasonably be expected to result in a Material Adverse Effect; (x) a material increase in the “accumulated post-retirement benefit obligations” (within the meaning of Statement of Financial Accounting Standards 106) of any of the Company Parties and their subsidiaries compared to the amount of such obligations in the most recently completed fiscal year of any of the Company Parties and their subsidiaries that could reasonably be expected to result in a Material Adverse Effect; (y) any event or condition giving rise to a liability under Title IV of ERISA that could have a Material Adverse Effect; or (z) the filing of a claim by one or more employees or former employees of any of the Company Parties and their subsidiaries related to their employment that could have a Material Adverse Effect. For purposes of this paragraph, the term “Plan” means a plan (within the meaning of Section 3(3) of ERISA) subject to Title IV of ERISA with respect to which any of the Company Parties and their subsidiaries may have any liability.</w:t>
      </w:r>
    </w:p>
    <w:p>
      <w:pPr>
        <w:spacing w:after="0" w:line="190" w:lineRule="exact"/>
        <w:rPr>
          <w:sz w:val="20"/>
          <w:szCs w:val="20"/>
          <w:color w:val="auto"/>
        </w:rPr>
      </w:pPr>
    </w:p>
    <w:p>
      <w:pPr>
        <w:jc w:val="both"/>
        <w:ind w:left="4" w:firstLine="648"/>
        <w:spacing w:after="0" w:line="267"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Statistical and Market-Related Data</w:t>
      </w:r>
      <w:r>
        <w:rPr>
          <w:rFonts w:ascii="Times New Roman" w:cs="Times New Roman" w:eastAsia="Times New Roman" w:hAnsi="Times New Roman"/>
          <w:sz w:val="18"/>
          <w:szCs w:val="18"/>
          <w:color w:val="auto"/>
        </w:rPr>
        <w:t>. Any statistical and market-related data included in the Registration Statement or the Prospectus are based on or derived from sources that the Company believes, after reasonable inquiry, to be reliable and accurate and, to the extent required, the Company has obtained consent to the use of such data from such sources.</w:t>
      </w:r>
    </w:p>
    <w:p>
      <w:pPr>
        <w:spacing w:after="0" w:line="39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6" w:name="page17"/>
    <w:bookmarkEnd w:id="16"/>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Neither Company Party is required, and upon the issuance and sale of the Shares as herein contemplated and the application of the net proceeds therefrom as described in the Registration Statement and the Prospectus, neither Company Party will be required, to register as an “investment company” under the Investment Company Act of 1940, as amended (the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i w:val="1"/>
          <w:iCs w:val="1"/>
          <w:color w:val="auto"/>
        </w:rPr>
        <w:t>No Finder’s Fee</w:t>
      </w:r>
      <w:r>
        <w:rPr>
          <w:rFonts w:ascii="Times New Roman" w:cs="Times New Roman" w:eastAsia="Times New Roman" w:hAnsi="Times New Roman"/>
          <w:sz w:val="18"/>
          <w:szCs w:val="18"/>
          <w:color w:val="auto"/>
        </w:rPr>
        <w:t>. Except for the Managers’ discounts and commissions payable by the Company to the Managers in connection with the offering of the Shares contemplated herein or as otherwise disclosed in the Prospectus, the Company has not incurred any liability for any brokerage commission, finder’s fees or similar payments in connection with the offering of the Shares contemplated hereby.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Neither the Company nor any affiliate of the Company has taken, nor will the Company or any affiliate take, directly or indirectly, any action which is designed, or would be expected, to cause or result in, or which constitutes, the stabilization or manipulation of the price of any security of the Company to facilitate the sale or resale of the Shares or to result in a violation of Regulation M under the Exchange Act.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None of the Company, any of its subsidiaries or, to the knowledge of the Company Parties,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any other applicable anti-bribery or anti-corruption law and the Company, its subsidiaries and, to the knowledge of the Company, their respective affiliates have conducted their businesses in compliance with the FCPA and all other applicable anti-bribery or anti-corruption law and have instituted and maintain policies and procedures designed to ensure, and which are reasonably expected to continue to ensure, continued compliance therewith.</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i w:val="1"/>
          <w:iCs w:val="1"/>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Governmental Entity involving the Company or any of its subsidiaries with respect to the Money Laundering Laws is pending or, to the best knowledge of the Company Parties, threatened.</w:t>
      </w:r>
    </w:p>
    <w:p>
      <w:pPr>
        <w:spacing w:after="0" w:line="40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None of the Company, any of its subsidiaries or, to the knowledge of the Company Parties, any director, officer, agent, employee, affiliate or representative of the Company or any of its subsidiaries is an individual or entity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currently the subject or target of any sanctions administered or enforced by the United States Government, including, without limitation, the U.S. Department of the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u w:val="single" w:color="auto"/>
          <w:color w:val="auto"/>
        </w:rPr>
        <w:t>UNSC</w:t>
      </w:r>
      <w:r>
        <w:rPr>
          <w:rFonts w:ascii="Times New Roman" w:cs="Times New Roman" w:eastAsia="Times New Roman" w:hAnsi="Times New Roman"/>
          <w:sz w:val="18"/>
          <w:szCs w:val="18"/>
          <w:color w:val="auto"/>
        </w:rPr>
        <w:t>”),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of Sanctions (including, without limitation, the so-called Donetsk People’s Republic, the so-called Luhansk People’s Republic, or any other Covered Region of Ukraine identified pursuant to Executive Order 14065, Crimea, Cuba, Iran, North Korea and Syria); and the Company will not directly or indirectly use the proceeds of the sale of the Shares,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agent, manager, underwriter, advisor, investor or otherwise) of Sanctions. Since April 24, 2019, the Company and each of its subsidiaries have not knowingly engaged in, are not now knowingly engaged in, and will not engage in, any dealings or transactions with any Person, or in any country or territory, that at the time of the dealing or transaction is or was the subject or target of Sanctions.</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(pp)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(A)(i) Except as would not, individually or in the aggregate, reasonably be expected to have a Material Adverse Effect, there has been no security breach or incident, unauthorized access or disclosure, or other compromise of or relating to any of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or its subsidiaries, and any such data processed or stored by third parties on behalf of the Company and its subsidiaries),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(ii) the Company and its subsidiaries have not been notified of, and have no knowledge of any event or condition that would reasonably be expected to result in, any material security breach or incident, unauthorized access or disclosure or other compromise to their IT Systems and Data; (B) except as would not, individually or in the aggregate,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8" w:name="page19"/>
    <w:bookmarkEnd w:id="18"/>
    <w:p>
      <w:pPr>
        <w:ind w:left="660" w:firstLine="648"/>
        <w:spacing w:after="0" w:line="262" w:lineRule="auto"/>
        <w:rPr>
          <w:sz w:val="20"/>
          <w:szCs w:val="20"/>
          <w:color w:val="auto"/>
        </w:rPr>
      </w:pPr>
      <w:r>
        <w:rPr>
          <w:rFonts w:ascii="Times New Roman" w:cs="Times New Roman" w:eastAsia="Times New Roman" w:hAnsi="Times New Roman"/>
          <w:sz w:val="18"/>
          <w:szCs w:val="18"/>
          <w:color w:val="auto"/>
        </w:rPr>
        <w:t>(qq)            </w:t>
      </w:r>
      <w:r>
        <w:rPr>
          <w:rFonts w:ascii="Times New Roman" w:cs="Times New Roman" w:eastAsia="Times New Roman" w:hAnsi="Times New Roman"/>
          <w:sz w:val="18"/>
          <w:szCs w:val="18"/>
          <w:i w:val="1"/>
          <w:iCs w:val="1"/>
          <w:color w:val="auto"/>
        </w:rPr>
        <w:t>Restrictions on Distributions</w:t>
      </w:r>
      <w:r>
        <w:rPr>
          <w:rFonts w:ascii="Times New Roman" w:cs="Times New Roman" w:eastAsia="Times New Roman" w:hAnsi="Times New Roman"/>
          <w:sz w:val="18"/>
          <w:szCs w:val="18"/>
          <w:color w:val="auto"/>
        </w:rPr>
        <w:t>. Except as described in the Registration Statement and the Prospectus, no subsidiary of the Company is currently prohibited in any material respect, directly or indirectly, from (i) paying any distributions to the Company Parties or</w:t>
      </w:r>
    </w:p>
    <w:p>
      <w:pPr>
        <w:ind w:left="660" w:hanging="4"/>
        <w:spacing w:after="0" w:line="260" w:lineRule="auto"/>
        <w:tabs>
          <w:tab w:leader="none" w:pos="9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making any other distribution on such subsidiary’s equity interests, (B) repaying to the Company any loans or advances to such subsidiary from the Company or (C) transferring any of such subsidiary’s property or assets to the Company or any other subsidiary of the Company.</w:t>
      </w:r>
    </w:p>
    <w:p>
      <w:pPr>
        <w:spacing w:after="0" w:line="179"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(rr)            </w:t>
      </w:r>
      <w:r>
        <w:rPr>
          <w:rFonts w:ascii="Times New Roman" w:cs="Times New Roman" w:eastAsia="Times New Roman" w:hAnsi="Times New Roman"/>
          <w:sz w:val="18"/>
          <w:szCs w:val="18"/>
          <w:i w:val="1"/>
          <w:iCs w:val="1"/>
          <w:color w:val="auto"/>
        </w:rPr>
        <w:t>No Equity Awards</w:t>
      </w:r>
      <w:r>
        <w:rPr>
          <w:rFonts w:ascii="Times New Roman" w:cs="Times New Roman" w:eastAsia="Times New Roman" w:hAnsi="Times New Roman"/>
          <w:sz w:val="18"/>
          <w:szCs w:val="18"/>
          <w:color w:val="auto"/>
        </w:rPr>
        <w:t>. Except for grants disclosed in the Registration Statement and the Prospectus or the Section 16 filings related to the Company pursuant to the Exchange Act, the Company has not granted to any person or entity, a stock option or other equity-based award to purchase or receive equity securities of the Company Parties pursuant to an equity-based compensation plan or otherwise.</w:t>
      </w:r>
    </w:p>
    <w:p>
      <w:pPr>
        <w:spacing w:after="0" w:line="173"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(ss)            </w:t>
      </w:r>
      <w:r>
        <w:rPr>
          <w:rFonts w:ascii="Times New Roman" w:cs="Times New Roman" w:eastAsia="Times New Roman" w:hAnsi="Times New Roman"/>
          <w:sz w:val="18"/>
          <w:szCs w:val="18"/>
          <w:i w:val="1"/>
          <w:iCs w:val="1"/>
          <w:color w:val="auto"/>
        </w:rPr>
        <w:t>No Integration</w:t>
      </w:r>
      <w:r>
        <w:rPr>
          <w:rFonts w:ascii="Times New Roman" w:cs="Times New Roman" w:eastAsia="Times New Roman" w:hAnsi="Times New Roman"/>
          <w:sz w:val="18"/>
          <w:szCs w:val="18"/>
          <w:color w:val="auto"/>
        </w:rPr>
        <w:t>. The Company Parties have not sold or issued any securities that would be integrated with the offering of Shares pursuant to the Act and the rules and regulations promulgated thereunder or the interpretations thereof by the Commission.</w:t>
      </w:r>
    </w:p>
    <w:p>
      <w:pPr>
        <w:spacing w:after="0" w:line="158"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(tt)            </w:t>
      </w:r>
      <w:r>
        <w:rPr>
          <w:rFonts w:ascii="Times New Roman" w:cs="Times New Roman" w:eastAsia="Times New Roman" w:hAnsi="Times New Roman"/>
          <w:sz w:val="18"/>
          <w:szCs w:val="18"/>
          <w:i w:val="1"/>
          <w:iCs w:val="1"/>
          <w:color w:val="auto"/>
        </w:rPr>
        <w:t>Lending Relationship.</w:t>
      </w:r>
      <w:r>
        <w:rPr>
          <w:rFonts w:ascii="Times New Roman" w:cs="Times New Roman" w:eastAsia="Times New Roman" w:hAnsi="Times New Roman"/>
          <w:sz w:val="18"/>
          <w:szCs w:val="18"/>
          <w:color w:val="auto"/>
        </w:rPr>
        <w:t xml:space="preserve"> Except as disclosed in the Registration Statement, and the Prospectus, the Company (i) does not have any material lending or other relationship with any bank or lending affiliate of any Manager and (ii) does not intend to use any of the proceeds from the sale of the Shares to repay any outstanding debt owed to any affiliate of any Manager.</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of the Company or any of its subsidiaries (including any entity that controls a subsidiary) delivered to the Managers or to counsel for the Managers shall be deemed a representation and warranty by the Company or such other entity, as applicable, to each Manager as to the matters covered thereby.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Sale and Delivery of Shares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Sale of Shares by a Manager, as Sales Agent</w:t>
      </w:r>
      <w:r>
        <w:rPr>
          <w:rFonts w:ascii="Times New Roman" w:cs="Times New Roman" w:eastAsia="Times New Roman" w:hAnsi="Times New Roman"/>
          <w:sz w:val="18"/>
          <w:szCs w:val="18"/>
          <w:color w:val="auto"/>
        </w:rPr>
        <w:t>. Subject to the terms and conditions and in reliance upon the representations and warranties herein set forth, the Company and the Managers agree that the Company may seek to issue and sell Shares from time to time through the Managers, acting as sales agents, and each Manager agrees to use its commercially reasonable efforts to sell, as sales agent for the Company, the Shares with respect to which such Manager has agreed to act as sales agent on the following terms.</w:t>
      </w:r>
    </w:p>
    <w:p>
      <w:pPr>
        <w:spacing w:after="0" w:line="182"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(i)            The Company may submit its orders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through any of the individuals listed as “Authorized Representatives”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the same may be amended or supplemented by the Company in its sole discretion upon advance written notice to the Managers, to such Manager by electronic mail using a form substantially similar to that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by telephone (including any price, time or size limits or other customary parameters or conditions) to sell Shares on any Trading Day (as defined below) for the NYSE (other than a day on which the NYSE is scheduled to close prior to its regular weekday closing time), which order shall be confirmed by such Manager promptly (and accepted by the Company) by electronic mail using a form substantially similar to that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make such sales; provided that the Company has satisfied its obligations under Section 6 of this Agreement. The Company will designate (i) the maximum amount of Shares to be sold by such Manager daily as agreed to by such Manager (in any event not in excess of the amount available for issuance under the Prospectus and the currently effective Registration Statement), (ii) the minimum price per Share at which such Shares may be sold, (iii) dates on which the Shares may be sold and (iv) the compensation payable to such Manager for such sales pursuant to Section 3(a)(v), which compensation shall have been discussed and agreed to by the Company and such Manager. For the avoidance of doubt, the Company shall submit instructions to sell Shares to only one Manager, if any, on any single Trading Day. For the purposes hereof, “Trading Day” means any day on which the Shares are purchased and sold on the NYSE or such other principal market on which the Class C Common Stock is listed or quoted.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9" w:name="page20"/>
    <w:bookmarkEnd w:id="19"/>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(ii)            Subject to the terms and conditions hereof, such Manager shall use its commercially reasonable efforts, consistent with its normal trading and sales practices, to sell on a particular day all of the Shares designated for sale by the Company on such day. The Company acknowledges and agrees that (A) there can be no assurance that the Managers will be successful in selling the Shares, (B) no Manager will incur any liability or obligation to the Company or any other person or entity if such Manager does not sell Shares for any reason other than a failure by such Manager to use its commercially reasonable efforts consistent with its normal trading and sales practices to sell such Shares as required under this Agreement, (C) no Manager shall be under any obligation to purchase Shares on a principal basis pursuant to this Agreement and (D) no Manager shall have an obligation to offer or sell any Shares in the event an offer or sale of the Shares on behalf of the Company may, in the judgment of such Manager, constitute the sale of a “block” under Rule 10b-18(a)</w:t>
      </w:r>
    </w:p>
    <w:p>
      <w:pPr>
        <w:spacing w:after="0" w:line="1" w:lineRule="exact"/>
        <w:rPr>
          <w:sz w:val="20"/>
          <w:szCs w:val="20"/>
          <w:color w:val="auto"/>
        </w:rPr>
      </w:pPr>
    </w:p>
    <w:p>
      <w:pPr>
        <w:jc w:val="both"/>
        <w:ind w:left="180" w:firstLine="4"/>
        <w:spacing w:after="0" w:line="255" w:lineRule="auto"/>
        <w:tabs>
          <w:tab w:leader="none" w:pos="4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Exchange Act or a “distribution” within the meaning of Rule 100 of Regulation M under the Exchange Act, or such Manager reasonably believes it may be deemed an “underwriter” under the Act in a transaction that is other than by means set forth under Section 3(a)(iv) hereof.</w:t>
      </w:r>
    </w:p>
    <w:p>
      <w:pPr>
        <w:spacing w:after="0" w:line="186"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(iii)            The Company shall not authorize the issuance and sale of, and the relevant Manager shall not be obligated to use its commercially reasonable efforts to sell, any Shares at a price lower than the minimum price therefor designated from time to time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xml:space="preserve">”), a duly authorized committee thereof, or any individual to whom such authority has been duly and properly delegated by the Board or a duly authorized committee thereof, and notified to such Manager in writing. The Company or any Manager may, upon notice to the other party hereto by electronic mail or telephone (and in the case of telephone, confirmed promptly by electronic mail), suspend or terminate the offering of the Shares with respect to which such Manager is acting as sales agent for any reason and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0" w:name="page21"/>
    <w:bookmarkEnd w:id="20"/>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(iv)            Each Manager hereby covenants and agrees not to make any sales of the Shares on behalf of the Company pursuant to this Section 3(a), other than (A)(1) by means of ordinary brokers’ transactions between members of the NYSE, any other national securities exchange or facility thereof, a trading facility of a national securities association, or an alternative trading system that qualify for delivery of a Prospectus to the NYSE in accordance with Rule 153 under the Act, (2) to or through a market maker or (3) directly on or through an electronic communication network, a “dark pool” or any similar market venue and (B) such other sales of the Shares on behalf of the Company in its capacity as agent of the Company as shall be permitted by law.</w:t>
      </w:r>
    </w:p>
    <w:p>
      <w:pPr>
        <w:spacing w:after="0" w:line="187" w:lineRule="exact"/>
        <w:rPr>
          <w:sz w:val="20"/>
          <w:szCs w:val="20"/>
          <w:color w:val="auto"/>
        </w:rPr>
      </w:pPr>
    </w:p>
    <w:p>
      <w:pPr>
        <w:jc w:val="both"/>
        <w:ind w:left="180" w:firstLine="648"/>
        <w:spacing w:after="0" w:line="254" w:lineRule="auto"/>
        <w:rPr>
          <w:sz w:val="20"/>
          <w:szCs w:val="20"/>
          <w:color w:val="auto"/>
        </w:rPr>
      </w:pPr>
      <w:r>
        <w:rPr>
          <w:rFonts w:ascii="Times New Roman" w:cs="Times New Roman" w:eastAsia="Times New Roman" w:hAnsi="Times New Roman"/>
          <w:sz w:val="18"/>
          <w:szCs w:val="18"/>
          <w:color w:val="auto"/>
        </w:rPr>
        <w:t>(v)            The compensation to each Manager for sales of the Shares with respect to which such Manager acts as sales agent under this Agreement shall not exceed 1.5% of the gross sales price of the Shares sold pursuant to this Section 3(a), as mutually agreed to in writing by the Company and such Manager, and payable as described in the succeeding subsection (vi) below. The gross proceeds less such Manager’s commission shall constitute the net proceeds to the Company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for such Shares. Payment of the Net Proceeds after further deduction for any transaction fees imposed by any governmental or self-regulatory organization in respect of such sales (the “</w:t>
      </w: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 for Shares sold by the Company on any Settlement Date shall be made to the Company by federal funds wire transfer to the account of the Company against delivery of such Shares to such Manager’s account, or an account of such Manager’s designee, at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180" w:firstLine="648"/>
        <w:spacing w:after="0" w:line="256" w:lineRule="auto"/>
        <w:rPr>
          <w:sz w:val="20"/>
          <w:szCs w:val="20"/>
          <w:color w:val="auto"/>
        </w:rPr>
      </w:pPr>
      <w:r>
        <w:rPr>
          <w:rFonts w:ascii="Times New Roman" w:cs="Times New Roman" w:eastAsia="Times New Roman" w:hAnsi="Times New Roman"/>
          <w:sz w:val="18"/>
          <w:szCs w:val="18"/>
          <w:color w:val="auto"/>
        </w:rPr>
        <w:t>(vi)            The Manager acting as sales agent hereunder shall provide written confirmation (which may be by facsimile or electronic mail) to the Company following the close of trading on the NYSE each day on which Shares with respect to which such Manager is acting as sales agent are sold under this Section 3(a) setting forth the number of Shares sold on such day, the aggregate gross sales proceeds from such sales, the Net Proceeds to the Company and the compensation payable by the Company to such Manager with respect to such sales. Such compensation shall be set forth and invoiced in periodic statements from such Manager to the Company, with payment to be made by the Company promptly after its receipt thereof.</w:t>
      </w:r>
    </w:p>
    <w:p>
      <w:pPr>
        <w:spacing w:after="0" w:line="187" w:lineRule="exact"/>
        <w:rPr>
          <w:sz w:val="20"/>
          <w:szCs w:val="20"/>
          <w:color w:val="auto"/>
        </w:rPr>
      </w:pPr>
    </w:p>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(vii)            Settlement for sales of the Shares pursuant to this Section 3(a) will generally occur on the first Trading Day following the date on which such sales are made, unless another date shall be agreed to in writing by the Company and the applicable Manager (each such day,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On each Settlement Date, the Shares sold through a Manager for settlement on such date shall be issued and delivered by the Company to such Manager against payment of the Net Proceeds less any Transaction Fees for the sale of such Shares. Settlement for all such Shares shall be effected by free delivery of the Shares to such Manager’s account, or an account of such Manager’s designee, at DTC in return for payments in same day funds delivered to the account designated by the Company. If the Company or its transfer agent (if applicable) shall default on its obligation to deliver the Shares on any Settlement Date, the Company shall (A) indemnify and hold such Manager harmless against any loss, claim or damage (including reasonable legal fees and expenses) arising from or as a result of such default by the Company and (B) pay such Manager any commission to which it would otherwise be entitled absent such default. If a Manager acting as sales agent hereunder breaches this Agreement by failing to deliver the Net Proceeds less any Transaction Fees to the Company on any Settlement Date for the Shares delivered by the Company to such Manager, such Manager will pay the Company interest based on the effective overnight federal funds rate on such unpaid amount less any compensation due to such Manager.</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 w:name="page22"/>
    <w:bookmarkEnd w:id="21"/>
    <w:p>
      <w:pPr>
        <w:jc w:val="both"/>
        <w:ind w:left="640" w:firstLine="648"/>
        <w:spacing w:after="0" w:line="254" w:lineRule="auto"/>
        <w:rPr>
          <w:sz w:val="20"/>
          <w:szCs w:val="20"/>
          <w:color w:val="auto"/>
        </w:rPr>
      </w:pPr>
      <w:r>
        <w:rPr>
          <w:rFonts w:ascii="Times New Roman" w:cs="Times New Roman" w:eastAsia="Times New Roman" w:hAnsi="Times New Roman"/>
          <w:sz w:val="18"/>
          <w:szCs w:val="18"/>
          <w:color w:val="auto"/>
        </w:rPr>
        <w:t>(viii)            At each Applicable Time, each Settlement Date and each Representation Date, the Company shall be deemed to have affirmed each representation and warranty contained in this Agreement as if such representation and warranty were made as of such date, but modified as necessary to conform to, and incorporate the disclosures and information contained in, the Registration Statement, the Prospectus and the documents incorporated by reference therein, in each case as amended or supplemented as of such date. Any obligation of a Manager to use its commercially reasonable efforts to sell the Shares on behalf of the Company shall be subject to the continuing accuracy of the representations and warranties of the Company herein (as modified in the manner described above), to the performance by the Company of its obligations hereunder and to the continuing satisfaction of the additional conditions specified in Section 6 of this Agreement.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Limitations on Number and Amount of Shares Sold.</w:t>
      </w:r>
      <w:r>
        <w:rPr>
          <w:rFonts w:ascii="Times New Roman" w:cs="Times New Roman" w:eastAsia="Times New Roman" w:hAnsi="Times New Roman"/>
          <w:sz w:val="18"/>
          <w:szCs w:val="18"/>
          <w:color w:val="auto"/>
        </w:rPr>
        <w:t xml:space="preserve"> Under no circumstances shall the number and aggregate amount of Shares sold pursuant to this Agreement exceed (i) $100,000,000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(ii) the number of shares of Class C Common Stock available for issuance under the currently effective Registration Statement or (iii) the number and aggregate amount of Shares authorized from time to time to be issued and sold under this Agreement by the Board, or a duly authorized committee or authorized individual thereof, and notified to such Manager in writing. Under no circumstances shall the price of the Shares sold pursuant to this Agreement be lower than the minimum price authorized from time to time to be issued and sold under this Agreement by the Board, or a duly authorized committee or authorized individual thereof, and notified to such Manager in writing.</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Regulation M Exemption.</w:t>
      </w:r>
      <w:r>
        <w:rPr>
          <w:rFonts w:ascii="Times New Roman" w:cs="Times New Roman" w:eastAsia="Times New Roman" w:hAnsi="Times New Roman"/>
          <w:sz w:val="18"/>
          <w:szCs w:val="18"/>
          <w:color w:val="auto"/>
        </w:rPr>
        <w:t xml:space="preserve"> If any party hereto has reason to believe that the exemptive provisions set forth in Rule 101(c)(1) of Regulation M under the Exchange Act are not satisfied with respect to the Shares, it shall promptly notify the other parties and sales of the Shares under this Agreement shall be suspended until that or other exemptive provisions have been satisfied in the judgment of each party.</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Material Non-Public Information</w:t>
      </w:r>
      <w:r>
        <w:rPr>
          <w:rFonts w:ascii="Times New Roman" w:cs="Times New Roman" w:eastAsia="Times New Roman" w:hAnsi="Times New Roman"/>
          <w:sz w:val="18"/>
          <w:szCs w:val="18"/>
          <w:color w:val="auto"/>
        </w:rPr>
        <w:t>. Notwithstanding any other provision of this Agreement, (i) no sales of Shares shall take place, and the Company shall not request the sales of any Shares during any period in which the Company is in possession of material non-public information, and (ii) except as may be mutually agreed upon by the Company and the applicable Manager that is requested to make any such sale, the Company shall not offer, sell or deliver, or request the offer or sale, of any Shares pursuant to this Agreement and, by notice to the Managers given by telephone (confirmed promptly by email), shall cancel any instructions for the offer or sale of any Shares, and the Manager shall not be obligated to offer or sell any Shares at any time from and including the date two weeks prior to the date on which the Company shall issue a press release containing, or shall otherwise publicly announce, its earnings, revenues or other results of operations (an “</w:t>
      </w:r>
      <w:r>
        <w:rPr>
          <w:rFonts w:ascii="Times New Roman" w:cs="Times New Roman" w:eastAsia="Times New Roman" w:hAnsi="Times New Roman"/>
          <w:sz w:val="18"/>
          <w:szCs w:val="18"/>
          <w:u w:val="single" w:color="auto"/>
          <w:color w:val="auto"/>
        </w:rPr>
        <w:t>Earnings Announcement</w:t>
      </w:r>
      <w:r>
        <w:rPr>
          <w:rFonts w:ascii="Times New Roman" w:cs="Times New Roman" w:eastAsia="Times New Roman" w:hAnsi="Times New Roman"/>
          <w:sz w:val="18"/>
          <w:szCs w:val="18"/>
          <w:color w:val="auto"/>
        </w:rPr>
        <w:t>”) through and including the time that is 24 hours after the time that the Company files (a “</w:t>
      </w:r>
      <w:r>
        <w:rPr>
          <w:rFonts w:ascii="Times New Roman" w:cs="Times New Roman" w:eastAsia="Times New Roman" w:hAnsi="Times New Roman"/>
          <w:sz w:val="18"/>
          <w:szCs w:val="18"/>
          <w:u w:val="single" w:color="auto"/>
          <w:color w:val="auto"/>
        </w:rPr>
        <w:t>Filing Time</w:t>
      </w:r>
      <w:r>
        <w:rPr>
          <w:rFonts w:ascii="Times New Roman" w:cs="Times New Roman" w:eastAsia="Times New Roman" w:hAnsi="Times New Roman"/>
          <w:sz w:val="18"/>
          <w:szCs w:val="18"/>
          <w:color w:val="auto"/>
        </w:rPr>
        <w:t>”) a Quarterly Report on Form 10-Q or an Annual Report on Form 10-K that includes consolidated financial statements as of and for the same period or periods, as the case may be, covered by such Earnings Announcement (such period referred to herein as a “</w:t>
      </w:r>
      <w:r>
        <w:rPr>
          <w:rFonts w:ascii="Times New Roman" w:cs="Times New Roman" w:eastAsia="Times New Roman" w:hAnsi="Times New Roman"/>
          <w:sz w:val="18"/>
          <w:szCs w:val="18"/>
          <w:u w:val="single" w:color="auto"/>
          <w:color w:val="auto"/>
        </w:rPr>
        <w:t>Quarterly Blackout Period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Agreements</w:t>
      </w:r>
      <w:r>
        <w:rPr>
          <w:rFonts w:ascii="Times New Roman" w:cs="Times New Roman" w:eastAsia="Times New Roman" w:hAnsi="Times New Roman"/>
          <w:sz w:val="18"/>
          <w:szCs w:val="18"/>
          <w:color w:val="auto"/>
        </w:rPr>
        <w:t>. The Company Parties, jointly and severally, covenant and agree with each Manager that:</w:t>
      </w:r>
    </w:p>
    <w:p>
      <w:pPr>
        <w:spacing w:after="0" w:line="22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Filing of Amendment or Supplement.</w:t>
      </w:r>
      <w:r>
        <w:rPr>
          <w:rFonts w:ascii="Times New Roman" w:cs="Times New Roman" w:eastAsia="Times New Roman" w:hAnsi="Times New Roman"/>
          <w:sz w:val="18"/>
          <w:szCs w:val="18"/>
          <w:color w:val="auto"/>
        </w:rPr>
        <w:t xml:space="preserve"> During any period when the delivery of a prospectus relating to the Shares is required (including in circumstances where such requirement may be satisfied pursuant to Rule 172 or any similar rule) to be delivered under the Act, the Company will not file any (i) amendment to the Registration Statement, or (ii) supplement to the Prospectus (other than any amendment or supplement which does not relate to the sale of the Shares and not including any reports or documents and any preliminary or definitive proxy or information statement required to be filed by the Company with the Commission in order to comply with the Exchange Act), unless the Company has furnished to the Managers a copy for its review prior to filing and will not file any such proposed amendment, supplement or Registration Statement to which any Manager reasonably objects, unless the Company shall have determined based upon the advice of counsel that such amendment, supplement or filing is required by law. The Company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satisfactory to the Managers of such timely filing. The Company will promptly advise each Manager (i) when the Prospectus, and any supplement thereto, shall have been filed (if required) with the Commission pursuant to Rule 424(b), (ii) when, during any period when the delivery of a prospectus (whether physically, deemed to be delivered pursuant to Rule 153 or through compliance with Rule 172 or any similar rule) is required under the Act in connection with the offering or sale of the Shares, any amendment to the Registration Statement shall have been filed or become effective,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Act, (v) of any mandatory or voluntary suspension of sales under the Registration Statement relating to the Company’s eligibility to use Form S-3 and (vi) of the receipt by the Company of any notification with respect to the suspension of the qualification of the Shares for sale in any jurisdiction or the institution or threatening of any proceeding for such purpose. The Company will use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commercially reasonable efforts to have such amendment or new registration statement declared effective as soon as practicable.</w:t>
      </w:r>
    </w:p>
    <w:p>
      <w:pPr>
        <w:spacing w:after="0" w:line="200" w:lineRule="exact"/>
        <w:rPr>
          <w:sz w:val="20"/>
          <w:szCs w:val="20"/>
          <w:color w:val="auto"/>
        </w:rPr>
      </w:pPr>
    </w:p>
    <w:p>
      <w:pPr>
        <w:spacing w:after="0" w:line="2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3" w:name="page24"/>
    <w:bookmarkEnd w:id="23"/>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Notice of Material Changes.</w:t>
      </w:r>
      <w:r>
        <w:rPr>
          <w:rFonts w:ascii="Times New Roman" w:cs="Times New Roman" w:eastAsia="Times New Roman" w:hAnsi="Times New Roman"/>
          <w:sz w:val="18"/>
          <w:szCs w:val="18"/>
          <w:color w:val="auto"/>
        </w:rPr>
        <w:t xml:space="preserve">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each Manager so that any use of the Registration Statement and Prospectus may cease until it is amended or supplemented; (ii) amend or supplement the Registration Statement and Prospectus to correct such statement or omission; and (iii) supply any amendment or supplement to each Manager in such quantities as such Manager may reasonably request.</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Amendment of Registration Statement or Supplement of Prospectus.</w:t>
      </w:r>
      <w:r>
        <w:rPr>
          <w:rFonts w:ascii="Times New Roman" w:cs="Times New Roman" w:eastAsia="Times New Roman" w:hAnsi="Times New Roman"/>
          <w:sz w:val="18"/>
          <w:szCs w:val="18"/>
          <w:color w:val="auto"/>
        </w:rPr>
        <w:t xml:space="preserve"> During any period when the delivery of a prospectus relating to the Shares is required (including in circumstances where such requirement may be satisfied pursuant to Rule 172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each Manager of any such event; (ii) prepare and file with the Commission, subject to the first sentence of Section 4(a), an amendment or supplement or new registration statement which will correct such statement or omission or effect such compliance; (iii) use commercially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Reports to Securityholders</w:t>
      </w:r>
      <w:r>
        <w:rPr>
          <w:rFonts w:ascii="Times New Roman" w:cs="Times New Roman" w:eastAsia="Times New Roman" w:hAnsi="Times New Roman"/>
          <w:sz w:val="18"/>
          <w:szCs w:val="18"/>
          <w:color w:val="auto"/>
        </w:rPr>
        <w:t>. In accordance with Section 11(a) of the Act and Rule 158, the Company will make generally available to its securityholders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w:t>
      </w:r>
    </w:p>
    <w:p>
      <w:pPr>
        <w:spacing w:after="0" w:line="39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4" w:name="page25"/>
    <w:bookmarkEnd w:id="2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Signed Copies of the Registration Statement and Copies of the Prospectus</w:t>
      </w:r>
      <w:r>
        <w:rPr>
          <w:rFonts w:ascii="Times New Roman" w:cs="Times New Roman" w:eastAsia="Times New Roman" w:hAnsi="Times New Roman"/>
          <w:sz w:val="18"/>
          <w:szCs w:val="18"/>
          <w:color w:val="auto"/>
        </w:rPr>
        <w:t>. The Company will furnish to each Manager and counsel for the Managers, upon request and without charge, copies of the executed Registration Statement (including exhibits thereto) and, so long as delivery of a prospectus by such Manager or dealer may be required by the Act (including in circumstances where such requirement may be satisfied pursuant to Rule 172 or any similar rule), as many copies of the Prospectus and any supplement thereto as such Manager may reasonably request. The Company will pay the expenses of printing or other production of all documents relating to the offering.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Qualification of the Shares in Certain Jurisdictions</w:t>
      </w:r>
      <w:r>
        <w:rPr>
          <w:rFonts w:ascii="Times New Roman" w:cs="Times New Roman" w:eastAsia="Times New Roman" w:hAnsi="Times New Roman"/>
          <w:sz w:val="18"/>
          <w:szCs w:val="18"/>
          <w:color w:val="auto"/>
        </w:rPr>
        <w:t xml:space="preserve">. The Company will arrange, if necessary, for the qualification of the Shares for sale under the laws of such jurisdictions as the Managers may designate and will maintain such qualifications in effect so long as required for the distribution of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No Issuer Free Writing Prospectus.</w:t>
      </w:r>
      <w:r>
        <w:rPr>
          <w:rFonts w:ascii="Times New Roman" w:cs="Times New Roman" w:eastAsia="Times New Roman" w:hAnsi="Times New Roman"/>
          <w:sz w:val="18"/>
          <w:szCs w:val="18"/>
          <w:color w:val="auto"/>
        </w:rPr>
        <w:t xml:space="preserve"> Each of the Company and the Managers agree that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Limitations on Sale of Class C Common Stock.</w:t>
      </w:r>
      <w:r>
        <w:rPr>
          <w:rFonts w:ascii="Times New Roman" w:cs="Times New Roman" w:eastAsia="Times New Roman" w:hAnsi="Times New Roman"/>
          <w:sz w:val="18"/>
          <w:szCs w:val="18"/>
          <w:color w:val="auto"/>
        </w:rPr>
        <w:t xml:space="preserve"> If sales of the Shares have been made but not settled, or the Company has had outstanding with the Managers any instructions to sell the Shares, in either case, within the prior three Business Days, the Company will not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(other than a registration statement on Form S-8 or post-effective amendment to the Registration Statement) in respect of, or establish or increase a put equivalent position or liquidate or decrease a call equivalent position within the meaning of Section 16 of the Exchange Act, any other shares of Class C Common Stock or any securities convertible into, or exercisable, or exchangeable for, Class C Common Stock, or publicly announce an intention to effect any such transaction without (i) giving such Manager at least one Business Day’s prior written notice specifying the nature of the proposed transaction and the date of such proposed transaction and (ii) such Manager suspending acting under this Agreement for such period of time requested by the Company or as deemed appropriate by such Manager in light of the proposed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Company may issue and sell Class C Common Stock pursuant to this Agreement, (ii) the Company may issue and sell Class C Common Stock pursuant to any employee benefit plan of the Company, (iii) the Company may issue Class C Common Stock pursuant to any employee stock option plan, stock ownership plan or dividend reinvestment plan of the Company, (iv) the Company may issue Class C Common Stock issuable upon the conversion of securities or the exercise of warrants outstanding at the Execution Time and (v) the Company may issue shares to affiliates as full or partial consideration for any transfer, sale or contribution of assets or equity interests to the Company or any of its subsidiaries.</w:t>
      </w:r>
    </w:p>
    <w:p>
      <w:pPr>
        <w:spacing w:after="0" w:line="200" w:lineRule="exact"/>
        <w:rPr>
          <w:sz w:val="20"/>
          <w:szCs w:val="20"/>
          <w:color w:val="auto"/>
        </w:rPr>
      </w:pPr>
    </w:p>
    <w:p>
      <w:pPr>
        <w:spacing w:after="0" w:line="2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Market Stabilization.</w:t>
      </w:r>
      <w:r>
        <w:rPr>
          <w:rFonts w:ascii="Times New Roman" w:cs="Times New Roman" w:eastAsia="Times New Roman" w:hAnsi="Times New Roman"/>
          <w:sz w:val="18"/>
          <w:szCs w:val="18"/>
          <w:color w:val="auto"/>
        </w:rPr>
        <w:t xml:space="preserve"> The Company will not (i) take, directly or indirectly, any action designed to or that would constitute or that might reasonably be expected to cause or result in, under the Exchange Act or otherwise, stabilization or manipulation of the price of Class C Common Stock to facilitate the sale or resale of the Shares or (ii) sell, bid for, purchase or pay any person (other than as contemplated by this Agreement) any compensation for soliciting purchases of the Shares.</w:t>
      </w:r>
    </w:p>
    <w:p>
      <w:pPr>
        <w:spacing w:after="0" w:line="18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i w:val="1"/>
          <w:iCs w:val="1"/>
          <w:color w:val="auto"/>
        </w:rPr>
        <w:t>Notifications to Managers.</w:t>
      </w:r>
      <w:r>
        <w:rPr>
          <w:rFonts w:ascii="Times New Roman" w:cs="Times New Roman" w:eastAsia="Times New Roman" w:hAnsi="Times New Roman"/>
          <w:sz w:val="18"/>
          <w:szCs w:val="18"/>
          <w:color w:val="auto"/>
        </w:rPr>
        <w:t xml:space="preserve"> The Company will, at any time during the term of this Agreement, as supplemented from time to time, advise the Managers immediately after it shall have received notice or obtained knowledge thereof, of any information or fact that would alter or affect any opinion, certificate, letter and other document provided to the Managers pursuant to Section 6 herein.</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Upon commencement of the offering of the Shares under this Agreement (and upon the recommencement of the offering of the Shares under this Agreement following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any prospectus supplement filed pursuant to Rule 424(b) pursuant to Section 4(a) hereof or a prospectus supplement relating solely to the offering of securities other than the Shares), (ii) the Company shall file an Annual Report on Form 10-K or a Quarterly Report on Form 10-Q, (iii) there is filed with the Commission any document (other than an Annual Report on Form 10-K or a Quarterly Report on Form 10-Q), which contains financial information required under Regulation S-X or financial information filed with the Commission on Form 8-K under Item 9.01 or (iv) otherwise as any Manager may reasonably request (such commencement or recommencement date and each such date referred to in subsection (i), (ii), (iii) and (iv) herein, excluding any date occurring during the suspension of sales hereunder, each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the Company shall furnish or cause to be furnished to any Manager forthwith a certificate within two (2) Trading Days of the Representation Date, in form satisfactory to the Managers to the effect that the statements contained in the certificate referred to in Section 6(e) hereof which were last furnished to the Managers are true and correct as of such Representation Date, as though made at and as of such time (except that such certificate shall state that such statements (including with respect to the representations and warranties contained herein) shall be deemed modified to incorporate the disclosures and information contained in the Registration Statement, the Prospectus and the documents incorporated by reference therein, in each case as amended or supplemented as of such date) or, in lieu of such certificate, a certificate of the same tenor as the certificate referred to in said Section 6(e), modified as described immediately above to the time of delivery of such certificate. Notwithstanding the foregoing, if the Company subsequently decides to sell the Shares following a Representation Date when the Company relied on such waiver and did not provide the Managers with a certificate under this Section 4(k), then before the Company delivers the Placement Notice or the Managers sell any Shares, the Company shall provide the Managers with a certificate under this Section 4(k), dated the date of the Placement Notice.</w:t>
      </w: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6" w:name="page27"/>
    <w:bookmarkEnd w:id="2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i w:val="1"/>
          <w:iCs w:val="1"/>
          <w:color w:val="auto"/>
        </w:rPr>
        <w:t>Opinion and 10b-5 Statement of Company Counsel.</w:t>
      </w:r>
      <w:r>
        <w:rPr>
          <w:rFonts w:ascii="Times New Roman" w:cs="Times New Roman" w:eastAsia="Times New Roman" w:hAnsi="Times New Roman"/>
          <w:sz w:val="18"/>
          <w:szCs w:val="18"/>
          <w:color w:val="auto"/>
        </w:rPr>
        <w:t xml:space="preserve"> Within two (2) Trading Days of each Representation Date, the Company shall furnish or cause to be furnished forthwith to the Managers and to counsel to the Managers a written opinion and 10b-5 Statement of Baker Botts L.L.P., counsel to the Company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dated as of the date that the opinion is delivered, in form and substance satisfactory to the Managers, but modified as necessary to relate to the Registration Statement and the Prospectus as amended and supplemented to the time of delivery of such opinion. Notwithstanding the foregoing, with the consent of the Managers, in lieu of delivering such an opinion and 10b-5 Statement for dates subsequent to the commencement of the offering of the Shares under this Agreement, such Company Counsel may furnish the Managers with a letter, in form and substance satisfactory to the Managers, to the effect that the Managers may rely on a prior opinion and 10b-5 Statement delivered under this Section 4(l) to the same extent as if it were dated the date of such letter (except that statements in such prior opinion shall be deemed to relate to the Registration Statement and the Prospectus as amended or supplemented as of such subsequent date).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i w:val="1"/>
          <w:iCs w:val="1"/>
          <w:color w:val="auto"/>
        </w:rPr>
        <w:t>Opinion of Company Regulatory Counsel.</w:t>
      </w:r>
      <w:r>
        <w:rPr>
          <w:rFonts w:ascii="Times New Roman" w:cs="Times New Roman" w:eastAsia="Times New Roman" w:hAnsi="Times New Roman"/>
          <w:sz w:val="18"/>
          <w:szCs w:val="18"/>
          <w:color w:val="auto"/>
        </w:rPr>
        <w:t xml:space="preserve"> Within two (2) Trading Days of each Representation Date, the Company shall furnish or cause to be furnished forthwith to the Managers and to counsel to the Managers a written opinion of McDermott Will &amp; Emery LLP, counsel to the Company (“</w:t>
      </w:r>
      <w:r>
        <w:rPr>
          <w:rFonts w:ascii="Times New Roman" w:cs="Times New Roman" w:eastAsia="Times New Roman" w:hAnsi="Times New Roman"/>
          <w:sz w:val="18"/>
          <w:szCs w:val="18"/>
          <w:u w:val="single" w:color="auto"/>
          <w:color w:val="auto"/>
        </w:rPr>
        <w:t>Company Regulatory Counsel</w:t>
      </w:r>
      <w:r>
        <w:rPr>
          <w:rFonts w:ascii="Times New Roman" w:cs="Times New Roman" w:eastAsia="Times New Roman" w:hAnsi="Times New Roman"/>
          <w:sz w:val="18"/>
          <w:szCs w:val="18"/>
          <w:color w:val="auto"/>
        </w:rPr>
        <w:t>”), dated as of the date that the opinion is delivered, in form and substance satisfactory to the Managers, but modified as necessary to relate to the Registration Statement and the Prospectus as amended and supplemented to the time of delivery of such opinion. Notwithstanding the foregoing, with the consent of the Managers, in lieu of delivering such an opinion for dates subsequent to the commencement of the offering of the Shares under this Agreement, such Company Regulatory Counsel may furnish the Managers with a letter, in form and substance satisfactory to the Managers, to the effect that the Managers may rely on a prior opinion delivered under this Section 4(m) to the same extent as if it were dated the date of such letter (except that statements in such prior opinion shall be deemed to relate to the Registration Statement and the Prospectus as amended or supplemented as of such subsequent date).</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i w:val="1"/>
          <w:iCs w:val="1"/>
          <w:color w:val="auto"/>
        </w:rPr>
        <w:t>Opinion and 10b-5 Statement of Managers’ Counsel.</w:t>
      </w:r>
      <w:r>
        <w:rPr>
          <w:rFonts w:ascii="Times New Roman" w:cs="Times New Roman" w:eastAsia="Times New Roman" w:hAnsi="Times New Roman"/>
          <w:sz w:val="18"/>
          <w:szCs w:val="18"/>
          <w:color w:val="auto"/>
        </w:rPr>
        <w:t xml:space="preserve"> Within two (2) Trading Days of each Representation Date, Latham &amp; Watkins LLP, counsel to the Managers, shall deliver a written opinion and 10b-5 Statement, dated as of the date that the opinion is delivered, in form and substance satisfactory to the Managers, of the same tenor as the opinion referred to in Section 6(d) of this Agreement but modified as necessary to relate to the Registration Statement and the Prospectus as amended and supplemented to the time of delivery of such opinion. Notwithstanding the foregoing, with the consent of the Managers, in lieu of delivering such an opinion and 10b-5 Statement for dates subsequent to the commencement of the offering of the Shares under this Agreement, Latham &amp; Watkins LLP may furnish the Managers with a letter, in form and substance satisfactory to the Managers, to the effect that the Managers may rely on a prior opinion and 10b-5 Statement delivered under this Section 4(n) to the same extent as if it were dated the date of such letter (except that statements in such prior opinion shall be deemed to relate to the Registration Statement and the Prospectus as amended or supplemented as of such subsequent date).</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7" w:name="page28"/>
    <w:bookmarkEnd w:id="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i w:val="1"/>
          <w:iCs w:val="1"/>
          <w:color w:val="auto"/>
        </w:rPr>
        <w:t>Letters of Independent Accountants</w:t>
      </w:r>
      <w:r>
        <w:rPr>
          <w:rFonts w:ascii="Times New Roman" w:cs="Times New Roman" w:eastAsia="Times New Roman" w:hAnsi="Times New Roman"/>
          <w:sz w:val="18"/>
          <w:szCs w:val="18"/>
          <w:color w:val="auto"/>
        </w:rPr>
        <w:t>. Upon commencement of the offering of the Shares under this Agreement (and upon the recommencement of the offering of the Shares under this Agreement following the termination of a suspension of sales as contemplated herein), and within two (2) Trading Days of each time, excluding any date occurring during the suspension of sales hereunder, that (i) the Registration Statement or the Prospectus shall be amended or supplemented to include additional or amended financial information, (ii) the Company files a Quarterly Report on Form 10-Q or an Annual Report on Form 10-K, or (iii) at any Manager’s request and upon reasonable advance notice to the Company, there is filed with the Commission any document which contains financial information (other than a Quarterly Report on Form 10-Q or an Annual Report on Form 10- K) incorporated by reference into the Prospectus, the Company shall cause Ernst &amp; Young LLP, PricewaterhouseCoopers LLP, or other independent accountants satisfactory to the Managers forthwith, to furnish such Manager(s) with letters, each dated the date that the letter is delivered, in form and substance satisfactory to such Manager(s), to the effect of the letters referred to in Section 6(f) of this Agreement but modified to relate to the Registration Statement and the Prospectus, as amended and supplemented to the date of such letter.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i w:val="1"/>
          <w:iCs w:val="1"/>
          <w:color w:val="auto"/>
        </w:rPr>
        <w:t>Due Diligence.</w:t>
      </w:r>
      <w:r>
        <w:rPr>
          <w:rFonts w:ascii="Times New Roman" w:cs="Times New Roman" w:eastAsia="Times New Roman" w:hAnsi="Times New Roman"/>
          <w:sz w:val="18"/>
          <w:szCs w:val="18"/>
          <w:color w:val="auto"/>
        </w:rPr>
        <w:t xml:space="preserve"> Within two (2) Trading Days of each Representation Date, if requested by the Managers, the Company will conduct a due diligence session, in form and substance satisfactory to the Managers, which shall include representatives of the management and the independent accountants of the Company. Furthermore, in the event that the Company requests the Manager to sell on any one Trading Day an amount of Shares that would be equal to or greater than 15% of the average daily trading volume (calculated based on the most recent three completed Trading Days) of the Company’s common stock, if requested by the Manager, the Company will conduct a due diligence call, in form and substance satisfactory to the Managers, which shall include representatives of the management and the independent accountants of the Company and that the Company shall provide the certificate referred to in Section 4(k) of the Agreement. The Company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officers and the Company’s agents during regular business hours and at the Company’s principal offices, and timely furnishing or causing to be furnished such certificates, letters and opinions from the Company, its officers and its agents, as the Managers may reasonably request.</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8" w:name="page29"/>
    <w:bookmarkEnd w:id="28"/>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i w:val="1"/>
          <w:iCs w:val="1"/>
          <w:color w:val="auto"/>
        </w:rPr>
        <w:t>Managers Trading.</w:t>
      </w:r>
      <w:r>
        <w:rPr>
          <w:rFonts w:ascii="Times New Roman" w:cs="Times New Roman" w:eastAsia="Times New Roman" w:hAnsi="Times New Roman"/>
          <w:sz w:val="18"/>
          <w:szCs w:val="18"/>
          <w:color w:val="auto"/>
        </w:rPr>
        <w:t xml:space="preserve"> The Company consents to the Managers trading in Class C Common Stock for their own accounts and for the account of their clients at the same time as sales of the Shares occur pursuant to this Agreement.</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i w:val="1"/>
          <w:iCs w:val="1"/>
          <w:color w:val="auto"/>
        </w:rPr>
        <w:t>Disclosures in Periodic Reports.</w:t>
      </w:r>
      <w:r>
        <w:rPr>
          <w:rFonts w:ascii="Times New Roman" w:cs="Times New Roman" w:eastAsia="Times New Roman" w:hAnsi="Times New Roman"/>
          <w:sz w:val="18"/>
          <w:szCs w:val="18"/>
          <w:color w:val="auto"/>
        </w:rPr>
        <w:t xml:space="preserve"> The Company will disclose in its Annual Reports on Form 10-K and Quarterly Reports on Form 10-Q, as applicable, the number of Shares sold through the Managers under this Agreement, the Net Proceeds to the Company and the compensation paid by the Company with respect to sales of Shares pursuant to this Agreement during the relevant period.</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i w:val="1"/>
          <w:iCs w:val="1"/>
          <w:color w:val="auto"/>
        </w:rPr>
        <w:t>Failure of Certain Conditions</w:t>
      </w:r>
      <w:r>
        <w:rPr>
          <w:rFonts w:ascii="Times New Roman" w:cs="Times New Roman" w:eastAsia="Times New Roman" w:hAnsi="Times New Roman"/>
          <w:sz w:val="18"/>
          <w:szCs w:val="18"/>
          <w:color w:val="auto"/>
        </w:rPr>
        <w:t>. If, to the knowledge of the Company, the conditions set forth in Section 6 (other than the conditions set forth in Sections 6(b), 6(c), 6(d), 6(f), 6(j) or 6(k)) shall not be true and correct on the applicable Settlement Date, the Company will offer to any person who has agreed to purchase Shares from the Company as the result of an offer to purchase solicited by any Manager the right to refuse to purchase and pay for such Shares.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i w:val="1"/>
          <w:iCs w:val="1"/>
          <w:color w:val="auto"/>
        </w:rPr>
        <w:t>Acceptance of Offer to Purchase</w:t>
      </w:r>
      <w:r>
        <w:rPr>
          <w:rFonts w:ascii="Times New Roman" w:cs="Times New Roman" w:eastAsia="Times New Roman" w:hAnsi="Times New Roman"/>
          <w:sz w:val="18"/>
          <w:szCs w:val="18"/>
          <w:color w:val="auto"/>
        </w:rPr>
        <w:t>. Each acceptance by the Company of an offer to purchase the Shares hereunder shall be deemed to be an affirmation to each Manager that the representations and warranties of the Company contained in or made pursuant to this Agreement are true and correct as of the date of such acceptance as though made at and as of such date, and an undertaking that such representations and warranties will be true and correct as of the Settlement Date for the Shares relating to such acceptance or as of the Applicable Time relating to such sale, as the case may be, as though made at and as of such date (except that such representations and warranties shall be deemed modified to relate to the Registration Statement, the Prospectus and the documents incorporated by reference therein, in each case as amended or supplemented as of such date).</w:t>
      </w:r>
    </w:p>
    <w:p>
      <w:pPr>
        <w:spacing w:after="0" w:line="183"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i w:val="1"/>
          <w:iCs w:val="1"/>
          <w:color w:val="auto"/>
        </w:rPr>
        <w:t>New Shelf Registration Statement</w:t>
      </w:r>
      <w:r>
        <w:rPr>
          <w:rFonts w:ascii="Times New Roman" w:cs="Times New Roman" w:eastAsia="Times New Roman" w:hAnsi="Times New Roman"/>
          <w:sz w:val="18"/>
          <w:szCs w:val="18"/>
          <w:color w:val="auto"/>
        </w:rPr>
        <w:t>. If the third anniversary of the initial effective date of the Registration Statement occurs before all the Shares have been sold, prior to such third anniversary, to file, subject to Section 4(a), a new shelf registration statement and to take any other action necessary to permit the public offering of the Shares to continue without interruption.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The Company will reserve and keep available at all times, free of preemptive rights, Shares for the purpose of enabling the Company to satisfy its obligations hereunder.</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i w:val="1"/>
          <w:iCs w:val="1"/>
          <w:color w:val="auto"/>
        </w:rPr>
        <w:t>NYSE Listing</w:t>
      </w:r>
      <w:r>
        <w:rPr>
          <w:rFonts w:ascii="Times New Roman" w:cs="Times New Roman" w:eastAsia="Times New Roman" w:hAnsi="Times New Roman"/>
          <w:sz w:val="18"/>
          <w:szCs w:val="18"/>
          <w:color w:val="auto"/>
        </w:rPr>
        <w:t>. The Company will use its commercially reasonable efforts to cause the Shares to be listed for trading on the NYSE and to maintain such listing.</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i w:val="1"/>
          <w:iCs w:val="1"/>
          <w:color w:val="auto"/>
        </w:rPr>
        <w:t>Delivery of Prospectus</w:t>
      </w:r>
      <w:r>
        <w:rPr>
          <w:rFonts w:ascii="Times New Roman" w:cs="Times New Roman" w:eastAsia="Times New Roman" w:hAnsi="Times New Roman"/>
          <w:sz w:val="18"/>
          <w:szCs w:val="18"/>
          <w:color w:val="auto"/>
        </w:rPr>
        <w:t>. During any period when the delivery of a prospectus relating to the Shares is required (including in circumstances where such requirement may be satisfied pursuant to Rule 172 or any similar rule) to be delivered under the Act, the Company will file all documents required to be filed with the Commission pursuant to the Exchange Act within the time periods required by the Exchange Act and the regulations thereunder.</w:t>
      </w:r>
    </w:p>
    <w:p>
      <w:pPr>
        <w:spacing w:after="0" w:line="39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29" w:name="page30"/>
    <w:bookmarkEnd w:id="29"/>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xml:space="preserve"> The Company shall cooperate with the Managers and use its reasonable efforts to permit the Shares to be eligible for clearance and settlement through the facilities of DTC.</w:t>
      </w:r>
    </w:p>
    <w:p>
      <w:pPr>
        <w:spacing w:after="0" w:line="158"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xml:space="preserve"> The Company will apply the Net Proceeds from the sale of the Shares in the manner set forth in the Prospectus under the heading “Use of Proceeds.”</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Payment of Expenses</w:t>
      </w:r>
      <w:r>
        <w:rPr>
          <w:rFonts w:ascii="Times New Roman" w:cs="Times New Roman" w:eastAsia="Times New Roman" w:hAnsi="Times New Roman"/>
          <w:sz w:val="18"/>
          <w:szCs w:val="18"/>
          <w:color w:val="auto"/>
        </w:rPr>
        <w:t>. Each of the Company Parties agrees to pay the reasonable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and the Prospectus and any amendment or supplement thereto; (ii) the printing (or reproduction) and delivery (including postage, air freight charges and charges for counting and packaging) of such copies of the Registration Statement and the Prospectus and any amendment or supplement thereto,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and resale of the Shares; (iv) the printing (or reproduction) and delivery of this Agreement, any blue sky memorandum and all other agreements or documents printed (or reproduced) and delivered in connection with the offering of the Shares; (v) the registration of the Shares under the Act and the listing of the Shares on the NYSE; (vi) any registration or qualification of the Shares for offer and sale under the securities or blue sky laws of the several states (including filing fees and the reasonable fees and expenses of counsel for the Managers in an amount not to exceed $15,000 relating to such registration and qualification); (vii) any filings required to be made with FINRA (including filing fees and the reasonable fees and expenses of counsel for the Managers in an amount not to exceed $30,000 relating to such filings); (viii) the fees and expenses of the Company’s accountants and the fees and expenses of counsel (including local and special counsel) for the Company and the reasonable fees and expenses of counsel for the Managers (which shall be one outside counsel for all the Managers unless otherwise agreed by the Company); (ix) the costs and charges of any transfer agent or registrar; and (x) all other costs and expenses incident to the performance by the Company Parties of its respective obligations hereunder; provided, however, that transportation and other expenses incurred by or on behalf of the Managers in connection with presentations to prospective purchasers of the Shares will be paid solely by the Managers. It is understood, however, that except as provided in this Section and Sections 3(a)(v) and 7 hereof, each Manager will pay all of its own out-of-pocket costs and expenses incurred in connection with entering into this Agreement and the transactions contemplated by this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Conditions to the Obligations of the Managers</w:t>
      </w:r>
      <w:r>
        <w:rPr>
          <w:rFonts w:ascii="Times New Roman" w:cs="Times New Roman" w:eastAsia="Times New Roman" w:hAnsi="Times New Roman"/>
          <w:sz w:val="18"/>
          <w:szCs w:val="18"/>
          <w:color w:val="auto"/>
        </w:rPr>
        <w:t>. The obligations of the Managers under this Agreement shall be subject to (i) the accuracy of the representations and warranties on the part of the Company Parties contained herein as of the Execution Time, each Representation Date, and as of each Applicable Time and Settlement Date (as such representations and warranties shall be deemed modified in the manner set forth in Section 3(a)(viii)), (ii) the performance by each of the Company Parties of its respective obligations hereunder, and (iii) the following additional conditions:</w:t>
      </w:r>
    </w:p>
    <w:p>
      <w:pPr>
        <w:spacing w:after="0" w:line="180"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(a)            The Prospectus, and any supplement thereto, required by Rule 424 to be filed with the Commission have been filed in the manner and within the time period required by Rule 424(b) with respect to any sale of Shares; and no stop order suspending the effectiveness of the Registration Statement or any notice objecting to its use shall have been issued and no proceedings for that purpose or pursuant to Section 8A of the Act shall have been instituted or threatened.</w:t>
      </w:r>
    </w:p>
    <w:p>
      <w:pPr>
        <w:spacing w:after="0" w:line="18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(b)            The Company shall have requested and caused Company Counsel, or such other counsel as is acceptable to the Company and the Managers, to furnish to the Managers, within two (2) Trading Days of every Representation Date, their opinions dated as of the date such opinions are delivered, in form and substance satisfactory to the Managers (or with consent of the Managers, in lieu of any such opinion for dates subsequent to the commencement of the offering of the Shares under this Agreement, a letter, in form and substance satisfactory to the Managers, from such counsel to the effect that the Managers may rely on a prior opinion delivered under Section 4(l) to the same extent as if it were dated the date of such letter (except that statements in such prior opinion shall be deemed to relate to the Registration Statement and the Prospectus as amended or supplemented as of such subsequent date)).</w:t>
      </w:r>
    </w:p>
    <w:p>
      <w:pPr>
        <w:spacing w:after="0" w:line="189"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(c)            The Company shall have requested and caused Company Regulatory Counsel, or such other counsel as is acceptable to the Company and the Managers, to furnish to the Managers, within two (2) Trading Days of every Representation Date, their opinions dated as of the date such opinions are delivered, in form and substance satisfactory to the Managers (or with consent of the Managers, in lieu of any such opinion for dates subsequent to the commencement of the offering of the Shares under this Agreement, a letter, in form and substance satisfactory to the Managers, from such counsel to the effect that the Managers may rely on a prior opinion delivered under Section 4(m) to the same extent as if it were dated the date of such letter (except that statements in such prior opinion shall be deemed to relate to the Registration Statement and the Prospectus as amended or supplemented as of such subsequent date)).</w:t>
      </w:r>
    </w:p>
    <w:p>
      <w:pPr>
        <w:spacing w:after="0" w:line="189" w:lineRule="exact"/>
        <w:rPr>
          <w:sz w:val="20"/>
          <w:szCs w:val="20"/>
          <w:color w:val="auto"/>
        </w:rPr>
      </w:pPr>
    </w:p>
    <w:p>
      <w:pPr>
        <w:jc w:val="both"/>
        <w:ind w:left="660" w:firstLine="648"/>
        <w:spacing w:after="0" w:line="273" w:lineRule="auto"/>
        <w:rPr>
          <w:sz w:val="20"/>
          <w:szCs w:val="20"/>
          <w:color w:val="auto"/>
        </w:rPr>
      </w:pPr>
      <w:r>
        <w:rPr>
          <w:rFonts w:ascii="Times New Roman" w:cs="Times New Roman" w:eastAsia="Times New Roman" w:hAnsi="Times New Roman"/>
          <w:sz w:val="17"/>
          <w:szCs w:val="17"/>
          <w:color w:val="auto"/>
        </w:rPr>
        <w:t>(d)            Each Manager shall have received from Latham &amp; Watkins LLP, counsel for the Managers, or such other counsel as is acceptable to the Company and the Managers, within two (2) Trading Days of every Representation Date, its opinion, in form and substance satisfactory to the Managers (or with consent of the Managers, in lieu of any such opinion for dates subsequent to the commencement of the offering of the Shares under this Agreement, a letter, in form and substance satisfactory to the Managers, from such counsel to the effect that the Managers may rely on a prior opinion delivered under Section 4(n) to the same extent as if it were dated the date of such letter (except that statements in such prior opinion shall be deemed to relate to the Registration Statement and the Prospectus as amended or supplemented as of such subsequent date)), and the Company shall have furnished to such counsel such documents as they request for the purpose of enabling them to pass upon such matters.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            The Company shall have furnished to each Manager, within two (2) Trading Days of every Representation Date, a certificate of the Company, signed on behalf of the Company by an executive officer, the Treasurer or the General Counsel of the Company, dated as of the date such certificate is delivered, to the effect that the signer of such certificate has carefully examined the Registration Statement and the Prospectus and any amendment or supplement thereto and this Agreement and that:</w:t>
      </w:r>
    </w:p>
    <w:p>
      <w:pPr>
        <w:spacing w:after="0" w:line="180" w:lineRule="exact"/>
        <w:rPr>
          <w:sz w:val="20"/>
          <w:szCs w:val="20"/>
          <w:color w:val="auto"/>
        </w:rPr>
      </w:pPr>
    </w:p>
    <w:p>
      <w:pPr>
        <w:jc w:val="both"/>
        <w:ind w:left="640" w:firstLine="648"/>
        <w:spacing w:after="0" w:line="258" w:lineRule="auto"/>
        <w:rPr>
          <w:sz w:val="20"/>
          <w:szCs w:val="20"/>
          <w:color w:val="auto"/>
        </w:rPr>
      </w:pPr>
      <w:r>
        <w:rPr>
          <w:rFonts w:ascii="Times New Roman" w:cs="Times New Roman" w:eastAsia="Times New Roman" w:hAnsi="Times New Roman"/>
          <w:sz w:val="18"/>
          <w:szCs w:val="18"/>
          <w:color w:val="auto"/>
        </w:rPr>
        <w:t>(i)            the representations and warranties of the Company Parties in this Agreement that are not qualified by materiality are true and correct in all material respects and that the representations and warranties of the Company Parties in this Agreement that are qualified by materiality are true and correct in all respects, in each case, on and as of such date with the same effect as if made on such date and the Company Parties have complied in all material respects with all the agreements and satisfied in all material respects all the conditions on its part to be performed or satisfied at or prior to such date;</w:t>
      </w:r>
    </w:p>
    <w:p>
      <w:pPr>
        <w:spacing w:after="0" w:line="183" w:lineRule="exact"/>
        <w:rPr>
          <w:sz w:val="20"/>
          <w:szCs w:val="20"/>
          <w:color w:val="auto"/>
        </w:rPr>
      </w:pPr>
    </w:p>
    <w:p>
      <w:pPr>
        <w:jc w:val="both"/>
        <w:ind w:left="640" w:right="20" w:firstLine="648"/>
        <w:spacing w:after="0" w:line="282" w:lineRule="auto"/>
        <w:rPr>
          <w:sz w:val="20"/>
          <w:szCs w:val="20"/>
          <w:color w:val="auto"/>
        </w:rPr>
      </w:pPr>
      <w:r>
        <w:rPr>
          <w:rFonts w:ascii="Times New Roman" w:cs="Times New Roman" w:eastAsia="Times New Roman" w:hAnsi="Times New Roman"/>
          <w:sz w:val="18"/>
          <w:szCs w:val="18"/>
          <w:color w:val="auto"/>
        </w:rPr>
        <w:t>(ii)            no stop order suspending the effectiveness of the Registration Statement or any notice objecting to its use has been issued and no proceedings for that purpose have been instituted or, to the Company Parties’ knowledge, threatened; and</w:t>
      </w:r>
    </w:p>
    <w:p>
      <w:pPr>
        <w:spacing w:after="0" w:line="16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(iii)            since the date of the most recent financial statements included or incorporated by reference in the Prospectus, no event has occurred that had, or which may reasonably be expected to have, a Material Adverse Effect, except as set forth in or contemplated in the Prospectus.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            The Company shall have requested and caused Ernst &amp; Young LLP, PricewaterhouseCoopers LLP or other independent accountants satisfactory to the Managers, to have furnished to the Managers, on every date specified in Section 4(o) hereof, to the extent requested by such Manager(s) in connection with any offering of the Shares, and to the extent requested by such Manager(s) in connection with any updates to financials included or incorporated by reference in the Registration Statement, letters (which may refer to letters previously delivered to such Manager(s)), dated as of such date, in form and substance satisfactory to such Manager(s) containing statements and information of the type ordinarily included in accountants’ “comfort letters” to underwriters with respect to the financial statements and certain financial information contained in, or incorporated by reference in, the Registration Statement and the Prospectus.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            Between the Execution Time and each Applicable Time, there shall not have been (i) any change or decrease specified in the letter or letters referred to in paragraph (f) of this Section 6 or (ii) any change, or any development involving a prospective change, in or affecting the condition (financial or otherwise), earnings, business or properties of the Company Parties and their subsidiaries taken as a whole, whether or not arising from transactions in the ordinary course of business, except as set forth in or contemplated in the Prospectus (exclusive of any amendment or supplement thereto) the effect of which, in any case referred to in clause (ii) above, is, in the sole judgment of the Manager, so material and adverse as to make it impractical or inadvisable to proceed with the offering or delivery of the Shares as contemplated by the Registration Statement (exclusive of any amendment thereof) and the Prospectus (exclusive of any amendment or supplement thereto).</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2" w:name="page33"/>
    <w:bookmarkEnd w:id="32"/>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(h)            FINRA shall not have raised any objection with respect to the fairness and reasonableness of the terms and arrangements under this Agreement.</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            The Shares shall have been listed and admitted and authorized for trading on the NYSE, and satisfactory evidence of such actions shall have been provided to the Managers.</w:t>
      </w:r>
    </w:p>
    <w:p>
      <w:pPr>
        <w:spacing w:after="0" w:line="162"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(j)            The Company shall have furnished to the Managers within two (2) Trading Days of each Representation Date such further information, certificates and documents as such Manager(s) may reasonably request.</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(k)            The requirements (i) to provide opinions and letters of counsel, the officer’s certificate and accountants’ letter specified in Sections 4(k), 4(l), 4(m), 4(n), 4(o), 4(p), 6(b), 6(c), 6(d), 6(e) and 6(f) and (ii) to furnish information, certificates or documents as any Manager may reasonably request in Section 6(j), shall be deemed waived for any Representation Date occurring at a time at which no instruction by the Company to any Manager to sell Class C Common Stock under this Agreement is in effect, which waiver shall continue until the earlier to occur of the date the Company delivers an instruction to any Manager to sell Class C Common Stock pursuant to Section 3(a) hereof (which for such calendar quarter shall be considered a Representation Date) and the next occurring Representation Date for which no such waiver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may elect, in its sole discretion, to provide a certificate under Section 4(k) and thereby satisfy its obligations hereunder, notwithstanding the fact that no instruction by the Company to any Manager to sell Class C Common Stock under this Agreement is in effect. Notwithstanding the foregoing, if the Company subsequently decides to sell the Shares following a Representation Date when the Company relied on such waiver and did not provide the Managers with the requirements as discussed in this Section 6(k), then before the Company delivers the Placement Notice or the Managers sell any Shares, the Company shall provide the Managers each of the deliverables and, dated the date of the Placement Notice.</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any Manager and counsel for the Managers, this Agreement, as it relates to such Manager, and all obligations of such Manager hereunder may be canceled at, or at any time prior to, any Settlement Date or Applicable Time, as applicable, by such Manager. Notice of such cancellation shall be given to the Company in writing or by telephone or facsimile confirmed in writing. Notwithstanding any other provision of this Agreement, the Company shall not offer, sell or deliver, or request the offer or sale, of any Shares pursuant to this Agreement following any Representation Date until the Company has provided the Managers with the opinions and letters of counsel, the officers’ certificate and accountants’ letter specified in Sections 6(b), (c), (d), (e) and (f), hereof and afforded the Managers the opportunity to conduct a due diligence review in accordance with Section 6(j) hereof.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documents required to be delivered by this Section 6 shall be delivered at the office of Latham &amp; Watkins LLP, counsel for the Managers, at 1271 Avenue of the Americas, New York, New York 10020, or electronically if agreed to by the parties, on each such date as provided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The Company Parties agree, jointly and severally, to indemnify and hold harmless the Managers, the directors, officers, employees, affiliates and agents of the Managers and each person who controls any Manager within the meaning of either the Act or the Exchange Act against any and all losses, claims, damages, expenses or liabilities, joint or several, to which they or any of them may become subject under the Act, the Exchange Act or other federal or state statutory law or regulation, at common law or otherwise, insofar as such losses, claims, damages, expenses or liabilities (or actions in respect thereof) arise out of or are based upon any untrue statement or alleged untrue statement of a material fact contained in the Registration Statement, the Base Prospectus, the Prospectus Supplement, the Prospectus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preparing for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Parties will not be liable in any such case to the extent that any such loss, claim, damage, expense or liability arises out of or is based upon any such untrue statement or alleged untrue statement or omission or alleged omission made therein in reliance upon and in conformity with written information furnished to the Company Parties by or on behalf of the Managers specifically for inclusion therein, it being understood and agreed that the only such information furnished by or on behalf of the Managers consists of the information described as such in paragraph (b) below. This indemnity agreement will be in addition to any liability which the Company Parties may otherwise have.</w:t>
      </w:r>
    </w:p>
    <w:p>
      <w:pPr>
        <w:spacing w:after="0" w:line="19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(b)            The Managers, severally and not jointly, agree to indemnify and hold harmless the Company Parties, each of the Company Parties’ directors and officers who sign the Registration Statement, and each person who controls the Company Parties within the meaning of either the Act or the Exchange Act, to the same extent as the foregoing indemnity from the Company Parties to each Manager, but only with reference to written information relating to a Manager furnished to the Company Parties by or on behalf of such Manager specifically for inclusion in the documents referred to in the foregoing indemnity, which information consists only of the name of the Managers. This indemnity agreement will be in addition to any liability which any Manager may otherwise have.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(c)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(ii) be liable for any settlement of such action without its written consent, except as otherwise permitted in the following sentence.</w:t>
      </w:r>
    </w:p>
    <w:p>
      <w:pPr>
        <w:spacing w:after="0" w:line="200" w:lineRule="exact"/>
        <w:rPr>
          <w:sz w:val="20"/>
          <w:szCs w:val="20"/>
          <w:color w:val="auto"/>
        </w:rPr>
      </w:pPr>
    </w:p>
    <w:p>
      <w:pPr>
        <w:spacing w:after="0" w:line="2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5" w:name="page36"/>
    <w:bookmarkEnd w:id="3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(d)            In the event that the indemnity provided in paragraph (a) or (b) of this Section 7 is unavailable to or insufficient to hold harmless an indemnified party for any reason, the Company Parties and each Manager agree to contribute to the aggregate losses, claims, damages and 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the Company Parties and the Managers may be subject in such proportion as is appropriate to reflect the relative fault of the Company Parties, on the one hand, and of the Managers, on the other, in connection with the statements or omissions which resulted in such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the Managers be responsible for any amount in excess of the compensation to such Manager for sales of the Shares hereunder. For the avoidance of doubt, the obligation of each Manager to contribute pursuant to this Section 7(d) shall be several and not joint. If the allocation provided by the immediately preceding sentence is unavailable for any reason, the Company Parties and the Managers severally shall contribute in such relative proportions as is appropriate to reflect not only such relative fault but also the relative benefits received by the Company Parties, on the one hand, and by any Manager, on the other, in connection with the offering of the Shares as well as any other relevant equitable considerations. Benefits received by the Company Parties shall be deemed to be equal to the total net proceeds from the offering of the Shares purchased under this Agreement (before deducting expenses) received by the Company Parties, as determined by this Agreement, and benefits received by the Managers shall be deemed to be equal to the total compensation received by such Managers with respect to the Shares purchased under this Agreement, in each case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Parties on the one hand or by or on behalf of the Managers on the other, the intent of the parties and their relative knowledge, access to information and opportunity to correct or prevent such untrue statement or omission. The Company Parties and each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a Manager within the meaning of either the Act or the Exchange Act and each director, officer, employee and agent of a Manager shall have the same rights to contribution as any Manager, and each person who controls the Company Parties within the meaning of either the Act or the Exchange Act, each officer of the Company Parties, who shall have signed the Registration Statement and each director of the Company Parties shall have the same rights to contribution as the Company Parties.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The Company Parties shall have the right, by giving written notice as hereinafter specified, to terminate the provisions of this Agreement, with respect to any or all of the Managers, relating to the solicitation of offers to purchase the Shares in its sole discretion at any time. Any such termination shall be without liability of any party to any other party except that (i) if Shares have been sold through any Manager for the Company, then Section 4(t) shall remain in full force and effect, (ii) with respect to any pending sale, through such Managers for the Company, the obligations of the Company Parties, including in respect of compensation of the Managers, shall remain in full force and effect notwithstanding the termination, and (iii) the provisions of Sections 2, 5, 7, 9, 10, 11, 12, 13, 15 and 16 of this Agreement shall remain in full force and effect notwithstanding such termination.</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36" w:name="page37"/>
    <w:bookmarkEnd w:id="36"/>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(b)            Each Manager shall have the right, by giving written notice as hereinafter specified, to terminate its own obligations under the provisions of this Agreement relating to the solicitation of offers to purchase the Shares in its sole discretion at any time. Any such termination shall have no effect on the obligations of any other Manager under this Agreement and shall be without liability of any party to any other party except that the provisions of Sections 2, 5, 7, 9, 10, 11, 12, 13, 15 and 16 of this Agreement shall remain in full force and effect with respect to such Managers notwithstanding such termination.</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(c)            This Agreement shall remain in full force and effect until the earlier of (i) its termination pursuant to Section 8(a) above or otherwise by mutual agreement of all of the parties, (ii) the termination of the obligations of each Manager pursuant to Section 8(b) above and</w:t>
      </w:r>
    </w:p>
    <w:p>
      <w:pPr>
        <w:jc w:val="both"/>
        <w:ind w:left="660" w:hanging="4"/>
        <w:spacing w:after="0" w:line="255" w:lineRule="auto"/>
        <w:tabs>
          <w:tab w:leader="none" w:pos="9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date that the aggregate gross sales proceeds of the Shares sold pursuant to this Agreement equals the Maximum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termination by mutual agreement or termination pursuant to clause (iii) shall in all cases be deemed to provide that Sections 2, 5, 7 and 9 shall remain in full force and effect. The Company Parties agree to provide prompt written notice of any termination pursuant to clause (iii).</w:t>
      </w:r>
    </w:p>
    <w:p>
      <w:pPr>
        <w:spacing w:after="0" w:line="186"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(d)            Any termination of this Agreement shall be effective on the date specified in such notice of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termination shall not be effective until the close of business on the date of receipt of such notice by any Manager or the Company Parties, as the case may be. If such termination shall occur prior to the Settlement Date or Applicable Time for any sale of the Shares, such sale shall settle in accordance with the provisions of Section 3(a)(vii) of this Agreement.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Representations and Indemnities to Survive</w:t>
      </w:r>
      <w:r>
        <w:rPr>
          <w:rFonts w:ascii="Times New Roman" w:cs="Times New Roman" w:eastAsia="Times New Roman" w:hAnsi="Times New Roman"/>
          <w:sz w:val="18"/>
          <w:szCs w:val="18"/>
          <w:color w:val="auto"/>
        </w:rPr>
        <w:t>. The respective agreements, representations, warranties, indemnities, rights of contribution and other statements of the Company Parties’ officers and of the Managers set forth in or made pursuant to this Agreement will remain in full force and effect, regardless of any investigation made by or on behalf of the Managers or the Company Parties or any of the officers, directors, employees, affiliates, agents or controlling persons referred to in Section 7 hereof, and will survive delivery of and payment for the Shares. The provisions of Section 7 shall survive the termination or cancellation of this Agreement.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communications hereunder will be in writing and effective only on receipt, and, if sent to the Company Parties, shall be directed to them at c/o Clearway Energy, Inc., 300 Carnegie Center, Suite 300, Princeton, New Jersey 08540, attention of General Counsel, with a copy to Baker Botts L.L.P., 2001 Ross Avenue, Suite 900, Dallas, Texas 75201, attention to Preston Bernhisel; or, if sent to each Manager, will be directed 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Attention: ATM Execution Group, email: </w:t>
      </w:r>
      <w:r>
        <w:rPr>
          <w:rFonts w:ascii="Times New Roman" w:cs="Times New Roman" w:eastAsia="Times New Roman" w:hAnsi="Times New Roman"/>
          <w:sz w:val="18"/>
          <w:szCs w:val="18"/>
          <w:u w:val="single" w:color="auto"/>
          <w:color w:val="auto"/>
        </w:rPr>
        <w:t>dg.atm_execution@bofa.com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500 West 33rd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Equity Syndicate Department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no: (212) 214-5918</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 directors, employees, agents and controlling persons referred to in Section 7 hereof, and no other person will have any right or obligation hereunder.</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No Fiduciary Duty</w:t>
      </w:r>
      <w:r>
        <w:rPr>
          <w:rFonts w:ascii="Times New Roman" w:cs="Times New Roman" w:eastAsia="Times New Roman" w:hAnsi="Times New Roman"/>
          <w:sz w:val="18"/>
          <w:szCs w:val="18"/>
          <w:color w:val="auto"/>
        </w:rPr>
        <w:t>. The Company Parties hereby acknowledge that (a) the purchase and sale of the Shares pursuant to this Agreement is an arm’s-length commercial transaction between the Company Parties, on the one hand, and the Managers and any affiliates through which it may be acting, on the other, (b) the Managers are acting solely as sales agents in connection with the purchase and sale of the Shares and not as fiduciaries of the Company Parties, (c) the Company’s engagement of the Managers in connection with the offering and the process leading up to the offering is as independent contractors and not in any other capacity and (d) none of the activities of the Managers in connection with the transactions contemplated herein constitutes a recommendation, investment advice, or solicitation of any action by the Managers with respect to any entity or natural person. Furthermore, the Company Parties agree that they are solely responsible for making their own judgments in connection with the offering (irrespective of whether the Managers have advised or are currently advising the Company Parties on related or other matters). The Company Parties agree that they will not claim that the Managers have rendered advisory services of any nature or respect, or owe an agency, fiduciary or similar duty to the Company Parties, in connection with the transactions contemplated by this Agreement or the process leading thereto.</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Research Analyst Independence</w:t>
      </w:r>
      <w:r>
        <w:rPr>
          <w:rFonts w:ascii="Times New Roman" w:cs="Times New Roman" w:eastAsia="Times New Roman" w:hAnsi="Times New Roman"/>
          <w:sz w:val="18"/>
          <w:szCs w:val="18"/>
          <w:color w:val="auto"/>
        </w:rPr>
        <w:t>. The Company Parties acknowledge that the Managers’ respective research analysts and research departments are required to be independent from their respective investment banking divisions and are subject to certain regulations and internal policies, and that such Managers’ respective research analysts may hold views and make statements or investment recommendations and/or publish research reports with respect to the Company, the value of the Class C Common Stock and/or the offering that differ from the views of their respective investment banking division. The Company Parties hereby waive and release, to the fullest extent permitted by law, any claims that the Company Parties may have against any of the Managers with respect to any conflict of interest that may arise from the fact that the views expressed by its respective independent research analysts and research departments may be different from or inconsistent with the views or advice communicated to the Company Parties by the Managers’ investment banking division. The Company Parties acknowledge that the Managers are full service securities firms and as such from time to time, subject to applicable securities laws, may effect transactions for their own account or the account of their customers and hold long or short positions in debt or equity securities of the companies which may be the subject of the transactions contemplated by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Integration</w:t>
      </w:r>
      <w:r>
        <w:rPr>
          <w:rFonts w:ascii="Times New Roman" w:cs="Times New Roman" w:eastAsia="Times New Roman" w:hAnsi="Times New Roman"/>
          <w:sz w:val="18"/>
          <w:szCs w:val="18"/>
          <w:color w:val="auto"/>
        </w:rPr>
        <w:t>. This Agreement supersedes all prior agreements and understandings (whether written or oral), between the Company Parties and the Managers with respect to the subject matter 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Applicable Law</w:t>
      </w:r>
      <w:r>
        <w:rPr>
          <w:rFonts w:ascii="Times New Roman" w:cs="Times New Roman" w:eastAsia="Times New Roman" w:hAnsi="Times New Roman"/>
          <w:sz w:val="18"/>
          <w:szCs w:val="18"/>
          <w:color w:val="auto"/>
        </w:rPr>
        <w:t>. This Agreement and any claim, counterclaim or dispute of any kind or nature whatsoever arising out of or in any way relating to this Agreement, will be governed by and construed in accordance with the laws of the State of New York applicable to contracts made and to be performed within the State of New York.</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The Company Parties hereby irrevocably waive, to the fullest extent permitted by applicable law, any and all right to trial by jury in any legal proceeding arising out of or relating to this Agreement or the transactions contemplated hereby or thereby.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 together shall constitute one and the same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section headings used in this Agreement are for convenience only and shall not affect the construction hereof or thereof.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Amendments; Waivers</w:t>
      </w:r>
      <w:r>
        <w:rPr>
          <w:rFonts w:ascii="Times New Roman" w:cs="Times New Roman" w:eastAsia="Times New Roman" w:hAnsi="Times New Roman"/>
          <w:sz w:val="18"/>
          <w:szCs w:val="18"/>
          <w:color w:val="auto"/>
        </w:rPr>
        <w:t>. This Agreement may only be amended or modified in writing, signed by all of the parties hereto, and no condition herein (express or implied) may be waived unless waived in writing by each party whom the condition is meant to benefit.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Compliance with USA Patriot Act</w:t>
      </w:r>
      <w:r>
        <w:rPr>
          <w:rFonts w:ascii="Times New Roman" w:cs="Times New Roman" w:eastAsia="Times New Roman" w:hAnsi="Times New Roman"/>
          <w:sz w:val="18"/>
          <w:szCs w:val="18"/>
          <w:color w:val="auto"/>
        </w:rPr>
        <w:t>. In accordance with the requirements of the USA PATRIOT Act, the Managers are required to obtain, verify and record information that identifies their respective clients, including the Company Parties, which information may include the name and address of their respective clients, as well as other information that will allow the Managers to properly identify their respective clients.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Counterparts; Electronic Signatures</w:t>
      </w:r>
      <w:r>
        <w:rPr>
          <w:rFonts w:ascii="Times New Roman" w:cs="Times New Roman" w:eastAsia="Times New Roman" w:hAnsi="Times New Roman"/>
          <w:sz w:val="18"/>
          <w:szCs w:val="18"/>
          <w:color w:val="auto"/>
        </w:rPr>
        <w:t>. This Agreement may be executed in multiple counterparts and when a counterpart has been executed by each party hereto all such counterparts taken together shall constitute one and the same agreement. Delivery of an executed counterpart of a signature page to this Agreement by telecopier, facsimile or other electronic transmission (i.e., a “pdf” or “tif”) shall be effective as delivery of a manually executed counterpart thereof.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Recognition of the U.S. Special Resolution Regimes.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In the event that any Manager that is a Covered Entity (as defined below) becomes subject to a proceeding under a U.S. Special Resolution Regime (as defined below),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As used in this section: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225" w:lineRule="exact"/>
        <w:rPr>
          <w:sz w:val="20"/>
          <w:szCs w:val="20"/>
          <w:color w:val="auto"/>
        </w:rPr>
      </w:pPr>
    </w:p>
    <w:p>
      <w:pPr>
        <w:ind w:left="2660" w:hanging="708"/>
        <w:spacing w:after="0"/>
        <w:tabs>
          <w:tab w:leader="none" w:pos="2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2680" w:hanging="728"/>
        <w:spacing w:after="0"/>
        <w:tabs>
          <w:tab w:leader="none" w:pos="2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sz w:val="20"/>
          <w:szCs w:val="20"/>
          <w:color w:val="auto"/>
        </w:rPr>
      </w:pPr>
    </w:p>
    <w:p>
      <w:pPr>
        <w:ind w:left="660" w:right="960" w:firstLine="644"/>
        <w:spacing w:after="0" w:line="490" w:lineRule="auto"/>
        <w:tabs>
          <w:tab w:leader="none" w:pos="157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 23.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The terms that follow, when used in this Agreement, shall have the meanings indicated.</w:t>
      </w:r>
    </w:p>
    <w:p>
      <w:pPr>
        <w:ind w:left="660" w:right="112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 “</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shall mean, with respect to any Shares, the time of sale of such Shares pursuant to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base prospectus referred to in Section 2(a) above contained in the Registration Statement at the Execution Time.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any post-effective amendment or amendments thereto and any Rule 462(b) Registration Statement became or becomes effective under the Act in accordance with the rules and regulations thereunder.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Time</w:t>
      </w:r>
      <w:r>
        <w:rPr>
          <w:rFonts w:ascii="Times New Roman" w:cs="Times New Roman" w:eastAsia="Times New Roman" w:hAnsi="Times New Roman"/>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shall mean an issuer free writing prospectus, as defined in Rule 433.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Base Prospectus, as supplemented by the Prospectus Supplement.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shall mean the prospectus supplement relating to the Shares that was first filed pursuant to Rule 424(b) at or prior to the Execution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134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153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158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462</w:t>
      </w:r>
      <w:r>
        <w:rPr>
          <w:rFonts w:ascii="Times New Roman" w:cs="Times New Roman" w:eastAsia="Times New Roman" w:hAnsi="Times New Roman"/>
          <w:sz w:val="18"/>
          <w:szCs w:val="18"/>
          <w:color w:val="auto"/>
        </w:rPr>
        <w:t>” refer to such rules under the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shall mean a registration statement and any amendments thereto filed pursuant to Rule 462(b) relating to the offering covered by the registration statement referred to in Section 1(a) hereof.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Parties and the Managers.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Craig Cornelius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Cornelius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Equity Distribution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MORGAN STANLEY &amp; CO. LLC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Mauricio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Mauricio Dominguez</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Ricardo C. Cuenca</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Ricardo C. Cuenca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CITIGROUP GLOBAL MARKETS INC.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Ashwani Khubani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Director/Vice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J.P. MORGAN SECURITIES LLC</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Sanjeet Dewal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Sanjeet Dewal</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Rebecca S. Kotkin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Rebecca S. Kotkin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6"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Equity Distribution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43" w:name="page44"/>
    <w:bookmarkEnd w:id="43"/>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right"/>
        <w:ind w:right="3459"/>
        <w:spacing w:after="0"/>
        <w:rPr>
          <w:sz w:val="20"/>
          <w:szCs w:val="20"/>
          <w:color w:val="auto"/>
        </w:rPr>
      </w:pPr>
      <w:r>
        <w:rPr>
          <w:rFonts w:ascii="Times New Roman" w:cs="Times New Roman" w:eastAsia="Times New Roman" w:hAnsi="Times New Roman"/>
          <w:sz w:val="18"/>
          <w:szCs w:val="18"/>
          <w:b w:val="1"/>
          <w:bCs w:val="1"/>
          <w:u w:val="single" w:color="auto"/>
          <w:color w:val="auto"/>
        </w:rPr>
        <w:t>Authorized Representatives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Cornelius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Rubenstein</w:t>
      </w:r>
    </w:p>
    <w:p>
      <w:pPr>
        <w:spacing w:after="0" w:line="200" w:lineRule="exact"/>
        <w:rPr>
          <w:sz w:val="20"/>
          <w:szCs w:val="20"/>
          <w:color w:val="auto"/>
        </w:rPr>
      </w:pPr>
    </w:p>
    <w:p>
      <w:pPr>
        <w:spacing w:after="0" w:line="24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[Manager Letterhead]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 20[__]</w:t>
      </w:r>
    </w:p>
    <w:p>
      <w:pPr>
        <w:spacing w:after="0" w:line="225" w:lineRule="exact"/>
        <w:rPr>
          <w:sz w:val="20"/>
          <w:szCs w:val="20"/>
          <w:color w:val="auto"/>
        </w:rPr>
      </w:pPr>
    </w:p>
    <w:p>
      <w:pPr>
        <w:ind w:left="600" w:hanging="592"/>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6"/>
          <w:szCs w:val="16"/>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VIA ELECTRONIC MAIL</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 CONFIRMATION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[_______]:</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Confirmation sets forth the terms of the agreement of [Morgan Stanley &amp; Co. LLC/BofA Securities, Inc./Citigroup Global Markets Inc./J.P. Morgan Securities LLC/Wells Fargo Securities, LLC] with Clearway Energy,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relating to the sale of shares of the Company’s common stock, par value $0.01 per share, having an aggregate gross sales price of up to $100,000,000, pursuant to the Equity Distribution Agreement between the Company, Clearway Energy LLC, a Delaware limited liability company (together with the Company, the “</w:t>
      </w:r>
      <w:r>
        <w:rPr>
          <w:rFonts w:ascii="Times New Roman" w:cs="Times New Roman" w:eastAsia="Times New Roman" w:hAnsi="Times New Roman"/>
          <w:sz w:val="18"/>
          <w:szCs w:val="18"/>
          <w:b w:val="1"/>
          <w:bCs w:val="1"/>
          <w:color w:val="auto"/>
        </w:rPr>
        <w:t>Company Parties</w:t>
      </w:r>
      <w:r>
        <w:rPr>
          <w:rFonts w:ascii="Times New Roman" w:cs="Times New Roman" w:eastAsia="Times New Roman" w:hAnsi="Times New Roman"/>
          <w:sz w:val="18"/>
          <w:szCs w:val="18"/>
          <w:color w:val="auto"/>
        </w:rPr>
        <w:t>”), and Morgan Stanley &amp; Co. LLC, BofA Securities, Inc., Citigroup Global Markets Inc., J.P. Morgan Securities LLC and Wells Fargo Securities, LLC (each a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dated August 6, 2025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Unless otherwise defined below, capitalized terms defined in the Agreement shall have the same meanings when used herein.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By countersigning or otherwise indicating in writing the Company Parties’ acceptance of this Confirmation (an “</w:t>
      </w:r>
      <w:r>
        <w:rPr>
          <w:rFonts w:ascii="Times New Roman" w:cs="Times New Roman" w:eastAsia="Times New Roman" w:hAnsi="Times New Roman"/>
          <w:sz w:val="18"/>
          <w:szCs w:val="18"/>
          <w:b w:val="1"/>
          <w:bCs w:val="1"/>
          <w:color w:val="auto"/>
        </w:rPr>
        <w:t>Acceptance</w:t>
      </w:r>
      <w:r>
        <w:rPr>
          <w:rFonts w:ascii="Times New Roman" w:cs="Times New Roman" w:eastAsia="Times New Roman" w:hAnsi="Times New Roman"/>
          <w:sz w:val="18"/>
          <w:szCs w:val="18"/>
          <w:color w:val="auto"/>
        </w:rPr>
        <w:t>”), the Company Parties shall have agreed with the Manager to engage in the following transaction: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[Number of Shares to be sold][Aggregate Gross Price of Shares to be</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1783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Minimum price at which Shares may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1783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Date(s) on which Shares may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17830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Compensation to Manager (if different than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1783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transaction set forth in this Confirmation will not be binding on the Company Parties or the Manager unless and until the Company Parties deliver their Acceptance;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the Company Parties nor the Manager will be bound by the terms of this Confirmation unless the Company Parties delivers their Acceptance by [_] a.m./p.m. (New York time) on [the date hereof [_____], 20[__]].</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if it becomes binding on the parties, shall be subject to all of the representations, warranties, covenants and other terms and conditions of the Agreement, except to the extent amended or modified hereby, all of which are expressly incorporated herein by reference. Each of the representations and warranties set forth in the Agreement shall be deemed to have been made at and as of every Applicable Time, every Settlement Date and every Representation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foregoing conforms to your understanding of our agreement, please so indicate your Acceptance by signing below.</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[MORGAN STANLEY &amp; CO. LLC/BOFA</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SECURITIES, INC./CITIGROUP GLOBAL MARKETS INC./J.P.</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MORGAN SECURITIES LLC/WELLS FARGO SECURITIES, LLC]</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1"/>
          <w:szCs w:val="1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spacing w:after="0" w:line="282" w:lineRule="auto"/>
        <w:rPr>
          <w:sz w:val="20"/>
          <w:szCs w:val="20"/>
          <w:color w:val="auto"/>
        </w:rPr>
      </w:pPr>
      <w:r>
        <w:rPr>
          <w:rFonts w:ascii="Times New Roman" w:cs="Times New Roman" w:eastAsia="Times New Roman" w:hAnsi="Times New Roman"/>
          <w:sz w:val="18"/>
          <w:szCs w:val="18"/>
          <w:color w:val="auto"/>
        </w:rPr>
        <w:t>[Note: The Company Parties’ Acceptance may also be evidenced by a separate written acceptance referencing this Confirmation and delivered in accordance with the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tbl>
      <w:tblPr>
        <w:tblLayout w:type="fixed"/>
        <w:tblInd w:w="620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1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2001 ROSS AVENUE</w:t>
            </w:r>
          </w:p>
        </w:tc>
        <w:tc>
          <w:tcPr>
            <w:tcW w:w="1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AUSTIN</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DALLAS, TEXAS</w:t>
            </w:r>
          </w:p>
        </w:tc>
        <w:tc>
          <w:tcPr>
            <w:tcW w:w="1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BRUSSELS</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PALO ALTO</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75201-2980</w:t>
            </w:r>
          </w:p>
        </w:tc>
        <w:tc>
          <w:tcPr>
            <w:tcW w:w="1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DALLAS</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1920" w:type="dxa"/>
            <w:vAlign w:val="bottom"/>
          </w:tcPr>
          <w:p>
            <w:pPr>
              <w:spacing w:after="0"/>
              <w:rPr>
                <w:sz w:val="18"/>
                <w:szCs w:val="18"/>
                <w:color w:val="auto"/>
              </w:rPr>
            </w:pPr>
          </w:p>
        </w:tc>
        <w:tc>
          <w:tcPr>
            <w:tcW w:w="1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DUBAI</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TEL +1 214.953.6500</w:t>
            </w:r>
          </w:p>
        </w:tc>
        <w:tc>
          <w:tcPr>
            <w:tcW w:w="1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HOUSTON</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FAX +1 214.953.6503</w:t>
            </w:r>
          </w:p>
        </w:tc>
        <w:tc>
          <w:tcPr>
            <w:tcW w:w="1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LONDON</w:t>
            </w:r>
          </w:p>
        </w:tc>
        <w:tc>
          <w:tcPr>
            <w:tcW w:w="1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WASHINGTON</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BakerBotts.com</w:t>
            </w:r>
          </w:p>
        </w:tc>
        <w:tc>
          <w:tcPr>
            <w:tcW w:w="144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2288540" cy="643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88540" cy="643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 08540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acted as counsel for Clearway Energy, Inc., a Delaware corporation (the “Company”), with respect to certain legal matters in connection with the proposed offering and sale from time to time by the Company of shares (the “Shares”) of the Company’s Class C common stock, par value $0.01 per share (the “Class C Common Stock”), pursuant to that certain Equity Distribution Agreement dated August 6, 2025 (the “Distribution Agreement”) by and among the Company, Morgan Stanley &amp; Co. LLC, BofA Securities, Inc., Citigroup Global Markets Inc., J.P. Morgan Securities LLC and Wells Fargo Securities, LLC.</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refer to the registration statement on Form S-3 (Registration Statement No. 333-273804), with respect to the Shares being sold by the Company (the “Registration Statement”), which was filed by the Company with the Securities and Exchange Commission (the “Commission”) under the Securities Act of 1933, as amended (the “Securities Act”), on August 8, 2023 and became effective automatically upon filing. The prospectus supplement relating to the sale of the Shares dated August 6, 2025, which together with the accompanying prospectus dated August 8, 2023 (collectively, the “Prospectus”) filed with the Registration Statement, has been filed pursuant to Rule 424(b) promulgated under the Securities Act.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our capacity as your counsel in connection with the filing referred to above and as a basis for the opinions herein after expressed, we have examined originals, or copies certified or otherwise identified, of (i) the Registration Statement and the Prospectus, (ii) the Amended and Restated Certificate of Incorporation of the Company, (iii) the Fourth Amended and Restated Bylaws of the Company, (iv) corporate records of the Company, including minute books of the Company, as furnished to us by you, (v) certificates of public officials and of representatives of the Company and (vi) statutes and other instruments and documents as we deemed necessary or advisable for the opinions hereafter expressed.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giving the opinions hereinafter expressed, we have relied, to the extent we deemed proper, without independent investigation or verification, upon certificates, statements and other representations of officers and other representatives of the Company and of governmental and public officials with respect to the accuracy and completeness of the material factual matters contained therein or covered thereby, and we have assumed, without independent investigation, that the signatures on all documents examined by us are genuine, that all documents submitted to us as originals are accurate and complete, that all documents submitted to us as copies are true and correct copies of the originals thereof, that such original copies are authentic and complete and that all information submitted to us was accurate and complete.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in connection with this opinion, we have assumed that (i) all Shares will be offered, issued and sold in compliance with applicable federal and state securities laws and in the manner stated in the Prospectus and the Distribution Agreement; and (ii) the certificates, if any, for the Shares will conform to the specimens thereof examined by us and will have been duly countersigned by a transfer agent and duly registered by a registrar of the Class C Common Stock, or, if uncertificated, valid book-entry notations will have been made in the stock register of the Company in accordance with the provisions of the governing documents of the Company. We have also assumed that the consideration to be paid in connection with the issuance and sale of the Shares will be in accordance with the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7" w:name="page48"/>
    <w:bookmarkEnd w:id="47"/>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05890" cy="231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31775"/>
                    </a:xfrm>
                    <a:prstGeom prst="rect">
                      <a:avLst/>
                    </a:prstGeom>
                    <a:noFill/>
                  </pic:spPr>
                </pic:pic>
              </a:graphicData>
            </a:graphic>
          </wp:anchor>
        </w:drawing>
      </w:r>
    </w:p>
    <w:p>
      <w:pPr>
        <w:spacing w:after="0"/>
        <w:tabs>
          <w:tab w:leader="none" w:pos="5480" w:val="left"/>
          <w:tab w:leader="none" w:pos="10120" w:val="left"/>
        </w:tabs>
        <w:rPr>
          <w:sz w:val="20"/>
          <w:szCs w:val="20"/>
          <w:color w:val="auto"/>
        </w:rPr>
      </w:pPr>
      <w:r>
        <w:rPr>
          <w:rFonts w:ascii="Times New Roman" w:cs="Times New Roman" w:eastAsia="Times New Roman" w:hAnsi="Times New Roman"/>
          <w:sz w:val="18"/>
          <w:szCs w:val="18"/>
          <w:color w:val="auto"/>
        </w:rPr>
        <w:t>Clearway Energy, Inc.</w:t>
      </w:r>
      <w:r>
        <w:rPr>
          <w:sz w:val="20"/>
          <w:szCs w:val="20"/>
          <w:color w:val="auto"/>
        </w:rPr>
        <w:tab/>
      </w:r>
      <w:r>
        <w:rPr>
          <w:rFonts w:ascii="Times New Roman" w:cs="Times New Roman" w:eastAsia="Times New Roman" w:hAnsi="Times New Roman"/>
          <w:sz w:val="18"/>
          <w:szCs w:val="18"/>
          <w:color w:val="auto"/>
        </w:rPr>
        <w:t>- 2-</w:t>
      </w:r>
      <w:r>
        <w:rPr>
          <w:sz w:val="20"/>
          <w:szCs w:val="20"/>
          <w:color w:val="auto"/>
        </w:rPr>
        <w:tab/>
      </w:r>
      <w:r>
        <w:rPr>
          <w:rFonts w:ascii="Times New Roman" w:cs="Times New Roman" w:eastAsia="Times New Roman" w:hAnsi="Times New Roman"/>
          <w:sz w:val="17"/>
          <w:szCs w:val="17"/>
          <w:color w:val="auto"/>
        </w:rPr>
        <w:t>August 6, 2025</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basis of the foregoing and subject to the assumptions, limitations and qualifications set forth herein, we are of the opinion that, as of the date hereof, the Shares have been duly authorized by all requisite corporate action on the part of the Company and, following the issuance or sale of the Shares from time to time in accordance with the terms and conditions of the Distribution Agreement, including the receipt of any consideration provided for therein, assuming such consideration is not less than the par value of the Class C Common Stock, such Shares will be validly issued, fully paid and non-assessable.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set forth above are limited in all respects to matters of the Delaware General Corporation Law and applicable reported judicial decisions, rules and regulations interpreting and implementing those laws, and the federal laws of the United States of America, in each case as in effect on the date hereof. We express no opinion as to the effect of the laws of any other jurisdiction.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of counsel with the Commission as Exhibit 5.1 to the Company’s Current Report on Form 8-K filed on the date hereof. We also consent to the reference to our Firm under the heading “Legal Matters” in the Prospectus forming a part of the Registration Statement. In giving this consent, we do not hereby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785745" cy="4800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857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 Announces $100,000,000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At-The-Market (ATM) Equity Offering Program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PRINCETON, N.J.; August 6, 2025 — Clearway Energy, Inc. (NYSE: CWEN, CWEN.A) (the “Company” or “Clearway Energy”), today announced a $100,000,000 At-The-Market (“ATM”) equity offering program and announced that it and Clearway Energy LLC entered into an Equity Distribution Agreement (the “Agreement”) with Morgan Stanley, BofA Securities, Citigroup, J.P. Morgan and Wells Fargo Securities (collectively, the “Agents”). Pursuant to the terms of the Agreement, the Company may offer and sell shares of the Company’s Class C common stock, par value $0.01 per share, from time to time through the Agents, as the Company’s sales agents for the offer and sale of the shares, up to an aggregate sales price of $100,000,000. Sales of the shares, if any, will principally be made by means of ordinary brokers’ transactions on the New York Stock Exchange at market prices or as otherwise permitted by law.</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shares will be issued pursuant to a prospectus supplement, dated August 6, 2025, to the Company’s shelf registration statement on Form S-3 (File No. 333-273804), which became effective upon filing with the Securities and Exchange Commission in the United States on August 8, 2023. Copies of the prospectus supplement may be obtained from: Morgan Stanley &amp; Co. LLC, Attn: Prospectus Department, 180 Varick Street, 2nd Floor, New York, NY 10014; BofA Securities, NC1-022-02-25, 201 North Tryon Street, Charlotte, NC 28255-0001, Attn: Prospectus Department or email: dg.prospectus_requests@bofa.com; Citigroup, c/o Broadridge Financial Solutions, 1155 Long Island Avenue, Edgewood, NY 11717 (Tel: 800-831-9146); J.P. Morgan Securities LLC, c/o Broadridge Financial Solutions, 1155 Long Island Avenue, Edgewood, NY 11717 or by email at prospectus-eq_fi@jpmchase.com and postsalemanualrequests@broadridge.com; and Wells Fargo Securities, LLC, 500 West 33rd Street, New York, New York 10001, Attention: Equity Syndicate Department (fax no: 212-214-5918). You may also obtain these documents free of charge when they are available by visiting EDGAR on the SEC’s website at www.sec.gov.</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use the net proceeds from the sale of the shares for general corporate purposes, which may include the repayment or refinancing of indebtedness and the funding of working capital, capital expenditures, acquisitions and investments, and the Company may invest funds not required immediately for such purposes in marketable securities and short-term investments.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shares that may be issued by the Company under the ATM program have been approved for listing on the New York Stock Exchange. This press release shall not constitute an offer to sell or a solicitation of an offer to buy, nor will there be any sale of these securities in any state or jurisdiction in which such an offer, solicitation or sale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About Clearway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Clearway Energy, Inc. is one of the largest owners of clean energy generation assets in the U.S. Our portfolio comprises approximately 12 GW of gross capacity in 27 states, including approximately 9.2 GW of wind, solar and battery energy storage systems and approximately 2.8 GW of dispatchable combustion-based power generation assets that provide critical grid reliability services. Through this environmentally-sound, diversified and primarily contracted portfolio, Clearway Energy endeavors to provide its investors with stable and growing dividend income. Clearway Energy, Inc.’s Class C and Class A common stock are traded on the New York Stock Exchange under the symbols CWEN and CWEN.A, respectively. Clearway Energy, Inc. is sponsored by its controlling investor, Clearway Energy Group LLC.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“target,” “anticipate,” “forecast,” “plan,” “outlook,” “believe” and similar terms. Such forward-looking statements include, but are not limited to, statements regarding the anticipated consummation of the transactions described above, the anticipated benefits, opportunities and results with respect to such transactions and the Company’s anticipated use of proceeds from the sale of shares under the ATM program.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believes that the expectations are reasonable, it can give no assurance that these expectations will prove to be correct, and actual results may vary materially. Factors that could cause actual results to differ materially from those contemplated above include, among others, risks and uncertainties related to the capital markets generally, whether the Company will offer or sell shares under the ATM program and the anticipated use of proceeds.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Clearway Energy undertakes no obligation to update or revise any forward-looking statements, whether as a result of new information, future events or otherwise, except as required by law. The foregoing review of factors that could cause Clearway Energy’s actual results to differ materially from those contemplated in the forward-looking statements included in this news release should be considered in connection with information regarding risks and uncertainties that may affect Clearway Energy’s future results included in Clearway Energy’s filings, or the filings of Clearway Energy LLC, with the Securities and Exchange Commission at www.sec.gov. In addition, Clearway Energy makes available free of charge at www.clearwayenergy.com, copies of materials it files with, or furnishes to,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Akil Marsh, 609-608-1500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investor.relations@clearwayenergy.com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Zadie Oleksiw, 202-836-5754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media@clearwayenergy.com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04"/>
    </w:lvl>
  </w:abstractNum>
  <w:abstractNum w:abstractNumId="2">
    <w:nsid w:val="79E2A9E3"/>
    <w:multiLevelType w:val="hybridMultilevel"/>
    <w:lvl w:ilvl="0">
      <w:lvlJc w:val="left"/>
      <w:lvlText w:val="(%1)"/>
      <w:numFmt w:val="lowerRoman"/>
      <w:start w:val="4"/>
    </w:lvl>
  </w:abstractNum>
  <w:abstractNum w:abstractNumId="3">
    <w:nsid w:val="7545E146"/>
    <w:multiLevelType w:val="hybridMultilevel"/>
    <w:lvl w:ilvl="0">
      <w:lvlJc w:val="left"/>
      <w:lvlText w:val="(%1)"/>
      <w:numFmt w:val="lowerRoman"/>
      <w:start w:val="3"/>
    </w:lvl>
  </w:abstractNum>
  <w:abstractNum w:abstractNumId="4">
    <w:nsid w:val="515F007C"/>
    <w:multiLevelType w:val="hybridMultilevel"/>
    <w:lvl w:ilvl="0">
      <w:lvlJc w:val="left"/>
      <w:lvlText w:val="(%1)"/>
      <w:numFmt w:val="lowerRoman"/>
      <w:start w:val="2"/>
    </w:lvl>
  </w:abstractNum>
  <w:abstractNum w:abstractNumId="5">
    <w:nsid w:val="5BD062C2"/>
    <w:multiLevelType w:val="hybridMultilevel"/>
    <w:lvl w:ilvl="0">
      <w:lvlJc w:val="left"/>
      <w:lvlText w:val="(%1)"/>
      <w:numFmt w:val="lowerRoman"/>
      <w:start w:val="3"/>
    </w:lvl>
  </w:abstractNum>
  <w:abstractNum w:abstractNumId="6">
    <w:nsid w:val="12200854"/>
    <w:multiLevelType w:val="hybridMultilevel"/>
    <w:lvl w:ilvl="0">
      <w:lvlJc w:val="left"/>
      <w:lvlText w:val="(%1)"/>
      <w:numFmt w:val="lowerRoman"/>
      <w:start w:val="2"/>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lowerRoman"/>
      <w:start w:val="3"/>
    </w:lvl>
  </w:abstractNum>
  <w:abstractNum w:abstractNumId="9">
    <w:nsid w:val="1F16E9E8"/>
    <w:multiLevelType w:val="hybridMultilevel"/>
    <w:lvl w:ilvl="0">
      <w:lvlJc w:val="left"/>
      <w:lvlText w:val="(%1)"/>
      <w:numFmt w:val="lowerRoman"/>
      <w:start w:val="2"/>
    </w:lvl>
  </w:abstractNum>
  <w:abstractNum w:abstractNumId="10">
    <w:nsid w:val="1190CDE7"/>
    <w:multiLevelType w:val="hybridMultilevel"/>
    <w:lvl w:ilvl="0">
      <w:lvlJc w:val="left"/>
      <w:lvlText w:val="(%1)"/>
      <w:numFmt w:val="lowerRoman"/>
      <w:start w:val="2"/>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2025-08-06T06:45:03Z</dcterms:created>
  <dcterms:modified xsi:type="dcterms:W3CDTF">2025-08-06T06:45:03Z</dcterms:modified>
</cp:coreProperties>
</file>