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739" w:hanging="6"/>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31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5,216,469</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3,430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5,247,206</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152,275</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5,399,481</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6.86%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55"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855" w:orient="portrait"/>
          <w:cols w:equalWidth="0" w:num="2">
            <w:col w:w="1380" w:space="320"/>
            <w:col w:w="8519"/>
          </w:cols>
          <w:pgMar w:left="24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55" w:orient="portrait"/>
          <w:cols w:equalWidth="0" w:num="2">
            <w:col w:w="5180" w:space="720"/>
            <w:col w:w="4319"/>
          </w:cols>
          <w:pgMar w:left="24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4,629,981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4,666,478</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142,965</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4,809,443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6.11%</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519"/>
          </w:cols>
          <w:pgMar w:left="24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159"/>
          </w:cols>
          <w:pgMar w:left="240" w:top="136" w:right="1440" w:bottom="0" w:gutter="0" w:footer="0" w:header="0"/>
          <w:type w:val="continuous"/>
        </w:sectPr>
      </w:pPr>
    </w:p>
    <w:p>
      <w:pPr>
        <w:spacing w:after="0" w:line="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4,629,981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4,666,478</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142,965</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4,809,443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6.11%</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519"/>
          </w:cols>
          <w:pgMar w:left="240" w:top="136" w:right="1440" w:bottom="0" w:gutter="0" w:footer="0" w:header="0"/>
          <w:type w:val="continuous"/>
        </w:sectPr>
      </w:pPr>
    </w:p>
    <w:p>
      <w:pPr>
        <w:spacing w:after="0" w:line="24" w:lineRule="exact"/>
        <w:rPr>
          <w:sz w:val="20"/>
          <w:szCs w:val="20"/>
          <w:color w:val="auto"/>
        </w:rPr>
      </w:pPr>
    </w:p>
    <w:p>
      <w:pPr>
        <w:jc w:val="both"/>
        <w:ind w:left="860" w:right="2319" w:hanging="859"/>
        <w:spacing w:after="0" w:line="290" w:lineRule="auto"/>
        <w:tabs>
          <w:tab w:leader="none" w:pos="8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Names of Reporting Persons           Mellon Investments Corporation IRS Identification Nos. of Above Persons          IRS No.25-1442864</w:t>
      </w:r>
    </w:p>
    <w:p>
      <w:pPr>
        <w:sectPr>
          <w:pgSz w:w="11900" w:h="16838" w:orient="portrait"/>
          <w:cols w:equalWidth="0" w:num="1">
            <w:col w:w="10219"/>
          </w:cols>
          <w:pgMar w:left="240" w:top="136" w:right="1440" w:bottom="0" w:gutter="0" w:footer="0" w:header="0"/>
          <w:type w:val="continuous"/>
        </w:sectPr>
      </w:pPr>
    </w:p>
    <w:p>
      <w:pPr>
        <w:spacing w:after="0" w:line="170"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3,408,400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3,444,897</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142,965</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346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3,587,862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34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4.56%</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62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r>
        <w:trPr>
          <w:trHeight w:val="608"/>
        </w:trPr>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rPr>
              <w:t>SCHEDULE 13G</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3460" w:type="dxa"/>
            <w:vAlign w:val="bottom"/>
          </w:tcPr>
          <w:p>
            <w:pPr>
              <w:ind w:left="100"/>
              <w:spacing w:after="0"/>
              <w:rPr>
                <w:sz w:val="20"/>
                <w:szCs w:val="20"/>
                <w:color w:val="auto"/>
              </w:rPr>
            </w:pPr>
            <w:r>
              <w:rPr>
                <w:rFonts w:ascii="Courier New" w:cs="Courier New" w:eastAsia="Courier New" w:hAnsi="Courier New"/>
                <w:sz w:val="18"/>
                <w:szCs w:val="18"/>
                <w:color w:val="auto"/>
              </w:rPr>
              <w:t>Clearway Energy Inc.</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300 Carnegie Center, Suite 300</w:t>
      </w:r>
    </w:p>
    <w:p>
      <w:pPr>
        <w:ind w:left="3580"/>
        <w:spacing w:after="0"/>
        <w:tabs>
          <w:tab w:leader="none" w:pos="600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0"/>
          <w:szCs w:val="20"/>
          <w:color w:val="auto"/>
        </w:rPr>
      </w:pPr>
    </w:p>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2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20"/>
        <w:spacing w:after="0"/>
        <w:rPr>
          <w:sz w:val="20"/>
          <w:szCs w:val="20"/>
          <w:color w:val="auto"/>
        </w:rPr>
      </w:pPr>
      <w:r>
        <w:rPr>
          <w:rFonts w:ascii="Courier New" w:cs="Courier New" w:eastAsia="Courier New" w:hAnsi="Courier New"/>
          <w:sz w:val="18"/>
          <w:szCs w:val="18"/>
          <w:color w:val="auto"/>
        </w:rPr>
        <w:t>identified on the second part of the</w:t>
      </w:r>
    </w:p>
    <w:p>
      <w:pPr>
        <w:ind w:left="402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739"/>
          </w:cols>
          <w:pgMar w:left="240" w:top="339"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3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15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280" w:space="420"/>
            <w:col w:w="8519"/>
          </w:cols>
          <w:pgMar w:left="240" w:top="339" w:right="1440" w:bottom="0" w:gutter="0" w:footer="0" w:header="0"/>
          <w:type w:val="continuous"/>
        </w:sectPr>
      </w:pPr>
    </w:p>
    <w:p>
      <w:pPr>
        <w:spacing w:after="0" w:line="18" w:lineRule="exact"/>
        <w:rPr>
          <w:sz w:val="20"/>
          <w:szCs w:val="20"/>
          <w:color w:val="auto"/>
        </w:rPr>
      </w:pPr>
    </w:p>
    <w:p>
      <w:pPr>
        <w:jc w:val="center"/>
        <w:ind w:right="399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219"/>
          </w:cols>
          <w:pgMar w:left="240" w:top="339"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6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9"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The following information applies if checked: ( ) The Bank of New York Mellon and/or ( ) The Bank of New York Mellon Trust Company, National Association is/are the trustee of the issuer's employee benefit plan (the</w:t>
      </w:r>
    </w:p>
    <w:p>
      <w:pPr>
        <w:spacing w:after="0" w:line="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1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339" w:right="1440" w:bottom="0" w:gutter="0" w:footer="0" w:header="0"/>
          <w:type w:val="continuous"/>
        </w:sectPr>
      </w:pPr>
    </w:p>
    <w:bookmarkStart w:id="3" w:name="page4"/>
    <w:bookmarkEnd w:id="3"/>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Classification of the Subsidiary 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4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10,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IVAN R. ARIAS</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Ivan R. Arias</w:t>
      </w:r>
    </w:p>
    <w:p>
      <w:pPr>
        <w:ind w:left="22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540" w:right="199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w:t>
      </w:r>
    </w:p>
    <w:p>
      <w:pPr>
        <w:spacing w:after="0" w:line="1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42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Investment Corporation; BNY</w:t>
            </w:r>
          </w:p>
        </w:tc>
        <w:tc>
          <w:tcPr>
            <w:tcW w:w="2520" w:type="dxa"/>
            <w:vAlign w:val="bottom"/>
          </w:tcPr>
          <w:p>
            <w:pPr>
              <w:ind w:left="60"/>
              <w:spacing w:after="0"/>
              <w:rPr>
                <w:sz w:val="20"/>
                <w:szCs w:val="20"/>
                <w:color w:val="auto"/>
              </w:rPr>
            </w:pPr>
            <w:r>
              <w:rPr>
                <w:rFonts w:ascii="Courier New" w:cs="Courier New" w:eastAsia="Courier New" w:hAnsi="Courier New"/>
                <w:sz w:val="18"/>
                <w:szCs w:val="18"/>
                <w:color w:val="auto"/>
                <w:w w:val="98"/>
              </w:rPr>
              <w:t>International Financing</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Corporation;</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Bank</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New</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Mellon</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SA/NV)</w:t>
            </w:r>
          </w:p>
        </w:tc>
        <w:tc>
          <w:tcPr>
            <w:tcW w:w="1320" w:type="dxa"/>
            <w:vAlign w:val="bottom"/>
          </w:tcPr>
          <w:p>
            <w:pPr>
              <w:spacing w:after="0"/>
              <w:rPr>
                <w:sz w:val="17"/>
                <w:szCs w:val="17"/>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  The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Bank</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New</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Mellon</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Trust Company, National</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Association</w:t>
            </w:r>
          </w:p>
        </w:tc>
      </w:tr>
    </w:tbl>
    <w:p>
      <w:pPr>
        <w:ind w:left="1060" w:hanging="525"/>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3" w:lineRule="exact"/>
        <w:rPr>
          <w:sz w:val="20"/>
          <w:szCs w:val="20"/>
          <w:color w:val="auto"/>
        </w:rPr>
      </w:pPr>
    </w:p>
    <w:p>
      <w:pPr>
        <w:ind w:left="1060" w:right="2419" w:hanging="525"/>
        <w:spacing w:after="0" w:line="235" w:lineRule="auto"/>
        <w:tabs>
          <w:tab w:leader="none" w:pos="744"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31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 Rule 240.13d-1(b)(1)(ii)(J)"</w:t>
      </w:r>
    </w:p>
    <w:p>
      <w:pPr>
        <w:spacing w:after="0" w:line="207" w:lineRule="exact"/>
        <w:rPr>
          <w:rFonts w:ascii="Courier New" w:cs="Courier New" w:eastAsia="Courier New" w:hAnsi="Courier New"/>
          <w:sz w:val="18"/>
          <w:szCs w:val="18"/>
          <w:color w:val="auto"/>
        </w:rPr>
      </w:pPr>
    </w:p>
    <w:p>
      <w:pPr>
        <w:ind w:left="1060" w:right="2839" w:hanging="525"/>
        <w:spacing w:after="0" w:line="235" w:lineRule="auto"/>
        <w:tabs>
          <w:tab w:leader="none" w:pos="744"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ind w:left="740" w:hanging="205"/>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w:t>
      </w:r>
    </w:p>
    <w:p>
      <w:pPr>
        <w:spacing w:after="0" w:line="4" w:lineRule="exact"/>
        <w:rPr>
          <w:rFonts w:ascii="Courier New" w:cs="Courier New" w:eastAsia="Courier New" w:hAnsi="Courier New"/>
          <w:sz w:val="18"/>
          <w:szCs w:val="18"/>
          <w:color w:val="auto"/>
        </w:rPr>
      </w:pPr>
    </w:p>
    <w:p>
      <w:pPr>
        <w:ind w:left="106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Titulos e Valores Mobiliarios S.A.(parent holding company of BNY Mellon Administracao de Ativos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Administracao de Ativos Ltda.</w:t>
      </w:r>
    </w:p>
    <w:p>
      <w:pPr>
        <w:spacing w:after="0" w:line="5" w:lineRule="exact"/>
        <w:rPr>
          <w:sz w:val="20"/>
          <w:szCs w:val="20"/>
          <w:color w:val="auto"/>
        </w:rPr>
      </w:pPr>
    </w:p>
    <w:p>
      <w:pPr>
        <w:ind w:left="1060" w:right="2319" w:hanging="525"/>
        <w:spacing w:after="0" w:line="235"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 Mellon Securities Corporation)</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Insight Investment Management (Global) Limited</w:t>
      </w:r>
    </w:p>
    <w:p>
      <w:pPr>
        <w:sectPr>
          <w:pgSz w:w="11900" w:h="16838" w:orient="portrait"/>
          <w:cols w:equalWidth="0" w:num="1">
            <w:col w:w="10219"/>
          </w:cols>
          <w:pgMar w:left="240" w:top="339" w:right="1440" w:bottom="0" w:gutter="0" w:footer="0" w:header="0"/>
        </w:sectPr>
      </w:pPr>
    </w:p>
    <w:bookmarkStart w:id="4" w:name="page5"/>
    <w:bookmarkEnd w:id="4"/>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Insight North America LLC</w:t>
      </w:r>
    </w:p>
    <w:p>
      <w:pPr>
        <w:ind w:left="1060" w:hanging="525"/>
        <w:spacing w:after="0" w:line="238"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ind w:left="740" w:hanging="205"/>
        <w:spacing w:after="0" w:line="23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(North America) Limited</w:t>
      </w:r>
    </w:p>
    <w:p>
      <w:pPr>
        <w:ind w:left="740" w:hanging="205"/>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740" w:hanging="205"/>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ind w:left="740" w:hanging="205"/>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Wealth Management, Advisory Services, Inc.</w:t>
      </w:r>
    </w:p>
    <w:p>
      <w:pPr>
        <w:ind w:left="740" w:hanging="205"/>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Company(Cayman) Limited</w:t>
      </w:r>
    </w:p>
    <w:p>
      <w:pPr>
        <w:ind w:left="740" w:hanging="205"/>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Cayman Limited</w:t>
      </w:r>
    </w:p>
    <w:p>
      <w:pPr>
        <w:ind w:left="740" w:hanging="205"/>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International Limited</w:t>
      </w:r>
    </w:p>
    <w:p>
      <w:pPr>
        <w:ind w:left="740" w:hanging="205"/>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Asset Management Japan Limited</w:t>
      </w:r>
    </w:p>
    <w:p>
      <w:pPr>
        <w:spacing w:after="0" w:line="207" w:lineRule="exact"/>
        <w:rPr>
          <w:rFonts w:ascii="Courier New" w:cs="Courier New" w:eastAsia="Courier New" w:hAnsi="Courier New"/>
          <w:sz w:val="18"/>
          <w:szCs w:val="18"/>
          <w:color w:val="auto"/>
        </w:rPr>
      </w:pPr>
    </w:p>
    <w:p>
      <w:pPr>
        <w:ind w:left="540" w:right="2419" w:hanging="532"/>
        <w:spacing w:after="0" w:line="268"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5"/>
        <w:spacing w:after="0"/>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740" w:hanging="205"/>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Securities Corporation</w:t>
      </w:r>
    </w:p>
    <w:p>
      <w:pPr>
        <w:ind w:left="740" w:hanging="205"/>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Pershing LLC</w:t>
      </w:r>
    </w:p>
    <w:p>
      <w:pPr>
        <w:spacing w:after="0" w:line="207"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3" w:lineRule="exact"/>
        <w:rPr>
          <w:sz w:val="20"/>
          <w:szCs w:val="20"/>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31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(as parent holding company of MBC Investments</w:t>
      </w:r>
    </w:p>
    <w:p>
      <w:pPr>
        <w:spacing w:after="0" w:line="207" w:lineRule="exact"/>
        <w:rPr>
          <w:sz w:val="20"/>
          <w:szCs w:val="20"/>
          <w:color w:val="auto"/>
        </w:rPr>
      </w:pPr>
    </w:p>
    <w:p>
      <w:pPr>
        <w:ind w:left="1060" w:right="2319" w:hanging="525"/>
        <w:spacing w:after="0" w:line="290" w:lineRule="auto"/>
        <w:tabs>
          <w:tab w:leader="none" w:pos="10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MBC Investments Corporation (parent holding company of Mellon Investments Corporation; BNY Mellon Investment Management(Jersey)</w:t>
      </w:r>
    </w:p>
    <w:p>
      <w:pPr>
        <w:spacing w:after="0" w:line="200" w:lineRule="exact"/>
        <w:rPr>
          <w:sz w:val="20"/>
          <w:szCs w:val="20"/>
          <w:color w:val="auto"/>
        </w:rPr>
      </w:pPr>
    </w:p>
    <w:p>
      <w:pPr>
        <w:spacing w:after="0" w:line="375" w:lineRule="exact"/>
        <w:rPr>
          <w:sz w:val="20"/>
          <w:szCs w:val="20"/>
          <w:color w:val="auto"/>
        </w:rPr>
      </w:pPr>
    </w:p>
    <w:p>
      <w:pPr>
        <w:ind w:left="1060" w:right="1779" w:hanging="525"/>
        <w:spacing w:after="0" w:line="235" w:lineRule="auto"/>
        <w:tabs>
          <w:tab w:leader="none" w:pos="74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(Jersey) Ltd. (parent holding company of BNY Mellon Investment Management (Europe) Ltd.)</w:t>
      </w:r>
    </w:p>
    <w:p>
      <w:pPr>
        <w:spacing w:after="0" w:line="6" w:lineRule="exact"/>
        <w:rPr>
          <w:sz w:val="20"/>
          <w:szCs w:val="20"/>
          <w:color w:val="auto"/>
        </w:rPr>
      </w:pPr>
    </w:p>
    <w:p>
      <w:pPr>
        <w:ind w:left="1060" w:right="1779" w:hanging="525"/>
        <w:spacing w:after="0" w:line="235" w:lineRule="auto"/>
        <w:tabs>
          <w:tab w:leader="none" w:pos="74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(Europe)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60" w:right="1879" w:hanging="525"/>
        <w:spacing w:after="0" w:line="268" w:lineRule="auto"/>
        <w:tabs>
          <w:tab w:leader="none" w:pos="74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60" w:right="1779" w:hanging="525"/>
        <w:spacing w:after="0" w:line="268" w:lineRule="auto"/>
        <w:tabs>
          <w:tab w:leader="none" w:pos="74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Group Limited (parent holding company of Newton Management Limited; BNY Mellon International Asset Management (Holdings) Limited; Insight Investment Management</w:t>
      </w:r>
    </w:p>
    <w:p>
      <w:pPr>
        <w:ind w:left="1060"/>
        <w:spacing w:after="0" w:line="233"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ind w:left="1060" w:right="177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Newton Management Limited (parent holding company of Newton Investment Management (North America) Limited; Newton Investment Management Limited)</w:t>
      </w:r>
    </w:p>
    <w:p>
      <w:pPr>
        <w:spacing w:after="0" w:line="6" w:lineRule="exact"/>
        <w:rPr>
          <w:sz w:val="20"/>
          <w:szCs w:val="20"/>
          <w:color w:val="auto"/>
        </w:rPr>
      </w:pPr>
    </w:p>
    <w:p>
      <w:pPr>
        <w:ind w:left="1060" w:right="19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BNY Mellon International Asset Management (Holdings) Limited (parent holding company of BNY Mellon International Asset Management (Holdings) No. 1 Limited)</w:t>
      </w:r>
    </w:p>
    <w:p>
      <w:pPr>
        <w:spacing w:after="0" w:line="6" w:lineRule="exact"/>
        <w:rPr>
          <w:sz w:val="20"/>
          <w:szCs w:val="20"/>
          <w:color w:val="auto"/>
        </w:rPr>
      </w:pPr>
    </w:p>
    <w:p>
      <w:pPr>
        <w:ind w:left="1060" w:right="2199" w:hanging="525"/>
        <w:spacing w:after="0" w:line="268" w:lineRule="auto"/>
        <w:tabs>
          <w:tab w:leader="none" w:pos="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41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Insight Investment Management Limited (parent holding company of Insight Investment Management (Global) Limited; Insight Investment International Limited )</w:t>
      </w:r>
    </w:p>
    <w:p>
      <w:pPr>
        <w:spacing w:after="0" w:line="6" w:lineRule="exact"/>
        <w:rPr>
          <w:sz w:val="20"/>
          <w:szCs w:val="20"/>
          <w:color w:val="auto"/>
        </w:rPr>
      </w:pPr>
    </w:p>
    <w:p>
      <w:pPr>
        <w:ind w:left="1060" w:right="2099" w:hanging="525"/>
        <w:spacing w:after="0" w:line="235" w:lineRule="auto"/>
        <w:tabs>
          <w:tab w:leader="none" w:pos="7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419" w:hanging="526"/>
        <w:spacing w:after="0" w:line="268" w:lineRule="auto"/>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BNY Mellon Investment Management (APAC) Holdings Limited (parent holding company of BNY Mellon Asset Management Japan Limited)</w:t>
      </w:r>
    </w:p>
    <w:p>
      <w:pPr>
        <w:ind w:left="1060" w:right="1999" w:hanging="525"/>
        <w:spacing w:after="0" w:line="235" w:lineRule="auto"/>
        <w:tabs>
          <w:tab w:leader="none" w:pos="95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Canada Holding Company; BNY Mellon Participacoes Ltda.)</w:t>
      </w:r>
    </w:p>
    <w:p>
      <w:pPr>
        <w:spacing w:after="0" w:line="5" w:lineRule="exact"/>
        <w:rPr>
          <w:sz w:val="20"/>
          <w:szCs w:val="20"/>
          <w:color w:val="auto"/>
        </w:rPr>
      </w:pPr>
    </w:p>
    <w:p>
      <w:pPr>
        <w:ind w:left="1060" w:right="2099" w:hanging="525"/>
        <w:spacing w:after="0" w:line="235" w:lineRule="auto"/>
        <w:tabs>
          <w:tab w:leader="none" w:pos="7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jc w:val="right"/>
        <w:ind w:left="1060" w:right="2099" w:hanging="525"/>
        <w:spacing w:after="0" w:line="290" w:lineRule="auto"/>
        <w:tabs>
          <w:tab w:leader="none" w:pos="74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Participacoes Ltda.(parent holding company of BNY Mellon Servicos Financeiros Distribuidora de Titulos e Valores Mobiliarios</w:t>
      </w:r>
    </w:p>
    <w:p>
      <w:pPr>
        <w:spacing w:after="0" w:line="170" w:lineRule="exact"/>
        <w:rPr>
          <w:sz w:val="20"/>
          <w:szCs w:val="20"/>
          <w:color w:val="auto"/>
        </w:rPr>
      </w:pPr>
    </w:p>
    <w:p>
      <w:pPr>
        <w:ind w:left="1060" w:right="2199" w:hanging="525"/>
        <w:spacing w:after="0" w:line="235" w:lineRule="auto"/>
        <w:tabs>
          <w:tab w:leader="none" w:pos="74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 (Cayman) Limited)</w:t>
      </w:r>
    </w:p>
    <w:p>
      <w:pPr>
        <w:spacing w:after="0" w:line="6" w:lineRule="exact"/>
        <w:rPr>
          <w:sz w:val="20"/>
          <w:szCs w:val="20"/>
          <w:color w:val="auto"/>
        </w:rPr>
      </w:pPr>
    </w:p>
    <w:p>
      <w:pPr>
        <w:ind w:left="1060" w:right="2739" w:hanging="525"/>
        <w:spacing w:after="0" w:line="235"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6" w:lineRule="exact"/>
        <w:rPr>
          <w:sz w:val="20"/>
          <w:szCs w:val="20"/>
          <w:color w:val="auto"/>
        </w:rPr>
      </w:pPr>
    </w:p>
    <w:p>
      <w:pPr>
        <w:ind w:left="1060" w:right="2619" w:hanging="525"/>
        <w:spacing w:after="0" w:line="235" w:lineRule="auto"/>
        <w:tabs>
          <w:tab w:leader="none" w:pos="7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NOTE: ALL OF THE LEGAL ENTITIES LISTED UNDER (A), (B), (C) AND (D) ABOVE ARE DIRECT OR INDIRECT SUBSIDIARIES OF THE BANK OF NEW YORK MELLON CORPORATION. BENEFICIAL OWNERSHIP OF MORE THAN FIVE PERCENT OF THE CLASS BY ANY ONE OF THE</w:t>
      </w:r>
    </w:p>
    <w:p>
      <w:pPr>
        <w:sectPr>
          <w:pgSz w:w="11900" w:h="16838" w:orient="portrait"/>
          <w:cols w:equalWidth="0" w:num="1">
            <w:col w:w="10219"/>
          </w:cols>
          <w:pgMar w:left="240" w:top="136" w:right="1440" w:bottom="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6" w:lineRule="exact"/>
        <w:rPr>
          <w:sz w:val="20"/>
          <w:szCs w:val="20"/>
          <w:color w:val="auto"/>
        </w:rPr>
      </w:pPr>
    </w:p>
    <w:p>
      <w:pPr>
        <w:ind w:left="540" w:right="303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303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9"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w:t>
      </w:r>
    </w:p>
    <w:p>
      <w:pPr>
        <w:spacing w:after="0" w:line="186"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9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THE BANK OF NEW YORK MELLON</w:t>
      </w:r>
      <w:r>
        <w:rPr>
          <w:sz w:val="20"/>
          <w:szCs w:val="20"/>
          <w:color w:val="auto"/>
        </w:rPr>
        <w:tab/>
      </w:r>
      <w:r>
        <w:rPr>
          <w:rFonts w:ascii="Courier New" w:cs="Courier New" w:eastAsia="Courier New" w:hAnsi="Courier New"/>
          <w:sz w:val="16"/>
          <w:szCs w:val="16"/>
          <w:color w:val="auto"/>
        </w:rPr>
        <w:t>BNY MELLON, NATIONAL ASSOCIATION</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MITCHELL E.HARRIS</w:t>
      </w:r>
      <w:r>
        <w:rPr>
          <w:sz w:val="20"/>
          <w:szCs w:val="20"/>
          <w:color w:val="auto"/>
        </w:rPr>
        <w:tab/>
      </w:r>
      <w:r>
        <w:rPr>
          <w:rFonts w:ascii="Courier New" w:cs="Courier New" w:eastAsia="Courier New" w:hAnsi="Courier New"/>
          <w:sz w:val="16"/>
          <w:szCs w:val="16"/>
          <w:color w:val="auto"/>
        </w:rPr>
        <w:t>By: /S/ DONALD HEBERLE</w:t>
      </w:r>
    </w:p>
    <w:p>
      <w:pPr>
        <w:ind w:left="4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840" w:val="left"/>
        </w:tabs>
        <w:rPr>
          <w:sz w:val="20"/>
          <w:szCs w:val="20"/>
          <w:color w:val="auto"/>
        </w:rPr>
      </w:pPr>
      <w:r>
        <w:rPr>
          <w:rFonts w:ascii="Courier New" w:cs="Courier New" w:eastAsia="Courier New" w:hAnsi="Courier New"/>
          <w:sz w:val="18"/>
          <w:szCs w:val="18"/>
          <w:color w:val="auto"/>
        </w:rPr>
        <w:t>Mitchell E. Harris</w:t>
      </w:r>
      <w:r>
        <w:rPr>
          <w:sz w:val="20"/>
          <w:szCs w:val="20"/>
          <w:color w:val="auto"/>
        </w:rPr>
        <w:tab/>
      </w:r>
      <w:r>
        <w:rPr>
          <w:rFonts w:ascii="Courier New" w:cs="Courier New" w:eastAsia="Courier New" w:hAnsi="Courier New"/>
          <w:sz w:val="16"/>
          <w:szCs w:val="16"/>
          <w:color w:val="auto"/>
        </w:rPr>
        <w:t>Donald Heberle</w:t>
      </w:r>
    </w:p>
    <w:p>
      <w:pPr>
        <w:ind w:left="420"/>
        <w:spacing w:after="0"/>
        <w:tabs>
          <w:tab w:leader="none" w:pos="4840" w:val="left"/>
        </w:tabs>
        <w:rPr>
          <w:sz w:val="20"/>
          <w:szCs w:val="20"/>
          <w:color w:val="auto"/>
        </w:rPr>
      </w:pPr>
      <w:r>
        <w:rPr>
          <w:rFonts w:ascii="Courier New" w:cs="Courier New" w:eastAsia="Courier New" w:hAnsi="Courier New"/>
          <w:sz w:val="18"/>
          <w:szCs w:val="18"/>
          <w:color w:val="auto"/>
        </w:rPr>
        <w:t>Chief Executive Officer,</w:t>
      </w:r>
      <w:r>
        <w:rPr>
          <w:sz w:val="20"/>
          <w:szCs w:val="20"/>
          <w:color w:val="auto"/>
        </w:rPr>
        <w:tab/>
      </w:r>
      <w:r>
        <w:rPr>
          <w:rFonts w:ascii="Courier New" w:cs="Courier New" w:eastAsia="Courier New" w:hAnsi="Courier New"/>
          <w:sz w:val="16"/>
          <w:szCs w:val="16"/>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March 17, 2017</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3"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BNY MELLON, NATIONAL ASSOCIATION</w:t>
      </w:r>
      <w:r>
        <w:rPr>
          <w:sz w:val="20"/>
          <w:szCs w:val="20"/>
          <w:color w:val="auto"/>
        </w:rPr>
        <w:tab/>
      </w:r>
      <w:r>
        <w:rPr>
          <w:rFonts w:ascii="Courier New" w:cs="Courier New" w:eastAsia="Courier New" w:hAnsi="Courier New"/>
          <w:sz w:val="16"/>
          <w:szCs w:val="16"/>
          <w:color w:val="auto"/>
        </w:rPr>
        <w:t>THE BANK OF NEW YORK MELLON SA/NV</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THOMAS J. DICKER</w:t>
      </w:r>
      <w:r>
        <w:rPr>
          <w:sz w:val="20"/>
          <w:szCs w:val="20"/>
          <w:color w:val="auto"/>
        </w:rPr>
        <w:tab/>
      </w:r>
      <w:r>
        <w:rPr>
          <w:rFonts w:ascii="Courier New" w:cs="Courier New" w:eastAsia="Courier New" w:hAnsi="Courier New"/>
          <w:sz w:val="16"/>
          <w:szCs w:val="16"/>
          <w:color w:val="auto"/>
        </w:rPr>
        <w:t>By: /S/ LAURA AHTO</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Thomas J. Dicker</w:t>
      </w:r>
      <w:r>
        <w:rPr>
          <w:sz w:val="20"/>
          <w:szCs w:val="20"/>
          <w:color w:val="auto"/>
        </w:rPr>
        <w:tab/>
      </w:r>
      <w:r>
        <w:rPr>
          <w:rFonts w:ascii="Courier New" w:cs="Courier New" w:eastAsia="Courier New" w:hAnsi="Courier New"/>
          <w:sz w:val="16"/>
          <w:szCs w:val="16"/>
          <w:color w:val="auto"/>
        </w:rPr>
        <w:t>Laura Ahto</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Chief Operating Officer</w:t>
      </w:r>
      <w:r>
        <w:rPr>
          <w:sz w:val="20"/>
          <w:szCs w:val="20"/>
          <w:color w:val="auto"/>
        </w:rPr>
        <w:tab/>
      </w:r>
      <w:r>
        <w:rPr>
          <w:rFonts w:ascii="Courier New" w:cs="Courier New" w:eastAsia="Courier New" w:hAnsi="Courier New"/>
          <w:sz w:val="16"/>
          <w:szCs w:val="16"/>
          <w:color w:val="auto"/>
        </w:rPr>
        <w:t>Chief Executive Officer</w:t>
      </w:r>
    </w:p>
    <w:p>
      <w:pPr>
        <w:spacing w:after="0"/>
        <w:tabs>
          <w:tab w:leader="none" w:pos="720" w:val="left"/>
          <w:tab w:leader="none" w:pos="4300" w:val="left"/>
        </w:tabs>
        <w:rPr>
          <w:sz w:val="20"/>
          <w:szCs w:val="20"/>
          <w:color w:val="auto"/>
        </w:rPr>
      </w:pPr>
      <w:r>
        <w:rPr>
          <w:rFonts w:ascii="Courier New" w:cs="Courier New" w:eastAsia="Courier New" w:hAnsi="Courier New"/>
          <w:sz w:val="18"/>
          <w:szCs w:val="18"/>
          <w:color w:val="auto"/>
        </w:rPr>
        <w:t>Date:</w:t>
        <w:tab/>
        <w:t>October 9, 2015</w:t>
      </w:r>
      <w:r>
        <w:rPr>
          <w:sz w:val="20"/>
          <w:szCs w:val="20"/>
          <w:color w:val="auto"/>
        </w:rPr>
        <w:tab/>
      </w:r>
      <w:r>
        <w:rPr>
          <w:rFonts w:ascii="Courier New" w:cs="Courier New" w:eastAsia="Courier New" w:hAnsi="Courier New"/>
          <w:sz w:val="16"/>
          <w:szCs w:val="16"/>
          <w:color w:val="auto"/>
        </w:rPr>
        <w:t>Date: May 17, 2016</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THE BANK OF NEW YORK MELLON</w:t>
      </w:r>
      <w:r>
        <w:rPr>
          <w:sz w:val="20"/>
          <w:szCs w:val="20"/>
          <w:color w:val="auto"/>
        </w:rPr>
        <w:tab/>
      </w:r>
      <w:r>
        <w:rPr>
          <w:rFonts w:ascii="Courier New" w:cs="Courier New" w:eastAsia="Courier New" w:hAnsi="Courier New"/>
          <w:sz w:val="16"/>
          <w:szCs w:val="16"/>
          <w:color w:val="auto"/>
        </w:rPr>
        <w:t>THE BANK OF NEW YORK MELLON</w:t>
      </w:r>
    </w:p>
    <w:p>
      <w:pPr>
        <w:sectPr>
          <w:pgSz w:w="11900" w:h="16838" w:orient="portrait"/>
          <w:cols w:equalWidth="0" w:num="1">
            <w:col w:w="10219"/>
          </w:cols>
          <w:pgMar w:left="240" w:top="142"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MITCHELL E. HARRIS</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CURTIS ARLEDGE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Mitchell E. Harris</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Curtis Arledge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Senior Executive Vice President</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Vice Chairman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18, 2015</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Date:</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26, 2015</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 TRUST</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THE BANK OF NEW YORK MELLON TRUST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NATIONAL ASSOCIATION</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COMPANY, NATIONAL ASSOCIATION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ANTONIO PORTUONDO</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KURTIS R. KURIMSKY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Antonio Portuondo</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Kurtis R. Kurimsky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20,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8,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TRUST OF DELAWARE</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AMBAGIS</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LEE JAMES WOOLLEY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Lee James Woolley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Chairman and</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19, 2015</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Claire Santaniello</w:t>
      </w:r>
    </w:p>
    <w:p>
      <w:pPr>
        <w:ind w:left="420"/>
        <w:spacing w:after="0" w:line="237" w:lineRule="auto"/>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Jeff Gearhart</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Guilherme Abry</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ectPr>
          <w:pgSz w:w="11900" w:h="16838" w:orient="portrait"/>
          <w:cols w:equalWidth="0" w:num="2">
            <w:col w:w="3600" w:space="720"/>
            <w:col w:w="5899"/>
          </w:cols>
          <w:pgMar w:left="240" w:top="339"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ADVISER, INC</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(GLOBAL)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JAMES BITETTO</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Bitetto</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Secretary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03, 2019</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 16,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LOCKWOOD ADVISORS, INC.</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BNY MELLON ASSET MANAGEMENT JAPAN</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74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JOHN J. BRETT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SHIZU KISHIMOTO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J. Brett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Shizu Kishimoto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Representative Director</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and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30,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5, 2015</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MELLON INVESTMENTS CORPORATION</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BNY MELLON SECURITIES CORPORATION</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By: /S/</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10, 2019</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June 03, 2019</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NEWTON INVESTMENT MANAGEMENT</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(NORTH AMERICA) LIMITED</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By: /S/</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INSIGHT INVESTMENT INTERNATIONAL</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74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May 17, 2016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NORTH AMERICA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ARIOLA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Ariola</w:t>
      </w:r>
    </w:p>
    <w:p>
      <w:pPr>
        <w:ind w:left="420"/>
        <w:spacing w:after="0" w:line="237" w:lineRule="auto"/>
        <w:rPr>
          <w:sz w:val="20"/>
          <w:szCs w:val="20"/>
          <w:color w:val="auto"/>
        </w:rPr>
      </w:pPr>
      <w:r>
        <w:rPr>
          <w:rFonts w:ascii="Courier New" w:cs="Courier New" w:eastAsia="Courier New" w:hAnsi="Courier New"/>
          <w:sz w:val="18"/>
          <w:szCs w:val="18"/>
          <w:color w:val="auto"/>
        </w:rPr>
        <w:t>Head of Financial Analysis</w:t>
      </w:r>
    </w:p>
    <w:p>
      <w:pPr>
        <w:spacing w:after="0" w:line="238" w:lineRule="auto"/>
        <w:rPr>
          <w:sz w:val="20"/>
          <w:szCs w:val="20"/>
          <w:color w:val="auto"/>
        </w:rPr>
      </w:pPr>
      <w:r>
        <w:rPr>
          <w:rFonts w:ascii="Courier New" w:cs="Courier New" w:eastAsia="Courier New" w:hAnsi="Courier New"/>
          <w:sz w:val="18"/>
          <w:szCs w:val="18"/>
          <w:color w:val="auto"/>
        </w:rPr>
        <w:t>Date: December 7, 2016</w:t>
      </w:r>
    </w:p>
    <w:p>
      <w:pPr>
        <w:sectPr>
          <w:pgSz w:w="11900" w:h="16838" w:orient="portrait"/>
          <w:cols w:equalWidth="0" w:num="1">
            <w:col w:w="10219"/>
          </w:cols>
          <w:pgMar w:left="240" w:top="339" w:right="1440" w:bottom="133"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AMBAGIS</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Chief Administrative Officer</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EMILY CHAN</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12, 2016</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(EUROPE)LIMITED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BNY CAPITAL MARKETS HOLDINGS, INC.</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Thomas P. Gibbons</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Vice Chairman and Chief</w:t>
            </w:r>
          </w:p>
        </w:tc>
      </w:tr>
    </w:tbl>
    <w:p>
      <w:pPr>
        <w:sectPr>
          <w:pgSz w:w="11900" w:h="16838" w:orient="portrait"/>
          <w:cols w:equalWidth="0" w:num="1">
            <w:col w:w="10219"/>
          </w:cols>
          <w:pgMar w:left="240" w:top="142" w:right="1440" w:bottom="0" w:gutter="0" w:footer="0" w:header="0"/>
        </w:sectPr>
      </w:pPr>
    </w:p>
    <w:bookmarkStart w:id="9" w:name="page10"/>
    <w:bookmarkEnd w:id="9"/>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21, 2015</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24,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sectPr>
      </w:pPr>
    </w:p>
    <w:p>
      <w:pPr>
        <w:spacing w:after="0" w:line="22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Kelly Schwartz</w:t>
      </w:r>
    </w:p>
    <w:p>
      <w:pPr>
        <w:ind w:left="42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36"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p>
      <w:pPr>
        <w:sectPr>
          <w:pgSz w:w="11900" w:h="16838" w:orient="portrait"/>
          <w:cols w:equalWidth="0" w:num="2">
            <w:col w:w="3600" w:space="720"/>
            <w:col w:w="5899"/>
          </w:cols>
          <w:pgMar w:left="240" w:top="136" w:right="1440" w:bottom="1440" w:gutter="0" w:footer="0" w:header="0"/>
          <w:type w:val="continuous"/>
        </w:sectPr>
      </w:pPr>
    </w:p>
    <w:bookmarkStart w:id="10" w:name="page11"/>
    <w:bookmarkEnd w:id="10"/>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jc w:val="right"/>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Antonio Portuondo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Curtis Arledge</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2015</w:t>
      </w:r>
    </w:p>
    <w:p>
      <w:pPr>
        <w:spacing w:after="0" w:line="200" w:lineRule="exact"/>
        <w:rPr>
          <w:sz w:val="20"/>
          <w:szCs w:val="20"/>
          <w:color w:val="auto"/>
        </w:rPr>
      </w:pP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Kurtis R. Kurimsky</w:t>
      </w:r>
    </w:p>
    <w:p>
      <w:pPr>
        <w:ind w:left="5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Lee James Woolley</w:t>
      </w:r>
    </w:p>
    <w:p>
      <w:pPr>
        <w:ind w:left="640"/>
        <w:spacing w:after="0" w:line="237" w:lineRule="auto"/>
        <w:rPr>
          <w:sz w:val="20"/>
          <w:szCs w:val="20"/>
          <w:color w:val="auto"/>
        </w:rPr>
      </w:pPr>
      <w:r>
        <w:rPr>
          <w:rFonts w:ascii="Courier New" w:cs="Courier New" w:eastAsia="Courier New" w:hAnsi="Courier New"/>
          <w:sz w:val="18"/>
          <w:szCs w:val="18"/>
          <w:color w:val="auto"/>
        </w:rPr>
        <w:t>Chairman and</w:t>
      </w:r>
    </w:p>
    <w:p>
      <w:pPr>
        <w:ind w:left="6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ectPr>
          <w:pgSz w:w="11900" w:h="16838" w:orient="portrait"/>
          <w:cols w:equalWidth="0" w:num="2">
            <w:col w:w="3700" w:space="620"/>
            <w:col w:w="5899"/>
          </w:cols>
          <w:pgMar w:left="24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sectPr>
          <w:pgSz w:w="11900" w:h="16838" w:orient="portrait"/>
          <w:cols w:equalWidth="0" w:num="1">
            <w:col w:w="10219"/>
          </w:cols>
          <w:pgMar w:left="240" w:top="919" w:right="1440" w:bottom="0" w:gutter="0" w:footer="0" w:header="0"/>
          <w:type w:val="continuous"/>
        </w:sectPr>
      </w:pPr>
    </w:p>
    <w:bookmarkStart w:id="11" w:name="page12"/>
    <w:bookmarkEnd w:id="11"/>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J. Brett</w:t>
      </w:r>
    </w:p>
    <w:p>
      <w:pPr>
        <w:ind w:left="420"/>
        <w:spacing w:after="0" w:line="237"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Jennifer Cassedy</w:t>
      </w:r>
    </w:p>
    <w:p>
      <w:pPr>
        <w:ind w:left="420"/>
        <w:spacing w:after="0" w:line="237" w:lineRule="auto"/>
        <w:rPr>
          <w:sz w:val="20"/>
          <w:szCs w:val="20"/>
          <w:color w:val="auto"/>
        </w:rPr>
      </w:pPr>
      <w:r>
        <w:rPr>
          <w:rFonts w:ascii="Courier New" w:cs="Courier New" w:eastAsia="Courier New" w:hAnsi="Courier New"/>
          <w:sz w:val="18"/>
          <w:szCs w:val="18"/>
          <w:color w:val="auto"/>
        </w:rPr>
        <w:t>Chief Compliance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Helby</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Chief Operating Officer</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Guilherme Abry</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left="100"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Camila Souza</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Charles Farquharson</w:t>
      </w:r>
    </w:p>
    <w:p>
      <w:pPr>
        <w:ind w:left="520"/>
        <w:spacing w:after="0" w:line="237" w:lineRule="auto"/>
        <w:rPr>
          <w:sz w:val="20"/>
          <w:szCs w:val="20"/>
          <w:color w:val="auto"/>
        </w:rPr>
      </w:pPr>
      <w:r>
        <w:rPr>
          <w:rFonts w:ascii="Courier New" w:cs="Courier New" w:eastAsia="Courier New" w:hAnsi="Courier New"/>
          <w:sz w:val="18"/>
          <w:szCs w:val="18"/>
          <w:color w:val="auto"/>
        </w:rPr>
        <w:t>Chief Risk Officer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2016</w:t>
      </w:r>
    </w:p>
    <w:p>
      <w:pPr>
        <w:spacing w:after="0" w:line="200" w:lineRule="exact"/>
        <w:rPr>
          <w:sz w:val="20"/>
          <w:szCs w:val="20"/>
          <w:color w:val="auto"/>
        </w:rPr>
      </w:pPr>
    </w:p>
    <w:p>
      <w:pPr>
        <w:spacing w:after="0" w:line="210"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ind w:left="100"/>
        <w:spacing w:after="0"/>
        <w:rPr>
          <w:sz w:val="20"/>
          <w:szCs w:val="20"/>
          <w:color w:val="auto"/>
        </w:rPr>
      </w:pPr>
      <w:r>
        <w:rPr>
          <w:rFonts w:ascii="Courier New" w:cs="Courier New" w:eastAsia="Courier New" w:hAnsi="Courier New"/>
          <w:sz w:val="18"/>
          <w:szCs w:val="18"/>
          <w:color w:val="auto"/>
        </w:rPr>
        <w:t>By: /S/ SHIZU KISHIMOTO</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Shizu Kishimoto</w:t>
      </w:r>
    </w:p>
    <w:p>
      <w:pPr>
        <w:ind w:left="100"/>
        <w:spacing w:after="0" w:line="237" w:lineRule="auto"/>
        <w:rPr>
          <w:sz w:val="20"/>
          <w:szCs w:val="20"/>
          <w:color w:val="auto"/>
        </w:rPr>
      </w:pPr>
      <w:r>
        <w:rPr>
          <w:rFonts w:ascii="Courier New" w:cs="Courier New" w:eastAsia="Courier New" w:hAnsi="Courier New"/>
          <w:sz w:val="18"/>
          <w:szCs w:val="18"/>
          <w:color w:val="auto"/>
        </w:rPr>
        <w:t>Representative Director</w:t>
      </w:r>
    </w:p>
    <w:p>
      <w:pPr>
        <w:ind w:left="100"/>
        <w:spacing w:after="0" w:line="238" w:lineRule="auto"/>
        <w:rPr>
          <w:sz w:val="20"/>
          <w:szCs w:val="20"/>
          <w:color w:val="auto"/>
        </w:rPr>
      </w:pPr>
      <w:r>
        <w:rPr>
          <w:rFonts w:ascii="Courier New" w:cs="Courier New" w:eastAsia="Courier New" w:hAnsi="Courier New"/>
          <w:sz w:val="18"/>
          <w:szCs w:val="18"/>
          <w:color w:val="auto"/>
        </w:rPr>
        <w:t>and President</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2015</w:t>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Kenneth J. Bradle</w:t>
      </w:r>
    </w:p>
    <w:p>
      <w:pPr>
        <w:ind w:left="5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NEWTON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(NORTH AMERICA) LIMITED</w:t>
      </w:r>
    </w:p>
    <w:p>
      <w:pPr>
        <w:spacing w:after="0" w:line="202"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James Helby</w:t>
      </w:r>
    </w:p>
    <w:p>
      <w:pPr>
        <w:sectPr>
          <w:pgSz w:w="11900" w:h="16838" w:orient="portrait"/>
          <w:cols w:equalWidth="0" w:num="2">
            <w:col w:w="3800" w:space="420"/>
            <w:col w:w="5999"/>
          </w:cols>
          <w:pgMar w:left="240" w:top="136"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Director</w:t>
            </w:r>
          </w:p>
        </w:tc>
        <w:tc>
          <w:tcPr>
            <w:tcW w:w="3900" w:type="dxa"/>
            <w:vAlign w:val="bottom"/>
          </w:tcPr>
          <w:p>
            <w:pPr>
              <w:ind w:left="940"/>
              <w:spacing w:after="0"/>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June 30,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INSIGHT NORTH AMERICA LLC</w:t>
            </w:r>
          </w:p>
        </w:tc>
        <w:tc>
          <w:tcPr>
            <w:tcW w:w="3900" w:type="dxa"/>
            <w:vAlign w:val="bottom"/>
          </w:tcPr>
          <w:p>
            <w:pPr>
              <w:spacing w:after="0"/>
              <w:rPr>
                <w:sz w:val="24"/>
                <w:szCs w:val="24"/>
                <w:color w:val="auto"/>
              </w:rPr>
            </w:pP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JOHN ARIOLA</w:t>
            </w:r>
          </w:p>
        </w:tc>
        <w:tc>
          <w:tcPr>
            <w:tcW w:w="3900" w:type="dxa"/>
            <w:vAlign w:val="bottom"/>
          </w:tcPr>
          <w:p>
            <w:pPr>
              <w:spacing w:after="0"/>
              <w:rPr>
                <w:sz w:val="24"/>
                <w:szCs w:val="24"/>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Ariola</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Financial Analysis</w:t>
            </w:r>
          </w:p>
        </w:tc>
        <w:tc>
          <w:tcPr>
            <w:tcW w:w="390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December 7, 2016</w:t>
            </w:r>
          </w:p>
        </w:tc>
        <w:tc>
          <w:tcPr>
            <w:tcW w:w="3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bl>
    <w:p>
      <w:pPr>
        <w:sectPr>
          <w:pgSz w:w="11900" w:h="16838" w:orient="portrait"/>
          <w:cols w:equalWidth="0" w:num="1">
            <w:col w:w="10219"/>
          </w:cols>
          <w:pgMar w:left="240" w:top="136" w:right="1440" w:bottom="0" w:gutter="0" w:footer="0" w:header="0"/>
        </w:sectPr>
      </w:pPr>
    </w:p>
    <w:bookmarkStart w:id="13" w:name="page14"/>
    <w:bookmarkEnd w:id="1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Kurtis R. Kurimsky</w:t>
      </w:r>
    </w:p>
    <w:p>
      <w:pPr>
        <w:ind w:left="120"/>
        <w:spacing w:after="0" w:line="238" w:lineRule="auto"/>
        <w:rPr>
          <w:sz w:val="20"/>
          <w:szCs w:val="20"/>
          <w:color w:val="auto"/>
        </w:rPr>
      </w:pPr>
      <w:r>
        <w:rPr>
          <w:rFonts w:ascii="Courier New" w:cs="Courier New" w:eastAsia="Courier New" w:hAnsi="Courier New"/>
          <w:sz w:val="18"/>
          <w:szCs w:val="18"/>
          <w:color w:val="auto"/>
        </w:rPr>
        <w:t>Vice President and</w:t>
      </w:r>
    </w:p>
    <w:p>
      <w:pPr>
        <w:ind w:left="120"/>
        <w:spacing w:after="0"/>
        <w:rPr>
          <w:sz w:val="20"/>
          <w:szCs w:val="20"/>
          <w:color w:val="auto"/>
        </w:rPr>
      </w:pPr>
      <w:r>
        <w:rPr>
          <w:rFonts w:ascii="Courier New" w:cs="Courier New" w:eastAsia="Courier New" w:hAnsi="Courier New"/>
          <w:sz w:val="18"/>
          <w:szCs w:val="18"/>
          <w:color w:val="auto"/>
        </w:rPr>
        <w:t>Controller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Date: March 29, 2017</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Chairman, President and</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29,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sectPr>
      </w:pPr>
    </w:p>
    <w:p>
      <w:pPr>
        <w:spacing w:after="0" w:line="209" w:lineRule="exact"/>
        <w:rPr>
          <w:sz w:val="20"/>
          <w:szCs w:val="20"/>
          <w:color w:val="auto"/>
        </w:rPr>
      </w:pPr>
    </w:p>
    <w:p>
      <w:pPr>
        <w:ind w:right="860"/>
        <w:spacing w:after="0" w:line="235" w:lineRule="auto"/>
        <w:rPr>
          <w:sz w:val="20"/>
          <w:szCs w:val="20"/>
          <w:color w:val="auto"/>
        </w:rPr>
      </w:pPr>
      <w:r>
        <w:rPr>
          <w:rFonts w:ascii="Courier New" w:cs="Courier New" w:eastAsia="Courier New" w:hAnsi="Courier New"/>
          <w:sz w:val="18"/>
          <w:szCs w:val="18"/>
          <w:color w:val="auto"/>
        </w:rPr>
        <w:t>MELLON OVERSEAS INVESTMENT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INSIGHT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rPr>
          <w:sz w:val="20"/>
          <w:szCs w:val="20"/>
          <w:color w:val="auto"/>
        </w:rPr>
      </w:pPr>
      <w:r>
        <w:rPr>
          <w:rFonts w:ascii="Courier New" w:cs="Courier New" w:eastAsia="Courier New" w:hAnsi="Courier New"/>
          <w:sz w:val="18"/>
          <w:szCs w:val="18"/>
          <w:color w:val="auto"/>
        </w:rPr>
        <w:t>Chief Risk Officer</w:t>
      </w:r>
    </w:p>
    <w:p>
      <w:pPr>
        <w:spacing w:after="0" w:line="237" w:lineRule="auto"/>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15,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(EUROPE)LIMITED</w:t>
      </w:r>
    </w:p>
    <w:p>
      <w:pPr>
        <w:spacing w:after="0" w:line="201"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237" w:lineRule="auto"/>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Kelly Schwartz</w:t>
      </w:r>
    </w:p>
    <w:p>
      <w:pPr>
        <w:ind w:left="42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PAUL A. GRIFFITHS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LEO P. GROHOWSKI</w:t>
      </w:r>
    </w:p>
    <w:p>
      <w:pPr>
        <w:sectPr>
          <w:pgSz w:w="11900" w:h="16838" w:orient="portrait"/>
          <w:cols w:equalWidth="0" w:num="2">
            <w:col w:w="3500" w:space="720"/>
            <w:col w:w="5999"/>
          </w:cols>
          <w:pgMar w:left="240" w:top="136" w:right="1440" w:bottom="0" w:gutter="0" w:footer="0" w:header="0"/>
          <w:type w:val="continuous"/>
        </w:sectPr>
      </w:pPr>
    </w:p>
    <w:bookmarkStart w:id="14" w:name="page15"/>
    <w:bookmarkEnd w:id="14"/>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sectPr>
      <w:pgSz w:w="11900" w:h="16838" w:orient="portrait"/>
      <w:cols w:equalWidth="0" w:num="2">
        <w:col w:w="3600" w:space="720"/>
        <w:col w:w="58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lvl w:ilvl="1">
      <w:lvlJc w:val="left"/>
      <w:lvlText w:val="(%2)"/>
      <w:numFmt w:val="lowerLetter"/>
      <w:start w:val="1"/>
    </w:lvl>
  </w:abstractNum>
  <w:abstractNum w:abstractNumId="3">
    <w:nsid w:val="257130A3"/>
    <w:multiLevelType w:val="hybridMultilevel"/>
    <w:lvl w:ilvl="0">
      <w:lvlJc w:val="left"/>
      <w:lvlText w:val="(%1)"/>
      <w:numFmt w:val="decimal"/>
      <w:start w:val="9"/>
    </w:lvl>
  </w:abstractNum>
  <w:abstractNum w:abstractNumId="4">
    <w:nsid w:val="62BBD95A"/>
    <w:multiLevelType w:val="hybridMultilevel"/>
    <w:lvl w:ilvl="0">
      <w:lvlJc w:val="left"/>
      <w:lvlText w:val="(%1)"/>
      <w:numFmt w:val="decimal"/>
      <w:start w:val="2"/>
    </w:lvl>
    <w:lvl w:ilvl="1">
      <w:lvlJc w:val="left"/>
      <w:lvlText w:val="(%2)"/>
      <w:numFmt w:val="lowerLetter"/>
      <w:start w:val="1"/>
    </w:lvl>
  </w:abstractNum>
  <w:abstractNum w:abstractNumId="5">
    <w:nsid w:val="436C6125"/>
    <w:multiLevelType w:val="hybridMultilevel"/>
    <w:lvl w:ilvl="0">
      <w:lvlJc w:val="left"/>
      <w:lvlText w:val="(%1)"/>
      <w:numFmt w:val="decimal"/>
      <w:start w:val="9"/>
    </w:lvl>
  </w:abstractNum>
  <w:abstractNum w:abstractNumId="6">
    <w:nsid w:val="628C895D"/>
    <w:multiLevelType w:val="hybridMultilevel"/>
    <w:lvl w:ilvl="0">
      <w:lvlJc w:val="left"/>
      <w:lvlText w:val="(%1)"/>
      <w:numFmt w:val="decimal"/>
      <w:start w:val="2"/>
    </w:lvl>
    <w:lvl w:ilvl="1">
      <w:lvlJc w:val="left"/>
      <w:lvlText w:val="(%2)"/>
      <w:numFmt w:val="lowerLetter"/>
      <w:start w:val="1"/>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1)"/>
      <w:numFmt w:val="decimal"/>
      <w:start w:val="2"/>
    </w:lvl>
    <w:lvl w:ilvl="1">
      <w:lvlJc w:val="left"/>
      <w:lvlText w:val="(%2)"/>
      <w:numFmt w:val="lowerLetter"/>
      <w:start w:val="1"/>
    </w:lvl>
  </w:abstractNum>
  <w:abstractNum w:abstractNumId="9">
    <w:nsid w:val="2443A858"/>
    <w:multiLevelType w:val="hybridMultilevel"/>
    <w:lvl w:ilvl="0">
      <w:lvlJc w:val="left"/>
      <w:lvlText w:val="(%1)"/>
      <w:numFmt w:val="decimal"/>
      <w:start w:val="9"/>
    </w:lvl>
  </w:abstractNum>
  <w:abstractNum w:abstractNumId="10">
    <w:nsid w:val="2D1D5AE9"/>
    <w:multiLevelType w:val="hybridMultilevel"/>
    <w:lvl w:ilvl="0">
      <w:lvlJc w:val="left"/>
      <w:lvlText w:val="(%1)"/>
      <w:numFmt w:val="upperLetter"/>
      <w:start w:val="1"/>
    </w:lvl>
    <w:lvl w:ilvl="1">
      <w:lvlJc w:val="left"/>
      <w:lvlText w:val="(%2)"/>
      <w:numFmt w:val="upperLetter"/>
      <w:start w:val="24"/>
    </w:lvl>
  </w:abstractNum>
  <w:abstractNum w:abstractNumId="11">
    <w:nsid w:val="6763845E"/>
    <w:multiLevelType w:val="hybridMultilevel"/>
    <w:lvl w:ilvl="0">
      <w:lvlJc w:val="left"/>
      <w:lvlText w:val="(%1)"/>
      <w:numFmt w:val="upperLetter"/>
      <w:start w:val="24"/>
    </w:lvl>
  </w:abstractNum>
  <w:abstractNum w:abstractNumId="12">
    <w:nsid w:val="75A2A8D4"/>
    <w:multiLevelType w:val="hybridMultilevel"/>
    <w:lvl w:ilvl="0">
      <w:lvlJc w:val="left"/>
      <w:lvlText w:val="(%1)"/>
      <w:numFmt w:val="upperLetter"/>
      <w:start w:val="24"/>
    </w:lvl>
  </w:abstractNum>
  <w:abstractNum w:abstractNumId="13">
    <w:nsid w:val="8EDBDAB"/>
    <w:multiLevelType w:val="hybridMultilevel"/>
    <w:lvl w:ilvl="0">
      <w:lvlJc w:val="left"/>
      <w:lvlText w:val="(%1)"/>
      <w:numFmt w:val="upperLetter"/>
      <w:start w:val="1"/>
    </w:lvl>
    <w:lvl w:ilvl="1">
      <w:lvlJc w:val="left"/>
      <w:lvlText w:val="("/>
      <w:numFmt w:val="bullet"/>
      <w:start w:val="1"/>
    </w:lvl>
  </w:abstractNum>
  <w:abstractNum w:abstractNumId="14">
    <w:nsid w:val="79838CB2"/>
    <w:multiLevelType w:val="hybridMultilevel"/>
    <w:lvl w:ilvl="0">
      <w:lvlJc w:val="left"/>
      <w:lvlText w:val="(%1)"/>
      <w:numFmt w:val="upperLetter"/>
      <w:start w:val="24"/>
    </w:lvl>
  </w:abstractNum>
  <w:abstractNum w:abstractNumId="15">
    <w:nsid w:val="4353D0CD"/>
    <w:multiLevelType w:val="hybridMultilevel"/>
    <w:lvl w:ilvl="0">
      <w:lvlJc w:val="left"/>
      <w:lvlText w:val="(%1)"/>
      <w:numFmt w:val="upperLetter"/>
      <w:start w:val="24"/>
    </w:lvl>
  </w:abstractNum>
  <w:abstractNum w:abstractNumId="16">
    <w:nsid w:val="B03E0C6"/>
    <w:multiLevelType w:val="hybridMultilevel"/>
    <w:lvl w:ilvl="0">
      <w:lvlJc w:val="left"/>
      <w:lvlText w:val="(%1)"/>
      <w:numFmt w:val="upperLetter"/>
      <w:start w:val="24"/>
    </w:lvl>
  </w:abstractNum>
  <w:abstractNum w:abstractNumId="17">
    <w:nsid w:val="189A769B"/>
    <w:multiLevelType w:val="hybridMultilevel"/>
    <w:lvl w:ilvl="0">
      <w:lvlJc w:val="left"/>
      <w:lvlText w:val="(%1)"/>
      <w:numFmt w:val="upperLetter"/>
      <w:start w:val="2"/>
    </w:lvl>
    <w:lvl w:ilvl="1">
      <w:lvlJc w:val="left"/>
      <w:lvlText w:val="("/>
      <w:numFmt w:val="bullet"/>
      <w:start w:val="1"/>
    </w:lvl>
  </w:abstractNum>
  <w:abstractNum w:abstractNumId="18">
    <w:nsid w:val="54E49EB4"/>
    <w:multiLevelType w:val="hybridMultilevel"/>
    <w:lvl w:ilvl="0">
      <w:lvlJc w:val="left"/>
      <w:lvlText w:val="(%1)"/>
      <w:numFmt w:val="upperLetter"/>
      <w:start w:val="24"/>
    </w:lvl>
  </w:abstractNum>
  <w:abstractNum w:abstractNumId="19">
    <w:nsid w:val="71F32454"/>
    <w:multiLevelType w:val="hybridMultilevel"/>
    <w:lvl w:ilvl="0">
      <w:lvlJc w:val="left"/>
      <w:lvlText w:val="(%1)"/>
      <w:numFmt w:val="upperLetter"/>
      <w:start w:val="24"/>
    </w:lvl>
  </w:abstractNum>
  <w:abstractNum w:abstractNumId="20">
    <w:nsid w:val="2CA88611"/>
    <w:multiLevelType w:val="hybridMultilevel"/>
    <w:lvl w:ilvl="0">
      <w:lvlJc w:val="left"/>
      <w:lvlText w:val="(%1)"/>
      <w:numFmt w:val="upperLetter"/>
      <w:start w:val="24"/>
    </w:lvl>
  </w:abstractNum>
  <w:abstractNum w:abstractNumId="21">
    <w:nsid w:val="836C40E"/>
    <w:multiLevelType w:val="hybridMultilevel"/>
    <w:lvl w:ilvl="0">
      <w:lvlJc w:val="left"/>
      <w:lvlText w:val="(%1)"/>
      <w:numFmt w:val="upperLetter"/>
      <w:start w:val="24"/>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upperLetter"/>
      <w:start w:val="24"/>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2020-01-10T14:55:16Z</dcterms:created>
  <dcterms:modified xsi:type="dcterms:W3CDTF">2020-01-10T14:55:16Z</dcterms:modified>
</cp:coreProperties>
</file>