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28, 2022</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20" w:space="720"/>
            <w:col w:w="3060"/>
          </w:cols>
          <w:pgMar w:left="320" w:top="760"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3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7"/>
              </w:rPr>
              <w:t>Title of each class</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4320" w:type="dxa"/>
            <w:vAlign w:val="bottom"/>
          </w:tcPr>
          <w:p>
            <w:pPr>
              <w:jc w:val="center"/>
              <w:ind w:left="9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700" w:type="dxa"/>
            <w:vAlign w:val="bottom"/>
          </w:tcPr>
          <w:p>
            <w:pPr>
              <w:jc w:val="center"/>
              <w:spacing w:after="0" w:line="195" w:lineRule="exact"/>
              <w:rPr>
                <w:sz w:val="20"/>
                <w:szCs w:val="20"/>
                <w:color w:val="auto"/>
              </w:rPr>
            </w:pPr>
            <w:r>
              <w:rPr>
                <w:rFonts w:ascii="Arial" w:cs="Arial" w:eastAsia="Arial" w:hAnsi="Arial"/>
                <w:sz w:val="18"/>
                <w:szCs w:val="18"/>
                <w:color w:val="auto"/>
                <w:w w:val="97"/>
              </w:rPr>
              <w:t>CWEN.A</w:t>
            </w:r>
          </w:p>
        </w:tc>
        <w:tc>
          <w:tcPr>
            <w:tcW w:w="4220" w:type="dxa"/>
            <w:vAlign w:val="bottom"/>
          </w:tcPr>
          <w:p>
            <w:pPr>
              <w:jc w:val="center"/>
              <w:ind w:right="17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320" w:type="dxa"/>
            <w:vAlign w:val="bottom"/>
          </w:tcPr>
          <w:p>
            <w:pPr>
              <w:jc w:val="center"/>
              <w:ind w:left="110"/>
              <w:spacing w:after="0"/>
              <w:rPr>
                <w:sz w:val="20"/>
                <w:szCs w:val="20"/>
                <w:color w:val="auto"/>
              </w:rPr>
            </w:pPr>
            <w:r>
              <w:rPr>
                <w:rFonts w:ascii="Arial" w:cs="Arial" w:eastAsia="Arial" w:hAnsi="Arial"/>
                <w:sz w:val="18"/>
                <w:szCs w:val="18"/>
                <w:color w:val="auto"/>
                <w:w w:val="89"/>
              </w:rPr>
              <w:t>Class C Common Stock, par value $0.01</w:t>
            </w: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CWEN</w:t>
            </w:r>
          </w:p>
        </w:tc>
        <w:tc>
          <w:tcPr>
            <w:tcW w:w="4220" w:type="dxa"/>
            <w:vAlign w:val="bottom"/>
          </w:tcPr>
          <w:p>
            <w:pPr>
              <w:jc w:val="center"/>
              <w:ind w:right="17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8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ind w:left="120"/>
        <w:spacing w:after="0"/>
        <w:tabs>
          <w:tab w:leader="none" w:pos="14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Clearway Energy, Inc. (the “Company”) held its Annual Meeting of Stockholders (the “Annual Meeting”) on April 28, 2022. Set forth below are the final voting results for each of the proposals submitted to a vote of the stockholders at the Annual Meeting.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(a) Proposal 1 – Election of nine directors</w:t>
            </w: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46"/>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23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6"/>
              </w:rPr>
              <w:t>Votes For</w:t>
            </w:r>
          </w:p>
        </w:tc>
        <w:tc>
          <w:tcPr>
            <w:tcW w:w="2900" w:type="dxa"/>
            <w:vAlign w:val="bottom"/>
            <w:gridSpan w:val="2"/>
          </w:tcPr>
          <w:p>
            <w:pPr>
              <w:ind w:left="820"/>
              <w:spacing w:after="0"/>
              <w:rPr>
                <w:sz w:val="20"/>
                <w:szCs w:val="20"/>
                <w:color w:val="auto"/>
              </w:rPr>
            </w:pPr>
            <w:r>
              <w:rPr>
                <w:rFonts w:ascii="Arial" w:cs="Arial" w:eastAsia="Arial" w:hAnsi="Arial"/>
                <w:sz w:val="18"/>
                <w:szCs w:val="18"/>
                <w:b w:val="1"/>
                <w:bCs w:val="1"/>
                <w:color w:val="auto"/>
              </w:rPr>
              <w:t>Votes Against</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9"/>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Jonathan Bram</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ind w:right="470"/>
              <w:spacing w:after="0"/>
              <w:rPr>
                <w:sz w:val="20"/>
                <w:szCs w:val="20"/>
                <w:color w:val="auto"/>
              </w:rPr>
            </w:pPr>
            <w:r>
              <w:rPr>
                <w:rFonts w:ascii="Arial" w:cs="Arial" w:eastAsia="Arial" w:hAnsi="Arial"/>
                <w:sz w:val="18"/>
                <w:szCs w:val="18"/>
                <w:color w:val="auto"/>
                <w:w w:val="88"/>
              </w:rPr>
              <w:t>58,667,938</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8,624,691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4,195,951</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Nathaniel Anschuetz</w:t>
            </w:r>
          </w:p>
        </w:tc>
        <w:tc>
          <w:tcPr>
            <w:tcW w:w="2120" w:type="dxa"/>
            <w:vAlign w:val="bottom"/>
          </w:tcPr>
          <w:p>
            <w:pPr>
              <w:jc w:val="center"/>
              <w:ind w:right="470"/>
              <w:spacing w:after="0"/>
              <w:rPr>
                <w:sz w:val="20"/>
                <w:szCs w:val="20"/>
                <w:color w:val="auto"/>
              </w:rPr>
            </w:pPr>
            <w:r>
              <w:rPr>
                <w:rFonts w:ascii="Arial" w:cs="Arial" w:eastAsia="Arial" w:hAnsi="Arial"/>
                <w:sz w:val="18"/>
                <w:szCs w:val="18"/>
                <w:color w:val="auto"/>
                <w:w w:val="88"/>
              </w:rPr>
              <w:t>65,633,938</w:t>
            </w:r>
          </w:p>
        </w:tc>
        <w:tc>
          <w:tcPr>
            <w:tcW w:w="2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1,658,691</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4,195,951</w:t>
            </w:r>
          </w:p>
        </w:tc>
      </w:tr>
      <w:tr>
        <w:trPr>
          <w:trHeight w:val="216"/>
        </w:trPr>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R. Ford</w:t>
            </w:r>
          </w:p>
        </w:tc>
        <w:tc>
          <w:tcPr>
            <w:tcW w:w="212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88"/>
              </w:rPr>
              <w:t>65,716,356</w:t>
            </w: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1,576,273</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4,195,951</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Jennifer Lowry</w:t>
            </w:r>
          </w:p>
        </w:tc>
        <w:tc>
          <w:tcPr>
            <w:tcW w:w="2120" w:type="dxa"/>
            <w:vAlign w:val="bottom"/>
          </w:tcPr>
          <w:p>
            <w:pPr>
              <w:jc w:val="center"/>
              <w:ind w:right="470"/>
              <w:spacing w:after="0"/>
              <w:rPr>
                <w:sz w:val="20"/>
                <w:szCs w:val="20"/>
                <w:color w:val="auto"/>
              </w:rPr>
            </w:pPr>
            <w:r>
              <w:rPr>
                <w:rFonts w:ascii="Arial" w:cs="Arial" w:eastAsia="Arial" w:hAnsi="Arial"/>
                <w:sz w:val="18"/>
                <w:szCs w:val="18"/>
                <w:color w:val="auto"/>
                <w:w w:val="88"/>
              </w:rPr>
              <w:t>66,626,238</w:t>
            </w:r>
          </w:p>
        </w:tc>
        <w:tc>
          <w:tcPr>
            <w:tcW w:w="2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666,391</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4,195,951</w:t>
            </w:r>
          </w:p>
        </w:tc>
      </w:tr>
      <w:tr>
        <w:trPr>
          <w:trHeight w:val="216"/>
        </w:trPr>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Bruce MacLennan</w:t>
            </w:r>
          </w:p>
        </w:tc>
        <w:tc>
          <w:tcPr>
            <w:tcW w:w="212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88"/>
              </w:rPr>
              <w:t>65,633,815</w:t>
            </w: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1,658,814</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4,195,951</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Ferrell P. McClean</w:t>
            </w:r>
          </w:p>
        </w:tc>
        <w:tc>
          <w:tcPr>
            <w:tcW w:w="2120" w:type="dxa"/>
            <w:vAlign w:val="bottom"/>
          </w:tcPr>
          <w:p>
            <w:pPr>
              <w:jc w:val="center"/>
              <w:ind w:right="470"/>
              <w:spacing w:after="0"/>
              <w:rPr>
                <w:sz w:val="20"/>
                <w:szCs w:val="20"/>
                <w:color w:val="auto"/>
              </w:rPr>
            </w:pPr>
            <w:r>
              <w:rPr>
                <w:rFonts w:ascii="Arial" w:cs="Arial" w:eastAsia="Arial" w:hAnsi="Arial"/>
                <w:sz w:val="18"/>
                <w:szCs w:val="18"/>
                <w:color w:val="auto"/>
                <w:w w:val="88"/>
              </w:rPr>
              <w:t>65,022,483</w:t>
            </w:r>
          </w:p>
        </w:tc>
        <w:tc>
          <w:tcPr>
            <w:tcW w:w="2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2,270,146</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4,195,951</w:t>
            </w:r>
          </w:p>
        </w:tc>
      </w:tr>
      <w:tr>
        <w:trPr>
          <w:trHeight w:val="216"/>
        </w:trPr>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B. More</w:t>
            </w:r>
          </w:p>
        </w:tc>
        <w:tc>
          <w:tcPr>
            <w:tcW w:w="212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88"/>
              </w:rPr>
              <w:t>66,018,327</w:t>
            </w: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1,274,302</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4,195,951</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E. Stanley O’Neal</w:t>
            </w:r>
          </w:p>
        </w:tc>
        <w:tc>
          <w:tcPr>
            <w:tcW w:w="2120" w:type="dxa"/>
            <w:vAlign w:val="bottom"/>
          </w:tcPr>
          <w:p>
            <w:pPr>
              <w:jc w:val="center"/>
              <w:ind w:right="470"/>
              <w:spacing w:after="0"/>
              <w:rPr>
                <w:sz w:val="20"/>
                <w:szCs w:val="20"/>
                <w:color w:val="auto"/>
              </w:rPr>
            </w:pPr>
            <w:r>
              <w:rPr>
                <w:rFonts w:ascii="Arial" w:cs="Arial" w:eastAsia="Arial" w:hAnsi="Arial"/>
                <w:sz w:val="18"/>
                <w:szCs w:val="18"/>
                <w:color w:val="auto"/>
                <w:w w:val="88"/>
              </w:rPr>
              <w:t>66,637,318</w:t>
            </w:r>
          </w:p>
        </w:tc>
        <w:tc>
          <w:tcPr>
            <w:tcW w:w="2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655,311</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4,195,951</w:t>
            </w:r>
          </w:p>
        </w:tc>
      </w:tr>
      <w:tr>
        <w:trPr>
          <w:trHeight w:val="216"/>
        </w:trPr>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S. Sotos</w:t>
            </w:r>
          </w:p>
        </w:tc>
        <w:tc>
          <w:tcPr>
            <w:tcW w:w="212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88"/>
              </w:rPr>
              <w:t>66,511,658</w:t>
            </w: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780,971</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4,195,951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the foregoing Proposal 1, all nine directors were elected and each received a plurality of the votes cast at the Annual Meeting.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 Proposal 2 — Advisory vote on the Company’s executive compensation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Votes For</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Against</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Abstentions</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9"/>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66,286,471</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rPr>
              <w:t>826,388</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179,768</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4,195,953</w:t>
            </w:r>
          </w:p>
        </w:tc>
      </w:tr>
      <w:tr>
        <w:trPr>
          <w:trHeight w:val="432"/>
        </w:trPr>
        <w:tc>
          <w:tcPr>
            <w:tcW w:w="2960" w:type="dxa"/>
            <w:vAlign w:val="bottom"/>
            <w:gridSpan w:val="2"/>
          </w:tcPr>
          <w:p>
            <w:pPr>
              <w:spacing w:after="0"/>
              <w:rPr>
                <w:sz w:val="20"/>
                <w:szCs w:val="20"/>
                <w:color w:val="auto"/>
              </w:rPr>
            </w:pPr>
            <w:r>
              <w:rPr>
                <w:rFonts w:ascii="Arial" w:cs="Arial" w:eastAsia="Arial" w:hAnsi="Arial"/>
                <w:sz w:val="18"/>
                <w:szCs w:val="18"/>
                <w:color w:val="auto"/>
                <w:w w:val="90"/>
              </w:rPr>
              <w:t>The foregoing Proposal 2 was approved.</w:t>
            </w: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202" w:lineRule="exact"/>
        <w:rPr>
          <w:sz w:val="20"/>
          <w:szCs w:val="20"/>
          <w:color w:val="auto"/>
        </w:rPr>
      </w:pPr>
    </w:p>
    <w:p>
      <w:pPr>
        <w:ind w:right="280" w:firstLine="8"/>
        <w:spacing w:after="0" w:line="277"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Proposal 3 – Ratification of the Appointment of Ernst &amp; Young LLP as the Company’s Independent Registered Public Accounting Firm for the 2022 fiscal year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ind w:left="1000"/>
              <w:spacing w:after="0"/>
              <w:rPr>
                <w:sz w:val="20"/>
                <w:szCs w:val="20"/>
                <w:color w:val="auto"/>
              </w:rPr>
            </w:pPr>
            <w:r>
              <w:rPr>
                <w:rFonts w:ascii="Arial" w:cs="Arial" w:eastAsia="Arial" w:hAnsi="Arial"/>
                <w:sz w:val="18"/>
                <w:szCs w:val="18"/>
                <w:b w:val="1"/>
                <w:bCs w:val="1"/>
                <w:color w:val="auto"/>
              </w:rPr>
              <w:t>Votes For</w:t>
            </w:r>
          </w:p>
        </w:tc>
        <w:tc>
          <w:tcPr>
            <w:tcW w:w="2800" w:type="dxa"/>
            <w:vAlign w:val="bottom"/>
            <w:gridSpan w:val="2"/>
          </w:tcPr>
          <w:p>
            <w:pPr>
              <w:ind w:left="780"/>
              <w:spacing w:after="0"/>
              <w:rPr>
                <w:sz w:val="20"/>
                <w:szCs w:val="20"/>
                <w:color w:val="auto"/>
              </w:rPr>
            </w:pPr>
            <w:r>
              <w:rPr>
                <w:rFonts w:ascii="Arial" w:cs="Arial" w:eastAsia="Arial" w:hAnsi="Arial"/>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Arial" w:cs="Arial" w:eastAsia="Arial" w:hAnsi="Arial"/>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71,371,388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54,334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62,858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960" w:type="dxa"/>
            <w:vAlign w:val="bottom"/>
            <w:gridSpan w:val="2"/>
          </w:tcPr>
          <w:p>
            <w:pPr>
              <w:spacing w:after="0"/>
              <w:rPr>
                <w:sz w:val="20"/>
                <w:szCs w:val="20"/>
                <w:color w:val="auto"/>
              </w:rPr>
            </w:pPr>
            <w:r>
              <w:rPr>
                <w:rFonts w:ascii="Arial" w:cs="Arial" w:eastAsia="Arial" w:hAnsi="Arial"/>
                <w:sz w:val="18"/>
                <w:szCs w:val="18"/>
                <w:color w:val="auto"/>
                <w:w w:val="90"/>
              </w:rPr>
              <w:t>The foregoing Proposal 3 was approved.</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5"/>
        </w:trPr>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Clearway Energy,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Executive Vice President, General Counsel and Corporate Secretary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2022-05-03T15:29:58Z</dcterms:created>
  <dcterms:modified xsi:type="dcterms:W3CDTF">2022-05-03T15:29:58Z</dcterms:modified>
</cp:coreProperties>
</file>