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818515</wp:posOffset>
            </wp:positionV>
            <wp:extent cx="716534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13335"/>
                    </a:xfrm>
                    <a:prstGeom prst="rect">
                      <a:avLst/>
                    </a:prstGeom>
                    <a:noFill/>
                  </pic:spPr>
                </pic:pic>
              </a:graphicData>
            </a:graphic>
          </wp:anchor>
        </w:drawing>
        <w:t>UNITED STATES</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231F20"/>
        </w:rPr>
        <w:t>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August 2, 2022</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CLEARWAY ENERGY, INC.</w:t>
      </w:r>
    </w:p>
    <w:p>
      <w:pPr>
        <w:sectPr>
          <w:pgSz w:w="11900" w:h="16838" w:orient="portrait"/>
          <w:cols w:equalWidth="0" w:num="1">
            <w:col w:w="11280"/>
          </w:cols>
          <w:pgMar w:left="300" w:top="1421" w:right="319" w:bottom="1440" w:gutter="0" w:footer="0" w:header="0"/>
        </w:sectPr>
      </w:pPr>
    </w:p>
    <w:p>
      <w:pPr>
        <w:spacing w:after="0" w:line="312"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Delaware</w:t>
      </w:r>
    </w:p>
    <w:p>
      <w:pPr>
        <w:spacing w:after="0" w:line="26" w:lineRule="exact"/>
        <w:rPr>
          <w:sz w:val="24"/>
          <w:szCs w:val="24"/>
          <w:color w:val="auto"/>
        </w:rPr>
      </w:pPr>
    </w:p>
    <w:p>
      <w:pPr>
        <w:jc w:val="center"/>
        <w:ind w:left="3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left="360"/>
        <w:spacing w:after="0"/>
        <w:rPr>
          <w:sz w:val="20"/>
          <w:szCs w:val="20"/>
          <w:color w:val="auto"/>
        </w:rPr>
      </w:pPr>
      <w:r>
        <w:rPr>
          <w:rFonts w:ascii="Arial" w:cs="Arial" w:eastAsia="Arial" w:hAnsi="Arial"/>
          <w:sz w:val="13"/>
          <w:szCs w:val="13"/>
          <w:color w:val="auto"/>
        </w:rPr>
        <w:t>(Exact name of registrant as specified in its charter)</w:t>
      </w:r>
    </w:p>
    <w:p>
      <w:pPr>
        <w:spacing w:after="0" w:line="84"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001-36002</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14"/>
          <w:szCs w:val="14"/>
          <w:color w:val="auto"/>
        </w:rPr>
        <w:t>(Commission File Number)</w:t>
      </w:r>
    </w:p>
    <w:p>
      <w:pPr>
        <w:spacing w:after="0" w:line="8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300 Carnegie Center, Suite 300, Princeton, New Jersey 08540</w:t>
      </w:r>
    </w:p>
    <w:p>
      <w:pPr>
        <w:spacing w:after="0" w:line="50" w:lineRule="exact"/>
        <w:rPr>
          <w:sz w:val="24"/>
          <w:szCs w:val="24"/>
          <w:color w:val="auto"/>
        </w:rPr>
      </w:pPr>
    </w:p>
    <w:p>
      <w:pPr>
        <w:ind w:left="140"/>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43"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(609) 608-1525</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46-1777204</w:t>
      </w:r>
    </w:p>
    <w:p>
      <w:pPr>
        <w:spacing w:after="0" w:line="26" w:lineRule="exact"/>
        <w:rPr>
          <w:sz w:val="24"/>
          <w:szCs w:val="24"/>
          <w:color w:val="auto"/>
        </w:rPr>
      </w:pPr>
    </w:p>
    <w:p>
      <w:pPr>
        <w:jc w:val="center"/>
        <w:ind w:right="1220"/>
        <w:spacing w:after="0"/>
        <w:rPr>
          <w:sz w:val="20"/>
          <w:szCs w:val="20"/>
          <w:color w:val="auto"/>
        </w:rPr>
      </w:pPr>
      <w:r>
        <w:rPr>
          <w:rFonts w:ascii="Arial" w:cs="Arial" w:eastAsia="Arial" w:hAnsi="Arial"/>
          <w:sz w:val="11"/>
          <w:szCs w:val="11"/>
          <w:color w:val="auto"/>
        </w:rPr>
        <w:t>(I.R.S. Employer Identification No.)</w:t>
      </w:r>
    </w:p>
    <w:p>
      <w:pPr>
        <w:spacing w:after="0" w:line="1491" w:lineRule="exact"/>
        <w:rPr>
          <w:sz w:val="24"/>
          <w:szCs w:val="24"/>
          <w:color w:val="auto"/>
        </w:rPr>
      </w:pPr>
    </w:p>
    <w:p>
      <w:pPr>
        <w:sectPr>
          <w:pgSz w:w="11900" w:h="16838" w:orient="portrait"/>
          <w:cols w:equalWidth="0" w:num="3">
            <w:col w:w="3580" w:space="300"/>
            <w:col w:w="3540" w:space="640"/>
            <w:col w:w="3220"/>
          </w:cols>
          <w:pgMar w:left="300" w:top="1421" w:right="31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222" w:lineRule="exact"/>
        <w:rPr>
          <w:sz w:val="24"/>
          <w:szCs w:val="2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8" w:lineRule="exact"/>
        <w:rPr>
          <w:rFonts w:ascii="MS PGothic" w:cs="MS PGothic" w:eastAsia="MS PGothic" w:hAnsi="MS PGothic"/>
          <w:sz w:val="14"/>
          <w:szCs w:val="1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Soliciting material pursuant to Rule 14a-12 under the Exchange Act (17 CFR 240.14a-12)</w:t>
      </w:r>
    </w:p>
    <w:p>
      <w:pPr>
        <w:spacing w:after="0" w:line="20" w:lineRule="exact"/>
        <w:rPr>
          <w:rFonts w:ascii="MS PGothic" w:cs="MS PGothic" w:eastAsia="MS PGothic" w:hAnsi="MS PGothic"/>
          <w:sz w:val="14"/>
          <w:szCs w:val="1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14d-2(b) under the Exchange Act (17 CFR 240.14d-2(b))</w:t>
      </w:r>
    </w:p>
    <w:p>
      <w:pPr>
        <w:spacing w:after="0" w:line="13" w:lineRule="exact"/>
        <w:rPr>
          <w:rFonts w:ascii="MS PGothic" w:cs="MS PGothic" w:eastAsia="MS PGothic" w:hAnsi="MS PGothic"/>
          <w:sz w:val="14"/>
          <w:szCs w:val="14"/>
          <w:color w:val="auto"/>
        </w:rPr>
      </w:pPr>
    </w:p>
    <w:p>
      <w:pPr>
        <w:ind w:right="4980" w:firstLine="33"/>
        <w:spacing w:after="0" w:line="272" w:lineRule="auto"/>
        <w:tabs>
          <w:tab w:leader="none" w:pos="192"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 xml:space="preserve">Pre-commencement communications pursuant to Rule 13e-4(c) under the Exchange Act (17 CFR 240.13e-4(c)) </w:t>
      </w:r>
      <w:r>
        <w:rPr>
          <w:rFonts w:ascii="Arial" w:cs="Arial" w:eastAsia="Arial" w:hAnsi="Arial"/>
          <w:sz w:val="14"/>
          <w:szCs w:val="14"/>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4"/>
              </w:rPr>
              <w:t>Title of each class</w:t>
            </w:r>
          </w:p>
        </w:tc>
        <w:tc>
          <w:tcPr>
            <w:tcW w:w="27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7"/>
              </w:rPr>
              <w:t>Trading Symbol(s)</w:t>
            </w:r>
          </w:p>
        </w:tc>
        <w:tc>
          <w:tcPr>
            <w:tcW w:w="47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65"/>
        </w:trPr>
        <w:tc>
          <w:tcPr>
            <w:tcW w:w="3820" w:type="dxa"/>
            <w:vAlign w:val="bottom"/>
          </w:tcPr>
          <w:p>
            <w:pPr>
              <w:jc w:val="center"/>
              <w:ind w:left="12"/>
              <w:spacing w:after="0"/>
              <w:rPr>
                <w:sz w:val="20"/>
                <w:szCs w:val="20"/>
                <w:color w:val="auto"/>
              </w:rPr>
            </w:pPr>
            <w:r>
              <w:rPr>
                <w:rFonts w:ascii="Arial" w:cs="Arial" w:eastAsia="Arial" w:hAnsi="Arial"/>
                <w:sz w:val="14"/>
                <w:szCs w:val="14"/>
                <w:color w:val="auto"/>
                <w:w w:val="88"/>
              </w:rPr>
              <w:t>Class A Common Stock, par value $0.01</w:t>
            </w:r>
          </w:p>
        </w:tc>
        <w:tc>
          <w:tcPr>
            <w:tcW w:w="2760" w:type="dxa"/>
            <w:vAlign w:val="bottom"/>
          </w:tcPr>
          <w:p>
            <w:pPr>
              <w:jc w:val="center"/>
              <w:ind w:right="132"/>
              <w:spacing w:after="0"/>
              <w:rPr>
                <w:sz w:val="20"/>
                <w:szCs w:val="20"/>
                <w:color w:val="auto"/>
              </w:rPr>
            </w:pPr>
            <w:r>
              <w:rPr>
                <w:rFonts w:ascii="Arial" w:cs="Arial" w:eastAsia="Arial" w:hAnsi="Arial"/>
                <w:sz w:val="14"/>
                <w:szCs w:val="14"/>
                <w:color w:val="auto"/>
                <w:w w:val="92"/>
              </w:rPr>
              <w:t>CWEN.A</w:t>
            </w:r>
          </w:p>
        </w:tc>
        <w:tc>
          <w:tcPr>
            <w:tcW w:w="4700" w:type="dxa"/>
            <w:vAlign w:val="bottom"/>
          </w:tcPr>
          <w:p>
            <w:pPr>
              <w:jc w:val="center"/>
              <w:ind w:right="192"/>
              <w:spacing w:after="0"/>
              <w:rPr>
                <w:sz w:val="20"/>
                <w:szCs w:val="20"/>
                <w:color w:val="auto"/>
              </w:rPr>
            </w:pPr>
            <w:r>
              <w:rPr>
                <w:rFonts w:ascii="Arial" w:cs="Arial" w:eastAsia="Arial" w:hAnsi="Arial"/>
                <w:sz w:val="14"/>
                <w:szCs w:val="14"/>
                <w:color w:val="auto"/>
                <w:w w:val="89"/>
              </w:rPr>
              <w:t>New York Stock Exchange</w:t>
            </w:r>
          </w:p>
        </w:tc>
      </w:tr>
      <w:tr>
        <w:trPr>
          <w:trHeight w:val="174"/>
        </w:trPr>
        <w:tc>
          <w:tcPr>
            <w:tcW w:w="3820" w:type="dxa"/>
            <w:vAlign w:val="bottom"/>
          </w:tcPr>
          <w:p>
            <w:pPr>
              <w:jc w:val="center"/>
              <w:ind w:left="12"/>
              <w:spacing w:after="0"/>
              <w:rPr>
                <w:sz w:val="20"/>
                <w:szCs w:val="20"/>
                <w:color w:val="auto"/>
              </w:rPr>
            </w:pPr>
            <w:r>
              <w:rPr>
                <w:rFonts w:ascii="Arial" w:cs="Arial" w:eastAsia="Arial" w:hAnsi="Arial"/>
                <w:sz w:val="14"/>
                <w:szCs w:val="14"/>
                <w:color w:val="auto"/>
                <w:w w:val="87"/>
              </w:rPr>
              <w:t>Class C Common Stock, par value $0.01</w:t>
            </w:r>
          </w:p>
        </w:tc>
        <w:tc>
          <w:tcPr>
            <w:tcW w:w="2760" w:type="dxa"/>
            <w:vAlign w:val="bottom"/>
          </w:tcPr>
          <w:p>
            <w:pPr>
              <w:jc w:val="center"/>
              <w:ind w:right="132"/>
              <w:spacing w:after="0"/>
              <w:rPr>
                <w:sz w:val="20"/>
                <w:szCs w:val="20"/>
                <w:color w:val="auto"/>
              </w:rPr>
            </w:pPr>
            <w:r>
              <w:rPr>
                <w:rFonts w:ascii="Arial" w:cs="Arial" w:eastAsia="Arial" w:hAnsi="Arial"/>
                <w:sz w:val="14"/>
                <w:szCs w:val="14"/>
                <w:color w:val="auto"/>
                <w:w w:val="93"/>
              </w:rPr>
              <w:t>CWEN</w:t>
            </w:r>
          </w:p>
        </w:tc>
        <w:tc>
          <w:tcPr>
            <w:tcW w:w="4700" w:type="dxa"/>
            <w:vAlign w:val="bottom"/>
          </w:tcPr>
          <w:p>
            <w:pPr>
              <w:jc w:val="center"/>
              <w:ind w:right="192"/>
              <w:spacing w:after="0"/>
              <w:rPr>
                <w:sz w:val="20"/>
                <w:szCs w:val="20"/>
                <w:color w:val="auto"/>
              </w:rPr>
            </w:pPr>
            <w:r>
              <w:rPr>
                <w:rFonts w:ascii="Arial" w:cs="Arial" w:eastAsia="Arial" w:hAnsi="Arial"/>
                <w:sz w:val="14"/>
                <w:szCs w:val="14"/>
                <w:color w:val="auto"/>
                <w:w w:val="89"/>
              </w:rPr>
              <w:t>New York Stock Exchange</w:t>
            </w:r>
          </w:p>
        </w:tc>
      </w:tr>
    </w:tbl>
    <w:p>
      <w:pPr>
        <w:spacing w:after="0" w:line="236" w:lineRule="exact"/>
        <w:rPr>
          <w:sz w:val="24"/>
          <w:szCs w:val="24"/>
          <w:color w:val="auto"/>
        </w:rPr>
      </w:pPr>
    </w:p>
    <w:p>
      <w:pPr>
        <w:ind w:right="120"/>
        <w:spacing w:after="0" w:line="24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640"/>
        <w:spacing w:after="0" w:line="127" w:lineRule="exact"/>
        <w:rPr>
          <w:sz w:val="20"/>
          <w:szCs w:val="20"/>
          <w:color w:val="auto"/>
        </w:rPr>
      </w:pPr>
      <w:r>
        <w:rPr>
          <w:rFonts w:ascii="Arial" w:cs="Arial" w:eastAsia="Arial" w:hAnsi="Arial"/>
          <w:sz w:val="11"/>
          <w:szCs w:val="11"/>
          <w:color w:val="231F20"/>
        </w:rPr>
        <w:t xml:space="preserve">Emerging growth company </w:t>
      </w:r>
      <w:r>
        <w:rPr>
          <w:rFonts w:ascii="MS PGothic" w:cs="MS PGothic" w:eastAsia="MS PGothic" w:hAnsi="MS PGothic"/>
          <w:sz w:val="11"/>
          <w:szCs w:val="11"/>
          <w:color w:val="000000"/>
        </w:rPr>
        <w:t>☐</w:t>
      </w:r>
    </w:p>
    <w:p>
      <w:pPr>
        <w:spacing w:after="0" w:line="215" w:lineRule="exact"/>
        <w:rPr>
          <w:sz w:val="24"/>
          <w:szCs w:val="24"/>
          <w:color w:val="auto"/>
        </w:rPr>
      </w:pPr>
    </w:p>
    <w:p>
      <w:pPr>
        <w:ind w:right="80"/>
        <w:spacing w:after="0" w:line="24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682625</wp:posOffset>
            </wp:positionV>
            <wp:extent cx="719074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421" w:right="319" w:bottom="1440" w:gutter="0" w:footer="0" w:header="0"/>
          <w:type w:val="continuous"/>
        </w:sectPr>
      </w:pPr>
    </w:p>
    <w:bookmarkStart w:id="1" w:name="page2"/>
    <w:bookmarkEnd w:id="1"/>
    <w:p>
      <w:pPr>
        <w:spacing w:after="0"/>
        <w:tabs>
          <w:tab w:leader="none" w:pos="66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90" w:lineRule="exact"/>
        <w:rPr>
          <w:sz w:val="20"/>
          <w:szCs w:val="20"/>
          <w:color w:val="auto"/>
        </w:rPr>
      </w:pPr>
    </w:p>
    <w:p>
      <w:pPr>
        <w:jc w:val="both"/>
        <w:ind w:firstLine="142"/>
        <w:spacing w:after="0" w:line="283" w:lineRule="auto"/>
        <w:rPr>
          <w:sz w:val="20"/>
          <w:szCs w:val="20"/>
          <w:color w:val="auto"/>
        </w:rPr>
      </w:pPr>
      <w:r>
        <w:rPr>
          <w:rFonts w:ascii="Arial" w:cs="Arial" w:eastAsia="Arial" w:hAnsi="Arial"/>
          <w:sz w:val="13"/>
          <w:szCs w:val="13"/>
          <w:color w:val="auto"/>
        </w:rPr>
        <w:t xml:space="preserve">On August 2, 2022, Clearway Energy, Inc. issued a press release announcing its financial results for the quarter ended June 30, 2022. A copy of the press release is furnished as Exhibit 99.1 to this report on Form 8-K and is hereby incorporated by reference. </w:t>
      </w:r>
      <w:r>
        <w:rPr>
          <w:rFonts w:ascii="Arial" w:cs="Arial" w:eastAsia="Arial" w:hAnsi="Arial"/>
          <w:sz w:val="13"/>
          <w:szCs w:val="13"/>
          <w:color w:val="212529"/>
        </w:rPr>
        <w:t>In accordance with General Instruction B.2 of Form 8-K, the information set forth in this Item 2.02 and in the attached exhibit are deemed to be</w:t>
      </w:r>
      <w:r>
        <w:rPr>
          <w:rFonts w:ascii="Arial" w:cs="Arial" w:eastAsia="Arial" w:hAnsi="Arial"/>
          <w:sz w:val="13"/>
          <w:szCs w:val="13"/>
          <w:color w:val="auto"/>
        </w:rPr>
        <w:t xml:space="preserve"> </w:t>
      </w:r>
      <w:r>
        <w:rPr>
          <w:rFonts w:ascii="Arial" w:cs="Arial" w:eastAsia="Arial" w:hAnsi="Arial"/>
          <w:sz w:val="13"/>
          <w:szCs w:val="13"/>
          <w:color w:val="212529"/>
        </w:rPr>
        <w:t>furnished and shall not be deemed to be “filed” for purposes of Section 18 of the Securities Exchange Act of 1934, as amended (the “Exchange Act”).</w:t>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 Exhibits</w:t>
      </w:r>
    </w:p>
    <w:p>
      <w:pPr>
        <w:spacing w:after="0" w:line="188"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4"/>
          <w:szCs w:val="14"/>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80"/>
          </w:cols>
          <w:pgMar w:left="300" w:top="1019" w:right="319" w:bottom="1440" w:gutter="0" w:footer="0" w:header="0"/>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55880</wp:posOffset>
            </wp:positionV>
            <wp:extent cx="12636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6350"/>
                    </a:xfrm>
                    <a:prstGeom prst="rect">
                      <a:avLst/>
                    </a:prstGeom>
                    <a:noFill/>
                  </pic:spPr>
                </pic:pic>
              </a:graphicData>
            </a:graphic>
          </wp:anchor>
        </w:drawing>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10160</wp:posOffset>
            </wp:positionV>
            <wp:extent cx="51784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8425" cy="6350"/>
                    </a:xfrm>
                    <a:prstGeom prst="rect">
                      <a:avLst/>
                    </a:prstGeom>
                    <a:noFill/>
                  </pic:spPr>
                </pic:pic>
              </a:graphicData>
            </a:graphic>
          </wp:anchor>
        </w:drawing>
      </w:r>
    </w:p>
    <w:p>
      <w:pPr>
        <w:spacing w:after="0" w:line="6" w:lineRule="exact"/>
        <w:rPr>
          <w:sz w:val="20"/>
          <w:szCs w:val="20"/>
          <w:color w:val="auto"/>
        </w:rPr>
      </w:pPr>
    </w:p>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Press Release, dated August 2, 2022</w:t>
        </w:r>
      </w:hyperlink>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p>
      <w:pPr>
        <w:spacing w:after="0" w:line="234" w:lineRule="exact"/>
        <w:rPr>
          <w:sz w:val="20"/>
          <w:szCs w:val="20"/>
          <w:color w:val="auto"/>
        </w:rPr>
      </w:pPr>
    </w:p>
    <w:p>
      <w:pPr>
        <w:sectPr>
          <w:pgSz w:w="11900" w:h="16838" w:orient="portrait"/>
          <w:cols w:equalWidth="0" w:num="2">
            <w:col w:w="1760" w:space="720"/>
            <w:col w:w="8800"/>
          </w:cols>
          <w:pgMar w:left="300" w:top="101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165735</wp:posOffset>
            </wp:positionV>
            <wp:extent cx="719074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019"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4"/>
          <w:szCs w:val="14"/>
          <w:b w:val="1"/>
          <w:bCs w:val="1"/>
          <w:u w:val="single" w:color="auto"/>
          <w:color w:val="auto"/>
        </w:rPr>
        <w:t>SIGNATURES</w:t>
      </w: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Clearway Energy, Inc.</w:t>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(Registrant)</w:t>
      </w:r>
    </w:p>
    <w:p>
      <w:pPr>
        <w:spacing w:after="0" w:line="208" w:lineRule="exact"/>
        <w:rPr>
          <w:sz w:val="20"/>
          <w:szCs w:val="20"/>
          <w:color w:val="auto"/>
        </w:rPr>
      </w:pPr>
    </w:p>
    <w:tbl>
      <w:tblPr>
        <w:tblLayout w:type="fixed"/>
        <w:tblInd w:w="5620" w:type="dxa"/>
        <w:tblCellMar>
          <w:top w:w="0" w:type="dxa"/>
          <w:left w:w="0" w:type="dxa"/>
          <w:bottom w:w="0" w:type="dxa"/>
          <w:right w:w="0" w:type="dxa"/>
        </w:tblCellMar>
      </w:tblPr>
      <w:tr>
        <w:trPr>
          <w:trHeight w:val="174"/>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Kevin P. Malcarney</w:t>
            </w:r>
          </w:p>
        </w:tc>
      </w:tr>
      <w:tr>
        <w:trPr>
          <w:trHeight w:val="165"/>
        </w:trPr>
        <w:tc>
          <w:tcPr>
            <w:tcW w:w="540" w:type="dxa"/>
            <w:vAlign w:val="bottom"/>
          </w:tcPr>
          <w:p>
            <w:pPr>
              <w:spacing w:after="0"/>
              <w:rPr>
                <w:sz w:val="14"/>
                <w:szCs w:val="14"/>
                <w:color w:val="auto"/>
              </w:rPr>
            </w:pPr>
          </w:p>
        </w:tc>
        <w:tc>
          <w:tcPr>
            <w:tcW w:w="5100" w:type="dxa"/>
            <w:vAlign w:val="bottom"/>
          </w:tcPr>
          <w:p>
            <w:pPr>
              <w:ind w:left="20"/>
              <w:spacing w:after="0"/>
              <w:rPr>
                <w:sz w:val="20"/>
                <w:szCs w:val="20"/>
                <w:color w:val="auto"/>
              </w:rPr>
            </w:pPr>
            <w:r>
              <w:rPr>
                <w:rFonts w:ascii="Arial" w:cs="Arial" w:eastAsia="Arial" w:hAnsi="Arial"/>
                <w:sz w:val="14"/>
                <w:szCs w:val="14"/>
                <w:color w:val="auto"/>
              </w:rPr>
              <w:t>Kevin P. Malcarney</w:t>
            </w:r>
          </w:p>
        </w:tc>
      </w:tr>
      <w:tr>
        <w:trPr>
          <w:trHeight w:val="174"/>
        </w:trPr>
        <w:tc>
          <w:tcPr>
            <w:tcW w:w="540" w:type="dxa"/>
            <w:vAlign w:val="bottom"/>
          </w:tcPr>
          <w:p>
            <w:pPr>
              <w:spacing w:after="0"/>
              <w:rPr>
                <w:sz w:val="15"/>
                <w:szCs w:val="15"/>
                <w:color w:val="auto"/>
              </w:rPr>
            </w:pPr>
          </w:p>
        </w:tc>
        <w:tc>
          <w:tcPr>
            <w:tcW w:w="5100" w:type="dxa"/>
            <w:vAlign w:val="bottom"/>
          </w:tcPr>
          <w:p>
            <w:pPr>
              <w:ind w:left="20"/>
              <w:spacing w:after="0"/>
              <w:rPr>
                <w:sz w:val="20"/>
                <w:szCs w:val="20"/>
                <w:color w:val="auto"/>
              </w:rPr>
            </w:pPr>
            <w:r>
              <w:rPr>
                <w:rFonts w:ascii="Arial" w:cs="Arial" w:eastAsia="Arial" w:hAnsi="Arial"/>
                <w:sz w:val="14"/>
                <w:szCs w:val="14"/>
                <w:color w:val="auto"/>
              </w:rPr>
              <w:t>General Counsel and Corporate Secretary</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Dated: August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1204"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276860</wp:posOffset>
            </wp:positionV>
            <wp:extent cx="185674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674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Clearway Energy, Inc. Reports Second Quarter 2022 Financial Results</w:t>
      </w:r>
    </w:p>
    <w:p>
      <w:pPr>
        <w:spacing w:after="0" w:line="197" w:lineRule="exact"/>
        <w:rPr>
          <w:sz w:val="20"/>
          <w:szCs w:val="20"/>
          <w:color w:val="auto"/>
        </w:rPr>
      </w:pPr>
    </w:p>
    <w:p>
      <w:pPr>
        <w:ind w:left="500" w:hanging="252"/>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Signed binding agreement to acquire a 413 MW wind portfolio</w:t>
      </w:r>
    </w:p>
    <w:p>
      <w:pPr>
        <w:spacing w:after="0" w:line="14" w:lineRule="exact"/>
        <w:rPr>
          <w:rFonts w:ascii="Arial" w:cs="Arial" w:eastAsia="Arial" w:hAnsi="Arial"/>
          <w:sz w:val="14"/>
          <w:szCs w:val="14"/>
          <w:b w:val="1"/>
          <w:bCs w:val="1"/>
          <w:color w:val="auto"/>
        </w:rPr>
      </w:pPr>
    </w:p>
    <w:p>
      <w:pPr>
        <w:ind w:left="500" w:hanging="252"/>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Executed new Resource Adequacy contracts for Marsh Landing; plant now fully contracted through 2026</w:t>
      </w:r>
    </w:p>
    <w:p>
      <w:pPr>
        <w:spacing w:after="0" w:line="3" w:lineRule="exact"/>
        <w:rPr>
          <w:rFonts w:ascii="Arial" w:cs="Arial" w:eastAsia="Arial" w:hAnsi="Arial"/>
          <w:sz w:val="14"/>
          <w:szCs w:val="14"/>
          <w:b w:val="1"/>
          <w:bCs w:val="1"/>
          <w:color w:val="auto"/>
        </w:rPr>
      </w:pPr>
    </w:p>
    <w:p>
      <w:pPr>
        <w:ind w:left="500" w:hanging="252"/>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Reaffirming 2022 financial guidance and raising pro forma CAFD outlook</w:t>
      </w:r>
    </w:p>
    <w:p>
      <w:pPr>
        <w:spacing w:after="0" w:line="3" w:lineRule="exact"/>
        <w:rPr>
          <w:rFonts w:ascii="Arial" w:cs="Arial" w:eastAsia="Arial" w:hAnsi="Arial"/>
          <w:sz w:val="14"/>
          <w:szCs w:val="14"/>
          <w:b w:val="1"/>
          <w:bCs w:val="1"/>
          <w:color w:val="auto"/>
        </w:rPr>
      </w:pPr>
    </w:p>
    <w:p>
      <w:pPr>
        <w:ind w:left="500" w:hanging="252"/>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TotalEnergies entered into an agreement to acquire a 50% interest in Clearway’s sponsor from Global Infrastructure Partners</w:t>
      </w:r>
    </w:p>
    <w:p>
      <w:pPr>
        <w:spacing w:after="0" w:line="3" w:lineRule="exact"/>
        <w:rPr>
          <w:rFonts w:ascii="Arial" w:cs="Arial" w:eastAsia="Arial" w:hAnsi="Arial"/>
          <w:sz w:val="14"/>
          <w:szCs w:val="14"/>
          <w:b w:val="1"/>
          <w:bCs w:val="1"/>
          <w:color w:val="auto"/>
        </w:rPr>
      </w:pPr>
    </w:p>
    <w:p>
      <w:pPr>
        <w:ind w:left="500" w:hanging="252"/>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Increasing the quarterly dividend by 2% </w:t>
      </w:r>
      <w:r>
        <w:rPr>
          <w:rFonts w:ascii="Arial" w:cs="Arial" w:eastAsia="Arial" w:hAnsi="Arial"/>
          <w:sz w:val="14"/>
          <w:szCs w:val="14"/>
          <w:b w:val="1"/>
          <w:bCs w:val="1"/>
          <w:color w:val="242424"/>
        </w:rPr>
        <w:t>to $0.3604 p</w:t>
      </w:r>
      <w:r>
        <w:rPr>
          <w:rFonts w:ascii="Arial" w:cs="Arial" w:eastAsia="Arial" w:hAnsi="Arial"/>
          <w:sz w:val="14"/>
          <w:szCs w:val="14"/>
          <w:b w:val="1"/>
          <w:bCs w:val="1"/>
          <w:color w:val="auto"/>
        </w:rPr>
        <w:t>er share in the third quarter of 20</w:t>
      </w:r>
      <w:r>
        <w:rPr>
          <w:rFonts w:ascii="Arial" w:cs="Arial" w:eastAsia="Arial" w:hAnsi="Arial"/>
          <w:sz w:val="14"/>
          <w:szCs w:val="14"/>
          <w:b w:val="1"/>
          <w:bCs w:val="1"/>
          <w:color w:val="242424"/>
        </w:rPr>
        <w:t>22, or $1.442 p</w:t>
      </w:r>
      <w:r>
        <w:rPr>
          <w:rFonts w:ascii="Arial" w:cs="Arial" w:eastAsia="Arial" w:hAnsi="Arial"/>
          <w:sz w:val="14"/>
          <w:szCs w:val="14"/>
          <w:b w:val="1"/>
          <w:bCs w:val="1"/>
          <w:color w:val="auto"/>
        </w:rPr>
        <w:t>er share annualized</w:t>
      </w:r>
    </w:p>
    <w:p>
      <w:pPr>
        <w:spacing w:after="0" w:line="3" w:lineRule="exact"/>
        <w:rPr>
          <w:rFonts w:ascii="Arial" w:cs="Arial" w:eastAsia="Arial" w:hAnsi="Arial"/>
          <w:sz w:val="14"/>
          <w:szCs w:val="14"/>
          <w:b w:val="1"/>
          <w:bCs w:val="1"/>
          <w:color w:val="auto"/>
        </w:rPr>
      </w:pPr>
    </w:p>
    <w:p>
      <w:pPr>
        <w:ind w:left="500" w:hanging="252"/>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Continue to target annual dividend per share growth in the upper range of 5% to 8% through 2026</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4"/>
          <w:szCs w:val="14"/>
          <w:b w:val="1"/>
          <w:bCs w:val="1"/>
          <w:color w:val="auto"/>
        </w:rPr>
        <w:t xml:space="preserve">PRINCETON, NJ </w:t>
      </w:r>
      <w:r>
        <w:rPr>
          <w:rFonts w:ascii="Arial" w:cs="Arial" w:eastAsia="Arial" w:hAnsi="Arial"/>
          <w:sz w:val="14"/>
          <w:szCs w:val="14"/>
          <w:color w:val="auto"/>
        </w:rPr>
        <w:t>—</w:t>
      </w:r>
      <w:r>
        <w:rPr>
          <w:rFonts w:ascii="Arial" w:cs="Arial" w:eastAsia="Arial" w:hAnsi="Arial"/>
          <w:sz w:val="14"/>
          <w:szCs w:val="14"/>
          <w:b w:val="1"/>
          <w:bCs w:val="1"/>
          <w:color w:val="auto"/>
        </w:rPr>
        <w:t xml:space="preserve"> August 2, 2022</w:t>
      </w:r>
      <w:r>
        <w:rPr>
          <w:rFonts w:ascii="Arial" w:cs="Arial" w:eastAsia="Arial" w:hAnsi="Arial"/>
          <w:sz w:val="14"/>
          <w:szCs w:val="14"/>
          <w:color w:val="auto"/>
        </w:rPr>
        <w:t>— Clearway Energy, Inc. (NYSE: CWEN, CWEN.A) today reported second quarter 2022 financial results, including Net Income of $1,149 million, Adjusted</w:t>
      </w:r>
      <w:r>
        <w:rPr>
          <w:rFonts w:ascii="Arial" w:cs="Arial" w:eastAsia="Arial" w:hAnsi="Arial"/>
          <w:sz w:val="14"/>
          <w:szCs w:val="14"/>
          <w:b w:val="1"/>
          <w:bCs w:val="1"/>
          <w:color w:val="auto"/>
        </w:rPr>
        <w:t xml:space="preserve"> </w:t>
      </w:r>
      <w:r>
        <w:rPr>
          <w:rFonts w:ascii="Arial" w:cs="Arial" w:eastAsia="Arial" w:hAnsi="Arial"/>
          <w:sz w:val="14"/>
          <w:szCs w:val="14"/>
          <w:color w:val="auto"/>
        </w:rPr>
        <w:t>EBITDA of $366 million, Cash from Operating Activities of $186 million, and Cash Available for Distribution (CAFD) of $176 million.</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"Clearway’s year to date financial performance is materially in-line with expectations as 2</w:t>
      </w:r>
      <w:r>
        <w:rPr>
          <w:rFonts w:ascii="Arial" w:cs="Arial" w:eastAsia="Arial" w:hAnsi="Arial"/>
          <w:sz w:val="17"/>
          <w:szCs w:val="17"/>
          <w:color w:val="auto"/>
          <w:vertAlign w:val="superscript"/>
        </w:rPr>
        <w:t>nd</w:t>
      </w:r>
      <w:r>
        <w:rPr>
          <w:rFonts w:ascii="Arial" w:cs="Arial" w:eastAsia="Arial" w:hAnsi="Arial"/>
          <w:sz w:val="14"/>
          <w:szCs w:val="14"/>
          <w:color w:val="auto"/>
        </w:rPr>
        <w:t xml:space="preserve"> quarter consolidated CAFD results were within the Company’s sensitivity range,” said Christopher Sotos, Clearway Energy, Inc.’s President and Chief Executive Officer. “With the binding agreement to acquire the Capistrano wind portfolio, the Company has now committed to, or has line of sight on, the future deployment of over 55% of the $750 million of excess proceeds from the Thermal sale and remains on track to achieve its long-term growth objectives, including the ability to deliver at the upper range of its dividend growth target through 2026.”</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and Cash Available for Distribution used in this press release are non-GAAP measures and are explained in greater detail under “Non-GAAP Financial Information”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Overview of Financial and Operating Results</w:t>
            </w: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9"/>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Segment Results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9"/>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Table 1: Net Income/(Loss)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3"/>
        </w:trPr>
        <w:tc>
          <w:tcPr>
            <w:tcW w:w="456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27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6"/>
                <w:szCs w:val="16"/>
                <w:color w:val="auto"/>
              </w:rPr>
            </w:pPr>
          </w:p>
        </w:tc>
      </w:tr>
      <w:tr>
        <w:trPr>
          <w:trHeight w:val="176"/>
        </w:trPr>
        <w:tc>
          <w:tcPr>
            <w:tcW w:w="456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6/30/22</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rPr>
              <w:t>6/30/21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6/30/22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6/30/21</w:t>
            </w:r>
          </w:p>
        </w:tc>
        <w:tc>
          <w:tcPr>
            <w:tcW w:w="380" w:type="dxa"/>
            <w:vAlign w:val="bottom"/>
          </w:tcPr>
          <w:p>
            <w:pPr>
              <w:spacing w:after="0"/>
              <w:rPr>
                <w:sz w:val="15"/>
                <w:szCs w:val="15"/>
                <w:color w:val="auto"/>
              </w:rPr>
            </w:pPr>
          </w:p>
        </w:tc>
      </w:tr>
      <w:tr>
        <w:trPr>
          <w:trHeight w:val="165"/>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74"/>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Renewables</w:t>
            </w: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75"/>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w:t>
            </w: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4"/>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Corporate</w:t>
            </w: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1,029</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90"/>
        </w:trPr>
        <w:tc>
          <w:tcPr>
            <w:tcW w:w="4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Income/(Loss)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7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1,052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350"/>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Table 2: Adjusted EBITDA</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3"/>
        </w:trPr>
        <w:tc>
          <w:tcPr>
            <w:tcW w:w="456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27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6"/>
                <w:szCs w:val="16"/>
                <w:color w:val="auto"/>
              </w:rPr>
            </w:pPr>
          </w:p>
        </w:tc>
      </w:tr>
      <w:tr>
        <w:trPr>
          <w:trHeight w:val="176"/>
        </w:trPr>
        <w:tc>
          <w:tcPr>
            <w:tcW w:w="456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6/30/22</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rPr>
              <w:t>6/30/21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6/30/22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6/30/21</w:t>
            </w:r>
          </w:p>
        </w:tc>
        <w:tc>
          <w:tcPr>
            <w:tcW w:w="380" w:type="dxa"/>
            <w:vAlign w:val="bottom"/>
          </w:tcPr>
          <w:p>
            <w:pPr>
              <w:spacing w:after="0"/>
              <w:rPr>
                <w:sz w:val="15"/>
                <w:szCs w:val="15"/>
                <w:color w:val="auto"/>
              </w:rPr>
            </w:pPr>
          </w:p>
        </w:tc>
      </w:tr>
      <w:tr>
        <w:trPr>
          <w:trHeight w:val="165"/>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74"/>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Renewables</w:t>
            </w: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175"/>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w:t>
            </w: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74"/>
        </w:trPr>
        <w:tc>
          <w:tcPr>
            <w:tcW w:w="4560" w:type="dxa"/>
            <w:vAlign w:val="bottom"/>
            <w:gridSpan w:val="2"/>
          </w:tcPr>
          <w:p>
            <w:pPr>
              <w:ind w:left="20"/>
              <w:spacing w:after="0"/>
              <w:rPr>
                <w:sz w:val="20"/>
                <w:szCs w:val="20"/>
                <w:color w:val="auto"/>
              </w:rPr>
            </w:pPr>
            <w:r>
              <w:rPr>
                <w:rFonts w:ascii="Arial" w:cs="Arial" w:eastAsia="Arial" w:hAnsi="Arial"/>
                <w:sz w:val="14"/>
                <w:szCs w:val="14"/>
                <w:color w:val="auto"/>
              </w:rPr>
              <w:t>Corporate</w:t>
            </w: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65"/>
        </w:trPr>
        <w:tc>
          <w:tcPr>
            <w:tcW w:w="4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97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r>
    </w:tbl>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Table 3: Cash from Operating Activities and Cash Available for Distribution (CAFD)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456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6/30/22</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6/30/21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92"/>
              <w:spacing w:after="0"/>
              <w:rPr>
                <w:sz w:val="20"/>
                <w:szCs w:val="20"/>
                <w:color w:val="auto"/>
              </w:rPr>
            </w:pPr>
            <w:r>
              <w:rPr>
                <w:rFonts w:ascii="Arial" w:cs="Arial" w:eastAsia="Arial" w:hAnsi="Arial"/>
                <w:sz w:val="14"/>
                <w:szCs w:val="14"/>
                <w:b w:val="1"/>
                <w:bCs w:val="1"/>
                <w:color w:val="auto"/>
              </w:rPr>
              <w:t>6/30/22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72"/>
              <w:spacing w:after="0"/>
              <w:rPr>
                <w:sz w:val="20"/>
                <w:szCs w:val="20"/>
                <w:color w:val="auto"/>
              </w:rPr>
            </w:pPr>
            <w:r>
              <w:rPr>
                <w:rFonts w:ascii="Arial" w:cs="Arial" w:eastAsia="Arial" w:hAnsi="Arial"/>
                <w:sz w:val="14"/>
                <w:szCs w:val="14"/>
                <w:b w:val="1"/>
                <w:bCs w:val="1"/>
                <w:color w:val="auto"/>
              </w:rPr>
              <w:t>6/30/21</w:t>
            </w:r>
          </w:p>
        </w:tc>
      </w:tr>
      <w:tr>
        <w:trPr>
          <w:trHeight w:val="165"/>
        </w:trPr>
        <w:tc>
          <w:tcPr>
            <w:tcW w:w="4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from Operating Activities</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3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6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Available for Distribution (CAFD)</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bl>
    <w:p>
      <w:pPr>
        <w:spacing w:after="0" w:line="200" w:lineRule="exact"/>
        <w:rPr>
          <w:sz w:val="20"/>
          <w:szCs w:val="20"/>
          <w:color w:val="auto"/>
        </w:rPr>
      </w:pP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For the second quarter of 2022, the Company reported Net Income of $1,149 million, Adjusted EBITDA of $366 million, Cash from Operating Activities of $186 million, and CAFD of $176 million. Net Income increased versus 2021 primarily due to the one-time $1.29 billion gain from the sale of the Thermal Business. Adjusted EBITDA results in the second quarter of 2022 were higher than 2021 as the contribution from growth investments was offset by the disposition of the Thermal Business and the timing of spring outages at the Conventional segment. CAFD results during the second quarter of 2022 were higher than 2021 primarily due to growth investments and the timing of project level debt service from the Viento refinancing, which was completed in March 2022, partially offset by the disposition of the Thermal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Operational Performance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9"/>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Table 4: Selected Operating Results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360" w:type="dxa"/>
            <w:vAlign w:val="bottom"/>
            <w:gridSpan w:val="3"/>
          </w:tcPr>
          <w:p>
            <w:pPr>
              <w:ind w:left="20"/>
              <w:spacing w:after="0"/>
              <w:rPr>
                <w:sz w:val="20"/>
                <w:szCs w:val="20"/>
                <w:color w:val="auto"/>
              </w:rPr>
            </w:pPr>
            <w:r>
              <w:rPr>
                <w:rFonts w:ascii="Arial" w:cs="Arial" w:eastAsia="Arial" w:hAnsi="Arial"/>
                <w:sz w:val="14"/>
                <w:szCs w:val="14"/>
                <w:i w:val="1"/>
                <w:iCs w:val="1"/>
                <w:color w:val="auto"/>
              </w:rPr>
              <w:t>(MWh and MWht in thousands)</w:t>
            </w:r>
          </w:p>
        </w:tc>
        <w:tc>
          <w:tcPr>
            <w:tcW w:w="1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Six Months Ended</w:t>
            </w:r>
          </w:p>
        </w:tc>
        <w:tc>
          <w:tcPr>
            <w:tcW w:w="1040" w:type="dxa"/>
            <w:vAlign w:val="bottom"/>
          </w:tcPr>
          <w:p>
            <w:pPr>
              <w:spacing w:after="0"/>
              <w:rPr>
                <w:sz w:val="16"/>
                <w:szCs w:val="16"/>
                <w:color w:val="auto"/>
              </w:rPr>
            </w:pPr>
          </w:p>
        </w:tc>
      </w:tr>
      <w:tr>
        <w:trPr>
          <w:trHeight w:val="176"/>
        </w:trPr>
        <w:tc>
          <w:tcPr>
            <w:tcW w:w="5360" w:type="dxa"/>
            <w:vAlign w:val="bottom"/>
            <w:gridSpan w:val="3"/>
          </w:tcPr>
          <w:p>
            <w:pPr>
              <w:ind w:left="4920"/>
              <w:spacing w:after="0"/>
              <w:rPr>
                <w:sz w:val="20"/>
                <w:szCs w:val="20"/>
                <w:color w:val="auto"/>
              </w:rPr>
            </w:pPr>
            <w:r>
              <w:rPr>
                <w:rFonts w:ascii="Arial" w:cs="Arial" w:eastAsia="Arial" w:hAnsi="Arial"/>
                <w:sz w:val="14"/>
                <w:szCs w:val="14"/>
                <w:b w:val="1"/>
                <w:bCs w:val="1"/>
                <w:color w:val="auto"/>
                <w:w w:val="89"/>
              </w:rPr>
              <w:t>6/30/22</w:t>
            </w:r>
          </w:p>
        </w:tc>
        <w:tc>
          <w:tcPr>
            <w:tcW w:w="1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6/30/21</w:t>
            </w:r>
          </w:p>
        </w:tc>
        <w:tc>
          <w:tcPr>
            <w:tcW w:w="1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6/30/22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12"/>
              <w:spacing w:after="0"/>
              <w:rPr>
                <w:sz w:val="20"/>
                <w:szCs w:val="20"/>
                <w:color w:val="auto"/>
              </w:rPr>
            </w:pPr>
            <w:r>
              <w:rPr>
                <w:rFonts w:ascii="Arial" w:cs="Arial" w:eastAsia="Arial" w:hAnsi="Arial"/>
                <w:sz w:val="14"/>
                <w:szCs w:val="14"/>
                <w:b w:val="1"/>
                <w:bCs w:val="1"/>
                <w:color w:val="auto"/>
                <w:w w:val="94"/>
              </w:rPr>
              <w:t>6/30/21</w:t>
            </w:r>
          </w:p>
        </w:tc>
      </w:tr>
      <w:tr>
        <w:trPr>
          <w:trHeight w:val="186"/>
        </w:trPr>
        <w:tc>
          <w:tcPr>
            <w:tcW w:w="4220" w:type="dxa"/>
            <w:vAlign w:val="bottom"/>
            <w:tcBorders>
              <w:top w:val="single" w:sz="8" w:color="auto"/>
            </w:tcBorders>
            <w:shd w:val="clear" w:color="auto" w:fill="CCEEFF"/>
          </w:tcPr>
          <w:p>
            <w:pPr>
              <w:ind w:left="20"/>
              <w:spacing w:after="0" w:line="185" w:lineRule="exact"/>
              <w:rPr>
                <w:sz w:val="20"/>
                <w:szCs w:val="20"/>
                <w:color w:val="auto"/>
              </w:rPr>
            </w:pPr>
            <w:r>
              <w:rPr>
                <w:rFonts w:ascii="Arial" w:cs="Arial" w:eastAsia="Arial" w:hAnsi="Arial"/>
                <w:sz w:val="14"/>
                <w:szCs w:val="14"/>
                <w:color w:val="auto"/>
              </w:rPr>
              <w:t>Conventional Equivalent Availability Factor</w:t>
            </w:r>
            <w:r>
              <w:rPr>
                <w:rFonts w:ascii="Arial" w:cs="Arial" w:eastAsia="Arial" w:hAnsi="Arial"/>
                <w:sz w:val="17"/>
                <w:szCs w:val="17"/>
                <w:color w:val="auto"/>
                <w:vertAlign w:val="superscript"/>
              </w:rPr>
              <w:t>1</w:t>
            </w: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88.3 %</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97.2 %</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91.8 %</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90.2 %</w:t>
            </w:r>
          </w:p>
        </w:tc>
      </w:tr>
      <w:tr>
        <w:trPr>
          <w:trHeight w:val="19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Renewables Generation Sold (MWh)</w:t>
            </w:r>
            <w:r>
              <w:rPr>
                <w:rFonts w:ascii="Arial" w:cs="Arial" w:eastAsia="Arial" w:hAnsi="Arial"/>
                <w:sz w:val="17"/>
                <w:szCs w:val="17"/>
                <w:color w:val="auto"/>
                <w:vertAlign w:val="superscript"/>
              </w:rPr>
              <w:t>2</w:t>
            </w:r>
          </w:p>
        </w:tc>
        <w:tc>
          <w:tcPr>
            <w:tcW w:w="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4,416</w:t>
            </w:r>
          </w:p>
        </w:tc>
        <w:tc>
          <w:tcPr>
            <w:tcW w:w="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6"/>
              </w:rPr>
              <w:t>3,370</w:t>
            </w: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7,735</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5,900</w:t>
            </w:r>
          </w:p>
        </w:tc>
      </w:tr>
    </w:tbl>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In the second quarter of 2022, availability at the Conventional segment was lower than the second quarter of 2021 primarily due to the timing of spring outages versus last year and a forced outage at the El Segundo Energy Center which ended in early July of 2022. Generation in the Renewables segment during the second quarter of 2022 was 31% higher than the second quarter of 2021 primarily due to the contribution of growth investments.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Liquidity and Capital Resources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9"/>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Table 5: Liquidity</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24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6/30/2022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12/31/2021</w:t>
            </w:r>
          </w:p>
        </w:tc>
      </w:tr>
      <w:tr>
        <w:trPr>
          <w:trHeight w:val="155"/>
        </w:trPr>
        <w:tc>
          <w:tcPr>
            <w:tcW w:w="6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74"/>
        </w:trPr>
        <w:tc>
          <w:tcPr>
            <w:tcW w:w="7100" w:type="dxa"/>
            <w:vAlign w:val="bottom"/>
            <w:gridSpan w:val="2"/>
          </w:tcPr>
          <w:p>
            <w:pPr>
              <w:ind w:left="160"/>
              <w:spacing w:after="0"/>
              <w:rPr>
                <w:sz w:val="20"/>
                <w:szCs w:val="20"/>
                <w:color w:val="auto"/>
              </w:rPr>
            </w:pPr>
            <w:r>
              <w:rPr>
                <w:rFonts w:ascii="Arial" w:cs="Arial" w:eastAsia="Arial" w:hAnsi="Arial"/>
                <w:sz w:val="12"/>
                <w:szCs w:val="12"/>
                <w:color w:val="auto"/>
              </w:rPr>
              <w:t>Clearway Energy, Inc. and Clearway Energy LLC, excluding subsidiaries</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820</w:t>
            </w:r>
          </w:p>
        </w:tc>
        <w:tc>
          <w:tcPr>
            <w:tcW w:w="14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75"/>
        </w:trPr>
        <w:tc>
          <w:tcPr>
            <w:tcW w:w="71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Subsidiaries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62"/>
        </w:trPr>
        <w:tc>
          <w:tcPr>
            <w:tcW w:w="7100" w:type="dxa"/>
            <w:vAlign w:val="bottom"/>
            <w:gridSpan w:val="2"/>
          </w:tcPr>
          <w:p>
            <w:pPr>
              <w:ind w:left="20"/>
              <w:spacing w:after="0"/>
              <w:rPr>
                <w:sz w:val="20"/>
                <w:szCs w:val="20"/>
                <w:color w:val="auto"/>
              </w:rPr>
            </w:pPr>
            <w:r>
              <w:rPr>
                <w:rFonts w:ascii="Arial" w:cs="Arial" w:eastAsia="Arial" w:hAnsi="Arial"/>
                <w:sz w:val="12"/>
                <w:szCs w:val="12"/>
                <w:b w:val="1"/>
                <w:bCs w:val="1"/>
                <w:color w:val="auto"/>
              </w:rPr>
              <w:t>Restricted Cash:</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7"/>
        </w:trPr>
        <w:tc>
          <w:tcPr>
            <w:tcW w:w="71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Operating accounts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74"/>
        </w:trPr>
        <w:tc>
          <w:tcPr>
            <w:tcW w:w="710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Reserves, including debt service, distributions, performance obligations and other reserves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r>
      <w:tr>
        <w:trPr>
          <w:trHeight w:val="165"/>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Cash</w:t>
            </w: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65"/>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Revolving credit facility availability</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19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Liquidity</w:t>
            </w: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line="302" w:lineRule="auto"/>
        <w:rPr>
          <w:sz w:val="20"/>
          <w:szCs w:val="20"/>
          <w:color w:val="auto"/>
        </w:rPr>
      </w:pPr>
      <w:r>
        <w:rPr>
          <w:rFonts w:ascii="Arial" w:cs="Arial" w:eastAsia="Arial" w:hAnsi="Arial"/>
          <w:sz w:val="13"/>
          <w:szCs w:val="13"/>
          <w:color w:val="auto"/>
        </w:rPr>
        <w:t>Total liquidity as of June 30, 2022, was $1,696 million, which was $875 million higher than as of December 31, 2021, primarily due to the proceeds received from the sale of the Thermal Business. This was partially offset by the repayment of $305 million in outstanding borrowings under the Company's revolving credit facility and the $335 million under the Bridge Loan Agreement.</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4"/>
          <w:szCs w:val="14"/>
          <w:color w:val="231F20"/>
        </w:rPr>
        <w:t xml:space="preserve">As of </w:t>
      </w:r>
      <w:r>
        <w:rPr>
          <w:rFonts w:ascii="Arial" w:cs="Arial" w:eastAsia="Arial" w:hAnsi="Arial"/>
          <w:sz w:val="14"/>
          <w:szCs w:val="14"/>
          <w:color w:val="000000"/>
        </w:rPr>
        <w:t>June 30, 2022</w:t>
      </w:r>
      <w:r>
        <w:rPr>
          <w:rFonts w:ascii="Arial" w:cs="Arial" w:eastAsia="Arial" w:hAnsi="Arial"/>
          <w:sz w:val="14"/>
          <w:szCs w:val="14"/>
          <w:color w:val="231F20"/>
        </w:rPr>
        <w:t xml:space="preserve">, the Company's liquidity included </w:t>
      </w:r>
      <w:r>
        <w:rPr>
          <w:rFonts w:ascii="Arial" w:cs="Arial" w:eastAsia="Arial" w:hAnsi="Arial"/>
          <w:sz w:val="14"/>
          <w:szCs w:val="14"/>
          <w:color w:val="000000"/>
        </w:rPr>
        <w:t>$333 million</w:t>
      </w:r>
      <w:r>
        <w:rPr>
          <w:rFonts w:ascii="Arial" w:cs="Arial" w:eastAsia="Arial" w:hAnsi="Arial"/>
          <w:sz w:val="14"/>
          <w:szCs w:val="14"/>
          <w:color w:val="231F20"/>
        </w:rPr>
        <w:t xml:space="preserve"> of restricted cash. Restricted cash consists primarily of funds to satisfy the requirements of certain debt arrangements and funds held within the Company's projects that are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82550</wp:posOffset>
            </wp:positionV>
            <wp:extent cx="13030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020" cy="6350"/>
                    </a:xfrm>
                    <a:prstGeom prst="rect">
                      <a:avLst/>
                    </a:prstGeom>
                    <a:noFill/>
                  </pic:spPr>
                </pic:pic>
              </a:graphicData>
            </a:graphic>
          </wp:anchor>
        </w:drawing>
      </w:r>
    </w:p>
    <w:p>
      <w:pPr>
        <w:spacing w:after="0" w:line="90" w:lineRule="exact"/>
        <w:rPr>
          <w:sz w:val="20"/>
          <w:szCs w:val="20"/>
          <w:color w:val="auto"/>
        </w:rPr>
      </w:pPr>
    </w:p>
    <w:p>
      <w:pPr>
        <w:ind w:left="80" w:hanging="78"/>
        <w:spacing w:after="0"/>
        <w:tabs>
          <w:tab w:leader="none" w:pos="8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Excludes unconsolidated projects</w:t>
      </w:r>
    </w:p>
    <w:p>
      <w:pPr>
        <w:ind w:left="80" w:hanging="78"/>
        <w:spacing w:after="0" w:line="186" w:lineRule="auto"/>
        <w:tabs>
          <w:tab w:leader="none" w:pos="80" w:val="left"/>
        </w:tabs>
        <w:numPr>
          <w:ilvl w:val="0"/>
          <w:numId w:val="4"/>
        </w:numPr>
        <w:rPr>
          <w:rFonts w:ascii="Arial" w:cs="Arial" w:eastAsia="Arial" w:hAnsi="Arial"/>
          <w:sz w:val="17"/>
          <w:szCs w:val="17"/>
          <w:color w:val="auto"/>
          <w:vertAlign w:val="superscript"/>
        </w:rPr>
      </w:pPr>
      <w:r>
        <w:rPr>
          <w:rFonts w:ascii="Arial" w:cs="Arial" w:eastAsia="Arial" w:hAnsi="Arial"/>
          <w:sz w:val="10"/>
          <w:szCs w:val="10"/>
          <w:color w:val="auto"/>
        </w:rPr>
        <w:t>Generation sold excludes MWh that are reimbursable for economic curtailment; volumes do not include the MWh generated/sold by the Company's equity method investments</w:t>
      </w:r>
    </w:p>
    <w:p>
      <w:pPr>
        <w:spacing w:after="0" w:line="249" w:lineRule="exact"/>
        <w:rPr>
          <w:rFonts w:ascii="Arial" w:cs="Arial" w:eastAsia="Arial" w:hAnsi="Arial"/>
          <w:sz w:val="17"/>
          <w:szCs w:val="17"/>
          <w:color w:val="auto"/>
          <w:vertAlign w:val="superscript"/>
        </w:rPr>
      </w:pPr>
    </w:p>
    <w:p>
      <w:pPr>
        <w:ind w:left="5620"/>
        <w:spacing w:after="0"/>
        <w:rPr>
          <w:rFonts w:ascii="Arial" w:cs="Arial" w:eastAsia="Arial" w:hAnsi="Arial"/>
          <w:sz w:val="17"/>
          <w:szCs w:val="17"/>
          <w:color w:val="auto"/>
          <w:vertAlign w:val="superscript"/>
        </w:rPr>
      </w:pPr>
      <w:r>
        <w:rPr>
          <w:rFonts w:ascii="Arial" w:cs="Arial" w:eastAsia="Arial" w:hAnsi="Arial"/>
          <w:sz w:val="12"/>
          <w:szCs w:val="12"/>
          <w:color w:val="auto"/>
        </w:rPr>
        <w:t>2</w:t>
      </w:r>
    </w:p>
    <w:p>
      <w:pPr>
        <w:sectPr>
          <w:pgSz w:w="11900" w:h="16838" w:orient="portrait"/>
          <w:cols w:equalWidth="0" w:num="1">
            <w:col w:w="11280"/>
          </w:cols>
          <w:pgMar w:left="300" w:top="711" w:right="31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3"/>
          <w:szCs w:val="13"/>
          <w:color w:val="231F20"/>
        </w:rPr>
        <w:t xml:space="preserve">in their use. As </w:t>
      </w:r>
      <w:r>
        <w:rPr>
          <w:rFonts w:ascii="Arial" w:cs="Arial" w:eastAsia="Arial" w:hAnsi="Arial"/>
          <w:sz w:val="13"/>
          <w:szCs w:val="13"/>
          <w:color w:val="000000"/>
        </w:rPr>
        <w:t>of June 30, 2022, these restricted funds were comprised of $143 million designated to fund operating expenses, approximately $42 million designated for current debt service payments, and</w:t>
      </w:r>
      <w:r>
        <w:rPr>
          <w:rFonts w:ascii="Arial" w:cs="Arial" w:eastAsia="Arial" w:hAnsi="Arial"/>
          <w:sz w:val="13"/>
          <w:szCs w:val="13"/>
          <w:color w:val="231F20"/>
        </w:rPr>
        <w:t xml:space="preserve"> </w:t>
      </w:r>
      <w:r>
        <w:rPr>
          <w:rFonts w:ascii="Arial" w:cs="Arial" w:eastAsia="Arial" w:hAnsi="Arial"/>
          <w:sz w:val="13"/>
          <w:szCs w:val="13"/>
          <w:color w:val="000000"/>
        </w:rPr>
        <w:t>$122 million of reserves for debt service, performance obligations and other items including capital expenditures. The remaining $26 million is held in distribution reserve accounts.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Potential future sources of liquidity include excess operating cash flow, availability under the revolving credit facility, asset dispositions, and, subject to market conditions, new corporate debt and equity financings.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Thermal Disposition</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Thermal Disposition resulted in a gain of $1.29 billion. The proceeds from the sale were utilized to repay temporary cash borrowings including $305 million of outstanding borrowings under the Company's revolving credit facility and the $335 million under the Bridge Loan Agreement. The remaining proceeds were invested in short-term investments classified as cash and cash equivalents on the Company’s consolidated balance sheet as of June 30, 2022.</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Investments and Strategic Announcements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Resource Adequacy Agreements at Marsh Landing</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July 2022, the Company contracted with several load serving entities to sell the remaining 20% of Marsh Landing’s available capacity commencing in May 2023. The agreements are for approximately three and a half years. Marsh Landing's capacity is now 100% contracted for a weighted average contract tenor of approximately four years commencing in May 2023 at terms sufficient to maintain project level CAFD in-line with current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Binding Agreement to Acquire a 413 MW Wind Portfolio</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On June 23, 2022, the Company entered into a binding agreement to acquire a portfolio of operating wind projects from Capistrano Wind Partners, LLC (“Capistrano Portfolio”) for, subject to closing adjustments, cash consideration of $255 million, plus the assumption of approximately $160 million of non-recourse debt. The Capistrano Portfolio consists of five utility-scale wind projects representing 413 MW of capacity located in Texas, Nebraska, and Wyoming that achieved commercial operations between 2008 to 2012. The assets within the portfolio sell power under power purchase agreements with investment-grade counterparties that have a weighted average remaining contract duration of approximately 10 years. Concurrent with the acquisition, the Company has also entered into a Development Agreement with Clearway Energy Group ("Clearway Group"), whereby Clearway Group will pay $10 million to the Company to partially fund the acquisition of the Capistrano Portfolio for an exclusive right to develop, construct, and repower the projects in the Capistrano Portfolio (“Rights Fee”)</w:t>
      </w:r>
      <w:r>
        <w:rPr>
          <w:rFonts w:ascii="Arial" w:cs="Arial" w:eastAsia="Arial" w:hAnsi="Arial"/>
          <w:sz w:val="16"/>
          <w:szCs w:val="16"/>
          <w:color w:val="auto"/>
          <w:vertAlign w:val="superscript"/>
        </w:rPr>
        <w:t>3</w:t>
      </w:r>
      <w:r>
        <w:rPr>
          <w:rFonts w:ascii="Arial" w:cs="Arial" w:eastAsia="Arial" w:hAnsi="Arial"/>
          <w:sz w:val="13"/>
          <w:szCs w:val="13"/>
          <w:color w:val="auto"/>
        </w:rPr>
        <w:t>.</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expects its total long-term corporate capital commitment for the acquisition to be approximately $110-130 million</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and is estimated to provide incremental annual levered asset CAFD on a five-year average basis of approximately $12-14 million beginning January 1, 2023. The Company expects the transaction to close in the second half of 2022.</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TotalEnergies Agreement to Acquire a 50% Interest in Clearway Group</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On May 25, 2022, the Company, and its renewable development partner and parent company, Clearway Group, announced that Global Infrastructure Partners (GIP) had entered into an agreement whereby TotalEnergies will acquire half of GIP’s interest in Clearway Group. In consideration, GIP will receive $1.6 billion cash consideration (subject to purchase price adjustments) and an approximately 50% interest in the TotalEnergies subsidiary that holds its 51% ownership in SunPower Corporation (NASDAQ: SPWR).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13030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020" cy="6350"/>
                    </a:xfrm>
                    <a:prstGeom prst="rect">
                      <a:avLst/>
                    </a:prstGeom>
                    <a:noFill/>
                  </pic:spPr>
                </pic:pic>
              </a:graphicData>
            </a:graphic>
          </wp:anchor>
        </w:drawing>
      </w:r>
    </w:p>
    <w:p>
      <w:pPr>
        <w:spacing w:after="0" w:line="291" w:lineRule="exact"/>
        <w:rPr>
          <w:sz w:val="20"/>
          <w:szCs w:val="20"/>
          <w:color w:val="auto"/>
        </w:rPr>
      </w:pPr>
    </w:p>
    <w:p>
      <w:pPr>
        <w:ind w:left="80" w:hanging="78"/>
        <w:spacing w:after="0"/>
        <w:tabs>
          <w:tab w:leader="none" w:pos="80"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The Development Agreement is subject to certain terms and conditions. Upon the first repowering, if any, the Company will reimburse Clearway Group for the Rights Fee at a pre-agreed internal rate of return</w:t>
      </w:r>
    </w:p>
    <w:p>
      <w:pPr>
        <w:ind w:left="80" w:hanging="78"/>
        <w:spacing w:after="0" w:line="188" w:lineRule="auto"/>
        <w:tabs>
          <w:tab w:leader="none" w:pos="80" w:val="left"/>
        </w:tabs>
        <w:numPr>
          <w:ilvl w:val="0"/>
          <w:numId w:val="6"/>
        </w:numPr>
        <w:rPr>
          <w:rFonts w:ascii="Arial" w:cs="Arial" w:eastAsia="Arial" w:hAnsi="Arial"/>
          <w:sz w:val="18"/>
          <w:szCs w:val="18"/>
          <w:color w:val="auto"/>
          <w:vertAlign w:val="superscript"/>
        </w:rPr>
      </w:pPr>
      <w:r>
        <w:rPr>
          <w:rFonts w:ascii="Arial" w:cs="Arial" w:eastAsia="Arial" w:hAnsi="Arial"/>
          <w:sz w:val="11"/>
          <w:szCs w:val="11"/>
          <w:color w:val="auto"/>
        </w:rPr>
        <w:t>Subject to customary working capital and other closing adjustments; the long-term corporate capital commitment factors in estimated closing adjustments, proceeds from the Rights Fee, and new non-recourse debt</w:t>
      </w:r>
    </w:p>
    <w:p>
      <w:pPr>
        <w:spacing w:after="0" w:line="248"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2"/>
          <w:szCs w:val="12"/>
          <w:color w:val="auto"/>
        </w:rPr>
        <w:t>3</w:t>
      </w:r>
    </w:p>
    <w:p>
      <w:pPr>
        <w:sectPr>
          <w:pgSz w:w="11900" w:h="16838" w:orient="portrait"/>
          <w:cols w:equalWidth="0" w:num="1">
            <w:col w:w="11280"/>
          </w:cols>
          <w:pgMar w:left="300" w:top="713" w:right="31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4"/>
          <w:szCs w:val="14"/>
          <w:color w:val="auto"/>
        </w:rPr>
        <w:t>TotalEnergies is expected to enhance growth prospects for the Clearway enterprise by providing (i) a right of first offer on its U.S. onshore renewable assets to the Company and (ii) access to TotalEnergies' power marketing capabilities and corporate relationships to optimize the commercial value of Clearway’s development and operating projects.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closing of the transaction is subject to customary conditions, including regulatory approvals, and is expected to close in the second half of 2022.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Update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Bridge Loan Agreement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On November 30, 2021, Clearway Energy Operating LLC entered into a senior secured bridge credit agreement, or the Bridge Loan Agreement, that provided for a term loan facility with an aggregate principal amount of $335 million. The borrowings under the Bridge Loan Facility were used to acquire the Utah Solar Portfolio on December 1, 2021. On May 3, 2022, the Company used proceeds from the disposition of the Thermal Business to repay the outstanding principal of $335 million.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Dividend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August 1, 2022, Clearway Energy, Inc.’s Board of Directors declared a quarterly dividend on Class A and Class C common stoc</w:t>
      </w:r>
      <w:r>
        <w:rPr>
          <w:rFonts w:ascii="Arial" w:cs="Arial" w:eastAsia="Arial" w:hAnsi="Arial"/>
          <w:sz w:val="14"/>
          <w:szCs w:val="14"/>
          <w:color w:val="242424"/>
        </w:rPr>
        <w:t>k of $0.3604 per</w:t>
      </w:r>
      <w:r>
        <w:rPr>
          <w:rFonts w:ascii="Arial" w:cs="Arial" w:eastAsia="Arial" w:hAnsi="Arial"/>
          <w:sz w:val="14"/>
          <w:szCs w:val="14"/>
          <w:color w:val="auto"/>
        </w:rPr>
        <w:t xml:space="preserve"> share payable on September 15, 2022, to stockholders of record as of September 1, 2022.</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For 2022, the Company anticipates that, due to the sale of the Thermal Business, it may have positive current year earnings and profits. As a result, a portion of any dividends paid to holders of Class A and Class C common stock in 2022 may be treated as taxable dividends for U.S. federal income tax purposes. Such portion of the dividends that could be treated as taxable will depend upon a number of factors, including, but not limited to, the amount of actual gain from the Thermal business sale, overall business performance, and other business activity during the year.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Clearway Energy, Inc.’s quarterly operating results are impacted by seasonal factors, as well as weather variability which can impact renewable energy resource.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66" w:lineRule="exact"/>
        <w:rPr>
          <w:sz w:val="20"/>
          <w:szCs w:val="20"/>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Higher summer capacity prices from conventional assets;</w:t>
      </w:r>
    </w:p>
    <w:p>
      <w:pPr>
        <w:spacing w:after="0" w:line="12"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Higher solar insolation during the summer months;</w:t>
      </w:r>
    </w:p>
    <w:p>
      <w:pPr>
        <w:spacing w:after="0" w:line="3"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Higher wind resources during the spring and summer months;</w:t>
      </w:r>
    </w:p>
    <w:p>
      <w:pPr>
        <w:spacing w:after="0" w:line="3"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Debt service payments which are made either quarterly or semi-annually;</w:t>
      </w:r>
    </w:p>
    <w:p>
      <w:pPr>
        <w:spacing w:after="0" w:line="3"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Timing of maintenance capital expenditures and the impact of both unforced and forced outages; and</w:t>
      </w:r>
    </w:p>
    <w:p>
      <w:pPr>
        <w:spacing w:after="0" w:line="3"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Timing of distributions from unconsolidated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Company takes into consideration the timing of these factors to ensure sufficient funds are available for distributions and operating activities on a quarterly basis.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Guidance and Pro Forma CAFD Outlook</w:t>
      </w:r>
    </w:p>
    <w:p>
      <w:pPr>
        <w:spacing w:after="0" w:line="180"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Company is reaffirming its 2022 full year CAFD guidance of $365 million. The Company's 2022 financial guidance factors in the contribution of committed growth investments based on current expected closing timelines and the closing of Thermal disposition on May 1, 2022. 2022 CAFD guidance does not factor in the timing of when CAFD is realized from new growth investments pursuant to 5-year averages beyond 2022.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With the effects above, the timing of CAFD realization pursuant to 5-year averages, the acquisition of the Capistrano Portfolio, and asset CAFD across all segments being materially in-line with current profiles, the Company is increasing its pro forma CAFD outlook expectations to approximately $400 million from $385 million.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Financial guidance and the pro forma CAFD outlook continue to be based on median renewable energy production estimates for the full year.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713"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Earnings Conference Call</w:t>
      </w:r>
    </w:p>
    <w:p>
      <w:pPr>
        <w:spacing w:after="0" w:line="190" w:lineRule="exact"/>
        <w:rPr>
          <w:sz w:val="20"/>
          <w:szCs w:val="20"/>
          <w:color w:val="auto"/>
        </w:rPr>
      </w:pPr>
    </w:p>
    <w:p>
      <w:pPr>
        <w:jc w:val="both"/>
        <w:spacing w:after="0" w:line="401" w:lineRule="auto"/>
        <w:rPr>
          <w:sz w:val="20"/>
          <w:szCs w:val="20"/>
          <w:color w:val="auto"/>
        </w:rPr>
      </w:pPr>
      <w:r>
        <w:rPr>
          <w:rFonts w:ascii="Arial" w:cs="Arial" w:eastAsia="Arial" w:hAnsi="Arial"/>
          <w:sz w:val="11"/>
          <w:szCs w:val="11"/>
          <w:color w:val="auto"/>
        </w:rPr>
        <w:t>On August 2, 2022,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Clearway Energy, Inc.</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Clearway Energy, Inc. is one of the largest renewable energy owners in the US with over 5,000 net MW of installed wind and solar generation projects. The Company's over 7,500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Safe Harbor Disclosure</w:t>
      </w:r>
    </w:p>
    <w:p>
      <w:pPr>
        <w:spacing w:after="0" w:line="190" w:lineRule="exact"/>
        <w:rPr>
          <w:sz w:val="20"/>
          <w:szCs w:val="20"/>
          <w:color w:val="auto"/>
        </w:rPr>
      </w:pPr>
    </w:p>
    <w:p>
      <w:pPr>
        <w:ind w:right="220"/>
        <w:spacing w:after="0" w:line="267" w:lineRule="auto"/>
        <w:rPr>
          <w:sz w:val="20"/>
          <w:szCs w:val="20"/>
          <w:color w:val="auto"/>
        </w:rPr>
      </w:pPr>
      <w:r>
        <w:rPr>
          <w:rFonts w:ascii="Arial" w:cs="Arial" w:eastAsia="Arial" w:hAnsi="Arial"/>
          <w:sz w:val="13"/>
          <w:szCs w:val="13"/>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impacts related to COVID-19 (including any variant of the virus) or any other pandemic, statements regarding the</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4"/>
          <w:szCs w:val="14"/>
          <w:color w:val="auto"/>
        </w:rPr>
        <w:t>anticipated consummation of the transactions described above, the anticipated benefits, opportunities, and results with respect to the transactions, including the Company’s anticipated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raise additional capital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cyber terrorism and inadequate cybersecurity and the Company’s ability to borrow additional funds and access capital markets. Furthermore, any dividends are subject to available capital, market conditions, and compliance with associated laws and regulations.</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Clearway Energy, Inc. undertakes no obligation to update or revise any forward-looking statements, whether as a result of new information, future events or otherwise. The Cash Available for Distribution are estimates as of today’s date, August 2, 2022,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711" w:right="319" w:bottom="1440" w:gutter="0" w:footer="0" w:header="0"/>
        </w:sectPr>
      </w:pPr>
    </w:p>
    <w:bookmarkStart w:id="8" w:name="page9"/>
    <w:bookmarkEnd w:id="8"/>
    <w:p>
      <w:pPr>
        <w:jc w:val="right"/>
        <w:ind w:right="4379"/>
        <w:spacing w:after="0"/>
        <w:rPr>
          <w:sz w:val="20"/>
          <w:szCs w:val="20"/>
          <w:color w:val="auto"/>
        </w:rPr>
      </w:pPr>
      <w:r>
        <w:rPr>
          <w:rFonts w:ascii="Arial" w:cs="Arial" w:eastAsia="Arial" w:hAnsi="Arial"/>
          <w:sz w:val="14"/>
          <w:szCs w:val="14"/>
          <w:b w:val="1"/>
          <w:bCs w:val="1"/>
          <w:color w:val="auto"/>
        </w:rPr>
        <w:t># # #</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Contacts:</w:t>
      </w:r>
    </w:p>
    <w:p>
      <w:pPr>
        <w:spacing w:after="0" w:line="176"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b w:val="1"/>
          <w:bCs w:val="1"/>
          <w:color w:val="auto"/>
        </w:rPr>
        <w:t>Investors:</w:t>
      </w:r>
      <w:r>
        <w:rPr>
          <w:sz w:val="20"/>
          <w:szCs w:val="20"/>
          <w:color w:val="auto"/>
        </w:rPr>
        <w:tab/>
      </w:r>
      <w:r>
        <w:rPr>
          <w:rFonts w:ascii="Arial" w:cs="Arial" w:eastAsia="Arial" w:hAnsi="Arial"/>
          <w:sz w:val="14"/>
          <w:szCs w:val="14"/>
          <w:b w:val="1"/>
          <w:bCs w:val="1"/>
          <w:color w:val="auto"/>
        </w:rPr>
        <w:t>Media:</w:t>
      </w:r>
    </w:p>
    <w:p>
      <w:pPr>
        <w:spacing w:after="0" w:line="15"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4"/>
          <w:szCs w:val="14"/>
          <w:color w:val="auto"/>
        </w:rPr>
        <w:t>Akil Marsh</w:t>
      </w:r>
      <w:r>
        <w:rPr>
          <w:sz w:val="20"/>
          <w:szCs w:val="20"/>
          <w:color w:val="auto"/>
        </w:rPr>
        <w:tab/>
      </w:r>
      <w:r>
        <w:rPr>
          <w:rFonts w:ascii="Arial" w:cs="Arial" w:eastAsia="Arial" w:hAnsi="Arial"/>
          <w:sz w:val="11"/>
          <w:szCs w:val="11"/>
          <w:color w:val="auto"/>
        </w:rPr>
        <w:t>Zadie Oleksiw</w:t>
      </w:r>
    </w:p>
    <w:p>
      <w:pPr>
        <w:spacing w:after="0" w:line="3" w:lineRule="exact"/>
        <w:rPr>
          <w:sz w:val="20"/>
          <w:szCs w:val="20"/>
          <w:color w:val="auto"/>
        </w:rPr>
      </w:pPr>
    </w:p>
    <w:p>
      <w:pPr>
        <w:ind w:left="140"/>
        <w:spacing w:after="0"/>
        <w:tabs>
          <w:tab w:leader="none" w:pos="2440" w:val="left"/>
        </w:tabs>
        <w:rPr>
          <w:sz w:val="20"/>
          <w:szCs w:val="20"/>
          <w:color w:val="auto"/>
        </w:rPr>
      </w:pPr>
      <w:r>
        <w:rPr>
          <w:rFonts w:ascii="Arial" w:cs="Arial" w:eastAsia="Arial" w:hAnsi="Arial"/>
          <w:sz w:val="14"/>
          <w:szCs w:val="14"/>
          <w:color w:val="auto"/>
        </w:rPr>
        <w:t>investor.relations@clearwayenergy.com</w:t>
      </w:r>
      <w:r>
        <w:rPr>
          <w:sz w:val="20"/>
          <w:szCs w:val="20"/>
          <w:color w:val="auto"/>
        </w:rPr>
        <w:tab/>
      </w:r>
      <w:r>
        <w:rPr>
          <w:rFonts w:ascii="Arial" w:cs="Arial" w:eastAsia="Arial" w:hAnsi="Arial"/>
          <w:sz w:val="11"/>
          <w:szCs w:val="11"/>
          <w:color w:val="auto"/>
        </w:rPr>
        <w:t>media@clearwayenergy.com</w:t>
      </w:r>
    </w:p>
    <w:p>
      <w:pPr>
        <w:spacing w:after="0" w:line="3"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14"/>
          <w:szCs w:val="14"/>
          <w:color w:val="auto"/>
        </w:rPr>
        <w:t>609-608-1500</w:t>
      </w:r>
      <w:r>
        <w:rPr>
          <w:sz w:val="20"/>
          <w:szCs w:val="20"/>
          <w:color w:val="auto"/>
        </w:rPr>
        <w:tab/>
      </w:r>
      <w:r>
        <w:rPr>
          <w:rFonts w:ascii="Arial" w:cs="Arial" w:eastAsia="Arial" w:hAnsi="Arial"/>
          <w:sz w:val="11"/>
          <w:szCs w:val="11"/>
          <w:color w:val="auto"/>
        </w:rPr>
        <w:t>202-836-5754</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1019"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CLEARWAY ENERGY,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Three months ended June 30,</w:t>
            </w:r>
          </w:p>
        </w:tc>
        <w:tc>
          <w:tcPr>
            <w:tcW w:w="220" w:type="dxa"/>
            <w:vAlign w:val="bottom"/>
          </w:tcPr>
          <w:p>
            <w:pPr>
              <w:spacing w:after="0"/>
              <w:rPr>
                <w:sz w:val="12"/>
                <w:szCs w:val="12"/>
                <w:color w:val="auto"/>
              </w:rPr>
            </w:pPr>
          </w:p>
        </w:tc>
        <w:tc>
          <w:tcPr>
            <w:tcW w:w="1840" w:type="dxa"/>
            <w:vAlign w:val="bottom"/>
            <w:gridSpan w:val="4"/>
          </w:tcPr>
          <w:p>
            <w:pPr>
              <w:jc w:val="right"/>
              <w:ind w:right="332"/>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 except per share amounts)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5"/>
        </w:trPr>
        <w:tc>
          <w:tcPr>
            <w:tcW w:w="70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Operating Revenues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0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operating revenues</w:t>
            </w: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55"/>
        </w:trPr>
        <w:tc>
          <w:tcPr>
            <w:tcW w:w="70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Operating Costs and Expenses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040" w:type="dxa"/>
            <w:vAlign w:val="bottom"/>
          </w:tcPr>
          <w:p>
            <w:pPr>
              <w:ind w:left="100"/>
              <w:spacing w:after="0"/>
              <w:rPr>
                <w:sz w:val="20"/>
                <w:szCs w:val="20"/>
                <w:color w:val="auto"/>
              </w:rPr>
            </w:pPr>
            <w:r>
              <w:rPr>
                <w:rFonts w:ascii="Arial" w:cs="Arial" w:eastAsia="Arial" w:hAnsi="Arial"/>
                <w:sz w:val="14"/>
                <w:szCs w:val="14"/>
                <w:color w:val="auto"/>
              </w:rPr>
              <w:t>Cost of operations, exclusive of depreciation, amortization and accretion shown separately below</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amortization and accretion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4"/>
        </w:trPr>
        <w:tc>
          <w:tcPr>
            <w:tcW w:w="704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Transaction and integration costs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4"/>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Development costs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5"/>
        </w:trPr>
        <w:tc>
          <w:tcPr>
            <w:tcW w:w="7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costs and expenses</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64"/>
        </w:trPr>
        <w:tc>
          <w:tcPr>
            <w:tcW w:w="70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Gain on sale of business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4"/>
        </w:trPr>
        <w:tc>
          <w:tcPr>
            <w:tcW w:w="70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4"/>
        </w:trPr>
        <w:tc>
          <w:tcPr>
            <w:tcW w:w="7040" w:type="dxa"/>
            <w:vAlign w:val="bottom"/>
          </w:tcPr>
          <w:p>
            <w:pPr>
              <w:ind w:left="100"/>
              <w:spacing w:after="0"/>
              <w:rPr>
                <w:sz w:val="20"/>
                <w:szCs w:val="20"/>
                <w:color w:val="auto"/>
              </w:rPr>
            </w:pPr>
            <w:r>
              <w:rPr>
                <w:rFonts w:ascii="Arial" w:cs="Arial" w:eastAsia="Arial" w:hAnsi="Arial"/>
                <w:sz w:val="14"/>
                <w:szCs w:val="14"/>
                <w:color w:val="auto"/>
              </w:rPr>
              <w:t>Other income, net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on debt extinguishment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4"/>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5"/>
        </w:trPr>
        <w:tc>
          <w:tcPr>
            <w:tcW w:w="7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other expense, net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64"/>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4"/>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4"/>
        </w:trPr>
        <w:tc>
          <w:tcPr>
            <w:tcW w:w="7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Income (loss) attributable to noncontrolling interests and redeemable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5"/>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Clearway Energy, Inc.</w:t>
            </w: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Earnings Per Share Attributable to Clearway Energy, Inc. Class A and Class C Common Stockholders</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040" w:type="dxa"/>
            <w:vAlign w:val="bottom"/>
          </w:tcPr>
          <w:p>
            <w:pPr>
              <w:ind w:left="100"/>
              <w:spacing w:after="0"/>
              <w:rPr>
                <w:sz w:val="20"/>
                <w:szCs w:val="20"/>
                <w:color w:val="auto"/>
              </w:rPr>
            </w:pPr>
            <w:r>
              <w:rPr>
                <w:rFonts w:ascii="Arial" w:cs="Arial" w:eastAsia="Arial" w:hAnsi="Arial"/>
                <w:sz w:val="14"/>
                <w:szCs w:val="14"/>
                <w:color w:val="auto"/>
              </w:rPr>
              <w:t>Weighted average number of Class A common shares outstanding - basic and diluted</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number of Class C common shares outstanding - basic and diluted</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54"/>
        </w:trPr>
        <w:tc>
          <w:tcPr>
            <w:tcW w:w="704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Earnings per Weighted Average Class A and Class C Common Share - Basic and Diluted</w:t>
            </w:r>
          </w:p>
        </w:tc>
        <w:tc>
          <w:tcPr>
            <w:tcW w:w="220" w:type="dxa"/>
            <w:vAlign w:val="bottom"/>
            <w:tcBorders>
              <w:bottom w:val="single" w:sz="8" w:color="auto"/>
            </w:tcBorders>
          </w:tcPr>
          <w:p>
            <w:pPr>
              <w:jc w:val="right"/>
              <w:ind w:right="52"/>
              <w:spacing w:after="0" w:line="154"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4.89</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2"/>
              <w:spacing w:after="0" w:line="154"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0.30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2"/>
              <w:spacing w:after="0" w:line="154"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4.62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2"/>
              <w:spacing w:after="0" w:line="154"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Dividends Per Class A Common Share</w:t>
            </w:r>
          </w:p>
        </w:tc>
        <w:tc>
          <w:tcPr>
            <w:tcW w:w="220" w:type="dxa"/>
            <w:vAlign w:val="bottom"/>
            <w:tcBorders>
              <w:bottom w:val="single" w:sz="8" w:color="auto"/>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0.3536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2"/>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0.3290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0.7004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0.6530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0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Dividends Per Class C Common Share</w:t>
            </w:r>
          </w:p>
        </w:tc>
        <w:tc>
          <w:tcPr>
            <w:tcW w:w="220" w:type="dxa"/>
            <w:vAlign w:val="bottom"/>
            <w:tcBorders>
              <w:bottom w:val="single" w:sz="8" w:color="auto"/>
            </w:tcBorders>
          </w:tcPr>
          <w:p>
            <w:pPr>
              <w:jc w:val="right"/>
              <w:ind w:right="52"/>
              <w:spacing w:after="0" w:line="13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0.3536</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92"/>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0.3290</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72"/>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0.7004</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72"/>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0.6530</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5620"/>
              <w:spacing w:after="0"/>
              <w:rPr>
                <w:sz w:val="20"/>
                <w:szCs w:val="20"/>
                <w:color w:val="auto"/>
              </w:rPr>
            </w:pPr>
            <w:r>
              <w:rPr>
                <w:rFonts w:ascii="Arial" w:cs="Arial" w:eastAsia="Arial" w:hAnsi="Arial"/>
                <w:sz w:val="12"/>
                <w:szCs w:val="12"/>
                <w:color w:val="auto"/>
              </w:rPr>
              <w:t>7</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94"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CLEARWAY ENERGY,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1"/>
                <w:szCs w:val="11"/>
                <w:b w:val="1"/>
                <w:bCs w:val="1"/>
                <w:color w:val="auto"/>
              </w:rPr>
              <w:t>Three months ended June 30,</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12"/>
        </w:trPr>
        <w:tc>
          <w:tcPr>
            <w:tcW w:w="5480" w:type="dxa"/>
            <w:vAlign w:val="bottom"/>
            <w:gridSpan w:val="3"/>
          </w:tcPr>
          <w:p>
            <w:pPr>
              <w:ind w:left="20"/>
              <w:spacing w:after="0" w:line="112" w:lineRule="exact"/>
              <w:rPr>
                <w:sz w:val="20"/>
                <w:szCs w:val="20"/>
                <w:color w:val="auto"/>
              </w:rPr>
            </w:pPr>
            <w:r>
              <w:rPr>
                <w:rFonts w:ascii="Arial" w:cs="Arial" w:eastAsia="Arial" w:hAnsi="Arial"/>
                <w:sz w:val="11"/>
                <w:szCs w:val="11"/>
                <w:b w:val="1"/>
                <w:bCs w:val="1"/>
                <w:color w:val="auto"/>
              </w:rPr>
              <w:t>(In millions)</w:t>
            </w:r>
          </w:p>
        </w:tc>
        <w:tc>
          <w:tcPr>
            <w:tcW w:w="260" w:type="dxa"/>
            <w:vAlign w:val="bottom"/>
          </w:tcPr>
          <w:p>
            <w:pPr>
              <w:spacing w:after="0"/>
              <w:rPr>
                <w:sz w:val="9"/>
                <w:szCs w:val="9"/>
                <w:color w:val="auto"/>
              </w:rPr>
            </w:pPr>
          </w:p>
        </w:tc>
        <w:tc>
          <w:tcPr>
            <w:tcW w:w="860" w:type="dxa"/>
            <w:vAlign w:val="bottom"/>
          </w:tcPr>
          <w:p>
            <w:pPr>
              <w:jc w:val="right"/>
              <w:ind w:right="45"/>
              <w:spacing w:after="0" w:line="112" w:lineRule="exact"/>
              <w:rPr>
                <w:sz w:val="20"/>
                <w:szCs w:val="20"/>
                <w:color w:val="auto"/>
              </w:rPr>
            </w:pPr>
            <w:r>
              <w:rPr>
                <w:rFonts w:ascii="Arial" w:cs="Arial" w:eastAsia="Arial" w:hAnsi="Arial"/>
                <w:sz w:val="11"/>
                <w:szCs w:val="11"/>
                <w:b w:val="1"/>
                <w:bCs w:val="1"/>
                <w:color w:val="auto"/>
              </w:rPr>
              <w:t>2022</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8"/>
              <w:spacing w:after="0" w:line="112" w:lineRule="exact"/>
              <w:rPr>
                <w:sz w:val="20"/>
                <w:szCs w:val="20"/>
                <w:color w:val="auto"/>
              </w:rPr>
            </w:pPr>
            <w:r>
              <w:rPr>
                <w:rFonts w:ascii="Arial" w:cs="Arial" w:eastAsia="Arial" w:hAnsi="Arial"/>
                <w:sz w:val="11"/>
                <w:szCs w:val="11"/>
                <w:b w:val="1"/>
                <w:bCs w:val="1"/>
                <w:color w:val="auto"/>
              </w:rPr>
              <w:t>2021</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jc w:val="right"/>
              <w:ind w:right="500"/>
              <w:spacing w:after="0" w:line="112" w:lineRule="exact"/>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right"/>
              <w:ind w:right="479"/>
              <w:spacing w:after="0" w:line="112" w:lineRule="exact"/>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1120" w:type="dxa"/>
            <w:vAlign w:val="bottom"/>
            <w:gridSpan w:val="2"/>
            <w:shd w:val="clear" w:color="auto" w:fill="CCEEFF"/>
          </w:tcPr>
          <w:p>
            <w:pPr>
              <w:jc w:val="right"/>
              <w:ind w:right="725"/>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6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center"/>
              <w:ind w:left="699"/>
              <w:spacing w:after="0"/>
              <w:rPr>
                <w:sz w:val="20"/>
                <w:szCs w:val="20"/>
                <w:color w:val="auto"/>
              </w:rPr>
            </w:pPr>
            <w:r>
              <w:rPr>
                <w:rFonts w:ascii="Arial" w:cs="Arial" w:eastAsia="Arial" w:hAnsi="Arial"/>
                <w:sz w:val="12"/>
                <w:szCs w:val="12"/>
                <w:color w:val="auto"/>
                <w:w w:val="93"/>
              </w:rPr>
              <w:t>(44)</w:t>
            </w:r>
          </w:p>
        </w:tc>
        <w:tc>
          <w:tcPr>
            <w:tcW w:w="0" w:type="dxa"/>
            <w:vAlign w:val="bottom"/>
          </w:tcPr>
          <w:p>
            <w:pPr>
              <w:spacing w:after="0"/>
              <w:rPr>
                <w:sz w:val="1"/>
                <w:szCs w:val="1"/>
                <w:color w:val="auto"/>
              </w:rPr>
            </w:pPr>
          </w:p>
        </w:tc>
      </w:tr>
      <w:tr>
        <w:trPr>
          <w:trHeight w:val="162"/>
        </w:trPr>
        <w:tc>
          <w:tcPr>
            <w:tcW w:w="5480" w:type="dxa"/>
            <w:vAlign w:val="bottom"/>
            <w:gridSpan w:val="3"/>
          </w:tcPr>
          <w:p>
            <w:pPr>
              <w:ind w:left="20"/>
              <w:spacing w:after="0"/>
              <w:rPr>
                <w:sz w:val="20"/>
                <w:szCs w:val="20"/>
                <w:color w:val="auto"/>
              </w:rPr>
            </w:pPr>
            <w:r>
              <w:rPr>
                <w:rFonts w:ascii="Arial" w:cs="Arial" w:eastAsia="Arial" w:hAnsi="Arial"/>
                <w:sz w:val="12"/>
                <w:szCs w:val="12"/>
                <w:b w:val="1"/>
                <w:bCs w:val="1"/>
                <w:color w:val="auto"/>
              </w:rPr>
              <w:t>Other Comprehensive Income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Unrealized gain on derivatives, net of income tax expense of, $1, $— ,$3 and $2</w:t>
            </w:r>
          </w:p>
        </w:tc>
        <w:tc>
          <w:tcPr>
            <w:tcW w:w="2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left="739"/>
              <w:spacing w:after="0"/>
              <w:rPr>
                <w:sz w:val="20"/>
                <w:szCs w:val="20"/>
                <w:color w:val="auto"/>
              </w:rPr>
            </w:pPr>
            <w:r>
              <w:rPr>
                <w:rFonts w:ascii="Arial" w:cs="Arial" w:eastAsia="Arial" w:hAnsi="Arial"/>
                <w:sz w:val="12"/>
                <w:szCs w:val="12"/>
                <w:color w:val="auto"/>
                <w:w w:val="89"/>
              </w:rPr>
              <w:t>11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60" w:type="dxa"/>
            <w:vAlign w:val="bottom"/>
            <w:gridSpan w:val="2"/>
          </w:tcPr>
          <w:p>
            <w:pPr>
              <w:ind w:left="80"/>
              <w:spacing w:after="0"/>
              <w:rPr>
                <w:sz w:val="20"/>
                <w:szCs w:val="20"/>
                <w:color w:val="auto"/>
              </w:rPr>
            </w:pPr>
            <w:r>
              <w:rPr>
                <w:rFonts w:ascii="Arial" w:cs="Arial" w:eastAsia="Arial" w:hAnsi="Arial"/>
                <w:sz w:val="12"/>
                <w:szCs w:val="12"/>
                <w:color w:val="auto"/>
              </w:rPr>
              <w:t>Other comprehensive income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left="739"/>
              <w:spacing w:after="0"/>
              <w:rPr>
                <w:sz w:val="20"/>
                <w:szCs w:val="20"/>
                <w:color w:val="auto"/>
              </w:rPr>
            </w:pPr>
            <w:r>
              <w:rPr>
                <w:rFonts w:ascii="Arial" w:cs="Arial" w:eastAsia="Arial" w:hAnsi="Arial"/>
                <w:sz w:val="12"/>
                <w:szCs w:val="12"/>
                <w:color w:val="auto"/>
                <w:w w:val="89"/>
              </w:rPr>
              <w:t>11</w:t>
            </w:r>
          </w:p>
        </w:tc>
        <w:tc>
          <w:tcPr>
            <w:tcW w:w="0" w:type="dxa"/>
            <w:vAlign w:val="bottom"/>
          </w:tcPr>
          <w:p>
            <w:pPr>
              <w:spacing w:after="0"/>
              <w:rPr>
                <w:sz w:val="1"/>
                <w:szCs w:val="1"/>
                <w:color w:val="auto"/>
              </w:rPr>
            </w:pPr>
          </w:p>
        </w:tc>
      </w:tr>
      <w:tr>
        <w:trPr>
          <w:trHeight w:val="157"/>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Comprehensive Income (Loss)</w:t>
            </w:r>
          </w:p>
        </w:tc>
        <w:tc>
          <w:tcPr>
            <w:tcW w:w="2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1,155</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32</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1,072</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ind w:left="699"/>
              <w:spacing w:after="0"/>
              <w:rPr>
                <w:sz w:val="20"/>
                <w:szCs w:val="20"/>
                <w:color w:val="auto"/>
              </w:rPr>
            </w:pPr>
            <w:r>
              <w:rPr>
                <w:rFonts w:ascii="Arial" w:cs="Arial" w:eastAsia="Arial" w:hAnsi="Arial"/>
                <w:sz w:val="12"/>
                <w:szCs w:val="12"/>
                <w:color w:val="auto"/>
                <w:w w:val="93"/>
              </w:rPr>
              <w:t>(33)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460" w:type="dxa"/>
            <w:vAlign w:val="bottom"/>
            <w:gridSpan w:val="2"/>
          </w:tcPr>
          <w:p>
            <w:pPr>
              <w:ind w:left="80"/>
              <w:spacing w:after="0" w:line="127" w:lineRule="exact"/>
              <w:rPr>
                <w:sz w:val="20"/>
                <w:szCs w:val="20"/>
                <w:color w:val="auto"/>
              </w:rPr>
            </w:pPr>
            <w:r>
              <w:rPr>
                <w:rFonts w:ascii="Arial" w:cs="Arial" w:eastAsia="Arial" w:hAnsi="Arial"/>
                <w:sz w:val="12"/>
                <w:szCs w:val="12"/>
                <w:color w:val="auto"/>
                <w:w w:val="95"/>
              </w:rPr>
              <w:t>Less: Comprehensive income (loss) attributable to noncontrolling interests and redeemable noncontrolling</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583</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vMerge w:val="restart"/>
          </w:tcPr>
          <w:p>
            <w:pPr>
              <w:ind w:left="220"/>
              <w:spacing w:after="0"/>
              <w:rPr>
                <w:sz w:val="20"/>
                <w:szCs w:val="20"/>
                <w:color w:val="auto"/>
              </w:rPr>
            </w:pPr>
            <w:r>
              <w:rPr>
                <w:rFonts w:ascii="Arial" w:cs="Arial" w:eastAsia="Arial" w:hAnsi="Arial"/>
                <w:sz w:val="12"/>
                <w:szCs w:val="12"/>
                <w:color w:val="auto"/>
                <w:w w:val="95"/>
              </w:rPr>
              <w:t>(3)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526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center"/>
              <w:ind w:left="699"/>
              <w:spacing w:after="0"/>
              <w:rPr>
                <w:sz w:val="20"/>
                <w:szCs w:val="20"/>
                <w:color w:val="auto"/>
              </w:rPr>
            </w:pPr>
            <w:r>
              <w:rPr>
                <w:rFonts w:ascii="Arial" w:cs="Arial" w:eastAsia="Arial" w:hAnsi="Arial"/>
                <w:sz w:val="12"/>
                <w:szCs w:val="12"/>
                <w:color w:val="auto"/>
                <w:w w:val="93"/>
              </w:rPr>
              <w:t>(75)</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546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interests</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Comprehensive Income Attributable to Clearway Energy, Inc.</w:t>
            </w:r>
          </w:p>
        </w:tc>
        <w:tc>
          <w:tcPr>
            <w:tcW w:w="1120" w:type="dxa"/>
            <w:vAlign w:val="bottom"/>
            <w:gridSpan w:val="2"/>
            <w:shd w:val="clear" w:color="auto" w:fill="CCEEFF"/>
          </w:tcPr>
          <w:p>
            <w:pPr>
              <w:jc w:val="right"/>
              <w:ind w:right="725"/>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6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center"/>
              <w:ind w:left="739"/>
              <w:spacing w:after="0"/>
              <w:rPr>
                <w:sz w:val="20"/>
                <w:szCs w:val="20"/>
                <w:color w:val="auto"/>
              </w:rPr>
            </w:pPr>
            <w:r>
              <w:rPr>
                <w:rFonts w:ascii="Arial" w:cs="Arial" w:eastAsia="Arial" w:hAnsi="Arial"/>
                <w:sz w:val="12"/>
                <w:szCs w:val="12"/>
                <w:color w:val="auto"/>
                <w:w w:val="89"/>
              </w:rPr>
              <w:t>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11"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CLEARWAY ENERGY,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8020" w:type="dxa"/>
            <w:vAlign w:val="bottom"/>
          </w:tcPr>
          <w:p>
            <w:pPr>
              <w:ind w:left="20"/>
              <w:spacing w:after="0"/>
              <w:rPr>
                <w:sz w:val="20"/>
                <w:szCs w:val="20"/>
                <w:color w:val="auto"/>
              </w:rPr>
            </w:pPr>
            <w:r>
              <w:rPr>
                <w:rFonts w:ascii="Arial" w:cs="Arial" w:eastAsia="Arial" w:hAnsi="Arial"/>
                <w:sz w:val="11"/>
                <w:szCs w:val="11"/>
                <w:b w:val="1"/>
                <w:bCs w:val="1"/>
                <w:color w:val="auto"/>
              </w:rPr>
              <w:t>(In millions, except shares)</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1"/>
                <w:szCs w:val="11"/>
                <w:b w:val="1"/>
                <w:bCs w:val="1"/>
                <w:color w:val="auto"/>
                <w:w w:val="89"/>
              </w:rPr>
              <w:t>June 30, 2022</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48"/>
        </w:trPr>
        <w:tc>
          <w:tcPr>
            <w:tcW w:w="8020" w:type="dxa"/>
            <w:vAlign w:val="bottom"/>
          </w:tcPr>
          <w:p>
            <w:pPr>
              <w:ind w:left="3780"/>
              <w:spacing w:after="0"/>
              <w:rPr>
                <w:sz w:val="20"/>
                <w:szCs w:val="20"/>
                <w:color w:val="auto"/>
              </w:rPr>
            </w:pPr>
            <w:r>
              <w:rPr>
                <w:rFonts w:ascii="Arial" w:cs="Arial" w:eastAsia="Arial" w:hAnsi="Arial"/>
                <w:sz w:val="12"/>
                <w:szCs w:val="12"/>
                <w:b w:val="1"/>
                <w:bCs w:val="1"/>
                <w:color w:val="auto"/>
              </w:rPr>
              <w:t>ASSETS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1"/>
              </w:rPr>
              <w:t>(Unaudited)</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2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rPr>
                <w:sz w:val="20"/>
                <w:szCs w:val="20"/>
                <w:color w:val="auto"/>
              </w:rPr>
            </w:pPr>
            <w:r>
              <w:rPr>
                <w:rFonts w:ascii="Arial" w:cs="Arial" w:eastAsia="Arial" w:hAnsi="Arial"/>
                <w:sz w:val="12"/>
                <w:szCs w:val="12"/>
                <w:color w:val="auto"/>
              </w:rPr>
              <w:t>Restricted cash</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475</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receivable — trade</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rPr>
                <w:sz w:val="20"/>
                <w:szCs w:val="20"/>
                <w:color w:val="auto"/>
              </w:rPr>
            </w:pPr>
            <w:r>
              <w:rPr>
                <w:rFonts w:ascii="Arial" w:cs="Arial" w:eastAsia="Arial" w:hAnsi="Arial"/>
                <w:sz w:val="12"/>
                <w:szCs w:val="12"/>
                <w:color w:val="auto"/>
              </w:rPr>
              <w:t>Accounts receivable — affiliates</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Inventory</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rPr>
                <w:sz w:val="20"/>
                <w:szCs w:val="20"/>
                <w:color w:val="auto"/>
              </w:rPr>
            </w:pPr>
            <w:r>
              <w:rPr>
                <w:rFonts w:ascii="Arial" w:cs="Arial" w:eastAsia="Arial" w:hAnsi="Arial"/>
                <w:sz w:val="12"/>
                <w:szCs w:val="12"/>
                <w:color w:val="auto"/>
              </w:rPr>
              <w:t>Derivative instruments</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Current assets held-for-sale</w:t>
            </w: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62"/>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Prepayments and other current assets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57"/>
        </w:trPr>
        <w:tc>
          <w:tcPr>
            <w:tcW w:w="80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1,531</w:t>
            </w:r>
          </w:p>
        </w:tc>
        <w:tc>
          <w:tcPr>
            <w:tcW w:w="0" w:type="dxa"/>
            <w:vAlign w:val="bottom"/>
          </w:tcPr>
          <w:p>
            <w:pPr>
              <w:spacing w:after="0"/>
              <w:rPr>
                <w:sz w:val="1"/>
                <w:szCs w:val="1"/>
                <w:color w:val="auto"/>
              </w:rPr>
            </w:pPr>
          </w:p>
        </w:tc>
      </w:tr>
      <w:tr>
        <w:trPr>
          <w:trHeight w:val="154"/>
        </w:trPr>
        <w:tc>
          <w:tcPr>
            <w:tcW w:w="80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Property, plant and equipment, net</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7,545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7,650</w:t>
            </w:r>
          </w:p>
        </w:tc>
        <w:tc>
          <w:tcPr>
            <w:tcW w:w="0" w:type="dxa"/>
            <w:vAlign w:val="bottom"/>
          </w:tcPr>
          <w:p>
            <w:pPr>
              <w:spacing w:after="0"/>
              <w:rPr>
                <w:sz w:val="1"/>
                <w:szCs w:val="1"/>
                <w:color w:val="auto"/>
              </w:rPr>
            </w:pPr>
          </w:p>
        </w:tc>
      </w:tr>
      <w:tr>
        <w:trPr>
          <w:trHeight w:val="164"/>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Assets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rPr>
                <w:sz w:val="20"/>
                <w:szCs w:val="20"/>
                <w:color w:val="auto"/>
              </w:rPr>
            </w:pPr>
            <w:r>
              <w:rPr>
                <w:rFonts w:ascii="Arial" w:cs="Arial" w:eastAsia="Arial" w:hAnsi="Arial"/>
                <w:sz w:val="12"/>
                <w:szCs w:val="12"/>
                <w:color w:val="auto"/>
              </w:rPr>
              <w:t>Equity investments in affiliates</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Intangible assets for power purchase agreements, net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2,419</w:t>
            </w: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rPr>
                <w:sz w:val="20"/>
                <w:szCs w:val="20"/>
                <w:color w:val="auto"/>
              </w:rPr>
            </w:pPr>
            <w:r>
              <w:rPr>
                <w:rFonts w:ascii="Arial" w:cs="Arial" w:eastAsia="Arial" w:hAnsi="Arial"/>
                <w:sz w:val="12"/>
                <w:szCs w:val="12"/>
                <w:color w:val="auto"/>
              </w:rPr>
              <w:t>Other intangible assets, net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Derivative instruments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Right-of-use assets, net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0" w:type="dxa"/>
            <w:vAlign w:val="bottom"/>
          </w:tcPr>
          <w:p>
            <w:pPr>
              <w:spacing w:after="0"/>
              <w:rPr>
                <w:sz w:val="1"/>
                <w:szCs w:val="1"/>
                <w:color w:val="auto"/>
              </w:rPr>
            </w:pPr>
          </w:p>
        </w:tc>
      </w:tr>
      <w:tr>
        <w:trPr>
          <w:trHeight w:val="162"/>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non-current assets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54"/>
        </w:trPr>
        <w:tc>
          <w:tcPr>
            <w:tcW w:w="80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other assets</w:t>
            </w: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3,632</w:t>
            </w:r>
          </w:p>
        </w:tc>
        <w:tc>
          <w:tcPr>
            <w:tcW w:w="0" w:type="dxa"/>
            <w:vAlign w:val="bottom"/>
          </w:tcPr>
          <w:p>
            <w:pPr>
              <w:spacing w:after="0"/>
              <w:rPr>
                <w:sz w:val="1"/>
                <w:szCs w:val="1"/>
                <w:color w:val="auto"/>
              </w:rPr>
            </w:pPr>
          </w:p>
        </w:tc>
      </w:tr>
      <w:tr>
        <w:trPr>
          <w:trHeight w:val="157"/>
        </w:trPr>
        <w:tc>
          <w:tcPr>
            <w:tcW w:w="8020" w:type="dxa"/>
            <w:vAlign w:val="bottom"/>
          </w:tcPr>
          <w:p>
            <w:pPr>
              <w:ind w:left="20"/>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12,648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12,813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020" w:type="dxa"/>
            <w:vAlign w:val="bottom"/>
            <w:shd w:val="clear" w:color="auto" w:fill="CCEEFF"/>
          </w:tcPr>
          <w:p>
            <w:pPr>
              <w:ind w:left="2680"/>
              <w:spacing w:after="0" w:line="125" w:lineRule="exact"/>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portion of long-term debt</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w:t>
            </w:r>
          </w:p>
        </w:tc>
        <w:tc>
          <w:tcPr>
            <w:tcW w:w="0" w:type="dxa"/>
            <w:vAlign w:val="bottom"/>
          </w:tcPr>
          <w:p>
            <w:pPr>
              <w:spacing w:after="0"/>
              <w:rPr>
                <w:sz w:val="1"/>
                <w:szCs w:val="1"/>
                <w:color w:val="auto"/>
              </w:rPr>
            </w:pPr>
          </w:p>
        </w:tc>
      </w:tr>
      <w:tr>
        <w:trPr>
          <w:trHeight w:val="162"/>
        </w:trPr>
        <w:tc>
          <w:tcPr>
            <w:tcW w:w="8020" w:type="dxa"/>
            <w:vAlign w:val="bottom"/>
          </w:tcPr>
          <w:p>
            <w:pPr>
              <w:ind w:left="100"/>
              <w:spacing w:after="0"/>
              <w:rPr>
                <w:sz w:val="20"/>
                <w:szCs w:val="20"/>
                <w:color w:val="auto"/>
              </w:rPr>
            </w:pPr>
            <w:r>
              <w:rPr>
                <w:rFonts w:ascii="Arial" w:cs="Arial" w:eastAsia="Arial" w:hAnsi="Arial"/>
                <w:sz w:val="12"/>
                <w:szCs w:val="12"/>
                <w:color w:val="auto"/>
              </w:rPr>
              <w:t>Accounts payable — trade</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 affiliates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62"/>
        </w:trPr>
        <w:tc>
          <w:tcPr>
            <w:tcW w:w="8020" w:type="dxa"/>
            <w:vAlign w:val="bottom"/>
          </w:tcPr>
          <w:p>
            <w:pPr>
              <w:ind w:left="100"/>
              <w:spacing w:after="0"/>
              <w:rPr>
                <w:sz w:val="20"/>
                <w:szCs w:val="20"/>
                <w:color w:val="auto"/>
              </w:rPr>
            </w:pPr>
            <w:r>
              <w:rPr>
                <w:rFonts w:ascii="Arial" w:cs="Arial" w:eastAsia="Arial" w:hAnsi="Arial"/>
                <w:sz w:val="12"/>
                <w:szCs w:val="12"/>
                <w:color w:val="auto"/>
              </w:rPr>
              <w:t>Derivative instruments</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interest expense</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62"/>
        </w:trPr>
        <w:tc>
          <w:tcPr>
            <w:tcW w:w="8020" w:type="dxa"/>
            <w:vAlign w:val="bottom"/>
          </w:tcPr>
          <w:p>
            <w:pPr>
              <w:ind w:left="100"/>
              <w:spacing w:after="0"/>
              <w:rPr>
                <w:sz w:val="20"/>
                <w:szCs w:val="20"/>
                <w:color w:val="auto"/>
              </w:rPr>
            </w:pPr>
            <w:r>
              <w:rPr>
                <w:rFonts w:ascii="Arial" w:cs="Arial" w:eastAsia="Arial" w:hAnsi="Arial"/>
                <w:sz w:val="12"/>
                <w:szCs w:val="12"/>
                <w:color w:val="auto"/>
              </w:rPr>
              <w:t>Current liabilities held-for-sale</w:t>
            </w:r>
          </w:p>
        </w:tc>
        <w:tc>
          <w:tcPr>
            <w:tcW w:w="2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 and other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52"/>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current liabilities</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1,631</w:t>
            </w:r>
          </w:p>
        </w:tc>
        <w:tc>
          <w:tcPr>
            <w:tcW w:w="0" w:type="dxa"/>
            <w:vAlign w:val="bottom"/>
          </w:tcPr>
          <w:p>
            <w:pPr>
              <w:spacing w:after="0"/>
              <w:rPr>
                <w:sz w:val="1"/>
                <w:szCs w:val="1"/>
                <w:color w:val="auto"/>
              </w:rPr>
            </w:pPr>
          </w:p>
        </w:tc>
      </w:tr>
      <w:tr>
        <w:trPr>
          <w:trHeight w:val="14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Liabilities</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100"/>
              <w:spacing w:after="0"/>
              <w:rPr>
                <w:sz w:val="20"/>
                <w:szCs w:val="20"/>
                <w:color w:val="auto"/>
              </w:rPr>
            </w:pPr>
            <w:r>
              <w:rPr>
                <w:rFonts w:ascii="Arial" w:cs="Arial" w:eastAsia="Arial" w:hAnsi="Arial"/>
                <w:sz w:val="12"/>
                <w:szCs w:val="12"/>
                <w:color w:val="auto"/>
              </w:rPr>
              <w:t>Long-term debt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6,605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6,939</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income taxes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2"/>
        </w:trPr>
        <w:tc>
          <w:tcPr>
            <w:tcW w:w="8020" w:type="dxa"/>
            <w:vAlign w:val="bottom"/>
          </w:tcPr>
          <w:p>
            <w:pPr>
              <w:ind w:left="100"/>
              <w:spacing w:after="0"/>
              <w:rPr>
                <w:sz w:val="20"/>
                <w:szCs w:val="20"/>
                <w:color w:val="auto"/>
              </w:rPr>
            </w:pPr>
            <w:r>
              <w:rPr>
                <w:rFonts w:ascii="Arial" w:cs="Arial" w:eastAsia="Arial" w:hAnsi="Arial"/>
                <w:sz w:val="12"/>
                <w:szCs w:val="12"/>
                <w:color w:val="auto"/>
              </w:rPr>
              <w:t>Derivative instruments</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lease liabilities</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w:t>
            </w:r>
          </w:p>
        </w:tc>
        <w:tc>
          <w:tcPr>
            <w:tcW w:w="0" w:type="dxa"/>
            <w:vAlign w:val="bottom"/>
          </w:tcPr>
          <w:p>
            <w:pPr>
              <w:spacing w:after="0"/>
              <w:rPr>
                <w:sz w:val="1"/>
                <w:szCs w:val="1"/>
                <w:color w:val="auto"/>
              </w:rPr>
            </w:pPr>
          </w:p>
        </w:tc>
      </w:tr>
      <w:tr>
        <w:trPr>
          <w:trHeight w:val="162"/>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57"/>
        </w:trPr>
        <w:tc>
          <w:tcPr>
            <w:tcW w:w="80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7,706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7,882</w:t>
            </w:r>
          </w:p>
        </w:tc>
        <w:tc>
          <w:tcPr>
            <w:tcW w:w="0" w:type="dxa"/>
            <w:vAlign w:val="bottom"/>
          </w:tcPr>
          <w:p>
            <w:pPr>
              <w:spacing w:after="0"/>
              <w:rPr>
                <w:sz w:val="1"/>
                <w:szCs w:val="1"/>
                <w:color w:val="auto"/>
              </w:rPr>
            </w:pPr>
          </w:p>
        </w:tc>
      </w:tr>
      <w:tr>
        <w:trPr>
          <w:trHeight w:val="1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Liabilities</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9,513</w:t>
            </w:r>
          </w:p>
        </w:tc>
        <w:tc>
          <w:tcPr>
            <w:tcW w:w="0" w:type="dxa"/>
            <w:vAlign w:val="bottom"/>
          </w:tcPr>
          <w:p>
            <w:pPr>
              <w:spacing w:after="0"/>
              <w:rPr>
                <w:sz w:val="1"/>
                <w:szCs w:val="1"/>
                <w:color w:val="auto"/>
              </w:rPr>
            </w:pPr>
          </w:p>
        </w:tc>
      </w:tr>
      <w:tr>
        <w:trPr>
          <w:trHeight w:val="15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Redeemable noncontrolling interest in subsidiaries</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0"/>
              <w:spacing w:after="0"/>
              <w:rPr>
                <w:sz w:val="20"/>
                <w:szCs w:val="20"/>
                <w:color w:val="auto"/>
              </w:rPr>
            </w:pPr>
            <w:r>
              <w:rPr>
                <w:rFonts w:ascii="Arial" w:cs="Arial" w:eastAsia="Arial" w:hAnsi="Arial"/>
                <w:sz w:val="14"/>
                <w:szCs w:val="14"/>
                <w:color w:val="auto"/>
              </w:rPr>
              <w:t>Preferred stock, $0.01 par value; 10,000,000 shares authorized; none issued</w:t>
            </w:r>
          </w:p>
        </w:tc>
        <w:tc>
          <w:tcPr>
            <w:tcW w:w="26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802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w w:val="94"/>
              </w:rPr>
              <w:t>Class A, Class B, Class C and Class D common stock, $0.01 par value; 3,000,000,000 shares authorized (Class A 500,000,000, Class B 500,000,000, Class C</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0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5"/>
              </w:rPr>
              <w:t>1,000,000,000, Class D 1,000,000,000); 202,273,531 shares issued and outstanding (Class A 34,599,645, Class B 42,738,750, Class C 82,196,386, Class D</w:t>
            </w: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0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1"/>
              </w:rPr>
              <w:t>42,738,750) at June 30, 2022 and 201,856,166 shares issued and outstanding (Class A 34,599,645, Class B 42,738,750, Class C 81,779,021, Class D 42,738,750)</w:t>
            </w:r>
          </w:p>
        </w:tc>
        <w:tc>
          <w:tcPr>
            <w:tcW w:w="26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at December 31, 2021</w:t>
            </w:r>
          </w:p>
        </w:tc>
        <w:tc>
          <w:tcPr>
            <w:tcW w:w="260" w:type="dxa"/>
            <w:vAlign w:val="bottom"/>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1,872</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Retained earnings (accumulated deficit)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62"/>
        </w:trPr>
        <w:tc>
          <w:tcPr>
            <w:tcW w:w="8020" w:type="dxa"/>
            <w:vAlign w:val="bottom"/>
          </w:tcPr>
          <w:p>
            <w:pPr>
              <w:ind w:left="100"/>
              <w:spacing w:after="0"/>
              <w:rPr>
                <w:sz w:val="20"/>
                <w:szCs w:val="20"/>
                <w:color w:val="auto"/>
              </w:rPr>
            </w:pPr>
            <w:r>
              <w:rPr>
                <w:rFonts w:ascii="Arial" w:cs="Arial" w:eastAsia="Arial" w:hAnsi="Arial"/>
                <w:sz w:val="12"/>
                <w:szCs w:val="12"/>
                <w:color w:val="auto"/>
              </w:rPr>
              <w:t>Accumulated other comprehensive income (loss)</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7"/>
        </w:trPr>
        <w:tc>
          <w:tcPr>
            <w:tcW w:w="8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Noncontrolling interest</w:t>
            </w: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1,466</w:t>
            </w:r>
          </w:p>
        </w:tc>
        <w:tc>
          <w:tcPr>
            <w:tcW w:w="0" w:type="dxa"/>
            <w:vAlign w:val="bottom"/>
          </w:tcPr>
          <w:p>
            <w:pPr>
              <w:spacing w:after="0"/>
              <w:rPr>
                <w:sz w:val="1"/>
                <w:szCs w:val="1"/>
                <w:color w:val="auto"/>
              </w:rPr>
            </w:pPr>
          </w:p>
        </w:tc>
      </w:tr>
      <w:tr>
        <w:trPr>
          <w:trHeight w:val="1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Stockholders’ Equity</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3,300</w:t>
            </w:r>
          </w:p>
        </w:tc>
        <w:tc>
          <w:tcPr>
            <w:tcW w:w="0" w:type="dxa"/>
            <w:vAlign w:val="bottom"/>
          </w:tcPr>
          <w:p>
            <w:pPr>
              <w:spacing w:after="0"/>
              <w:rPr>
                <w:sz w:val="1"/>
                <w:szCs w:val="1"/>
                <w:color w:val="auto"/>
              </w:rPr>
            </w:pPr>
          </w:p>
        </w:tc>
      </w:tr>
      <w:tr>
        <w:trPr>
          <w:trHeight w:val="18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12,648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12,813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2"/>
                <w:szCs w:val="12"/>
                <w:color w:val="auto"/>
              </w:rPr>
              <w:t>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8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11"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4"/>
          <w:szCs w:val="14"/>
          <w:b w:val="1"/>
          <w:bCs w:val="1"/>
          <w:color w:val="auto"/>
        </w:rPr>
        <w:t>CLEARWAY ENERGY, INC.</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41"/>
        </w:trPr>
        <w:tc>
          <w:tcPr>
            <w:tcW w:w="474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8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4"/>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Net Income (Loss)</w:t>
            </w:r>
          </w:p>
        </w:tc>
        <w:tc>
          <w:tcPr>
            <w:tcW w:w="3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62"/>
        </w:trPr>
        <w:tc>
          <w:tcPr>
            <w:tcW w:w="4740" w:type="dxa"/>
            <w:vAlign w:val="bottom"/>
          </w:tcPr>
          <w:p>
            <w:pPr>
              <w:ind w:left="180"/>
              <w:spacing w:after="0"/>
              <w:rPr>
                <w:sz w:val="20"/>
                <w:szCs w:val="20"/>
                <w:color w:val="auto"/>
              </w:rPr>
            </w:pPr>
            <w:r>
              <w:rPr>
                <w:rFonts w:ascii="Arial" w:cs="Arial" w:eastAsia="Arial" w:hAnsi="Arial"/>
                <w:sz w:val="12"/>
                <w:szCs w:val="12"/>
                <w:color w:val="auto"/>
                <w:w w:val="98"/>
              </w:rPr>
              <w:t>Adjustments to reconcile net income (loss) to net cash provided by operating activities: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Equity in earnings of unconsolidated affiliates</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Distributions from unconsolidated affiliates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Depreciation, amortization and accretion</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Amortization of financing costs and debt discounts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Amortization of intangibles</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Loss on debt extinguishment</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Gain on sale of business</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Reduction in carrying amount of right-of-use assets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Changes in deferred income taxes</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Changes in derivative instruments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used in changes in other working capital:</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Changes in prepaid and accrued liabilities for tolling agreements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Changes in other working capital</w:t>
            </w:r>
          </w:p>
        </w:tc>
        <w:tc>
          <w:tcPr>
            <w:tcW w:w="28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28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47"/>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Acquisitions, net of cash acquired</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Acquisition of Drop Down Assets</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Capital expenditures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Asset purchase from affiliate</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Return of investment from unconsolidated affiliates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receipts from notes receivable</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Proceeds from sale of business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28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1,331</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(420)</w:t>
            </w:r>
          </w:p>
        </w:tc>
        <w:tc>
          <w:tcPr>
            <w:tcW w:w="0" w:type="dxa"/>
            <w:vAlign w:val="bottom"/>
          </w:tcPr>
          <w:p>
            <w:pPr>
              <w:spacing w:after="0"/>
              <w:rPr>
                <w:sz w:val="1"/>
                <w:szCs w:val="1"/>
                <w:color w:val="auto"/>
              </w:rPr>
            </w:pPr>
          </w:p>
        </w:tc>
      </w:tr>
      <w:tr>
        <w:trPr>
          <w:trHeight w:val="147"/>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(Distributions to) contributions from noncontrolling interests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of dividends and distributions</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Distributions to CEG of escrowed amounts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the revolving credit facility</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Payments for the revolving credit facility</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the issuance of long-term debt</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1,016</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2"/>
                <w:szCs w:val="12"/>
                <w:color w:val="auto"/>
              </w:rPr>
              <w:t>Payments of debt issuance costs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for short-term and long-term debt</w:t>
            </w:r>
          </w:p>
        </w:tc>
        <w:tc>
          <w:tcPr>
            <w:tcW w:w="2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w:t>
            </w:r>
          </w:p>
        </w:tc>
        <w:tc>
          <w:tcPr>
            <w:tcW w:w="0" w:type="dxa"/>
            <w:vAlign w:val="bottom"/>
          </w:tcPr>
          <w:p>
            <w:pPr>
              <w:spacing w:after="0"/>
              <w:rPr>
                <w:sz w:val="1"/>
                <w:szCs w:val="1"/>
                <w:color w:val="auto"/>
              </w:rPr>
            </w:pPr>
          </w:p>
        </w:tc>
      </w:tr>
      <w:tr>
        <w:trPr>
          <w:trHeight w:val="162"/>
        </w:trPr>
        <w:tc>
          <w:tcPr>
            <w:tcW w:w="474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Other</w:t>
            </w:r>
          </w:p>
        </w:tc>
        <w:tc>
          <w:tcPr>
            <w:tcW w:w="28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2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62"/>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Net Increase in Cash, Cash Equivalents and Restricted Cash</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4"/>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28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57"/>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3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1,288</w:t>
            </w:r>
          </w:p>
        </w:tc>
        <w:tc>
          <w:tcPr>
            <w:tcW w:w="100" w:type="dxa"/>
            <w:vAlign w:val="bottom"/>
          </w:tcPr>
          <w:p>
            <w:pPr>
              <w:spacing w:after="0"/>
              <w:rPr>
                <w:sz w:val="13"/>
                <w:szCs w:val="13"/>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470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80" w:type="dxa"/>
            <w:vAlign w:val="bottom"/>
            <w:vMerge w:val="restart"/>
          </w:tcPr>
          <w:p>
            <w:pPr>
              <w:jc w:val="right"/>
              <w:ind w:right="2438"/>
              <w:spacing w:after="0"/>
              <w:rPr>
                <w:sz w:val="20"/>
                <w:szCs w:val="20"/>
                <w:color w:val="auto"/>
              </w:rPr>
            </w:pPr>
            <w:r>
              <w:rPr>
                <w:rFonts w:ascii="Arial" w:cs="Arial" w:eastAsia="Arial" w:hAnsi="Arial"/>
                <w:sz w:val="12"/>
                <w:szCs w:val="12"/>
                <w:color w:val="auto"/>
              </w:rPr>
              <w:t>10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47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880" w:top="619" w:right="879" w:bottom="1440" w:gutter="0" w:footer="0" w:header="0"/>
        </w:sectPr>
      </w:pPr>
    </w:p>
    <w:bookmarkStart w:id="13" w:name="page14"/>
    <w:bookmarkEnd w:id="13"/>
    <w:p>
      <w:pPr>
        <w:jc w:val="center"/>
        <w:ind w:right="580"/>
        <w:spacing w:after="0"/>
        <w:rPr>
          <w:sz w:val="20"/>
          <w:szCs w:val="20"/>
          <w:color w:val="auto"/>
        </w:rPr>
      </w:pPr>
      <w:r>
        <w:rPr>
          <w:rFonts w:ascii="Arial" w:cs="Arial" w:eastAsia="Arial" w:hAnsi="Arial"/>
          <w:sz w:val="14"/>
          <w:szCs w:val="14"/>
          <w:b w:val="1"/>
          <w:bCs w:val="1"/>
          <w:color w:val="auto"/>
        </w:rPr>
        <w:t>CLEARWAY ENERGY, INC.</w:t>
      </w:r>
    </w:p>
    <w:p>
      <w:pPr>
        <w:spacing w:after="0" w:line="126"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26"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For the Six Months Ended June 30, 2022</w:t>
      </w:r>
    </w:p>
    <w:p>
      <w:pPr>
        <w:spacing w:after="0" w:line="126"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3"/>
          </w:tcPr>
          <w:p>
            <w:pPr>
              <w:ind w:left="720"/>
              <w:spacing w:after="0"/>
              <w:rPr>
                <w:sz w:val="20"/>
                <w:szCs w:val="20"/>
                <w:color w:val="auto"/>
              </w:rPr>
            </w:pPr>
            <w:r>
              <w:rPr>
                <w:rFonts w:ascii="Arial" w:cs="Arial" w:eastAsia="Arial" w:hAnsi="Arial"/>
                <w:sz w:val="10"/>
                <w:szCs w:val="10"/>
                <w:b w:val="1"/>
                <w:bCs w:val="1"/>
                <w:color w:val="auto"/>
              </w:rPr>
              <w:t>Additional</w:t>
            </w:r>
          </w:p>
        </w:tc>
        <w:tc>
          <w:tcPr>
            <w:tcW w:w="60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Accumulated</w:t>
            </w:r>
          </w:p>
        </w:tc>
        <w:tc>
          <w:tcPr>
            <w:tcW w:w="1300" w:type="dxa"/>
            <w:vAlign w:val="bottom"/>
            <w:gridSpan w:val="3"/>
          </w:tcPr>
          <w:p>
            <w:pPr>
              <w:ind w:left="580"/>
              <w:spacing w:after="0"/>
              <w:rPr>
                <w:sz w:val="20"/>
                <w:szCs w:val="20"/>
                <w:color w:val="auto"/>
              </w:rPr>
            </w:pPr>
            <w:r>
              <w:rPr>
                <w:rFonts w:ascii="Arial" w:cs="Arial" w:eastAsia="Arial" w:hAnsi="Arial"/>
                <w:sz w:val="10"/>
                <w:szCs w:val="10"/>
                <w:b w:val="1"/>
                <w:bCs w:val="1"/>
                <w:color w:val="auto"/>
              </w:rPr>
              <w:t>Accumulated</w:t>
            </w:r>
          </w:p>
        </w:tc>
        <w:tc>
          <w:tcPr>
            <w:tcW w:w="6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Noncontrolling</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Preferred Stock</w:t>
            </w:r>
          </w:p>
        </w:tc>
        <w:tc>
          <w:tcPr>
            <w:tcW w:w="80" w:type="dxa"/>
            <w:vAlign w:val="bottom"/>
            <w:vMerge w:val="restart"/>
          </w:tcPr>
          <w:p>
            <w:pPr>
              <w:spacing w:after="0"/>
              <w:rPr>
                <w:sz w:val="8"/>
                <w:szCs w:val="8"/>
                <w:color w:val="auto"/>
              </w:rPr>
            </w:pPr>
          </w:p>
        </w:tc>
        <w:tc>
          <w:tcPr>
            <w:tcW w:w="1180" w:type="dxa"/>
            <w:vAlign w:val="bottom"/>
            <w:gridSpan w:val="2"/>
            <w:vMerge w:val="restart"/>
          </w:tcPr>
          <w:p>
            <w:pPr>
              <w:ind w:left="520"/>
              <w:spacing w:after="0"/>
              <w:rPr>
                <w:sz w:val="20"/>
                <w:szCs w:val="20"/>
                <w:color w:val="auto"/>
              </w:rPr>
            </w:pPr>
            <w:r>
              <w:rPr>
                <w:rFonts w:ascii="Arial" w:cs="Arial" w:eastAsia="Arial" w:hAnsi="Arial"/>
                <w:sz w:val="10"/>
                <w:szCs w:val="10"/>
                <w:b w:val="1"/>
                <w:bCs w:val="1"/>
                <w:color w:val="auto"/>
                <w:w w:val="87"/>
              </w:rPr>
              <w:t>Common Stock</w:t>
            </w:r>
          </w:p>
        </w:tc>
        <w:tc>
          <w:tcPr>
            <w:tcW w:w="60" w:type="dxa"/>
            <w:vAlign w:val="bottom"/>
            <w:vMerge w:val="restart"/>
          </w:tcPr>
          <w:p>
            <w:pPr>
              <w:spacing w:after="0"/>
              <w:rPr>
                <w:sz w:val="8"/>
                <w:szCs w:val="8"/>
                <w:color w:val="auto"/>
              </w:rPr>
            </w:pPr>
          </w:p>
        </w:tc>
        <w:tc>
          <w:tcPr>
            <w:tcW w:w="960" w:type="dxa"/>
            <w:vAlign w:val="bottom"/>
          </w:tcPr>
          <w:p>
            <w:pPr>
              <w:jc w:val="right"/>
              <w:ind w:right="65"/>
              <w:spacing w:after="0" w:line="92" w:lineRule="exact"/>
              <w:rPr>
                <w:sz w:val="20"/>
                <w:szCs w:val="20"/>
                <w:color w:val="auto"/>
              </w:rPr>
            </w:pPr>
            <w:r>
              <w:rPr>
                <w:rFonts w:ascii="Arial" w:cs="Arial" w:eastAsia="Arial" w:hAnsi="Arial"/>
                <w:sz w:val="10"/>
                <w:szCs w:val="10"/>
                <w:b w:val="1"/>
                <w:bCs w:val="1"/>
                <w:color w:val="auto"/>
              </w:rPr>
              <w:t>Paid-In</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40" w:type="dxa"/>
            <w:vAlign w:val="bottom"/>
          </w:tcPr>
          <w:p>
            <w:pPr>
              <w:ind w:left="500"/>
              <w:spacing w:after="0" w:line="92" w:lineRule="exact"/>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60" w:type="dxa"/>
            <w:vAlign w:val="bottom"/>
          </w:tcPr>
          <w:p>
            <w:pPr>
              <w:jc w:val="right"/>
              <w:ind w:right="45"/>
              <w:spacing w:after="0" w:line="92" w:lineRule="exact"/>
              <w:rPr>
                <w:sz w:val="20"/>
                <w:szCs w:val="20"/>
                <w:color w:val="auto"/>
              </w:rPr>
            </w:pPr>
            <w:r>
              <w:rPr>
                <w:rFonts w:ascii="Arial" w:cs="Arial" w:eastAsia="Arial" w:hAnsi="Arial"/>
                <w:sz w:val="10"/>
                <w:szCs w:val="10"/>
                <w:b w:val="1"/>
                <w:bCs w:val="1"/>
                <w:color w:val="auto"/>
              </w:rPr>
              <w:t>Stockholders'</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40" w:type="dxa"/>
            <w:vAlign w:val="bottom"/>
            <w:tcBorders>
              <w:bottom w:val="single" w:sz="8" w:color="CCEEFF"/>
            </w:tcBorders>
            <w:vMerge w:val="continue"/>
          </w:tcPr>
          <w:p>
            <w:pPr>
              <w:spacing w:after="0"/>
              <w:rPr>
                <w:sz w:val="11"/>
                <w:szCs w:val="11"/>
                <w:color w:val="auto"/>
              </w:rPr>
            </w:pPr>
          </w:p>
        </w:tc>
        <w:tc>
          <w:tcPr>
            <w:tcW w:w="124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Capital</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gridSpan w:val="2"/>
          </w:tcPr>
          <w:p>
            <w:pPr>
              <w:ind w:left="520"/>
              <w:spacing w:after="0"/>
              <w:rPr>
                <w:sz w:val="20"/>
                <w:szCs w:val="20"/>
                <w:color w:val="auto"/>
              </w:rPr>
            </w:pPr>
            <w:r>
              <w:rPr>
                <w:rFonts w:ascii="Arial" w:cs="Arial" w:eastAsia="Arial" w:hAnsi="Arial"/>
                <w:sz w:val="10"/>
                <w:szCs w:val="10"/>
                <w:b w:val="1"/>
                <w:bCs w:val="1"/>
                <w:color w:val="auto"/>
              </w:rPr>
              <w:t>Deficit</w:t>
            </w:r>
          </w:p>
        </w:tc>
        <w:tc>
          <w:tcPr>
            <w:tcW w:w="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w w:val="81"/>
              </w:rPr>
              <w:t>Comprehensive Loss</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0"/>
                <w:szCs w:val="10"/>
                <w:b w:val="1"/>
                <w:bCs w:val="1"/>
                <w:color w:val="auto"/>
              </w:rPr>
              <w:t>Interest</w:t>
            </w:r>
          </w:p>
        </w:tc>
        <w:tc>
          <w:tcPr>
            <w:tcW w:w="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Equity</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340" w:type="dxa"/>
            <w:vAlign w:val="bottom"/>
            <w:shd w:val="clear" w:color="auto" w:fill="CCEEFF"/>
          </w:tcPr>
          <w:p>
            <w:pPr>
              <w:ind w:left="500"/>
              <w:spacing w:after="0" w:line="104" w:lineRule="exact"/>
              <w:rPr>
                <w:sz w:val="20"/>
                <w:szCs w:val="20"/>
                <w:color w:val="auto"/>
              </w:rPr>
            </w:pPr>
            <w:r>
              <w:rPr>
                <w:rFonts w:ascii="Arial" w:cs="Arial" w:eastAsia="Arial" w:hAnsi="Arial"/>
                <w:sz w:val="12"/>
                <w:szCs w:val="12"/>
                <w:b w:val="1"/>
                <w:bCs w:val="1"/>
                <w:color w:val="auto"/>
              </w:rPr>
              <w:t>Balances at</w:t>
            </w:r>
          </w:p>
        </w:tc>
        <w:tc>
          <w:tcPr>
            <w:tcW w:w="82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345"/>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1,872</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520"/>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1,466</w:t>
            </w:r>
          </w:p>
        </w:tc>
        <w:tc>
          <w:tcPr>
            <w:tcW w:w="6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445"/>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3,300</w:t>
            </w:r>
          </w:p>
        </w:tc>
        <w:tc>
          <w:tcPr>
            <w:tcW w:w="0" w:type="dxa"/>
            <w:vAlign w:val="bottom"/>
          </w:tcPr>
          <w:p>
            <w:pPr>
              <w:spacing w:after="0"/>
              <w:rPr>
                <w:sz w:val="1"/>
                <w:szCs w:val="1"/>
                <w:color w:val="auto"/>
              </w:rPr>
            </w:pPr>
          </w:p>
        </w:tc>
      </w:tr>
      <w:tr>
        <w:trPr>
          <w:trHeight w:val="164"/>
        </w:trPr>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2021</w:t>
            </w:r>
          </w:p>
        </w:tc>
        <w:tc>
          <w:tcPr>
            <w:tcW w:w="82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rPr>
                <w:sz w:val="20"/>
                <w:szCs w:val="20"/>
                <w:color w:val="auto"/>
              </w:rPr>
            </w:pPr>
            <w:r>
              <w:rPr>
                <w:rFonts w:ascii="Arial" w:cs="Arial" w:eastAsia="Arial" w:hAnsi="Arial"/>
                <w:sz w:val="12"/>
                <w:szCs w:val="12"/>
                <w:color w:val="auto"/>
              </w:rPr>
              <w:t>Net loss</w:t>
            </w:r>
          </w:p>
        </w:tc>
        <w:tc>
          <w:tcPr>
            <w:tcW w:w="8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(67)</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Unrealized</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w w:val="93"/>
              </w:rPr>
              <w:t>gain on derivatives, net</w:t>
            </w:r>
          </w:p>
        </w:tc>
        <w:tc>
          <w:tcPr>
            <w:tcW w:w="8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of tax</w:t>
            </w:r>
          </w:p>
        </w:tc>
        <w:tc>
          <w:tcPr>
            <w:tcW w:w="82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340" w:type="dxa"/>
            <w:vAlign w:val="bottom"/>
          </w:tcPr>
          <w:p>
            <w:pPr>
              <w:ind w:left="640"/>
              <w:spacing w:after="0" w:line="127" w:lineRule="exact"/>
              <w:rPr>
                <w:sz w:val="20"/>
                <w:szCs w:val="20"/>
                <w:color w:val="auto"/>
              </w:rPr>
            </w:pPr>
            <w:r>
              <w:rPr>
                <w:rFonts w:ascii="Arial" w:cs="Arial" w:eastAsia="Arial" w:hAnsi="Arial"/>
                <w:sz w:val="12"/>
                <w:szCs w:val="12"/>
                <w:color w:val="auto"/>
              </w:rPr>
              <w:t>Distributions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60"/>
              <w:spacing w:after="0" w:line="124" w:lineRule="exact"/>
              <w:rPr>
                <w:sz w:val="20"/>
                <w:szCs w:val="20"/>
                <w:color w:val="auto"/>
              </w:rPr>
            </w:pPr>
            <w:r>
              <w:rPr>
                <w:rFonts w:ascii="Arial" w:cs="Arial" w:eastAsia="Arial" w:hAnsi="Arial"/>
                <w:sz w:val="12"/>
                <w:szCs w:val="12"/>
                <w:color w:val="auto"/>
              </w:rPr>
              <w:t>to CEG, net of</w:t>
            </w:r>
          </w:p>
        </w:tc>
        <w:tc>
          <w:tcPr>
            <w:tcW w:w="82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0"/>
                <w:szCs w:val="10"/>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2"/>
                <w:szCs w:val="12"/>
                <w:color w:val="auto"/>
              </w:rPr>
              <w:t>contributions, cash</w:t>
            </w:r>
          </w:p>
        </w:tc>
        <w:tc>
          <w:tcPr>
            <w:tcW w:w="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w w:val="96"/>
              </w:rPr>
              <w:t>Contributions</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from noncontrolling</w:t>
            </w:r>
          </w:p>
        </w:tc>
        <w:tc>
          <w:tcPr>
            <w:tcW w:w="8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interests, net of</w:t>
            </w:r>
          </w:p>
        </w:tc>
        <w:tc>
          <w:tcPr>
            <w:tcW w:w="8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distributions, cash</w:t>
            </w:r>
          </w:p>
        </w:tc>
        <w:tc>
          <w:tcPr>
            <w:tcW w:w="82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340" w:type="dxa"/>
            <w:vAlign w:val="bottom"/>
          </w:tcPr>
          <w:p>
            <w:pPr>
              <w:ind w:left="640"/>
              <w:spacing w:after="0" w:line="127" w:lineRule="exact"/>
              <w:rPr>
                <w:sz w:val="20"/>
                <w:szCs w:val="20"/>
                <w:color w:val="auto"/>
              </w:rPr>
            </w:pPr>
            <w:r>
              <w:rPr>
                <w:rFonts w:ascii="Arial" w:cs="Arial" w:eastAsia="Arial" w:hAnsi="Arial"/>
                <w:sz w:val="12"/>
                <w:szCs w:val="12"/>
                <w:color w:val="auto"/>
                <w:w w:val="94"/>
              </w:rPr>
              <w:t>Mesquite Sky</w:t>
            </w:r>
          </w:p>
        </w:tc>
        <w:tc>
          <w:tcPr>
            <w:tcW w:w="82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1"/>
                <w:szCs w:val="11"/>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1"/>
                <w:szCs w:val="11"/>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2"/>
                <w:szCs w:val="12"/>
                <w:color w:val="auto"/>
              </w:rPr>
              <w:t>Drop Down</w:t>
            </w:r>
          </w:p>
        </w:tc>
        <w:tc>
          <w:tcPr>
            <w:tcW w:w="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Black Rock</w:t>
            </w:r>
          </w:p>
        </w:tc>
        <w:tc>
          <w:tcPr>
            <w:tcW w:w="8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Drop Down</w:t>
            </w:r>
          </w:p>
        </w:tc>
        <w:tc>
          <w:tcPr>
            <w:tcW w:w="82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340" w:type="dxa"/>
            <w:vAlign w:val="bottom"/>
          </w:tcPr>
          <w:p>
            <w:pPr>
              <w:ind w:left="640"/>
              <w:spacing w:after="0" w:line="127" w:lineRule="exact"/>
              <w:rPr>
                <w:sz w:val="20"/>
                <w:szCs w:val="20"/>
                <w:color w:val="auto"/>
              </w:rPr>
            </w:pPr>
            <w:r>
              <w:rPr>
                <w:rFonts w:ascii="Arial" w:cs="Arial" w:eastAsia="Arial" w:hAnsi="Arial"/>
                <w:sz w:val="12"/>
                <w:szCs w:val="12"/>
                <w:color w:val="auto"/>
              </w:rPr>
              <w:t>Mililani I</w:t>
            </w:r>
          </w:p>
        </w:tc>
        <w:tc>
          <w:tcPr>
            <w:tcW w:w="82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1"/>
                <w:szCs w:val="11"/>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1"/>
                <w:szCs w:val="11"/>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2"/>
                <w:szCs w:val="12"/>
                <w:color w:val="auto"/>
              </w:rPr>
              <w:t>Drop Down</w:t>
            </w:r>
          </w:p>
        </w:tc>
        <w:tc>
          <w:tcPr>
            <w:tcW w:w="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Non-cash</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w w:val="92"/>
              </w:rPr>
              <w:t>adjustments for change</w:t>
            </w:r>
          </w:p>
        </w:tc>
        <w:tc>
          <w:tcPr>
            <w:tcW w:w="8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 tax basis</w:t>
            </w:r>
          </w:p>
        </w:tc>
        <w:tc>
          <w:tcPr>
            <w:tcW w:w="82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340" w:type="dxa"/>
            <w:vAlign w:val="bottom"/>
          </w:tcPr>
          <w:p>
            <w:pPr>
              <w:ind w:left="640"/>
              <w:spacing w:after="0" w:line="127" w:lineRule="exact"/>
              <w:rPr>
                <w:sz w:val="20"/>
                <w:szCs w:val="20"/>
                <w:color w:val="auto"/>
              </w:rPr>
            </w:pPr>
            <w:r>
              <w:rPr>
                <w:rFonts w:ascii="Arial" w:cs="Arial" w:eastAsia="Arial" w:hAnsi="Arial"/>
                <w:sz w:val="12"/>
                <w:szCs w:val="12"/>
                <w:color w:val="auto"/>
              </w:rPr>
              <w:t>Stock based</w:t>
            </w:r>
          </w:p>
        </w:tc>
        <w:tc>
          <w:tcPr>
            <w:tcW w:w="82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1"/>
                <w:szCs w:val="11"/>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1"/>
                <w:szCs w:val="11"/>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Common</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stock dividends and</w:t>
            </w:r>
          </w:p>
        </w:tc>
        <w:tc>
          <w:tcPr>
            <w:tcW w:w="8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distributions to CEG</w:t>
            </w:r>
          </w:p>
        </w:tc>
        <w:tc>
          <w:tcPr>
            <w:tcW w:w="8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vMerge w:val="restart"/>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unit holders</w:t>
            </w: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340" w:type="dxa"/>
            <w:vAlign w:val="bottom"/>
          </w:tcPr>
          <w:p>
            <w:pPr>
              <w:ind w:left="500"/>
              <w:spacing w:after="0" w:line="103" w:lineRule="exact"/>
              <w:rPr>
                <w:sz w:val="20"/>
                <w:szCs w:val="20"/>
                <w:color w:val="auto"/>
              </w:rPr>
            </w:pPr>
            <w:r>
              <w:rPr>
                <w:rFonts w:ascii="Arial" w:cs="Arial" w:eastAsia="Arial" w:hAnsi="Arial"/>
                <w:sz w:val="11"/>
                <w:szCs w:val="11"/>
                <w:b w:val="1"/>
                <w:bCs w:val="1"/>
                <w:color w:val="auto"/>
              </w:rPr>
              <w:t>Balances at</w:t>
            </w:r>
          </w:p>
        </w:tc>
        <w:tc>
          <w:tcPr>
            <w:tcW w:w="82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8"/>
                <w:szCs w:val="8"/>
                <w:color w:val="auto"/>
              </w:rPr>
            </w:pPr>
          </w:p>
        </w:tc>
        <w:tc>
          <w:tcPr>
            <w:tcW w:w="960" w:type="dxa"/>
            <w:vAlign w:val="bottom"/>
            <w:vMerge w:val="restart"/>
          </w:tcPr>
          <w:p>
            <w:pPr>
              <w:jc w:val="right"/>
              <w:ind w:right="345"/>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1,826</w:t>
            </w:r>
          </w:p>
        </w:tc>
        <w:tc>
          <w:tcPr>
            <w:tcW w:w="60" w:type="dxa"/>
            <w:vAlign w:val="bottom"/>
          </w:tcPr>
          <w:p>
            <w:pPr>
              <w:spacing w:after="0"/>
              <w:rPr>
                <w:sz w:val="8"/>
                <w:szCs w:val="8"/>
                <w:color w:val="auto"/>
              </w:rPr>
            </w:pPr>
          </w:p>
        </w:tc>
        <w:tc>
          <w:tcPr>
            <w:tcW w:w="600" w:type="dxa"/>
            <w:vAlign w:val="bottom"/>
            <w:vMerge w:val="restart"/>
          </w:tcPr>
          <w:p>
            <w:pPr>
              <w:ind w:left="520"/>
              <w:spacing w:after="0"/>
              <w:rPr>
                <w:sz w:val="20"/>
                <w:szCs w:val="20"/>
                <w:color w:val="auto"/>
              </w:rPr>
            </w:pPr>
            <w:r>
              <w:rPr>
                <w:rFonts w:ascii="Arial" w:cs="Arial" w:eastAsia="Arial" w:hAnsi="Arial"/>
                <w:sz w:val="12"/>
                <w:szCs w:val="12"/>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(65)</w:t>
            </w:r>
          </w:p>
        </w:tc>
        <w:tc>
          <w:tcPr>
            <w:tcW w:w="60" w:type="dxa"/>
            <w:vAlign w:val="bottom"/>
          </w:tcPr>
          <w:p>
            <w:pPr>
              <w:spacing w:after="0"/>
              <w:rPr>
                <w:sz w:val="8"/>
                <w:szCs w:val="8"/>
                <w:color w:val="auto"/>
              </w:rPr>
            </w:pPr>
          </w:p>
        </w:tc>
        <w:tc>
          <w:tcPr>
            <w:tcW w:w="104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1,377</w:t>
            </w:r>
          </w:p>
        </w:tc>
        <w:tc>
          <w:tcPr>
            <w:tcW w:w="60" w:type="dxa"/>
            <w:vAlign w:val="bottom"/>
          </w:tcPr>
          <w:p>
            <w:pPr>
              <w:spacing w:after="0"/>
              <w:rPr>
                <w:sz w:val="8"/>
                <w:szCs w:val="8"/>
                <w:color w:val="auto"/>
              </w:rPr>
            </w:pPr>
          </w:p>
        </w:tc>
        <w:tc>
          <w:tcPr>
            <w:tcW w:w="1060" w:type="dxa"/>
            <w:vAlign w:val="bottom"/>
            <w:vMerge w:val="restart"/>
          </w:tcPr>
          <w:p>
            <w:pPr>
              <w:jc w:val="right"/>
              <w:ind w:right="445"/>
              <w:spacing w:after="0"/>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w w:val="86"/>
              </w:rPr>
              <w:t>3,139</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20"/>
                <w:szCs w:val="20"/>
                <w:color w:val="auto"/>
              </w:rPr>
            </w:pPr>
            <w:r>
              <w:rPr>
                <w:rFonts w:ascii="Arial" w:cs="Arial" w:eastAsia="Arial" w:hAnsi="Arial"/>
                <w:sz w:val="12"/>
                <w:szCs w:val="12"/>
                <w:b w:val="1"/>
                <w:bCs w:val="1"/>
                <w:color w:val="auto"/>
              </w:rPr>
              <w:t>March 31, 2022</w:t>
            </w:r>
          </w:p>
        </w:tc>
        <w:tc>
          <w:tcPr>
            <w:tcW w:w="82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w:t>
            </w: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1,145</w:t>
            </w:r>
          </w:p>
        </w:tc>
        <w:tc>
          <w:tcPr>
            <w:tcW w:w="0" w:type="dxa"/>
            <w:vAlign w:val="bottom"/>
          </w:tcPr>
          <w:p>
            <w:pPr>
              <w:spacing w:after="0"/>
              <w:rPr>
                <w:sz w:val="1"/>
                <w:szCs w:val="1"/>
                <w:color w:val="auto"/>
              </w:rPr>
            </w:pPr>
          </w:p>
        </w:tc>
      </w:tr>
      <w:tr>
        <w:trPr>
          <w:trHeight w:val="127"/>
        </w:trPr>
        <w:tc>
          <w:tcPr>
            <w:tcW w:w="1340" w:type="dxa"/>
            <w:vAlign w:val="bottom"/>
          </w:tcPr>
          <w:p>
            <w:pPr>
              <w:ind w:left="640"/>
              <w:spacing w:after="0" w:line="127" w:lineRule="exact"/>
              <w:rPr>
                <w:sz w:val="20"/>
                <w:szCs w:val="20"/>
                <w:color w:val="auto"/>
              </w:rPr>
            </w:pPr>
            <w:r>
              <w:rPr>
                <w:rFonts w:ascii="Arial" w:cs="Arial" w:eastAsia="Arial" w:hAnsi="Arial"/>
                <w:sz w:val="12"/>
                <w:szCs w:val="12"/>
                <w:color w:val="auto"/>
              </w:rPr>
              <w:t>Unrealized</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60"/>
              <w:spacing w:after="0" w:line="124" w:lineRule="exact"/>
              <w:rPr>
                <w:sz w:val="20"/>
                <w:szCs w:val="20"/>
                <w:color w:val="auto"/>
              </w:rPr>
            </w:pPr>
            <w:r>
              <w:rPr>
                <w:rFonts w:ascii="Arial" w:cs="Arial" w:eastAsia="Arial" w:hAnsi="Arial"/>
                <w:sz w:val="12"/>
                <w:szCs w:val="12"/>
                <w:color w:val="auto"/>
                <w:w w:val="93"/>
              </w:rPr>
              <w:t>gain on derivatives, net</w:t>
            </w:r>
          </w:p>
        </w:tc>
        <w:tc>
          <w:tcPr>
            <w:tcW w:w="82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2"/>
                <w:szCs w:val="12"/>
                <w:color w:val="auto"/>
              </w:rPr>
              <w:t>of tax</w:t>
            </w:r>
          </w:p>
        </w:tc>
        <w:tc>
          <w:tcPr>
            <w:tcW w:w="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Distributions</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to CEG, net of</w:t>
            </w:r>
          </w:p>
        </w:tc>
        <w:tc>
          <w:tcPr>
            <w:tcW w:w="8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contributions, cash</w:t>
            </w:r>
          </w:p>
        </w:tc>
        <w:tc>
          <w:tcPr>
            <w:tcW w:w="82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340" w:type="dxa"/>
            <w:vAlign w:val="bottom"/>
          </w:tcPr>
          <w:p>
            <w:pPr>
              <w:ind w:left="640"/>
              <w:spacing w:after="0" w:line="127" w:lineRule="exact"/>
              <w:rPr>
                <w:sz w:val="20"/>
                <w:szCs w:val="20"/>
                <w:color w:val="auto"/>
              </w:rPr>
            </w:pPr>
            <w:r>
              <w:rPr>
                <w:rFonts w:ascii="Arial" w:cs="Arial" w:eastAsia="Arial" w:hAnsi="Arial"/>
                <w:sz w:val="12"/>
                <w:szCs w:val="12"/>
                <w:color w:val="auto"/>
              </w:rPr>
              <w:t>Distributions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60"/>
              <w:spacing w:after="0" w:line="124" w:lineRule="exact"/>
              <w:rPr>
                <w:sz w:val="20"/>
                <w:szCs w:val="20"/>
                <w:color w:val="auto"/>
              </w:rPr>
            </w:pPr>
            <w:r>
              <w:rPr>
                <w:rFonts w:ascii="Arial" w:cs="Arial" w:eastAsia="Arial" w:hAnsi="Arial"/>
                <w:sz w:val="12"/>
                <w:szCs w:val="12"/>
                <w:color w:val="auto"/>
              </w:rPr>
              <w:t>to noncontrolling</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tcPr>
          <w:p>
            <w:pPr>
              <w:ind w:left="160"/>
              <w:spacing w:after="0" w:line="124" w:lineRule="exact"/>
              <w:rPr>
                <w:sz w:val="20"/>
                <w:szCs w:val="20"/>
                <w:color w:val="auto"/>
              </w:rPr>
            </w:pPr>
            <w:r>
              <w:rPr>
                <w:rFonts w:ascii="Arial" w:cs="Arial" w:eastAsia="Arial" w:hAnsi="Arial"/>
                <w:sz w:val="12"/>
                <w:szCs w:val="12"/>
                <w:color w:val="auto"/>
              </w:rPr>
              <w:t>interests, net of</w:t>
            </w:r>
          </w:p>
        </w:tc>
        <w:tc>
          <w:tcPr>
            <w:tcW w:w="82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0"/>
                <w:szCs w:val="10"/>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2"/>
                <w:szCs w:val="12"/>
                <w:color w:val="auto"/>
              </w:rPr>
              <w:t>contributions, cash</w:t>
            </w:r>
          </w:p>
        </w:tc>
        <w:tc>
          <w:tcPr>
            <w:tcW w:w="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Non-cash</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w w:val="92"/>
              </w:rPr>
              <w:t>adjustments for change</w:t>
            </w:r>
          </w:p>
        </w:tc>
        <w:tc>
          <w:tcPr>
            <w:tcW w:w="8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 tax basis</w:t>
            </w:r>
          </w:p>
        </w:tc>
        <w:tc>
          <w:tcPr>
            <w:tcW w:w="82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340" w:type="dxa"/>
            <w:vAlign w:val="bottom"/>
          </w:tcPr>
          <w:p>
            <w:pPr>
              <w:ind w:left="640"/>
              <w:spacing w:after="0" w:line="127" w:lineRule="exact"/>
              <w:rPr>
                <w:sz w:val="20"/>
                <w:szCs w:val="20"/>
                <w:color w:val="auto"/>
              </w:rPr>
            </w:pPr>
            <w:r>
              <w:rPr>
                <w:rFonts w:ascii="Arial" w:cs="Arial" w:eastAsia="Arial" w:hAnsi="Arial"/>
                <w:sz w:val="12"/>
                <w:szCs w:val="12"/>
                <w:color w:val="auto"/>
              </w:rPr>
              <w:t>Stock based</w:t>
            </w:r>
          </w:p>
        </w:tc>
        <w:tc>
          <w:tcPr>
            <w:tcW w:w="82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1"/>
                <w:szCs w:val="11"/>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1"/>
                <w:szCs w:val="11"/>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60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Common</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stock dividends and</w:t>
            </w:r>
          </w:p>
        </w:tc>
        <w:tc>
          <w:tcPr>
            <w:tcW w:w="8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distributions to CEG</w:t>
            </w:r>
          </w:p>
        </w:tc>
        <w:tc>
          <w:tcPr>
            <w:tcW w:w="8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vMerge w:val="restart"/>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61"/>
        </w:trPr>
        <w:tc>
          <w:tcPr>
            <w:tcW w:w="1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unit holders</w:t>
            </w: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340" w:type="dxa"/>
            <w:vAlign w:val="bottom"/>
          </w:tcPr>
          <w:p>
            <w:pPr>
              <w:ind w:left="500"/>
              <w:spacing w:after="0" w:line="113" w:lineRule="exact"/>
              <w:rPr>
                <w:sz w:val="20"/>
                <w:szCs w:val="20"/>
                <w:color w:val="auto"/>
              </w:rPr>
            </w:pPr>
            <w:r>
              <w:rPr>
                <w:rFonts w:ascii="Arial" w:cs="Arial" w:eastAsia="Arial" w:hAnsi="Arial"/>
                <w:sz w:val="13"/>
                <w:szCs w:val="13"/>
                <w:b w:val="1"/>
                <w:bCs w:val="1"/>
                <w:color w:val="auto"/>
              </w:rPr>
              <w:t>Balances at</w:t>
            </w:r>
          </w:p>
        </w:tc>
        <w:tc>
          <w:tcPr>
            <w:tcW w:w="82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9"/>
                <w:szCs w:val="9"/>
                <w:color w:val="auto"/>
              </w:rPr>
            </w:pPr>
          </w:p>
        </w:tc>
        <w:tc>
          <w:tcPr>
            <w:tcW w:w="960" w:type="dxa"/>
            <w:vAlign w:val="bottom"/>
            <w:vMerge w:val="restart"/>
          </w:tcPr>
          <w:p>
            <w:pPr>
              <w:jc w:val="right"/>
              <w:ind w:right="345"/>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1,785</w:t>
            </w:r>
          </w:p>
        </w:tc>
        <w:tc>
          <w:tcPr>
            <w:tcW w:w="60" w:type="dxa"/>
            <w:vAlign w:val="bottom"/>
          </w:tcPr>
          <w:p>
            <w:pPr>
              <w:spacing w:after="0"/>
              <w:rPr>
                <w:sz w:val="9"/>
                <w:szCs w:val="9"/>
                <w:color w:val="auto"/>
              </w:rPr>
            </w:pPr>
          </w:p>
        </w:tc>
        <w:tc>
          <w:tcPr>
            <w:tcW w:w="600" w:type="dxa"/>
            <w:vAlign w:val="bottom"/>
            <w:vMerge w:val="restart"/>
          </w:tcPr>
          <w:p>
            <w:pPr>
              <w:ind w:left="520"/>
              <w:spacing w:after="0"/>
              <w:rPr>
                <w:sz w:val="20"/>
                <w:szCs w:val="20"/>
                <w:color w:val="auto"/>
              </w:rPr>
            </w:pPr>
            <w:r>
              <w:rPr>
                <w:rFonts w:ascii="Arial" w:cs="Arial" w:eastAsia="Arial" w:hAnsi="Arial"/>
                <w:sz w:val="12"/>
                <w:szCs w:val="12"/>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505</w:t>
            </w:r>
          </w:p>
        </w:tc>
        <w:tc>
          <w:tcPr>
            <w:tcW w:w="60" w:type="dxa"/>
            <w:vAlign w:val="bottom"/>
          </w:tcPr>
          <w:p>
            <w:pPr>
              <w:spacing w:after="0"/>
              <w:rPr>
                <w:sz w:val="9"/>
                <w:szCs w:val="9"/>
                <w:color w:val="auto"/>
              </w:rPr>
            </w:pPr>
          </w:p>
        </w:tc>
        <w:tc>
          <w:tcPr>
            <w:tcW w:w="104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1,896</w:t>
            </w:r>
          </w:p>
        </w:tc>
        <w:tc>
          <w:tcPr>
            <w:tcW w:w="60" w:type="dxa"/>
            <w:vAlign w:val="bottom"/>
          </w:tcPr>
          <w:p>
            <w:pPr>
              <w:spacing w:after="0"/>
              <w:rPr>
                <w:sz w:val="9"/>
                <w:szCs w:val="9"/>
                <w:color w:val="auto"/>
              </w:rPr>
            </w:pPr>
          </w:p>
        </w:tc>
        <w:tc>
          <w:tcPr>
            <w:tcW w:w="1060" w:type="dxa"/>
            <w:vAlign w:val="bottom"/>
            <w:vMerge w:val="restart"/>
          </w:tcPr>
          <w:p>
            <w:pPr>
              <w:jc w:val="right"/>
              <w:ind w:right="445"/>
              <w:spacing w:after="0"/>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w w:val="86"/>
              </w:rPr>
              <w:t>4,189</w:t>
            </w:r>
          </w:p>
        </w:tc>
        <w:tc>
          <w:tcPr>
            <w:tcW w:w="0" w:type="dxa"/>
            <w:vAlign w:val="bottom"/>
          </w:tcPr>
          <w:p>
            <w:pPr>
              <w:spacing w:after="0"/>
              <w:rPr>
                <w:sz w:val="1"/>
                <w:szCs w:val="1"/>
                <w:color w:val="auto"/>
              </w:rPr>
            </w:pPr>
          </w:p>
        </w:tc>
      </w:tr>
      <w:tr>
        <w:trPr>
          <w:trHeight w:val="154"/>
        </w:trPr>
        <w:tc>
          <w:tcPr>
            <w:tcW w:w="1340" w:type="dxa"/>
            <w:vAlign w:val="bottom"/>
          </w:tcPr>
          <w:p>
            <w:pPr>
              <w:spacing w:after="0" w:line="154" w:lineRule="exact"/>
              <w:rPr>
                <w:sz w:val="20"/>
                <w:szCs w:val="20"/>
                <w:color w:val="auto"/>
              </w:rPr>
            </w:pPr>
            <w:r>
              <w:rPr>
                <w:rFonts w:ascii="Arial" w:cs="Arial" w:eastAsia="Arial" w:hAnsi="Arial"/>
                <w:sz w:val="14"/>
                <w:szCs w:val="14"/>
                <w:b w:val="1"/>
                <w:bCs w:val="1"/>
                <w:color w:val="auto"/>
              </w:rPr>
              <w:t>June 30, 2022</w:t>
            </w:r>
          </w:p>
        </w:tc>
        <w:tc>
          <w:tcPr>
            <w:tcW w:w="82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ind w:right="18"/>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800" w:top="619"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4"/>
          <w:szCs w:val="14"/>
          <w:b w:val="1"/>
          <w:bCs w:val="1"/>
          <w:color w:val="auto"/>
        </w:rPr>
        <w:t>CLEARWAY ENERGY, INC.</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2021</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Accumulated</w:t>
            </w:r>
          </w:p>
        </w:tc>
        <w:tc>
          <w:tcPr>
            <w:tcW w:w="14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10"/>
                <w:szCs w:val="10"/>
                <w:color w:val="auto"/>
              </w:rPr>
            </w:pPr>
          </w:p>
        </w:tc>
        <w:tc>
          <w:tcPr>
            <w:tcW w:w="800" w:type="dxa"/>
            <w:vAlign w:val="bottom"/>
          </w:tcPr>
          <w:p>
            <w:pPr>
              <w:jc w:val="center"/>
              <w:ind w:right="60"/>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2"/>
        </w:trPr>
        <w:tc>
          <w:tcPr>
            <w:tcW w:w="392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w w:val="91"/>
              </w:rPr>
              <w:t>Preferred Stock</w:t>
            </w:r>
          </w:p>
        </w:tc>
        <w:tc>
          <w:tcPr>
            <w:tcW w:w="100" w:type="dxa"/>
            <w:vAlign w:val="bottom"/>
            <w:vMerge w:val="restart"/>
          </w:tcPr>
          <w:p>
            <w:pPr>
              <w:spacing w:after="0"/>
              <w:rPr>
                <w:sz w:val="8"/>
                <w:szCs w:val="8"/>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9"/>
              </w:rPr>
              <w:t>Common Stock</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200"/>
              <w:spacing w:after="0" w:line="92" w:lineRule="exact"/>
              <w:rPr>
                <w:sz w:val="20"/>
                <w:szCs w:val="20"/>
                <w:color w:val="auto"/>
              </w:rPr>
            </w:pPr>
            <w:r>
              <w:rPr>
                <w:rFonts w:ascii="Arial" w:cs="Arial" w:eastAsia="Arial" w:hAnsi="Arial"/>
                <w:sz w:val="10"/>
                <w:szCs w:val="10"/>
                <w:b w:val="1"/>
                <w:bCs w:val="1"/>
                <w:color w:val="auto"/>
                <w:w w:val="95"/>
              </w:rPr>
              <w:t>Paid-In</w:t>
            </w:r>
          </w:p>
        </w:tc>
        <w:tc>
          <w:tcPr>
            <w:tcW w:w="8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7"/>
              </w:rPr>
              <w:t>Accumulated Deficit</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89"/>
              </w:rPr>
              <w:t>Other</w:t>
            </w:r>
          </w:p>
        </w:tc>
        <w:tc>
          <w:tcPr>
            <w:tcW w:w="1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60"/>
              <w:spacing w:after="0" w:line="92" w:lineRule="exact"/>
              <w:rPr>
                <w:sz w:val="20"/>
                <w:szCs w:val="20"/>
                <w:color w:val="auto"/>
              </w:rPr>
            </w:pPr>
            <w:r>
              <w:rPr>
                <w:rFonts w:ascii="Arial" w:cs="Arial" w:eastAsia="Arial" w:hAnsi="Arial"/>
                <w:sz w:val="10"/>
                <w:szCs w:val="10"/>
                <w:b w:val="1"/>
                <w:bCs w:val="1"/>
                <w:color w:val="auto"/>
                <w:w w:val="84"/>
              </w:rPr>
              <w:t>Stockholders’</w:t>
            </w:r>
          </w:p>
        </w:tc>
        <w:tc>
          <w:tcPr>
            <w:tcW w:w="0" w:type="dxa"/>
            <w:vAlign w:val="bottom"/>
          </w:tcPr>
          <w:p>
            <w:pPr>
              <w:spacing w:after="0"/>
              <w:rPr>
                <w:sz w:val="1"/>
                <w:szCs w:val="1"/>
                <w:color w:val="auto"/>
              </w:rPr>
            </w:pPr>
          </w:p>
        </w:tc>
      </w:tr>
      <w:tr>
        <w:trPr>
          <w:trHeight w:val="129"/>
        </w:trPr>
        <w:tc>
          <w:tcPr>
            <w:tcW w:w="3920" w:type="dxa"/>
            <w:vAlign w:val="bottom"/>
            <w:tcBorders>
              <w:bottom w:val="single" w:sz="8" w:color="CCEEFF"/>
            </w:tcBorders>
            <w:vMerge w:val="continue"/>
          </w:tcPr>
          <w:p>
            <w:pPr>
              <w:spacing w:after="0"/>
              <w:rPr>
                <w:sz w:val="11"/>
                <w:szCs w:val="11"/>
                <w:color w:val="auto"/>
              </w:rPr>
            </w:pPr>
          </w:p>
        </w:tc>
        <w:tc>
          <w:tcPr>
            <w:tcW w:w="76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89"/>
              </w:rPr>
              <w:t>Capital</w:t>
            </w: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83"/>
              </w:rPr>
              <w:t>Comprehensive Loss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Interest</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Contributions from CEG, non-cash</w:t>
            </w:r>
          </w:p>
        </w:tc>
        <w:tc>
          <w:tcPr>
            <w:tcW w:w="3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2"/>
                <w:szCs w:val="12"/>
                <w:color w:val="auto"/>
              </w:rPr>
              <w:t>Contributions from CEG, cash</w:t>
            </w:r>
          </w:p>
        </w:tc>
        <w:tc>
          <w:tcPr>
            <w:tcW w:w="34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580" w:type="dxa"/>
            <w:vAlign w:val="bottom"/>
            <w:gridSpan w:val="2"/>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Contributions from noncontrolling interests, net of distributions, cash</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2"/>
                <w:szCs w:val="12"/>
                <w:color w:val="auto"/>
                <w:w w:val="95"/>
              </w:rPr>
              <w:t>Net proceeds from the issuance of common stock under the ATM Program</w:t>
            </w:r>
          </w:p>
        </w:tc>
        <w:tc>
          <w:tcPr>
            <w:tcW w:w="34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580" w:type="dxa"/>
            <w:vAlign w:val="bottom"/>
            <w:gridSpan w:val="2"/>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Distributions to tax equity investors, non-cash</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2"/>
                <w:szCs w:val="12"/>
                <w:color w:val="auto"/>
              </w:rPr>
              <w:t>Agua Caliente acquisition</w:t>
            </w:r>
          </w:p>
        </w:tc>
        <w:tc>
          <w:tcPr>
            <w:tcW w:w="34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580" w:type="dxa"/>
            <w:vAlign w:val="bottom"/>
            <w:gridSpan w:val="2"/>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 based compensation</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Common stock dividends and distributions to CEG unit holders</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left="238"/>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57"/>
        </w:trPr>
        <w:tc>
          <w:tcPr>
            <w:tcW w:w="39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Balances at March 31, 2021</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center"/>
              <w:ind w:left="198"/>
              <w:spacing w:after="0"/>
              <w:rPr>
                <w:sz w:val="20"/>
                <w:szCs w:val="20"/>
                <w:color w:val="auto"/>
              </w:rPr>
            </w:pPr>
            <w:r>
              <w:rPr>
                <w:rFonts w:ascii="Arial" w:cs="Arial" w:eastAsia="Arial" w:hAnsi="Arial"/>
                <w:sz w:val="12"/>
                <w:szCs w:val="12"/>
                <w:color w:val="auto"/>
                <w:w w:val="93"/>
              </w:rPr>
              <w:t>(81)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2,995</w:t>
            </w:r>
          </w:p>
        </w:tc>
        <w:tc>
          <w:tcPr>
            <w:tcW w:w="0" w:type="dxa"/>
            <w:vAlign w:val="bottom"/>
          </w:tcPr>
          <w:p>
            <w:pPr>
              <w:spacing w:after="0"/>
              <w:rPr>
                <w:sz w:val="1"/>
                <w:szCs w:val="1"/>
                <w:color w:val="auto"/>
              </w:rPr>
            </w:pPr>
          </w:p>
        </w:tc>
      </w:tr>
      <w:tr>
        <w:trPr>
          <w:trHeight w:val="162"/>
        </w:trPr>
        <w:tc>
          <w:tcPr>
            <w:tcW w:w="3920" w:type="dxa"/>
            <w:vAlign w:val="bottom"/>
          </w:tcPr>
          <w:p>
            <w:pPr>
              <w:ind w:left="160"/>
              <w:spacing w:after="0"/>
              <w:rPr>
                <w:sz w:val="20"/>
                <w:szCs w:val="20"/>
                <w:color w:val="auto"/>
              </w:rPr>
            </w:pPr>
            <w:r>
              <w:rPr>
                <w:rFonts w:ascii="Arial" w:cs="Arial" w:eastAsia="Arial" w:hAnsi="Arial"/>
                <w:sz w:val="12"/>
                <w:szCs w:val="12"/>
                <w:color w:val="auto"/>
              </w:rPr>
              <w:t>Net income (loss)</w:t>
            </w:r>
          </w:p>
        </w:tc>
        <w:tc>
          <w:tcPr>
            <w:tcW w:w="34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500" w:type="dxa"/>
            <w:vAlign w:val="bottom"/>
          </w:tcPr>
          <w:p>
            <w:pPr>
              <w:jc w:val="center"/>
              <w:ind w:left="238"/>
              <w:spacing w:after="0"/>
              <w:rPr>
                <w:sz w:val="20"/>
                <w:szCs w:val="20"/>
                <w:color w:val="auto"/>
              </w:rPr>
            </w:pPr>
            <w:r>
              <w:rPr>
                <w:rFonts w:ascii="Arial" w:cs="Arial" w:eastAsia="Arial" w:hAnsi="Arial"/>
                <w:sz w:val="12"/>
                <w:szCs w:val="12"/>
                <w:color w:val="auto"/>
                <w:w w:val="89"/>
              </w:rPr>
              <w:t>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Unrealized gain (loss) on derivatives, net of tax</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2"/>
                <w:szCs w:val="12"/>
                <w:color w:val="auto"/>
              </w:rPr>
              <w:t>Contributions from CEG, non-cash</w:t>
            </w:r>
          </w:p>
        </w:tc>
        <w:tc>
          <w:tcPr>
            <w:tcW w:w="34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580" w:type="dxa"/>
            <w:vAlign w:val="bottom"/>
            <w:gridSpan w:val="2"/>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Contributions from CEG, cash</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2"/>
                <w:szCs w:val="12"/>
                <w:color w:val="auto"/>
              </w:rPr>
              <w:t>Contributions from noncontrolling interests, net of distributions, cash</w:t>
            </w:r>
          </w:p>
        </w:tc>
        <w:tc>
          <w:tcPr>
            <w:tcW w:w="34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580" w:type="dxa"/>
            <w:vAlign w:val="bottom"/>
            <w:gridSpan w:val="2"/>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Rattlesnake Drop Down</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2"/>
        </w:trPr>
        <w:tc>
          <w:tcPr>
            <w:tcW w:w="392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34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Non-cash adjustment for change in tax basis</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left="158"/>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2"/>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Common stock dividends and distributions to CEG unit holders</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left="238"/>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77"/>
        </w:trPr>
        <w:tc>
          <w:tcPr>
            <w:tcW w:w="39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Balances at June 30, 2021</w:t>
            </w: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center"/>
              <w:ind w:left="198"/>
              <w:spacing w:after="0"/>
              <w:rPr>
                <w:sz w:val="20"/>
                <w:szCs w:val="20"/>
                <w:color w:val="auto"/>
              </w:rPr>
            </w:pPr>
            <w:r>
              <w:rPr>
                <w:rFonts w:ascii="Arial" w:cs="Arial" w:eastAsia="Arial" w:hAnsi="Arial"/>
                <w:sz w:val="12"/>
                <w:szCs w:val="12"/>
                <w:color w:val="auto"/>
                <w:w w:val="93"/>
              </w:rPr>
              <w:t>(46)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ind w:right="98"/>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660" w:top="927" w:right="65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Appendix Table A-1: Three Months Ended June 30, 2022, Segment Adjusted EBITDA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6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Plus: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Income Tax Expense</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ARO</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Contract Amortization</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Mark to Market (MtM) Losses on economic hedges</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10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Other non-recurring</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34"/>
        </w:trPr>
        <w:tc>
          <w:tcPr>
            <w:tcW w:w="42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4"/>
                <w:szCs w:val="14"/>
                <w:color w:val="auto"/>
                <w:w w:val="99"/>
              </w:rPr>
              <w:t>Adjustments to reflect CWEN’s pro-rata share of Adjusted EBITDA</w:t>
            </w:r>
          </w:p>
        </w:tc>
        <w:tc>
          <w:tcPr>
            <w:tcW w:w="10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4"/>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10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4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Appendix Table A-2: Three Months Ended June 30, 2021, Segment Adjusted EBITDA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millions)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Corporate</w:t>
            </w: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Plus: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Income Tax Expense</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ARO</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Contract Amortization</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Mark to Market (MtM) Losses on economic hedges</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10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Other non-recurring</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4"/>
        </w:trPr>
        <w:tc>
          <w:tcPr>
            <w:tcW w:w="42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4"/>
                <w:szCs w:val="14"/>
                <w:color w:val="auto"/>
                <w:w w:val="99"/>
              </w:rPr>
              <w:t>Adjustments to reflect CWEN’s pro-rata share of Adjusted EBITDA</w:t>
            </w:r>
          </w:p>
        </w:tc>
        <w:tc>
          <w:tcPr>
            <w:tcW w:w="10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4"/>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10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4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000"/>
          </w:cols>
          <w:pgMar w:left="300" w:top="615" w:right="59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Appendix Table A-3: Six Months Ended June 30, 2022, Segment Adjusted EBITDA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64"/>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Plus:</w:t>
            </w: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9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Interest Expense, net</w:t>
            </w: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Amortization, and ARO</w:t>
            </w: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Contract Amortization</w:t>
            </w: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on Debt Extinguishment</w:t>
            </w:r>
          </w:p>
        </w:tc>
        <w:tc>
          <w:tcPr>
            <w:tcW w:w="9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Mark to Market (MtM) Losses on Economic Hedges</w:t>
            </w:r>
          </w:p>
        </w:tc>
        <w:tc>
          <w:tcPr>
            <w:tcW w:w="98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178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9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Other Non-recurring</w:t>
            </w: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34"/>
        </w:trPr>
        <w:tc>
          <w:tcPr>
            <w:tcW w:w="42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4"/>
                <w:szCs w:val="14"/>
                <w:color w:val="auto"/>
                <w:w w:val="99"/>
              </w:rPr>
              <w:t>Adjustments to reflect CWEN’s pro-rata share of Adjusted EBITDA</w:t>
            </w:r>
          </w:p>
        </w:tc>
        <w:tc>
          <w:tcPr>
            <w:tcW w:w="9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4"/>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9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98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4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183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439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Appendix Table A-4: Six Months Ended June 30, 2021, Segment Adjusted EBITDA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Renewables</w:t>
            </w:r>
          </w:p>
        </w:tc>
        <w:tc>
          <w:tcPr>
            <w:tcW w:w="1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Thermal</w:t>
            </w:r>
          </w:p>
        </w:tc>
        <w:tc>
          <w:tcPr>
            <w:tcW w:w="1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4"/>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Plus:</w:t>
            </w: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Benefit</w:t>
            </w: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Interest Expense, net</w:t>
            </w: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Amortization, and ARO</w:t>
            </w: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Contract Amortization</w:t>
            </w: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on Debt Extinguishment</w:t>
            </w: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3"/>
        </w:trPr>
        <w:tc>
          <w:tcPr>
            <w:tcW w:w="42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Mark to Market (MtM) Losses</w:t>
            </w:r>
          </w:p>
        </w:tc>
        <w:tc>
          <w:tcPr>
            <w:tcW w:w="9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4"/>
        </w:trPr>
        <w:tc>
          <w:tcPr>
            <w:tcW w:w="4240" w:type="dxa"/>
            <w:vAlign w:val="bottom"/>
            <w:gridSpan w:val="2"/>
          </w:tcPr>
          <w:p>
            <w:pPr>
              <w:ind w:left="240"/>
              <w:spacing w:after="0"/>
              <w:rPr>
                <w:sz w:val="20"/>
                <w:szCs w:val="20"/>
                <w:color w:val="auto"/>
              </w:rPr>
            </w:pPr>
            <w:r>
              <w:rPr>
                <w:rFonts w:ascii="Arial" w:cs="Arial" w:eastAsia="Arial" w:hAnsi="Arial"/>
                <w:sz w:val="14"/>
                <w:szCs w:val="14"/>
                <w:color w:val="auto"/>
              </w:rPr>
              <w:t>on economic hedges</w:t>
            </w:r>
          </w:p>
        </w:tc>
        <w:tc>
          <w:tcPr>
            <w:tcW w:w="9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Other Non-recurring</w:t>
            </w: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4"/>
        </w:trPr>
        <w:tc>
          <w:tcPr>
            <w:tcW w:w="42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4"/>
                <w:szCs w:val="14"/>
                <w:color w:val="auto"/>
                <w:w w:val="99"/>
              </w:rPr>
              <w:t>Adjustments to reflect CWEN’s pro-rata share of Adjusted EBITDA</w:t>
            </w:r>
          </w:p>
        </w:tc>
        <w:tc>
          <w:tcPr>
            <w:tcW w:w="9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4"/>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9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4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183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2"/>
                <w:szCs w:val="12"/>
                <w:color w:val="auto"/>
              </w:rPr>
              <w:t>14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00" w:top="615" w:right="59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Appendix Table A-5: Cash Available for Distribution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Cash Available for Distribution and provides a reconciliation to Cash from Operating Activities: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20" w:type="dxa"/>
            <w:vAlign w:val="bottom"/>
          </w:tcPr>
          <w:p>
            <w:pPr>
              <w:spacing w:after="0"/>
              <w:rPr>
                <w:sz w:val="15"/>
                <w:szCs w:val="15"/>
                <w:color w:val="auto"/>
              </w:rPr>
            </w:pPr>
          </w:p>
        </w:tc>
        <w:tc>
          <w:tcPr>
            <w:tcW w:w="29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6/30/22</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6/30/21</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6/30/21</w:t>
            </w:r>
          </w:p>
        </w:tc>
      </w:tr>
      <w:tr>
        <w:trPr>
          <w:trHeight w:val="165"/>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5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14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626</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w:t>
            </w:r>
          </w:p>
        </w:tc>
      </w:tr>
      <w:tr>
        <w:trPr>
          <w:trHeight w:val="164"/>
        </w:trPr>
        <w:tc>
          <w:tcPr>
            <w:tcW w:w="4720" w:type="dxa"/>
            <w:vAlign w:val="bottom"/>
          </w:tcPr>
          <w:p>
            <w:pPr>
              <w:ind w:left="140"/>
              <w:spacing w:after="0"/>
              <w:rPr>
                <w:sz w:val="20"/>
                <w:szCs w:val="20"/>
                <w:color w:val="auto"/>
              </w:rPr>
            </w:pPr>
            <w:r>
              <w:rPr>
                <w:rFonts w:ascii="Arial" w:cs="Arial" w:eastAsia="Arial" w:hAnsi="Arial"/>
                <w:sz w:val="14"/>
                <w:szCs w:val="14"/>
                <w:color w:val="auto"/>
              </w:rPr>
              <w:t>Cash interest paid</w:t>
            </w:r>
          </w:p>
        </w:tc>
        <w:tc>
          <w:tcPr>
            <w:tcW w:w="1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7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prepaid and accrued liabilities for tolling agreements</w:t>
            </w: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74"/>
        </w:trPr>
        <w:tc>
          <w:tcPr>
            <w:tcW w:w="4720" w:type="dxa"/>
            <w:vAlign w:val="bottom"/>
          </w:tcPr>
          <w:p>
            <w:pPr>
              <w:ind w:left="140"/>
              <w:spacing w:after="0"/>
              <w:rPr>
                <w:sz w:val="20"/>
                <w:szCs w:val="20"/>
                <w:color w:val="auto"/>
              </w:rPr>
            </w:pPr>
            <w:r>
              <w:rPr>
                <w:rFonts w:ascii="Arial" w:cs="Arial" w:eastAsia="Arial" w:hAnsi="Arial"/>
                <w:sz w:val="14"/>
                <w:szCs w:val="14"/>
                <w:color w:val="auto"/>
              </w:rPr>
              <w:t>Adjustments to reflect sale-type leases and payments for lease expenses</w:t>
            </w:r>
          </w:p>
        </w:tc>
        <w:tc>
          <w:tcPr>
            <w:tcW w:w="15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Pro-rata Adjusted EBITDA from unconsolidated affiliates</w:t>
            </w: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74"/>
        </w:trPr>
        <w:tc>
          <w:tcPr>
            <w:tcW w:w="4720" w:type="dxa"/>
            <w:vAlign w:val="bottom"/>
          </w:tcPr>
          <w:p>
            <w:pPr>
              <w:ind w:left="140"/>
              <w:spacing w:after="0"/>
              <w:rPr>
                <w:sz w:val="20"/>
                <w:szCs w:val="20"/>
                <w:color w:val="auto"/>
              </w:rPr>
            </w:pPr>
            <w:r>
              <w:rPr>
                <w:rFonts w:ascii="Arial" w:cs="Arial" w:eastAsia="Arial" w:hAnsi="Arial"/>
                <w:sz w:val="14"/>
                <w:szCs w:val="14"/>
                <w:color w:val="auto"/>
              </w:rPr>
              <w:t>Distributions from unconsolidated affiliates</w:t>
            </w:r>
          </w:p>
        </w:tc>
        <w:tc>
          <w:tcPr>
            <w:tcW w:w="15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4"/>
        </w:trPr>
        <w:tc>
          <w:tcPr>
            <w:tcW w:w="4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Changes in working capital and other</w:t>
            </w:r>
          </w:p>
        </w:tc>
        <w:tc>
          <w:tcPr>
            <w:tcW w:w="15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6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w:t>
            </w:r>
          </w:p>
        </w:tc>
      </w:tr>
      <w:tr>
        <w:trPr>
          <w:trHeight w:val="16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working capital and other</w:t>
            </w:r>
          </w:p>
        </w:tc>
        <w:tc>
          <w:tcPr>
            <w:tcW w:w="15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5"/>
        </w:trPr>
        <w:tc>
          <w:tcPr>
            <w:tcW w:w="4720" w:type="dxa"/>
            <w:vAlign w:val="bottom"/>
          </w:tcPr>
          <w:p>
            <w:pPr>
              <w:ind w:left="140"/>
              <w:spacing w:after="0"/>
              <w:rPr>
                <w:sz w:val="20"/>
                <w:szCs w:val="20"/>
                <w:color w:val="auto"/>
              </w:rPr>
            </w:pPr>
            <w:r>
              <w:rPr>
                <w:rFonts w:ascii="Arial" w:cs="Arial" w:eastAsia="Arial" w:hAnsi="Arial"/>
                <w:sz w:val="14"/>
                <w:szCs w:val="14"/>
                <w:color w:val="auto"/>
              </w:rPr>
              <w:t>Development Expenses</w:t>
            </w:r>
            <w:r>
              <w:rPr>
                <w:rFonts w:ascii="Arial" w:cs="Arial" w:eastAsia="Arial" w:hAnsi="Arial"/>
                <w:sz w:val="17"/>
                <w:szCs w:val="17"/>
                <w:color w:val="auto"/>
                <w:vertAlign w:val="superscript"/>
              </w:rPr>
              <w:t>5</w:t>
            </w:r>
          </w:p>
        </w:tc>
        <w:tc>
          <w:tcPr>
            <w:tcW w:w="15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74"/>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Return of investment from unconsolidated affiliates</w:t>
            </w: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5"/>
        </w:trPr>
        <w:tc>
          <w:tcPr>
            <w:tcW w:w="4720" w:type="dxa"/>
            <w:vAlign w:val="bottom"/>
          </w:tcPr>
          <w:p>
            <w:pPr>
              <w:ind w:left="140"/>
              <w:spacing w:after="0"/>
              <w:rPr>
                <w:sz w:val="20"/>
                <w:szCs w:val="20"/>
                <w:color w:val="auto"/>
              </w:rPr>
            </w:pPr>
            <w:r>
              <w:rPr>
                <w:rFonts w:ascii="Arial" w:cs="Arial" w:eastAsia="Arial" w:hAnsi="Arial"/>
                <w:sz w:val="14"/>
                <w:szCs w:val="14"/>
                <w:color w:val="auto"/>
              </w:rPr>
              <w:t>Net contributions (to)/from non-controlling interest</w:t>
            </w:r>
            <w:r>
              <w:rPr>
                <w:rFonts w:ascii="Arial" w:cs="Arial" w:eastAsia="Arial" w:hAnsi="Arial"/>
                <w:sz w:val="17"/>
                <w:szCs w:val="17"/>
                <w:color w:val="auto"/>
                <w:vertAlign w:val="superscript"/>
              </w:rPr>
              <w:t>6</w:t>
            </w:r>
          </w:p>
        </w:tc>
        <w:tc>
          <w:tcPr>
            <w:tcW w:w="15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4"/>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capital expenditures</w:t>
            </w: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5"/>
        </w:trPr>
        <w:tc>
          <w:tcPr>
            <w:tcW w:w="4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Principal amortization of indebtedness</w:t>
            </w:r>
            <w:r>
              <w:rPr>
                <w:rFonts w:ascii="Arial" w:cs="Arial" w:eastAsia="Arial" w:hAnsi="Arial"/>
                <w:sz w:val="17"/>
                <w:szCs w:val="17"/>
                <w:color w:val="auto"/>
                <w:vertAlign w:val="superscript"/>
              </w:rPr>
              <w:t>7</w:t>
            </w:r>
          </w:p>
        </w:tc>
        <w:tc>
          <w:tcPr>
            <w:tcW w:w="1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r>
      <w:tr>
        <w:trPr>
          <w:trHeight w:val="165"/>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Available for Distribution</w:t>
            </w:r>
          </w:p>
        </w:tc>
        <w:tc>
          <w:tcPr>
            <w:tcW w:w="15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w:t>
            </w:r>
          </w:p>
        </w:tc>
        <w:tc>
          <w:tcPr>
            <w:tcW w:w="14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241300</wp:posOffset>
            </wp:positionV>
            <wp:extent cx="13030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020" cy="6350"/>
                    </a:xfrm>
                    <a:prstGeom prst="rect">
                      <a:avLst/>
                    </a:prstGeom>
                    <a:noFill/>
                  </pic:spPr>
                </pic:pic>
              </a:graphicData>
            </a:graphic>
          </wp:anchor>
        </w:drawing>
      </w:r>
    </w:p>
    <w:p>
      <w:pPr>
        <w:spacing w:after="0" w:line="361" w:lineRule="exact"/>
        <w:rPr>
          <w:sz w:val="20"/>
          <w:szCs w:val="20"/>
          <w:color w:val="auto"/>
        </w:rPr>
      </w:pPr>
    </w:p>
    <w:p>
      <w:pPr>
        <w:ind w:left="80" w:hanging="78"/>
        <w:spacing w:after="0"/>
        <w:tabs>
          <w:tab w:leader="none" w:pos="80" w:val="left"/>
        </w:tabs>
        <w:numPr>
          <w:ilvl w:val="0"/>
          <w:numId w:val="8"/>
        </w:numPr>
        <w:rPr>
          <w:rFonts w:ascii="Arial" w:cs="Arial" w:eastAsia="Arial" w:hAnsi="Arial"/>
          <w:sz w:val="18"/>
          <w:szCs w:val="18"/>
          <w:color w:val="auto"/>
          <w:vertAlign w:val="superscript"/>
        </w:rPr>
      </w:pPr>
      <w:r>
        <w:rPr>
          <w:rFonts w:ascii="Arial" w:cs="Arial" w:eastAsia="Arial" w:hAnsi="Arial"/>
          <w:sz w:val="11"/>
          <w:szCs w:val="11"/>
          <w:color w:val="auto"/>
        </w:rPr>
        <w:t>Primarily relates to Thermal Development Expenses</w:t>
      </w:r>
    </w:p>
    <w:p>
      <w:pPr>
        <w:ind w:left="80" w:hanging="78"/>
        <w:spacing w:after="0" w:line="199" w:lineRule="auto"/>
        <w:tabs>
          <w:tab w:leader="none" w:pos="80" w:val="left"/>
        </w:tabs>
        <w:numPr>
          <w:ilvl w:val="0"/>
          <w:numId w:val="9"/>
        </w:numPr>
        <w:rPr>
          <w:rFonts w:ascii="Arial" w:cs="Arial" w:eastAsia="Arial" w:hAnsi="Arial"/>
          <w:sz w:val="15"/>
          <w:szCs w:val="15"/>
          <w:color w:val="auto"/>
          <w:vertAlign w:val="superscript"/>
        </w:rPr>
      </w:pPr>
      <w:r>
        <w:rPr>
          <w:rFonts w:ascii="Arial" w:cs="Arial" w:eastAsia="Arial" w:hAnsi="Arial"/>
          <w:sz w:val="10"/>
          <w:szCs w:val="10"/>
          <w:color w:val="auto"/>
        </w:rPr>
        <w:t>2022 excludes $50 million of contributions related to the funding of Mesquite Sky, Black Rock, and Mililani; 2021 excludes $107 million of contributions related to funding of Rattlesnake</w:t>
      </w:r>
    </w:p>
    <w:p>
      <w:pPr>
        <w:spacing w:after="0" w:line="26" w:lineRule="exact"/>
        <w:rPr>
          <w:sz w:val="20"/>
          <w:szCs w:val="20"/>
          <w:color w:val="auto"/>
        </w:rPr>
      </w:pPr>
    </w:p>
    <w:p>
      <w:pPr>
        <w:ind w:firstLine="2"/>
        <w:spacing w:after="0" w:line="187" w:lineRule="auto"/>
        <w:tabs>
          <w:tab w:leader="none" w:pos="79" w:val="left"/>
        </w:tabs>
        <w:numPr>
          <w:ilvl w:val="0"/>
          <w:numId w:val="10"/>
        </w:numPr>
        <w:rPr>
          <w:rFonts w:ascii="Arial" w:cs="Arial" w:eastAsia="Arial" w:hAnsi="Arial"/>
          <w:sz w:val="18"/>
          <w:szCs w:val="18"/>
          <w:color w:val="auto"/>
          <w:vertAlign w:val="superscript"/>
        </w:rPr>
      </w:pPr>
      <w:r>
        <w:rPr>
          <w:rFonts w:ascii="Arial" w:cs="Arial" w:eastAsia="Arial" w:hAnsi="Arial"/>
          <w:sz w:val="11"/>
          <w:szCs w:val="11"/>
          <w:color w:val="auto"/>
        </w:rPr>
        <w:t>2022 excludes $660 million for the repayment of the Bridge Loan Facility and revolver payments, $186 million for the refinancing of Tapestry Wind, Laredo Ridge, and Viento, and $27 million for the repayment of bridge loans in connection with Mililani; 2021 excludes $868 million total consideration for the redemption of Corporate Notes and revolver payments and $52 million in connection with Pinnacle repowering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60"/>
          </w:cols>
          <w:pgMar w:left="300" w:top="800" w:right="339" w:bottom="1440" w:gutter="0" w:footer="0" w:header="0"/>
        </w:sectPr>
      </w:pPr>
    </w:p>
    <w:bookmarkStart w:id="18" w:name="page19"/>
    <w:bookmarkEnd w:id="18"/>
    <w:p>
      <w:pPr>
        <w:ind w:right="4699"/>
        <w:spacing w:after="0" w:line="309" w:lineRule="auto"/>
        <w:rPr>
          <w:sz w:val="20"/>
          <w:szCs w:val="20"/>
          <w:color w:val="auto"/>
        </w:rPr>
      </w:pPr>
      <w:r>
        <w:rPr>
          <w:rFonts w:ascii="Arial" w:cs="Arial" w:eastAsia="Arial" w:hAnsi="Arial"/>
          <w:sz w:val="14"/>
          <w:szCs w:val="14"/>
          <w:b w:val="1"/>
          <w:bCs w:val="1"/>
          <w:color w:val="auto"/>
        </w:rPr>
        <w:t xml:space="preserve">Appendix Table A-6: Six Months Ended June 30, 2022, Sources and Uses of Liquidity </w:t>
      </w:r>
      <w:r>
        <w:rPr>
          <w:rFonts w:ascii="Arial" w:cs="Arial" w:eastAsia="Arial" w:hAnsi="Arial"/>
          <w:sz w:val="14"/>
          <w:szCs w:val="14"/>
          <w:color w:val="auto"/>
        </w:rPr>
        <w:t>The following table summarizes the sources and uses of liquidity in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Six Months Ended</w:t>
            </w:r>
          </w:p>
        </w:tc>
      </w:tr>
      <w:tr>
        <w:trPr>
          <w:trHeight w:val="17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9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6/30/22</w:t>
            </w:r>
          </w:p>
        </w:tc>
      </w:tr>
      <w:tr>
        <w:trPr>
          <w:trHeight w:val="155"/>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Sources:</w:t>
            </w:r>
          </w:p>
        </w:tc>
        <w:tc>
          <w:tcPr>
            <w:tcW w:w="1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74"/>
        </w:trPr>
        <w:tc>
          <w:tcPr>
            <w:tcW w:w="4320" w:type="dxa"/>
            <w:vAlign w:val="bottom"/>
          </w:tcPr>
          <w:p>
            <w:pPr>
              <w:ind w:left="140"/>
              <w:spacing w:after="0"/>
              <w:rPr>
                <w:sz w:val="20"/>
                <w:szCs w:val="20"/>
                <w:color w:val="auto"/>
              </w:rPr>
            </w:pPr>
            <w:r>
              <w:rPr>
                <w:rFonts w:ascii="Arial" w:cs="Arial" w:eastAsia="Arial" w:hAnsi="Arial"/>
                <w:sz w:val="12"/>
                <w:szCs w:val="12"/>
                <w:color w:val="auto"/>
              </w:rPr>
              <w:t>Proceeds from sale of business</w:t>
            </w: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1,457</w:t>
            </w:r>
          </w:p>
        </w:tc>
      </w:tr>
      <w:tr>
        <w:trPr>
          <w:trHeight w:val="175"/>
        </w:trPr>
        <w:tc>
          <w:tcPr>
            <w:tcW w:w="4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cash provided by operating activities</w:t>
            </w: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74"/>
        </w:trPr>
        <w:tc>
          <w:tcPr>
            <w:tcW w:w="4320" w:type="dxa"/>
            <w:vAlign w:val="bottom"/>
          </w:tcPr>
          <w:p>
            <w:pPr>
              <w:ind w:left="140"/>
              <w:spacing w:after="0"/>
              <w:rPr>
                <w:sz w:val="20"/>
                <w:szCs w:val="20"/>
                <w:color w:val="auto"/>
              </w:rPr>
            </w:pPr>
            <w:r>
              <w:rPr>
                <w:rFonts w:ascii="Arial" w:cs="Arial" w:eastAsia="Arial" w:hAnsi="Arial"/>
                <w:sz w:val="12"/>
                <w:szCs w:val="12"/>
                <w:color w:val="auto"/>
              </w:rPr>
              <w:t>Proceeds from issuance of long-term debt</w:t>
            </w: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75"/>
        </w:trPr>
        <w:tc>
          <w:tcPr>
            <w:tcW w:w="4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from the revolving credit facility</w:t>
            </w: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74"/>
        </w:trPr>
        <w:tc>
          <w:tcPr>
            <w:tcW w:w="4320" w:type="dxa"/>
            <w:vAlign w:val="bottom"/>
          </w:tcPr>
          <w:p>
            <w:pPr>
              <w:ind w:left="140"/>
              <w:spacing w:after="0"/>
              <w:rPr>
                <w:sz w:val="20"/>
                <w:szCs w:val="20"/>
                <w:color w:val="auto"/>
              </w:rPr>
            </w:pPr>
            <w:r>
              <w:rPr>
                <w:rFonts w:ascii="Arial" w:cs="Arial" w:eastAsia="Arial" w:hAnsi="Arial"/>
                <w:sz w:val="12"/>
                <w:szCs w:val="12"/>
                <w:color w:val="auto"/>
              </w:rPr>
              <w:t>Return of investment from unconsolidated affiliates</w:t>
            </w: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55"/>
        </w:trPr>
        <w:tc>
          <w:tcPr>
            <w:tcW w:w="4320" w:type="dxa"/>
            <w:vAlign w:val="bottom"/>
            <w:tcBorders>
              <w:bottom w:val="single" w:sz="8" w:color="auto"/>
            </w:tcBorders>
            <w:shd w:val="clear" w:color="auto" w:fill="CCEEFF"/>
          </w:tcPr>
          <w:p>
            <w:pPr>
              <w:spacing w:after="0"/>
              <w:rPr>
                <w:sz w:val="13"/>
                <w:szCs w:val="13"/>
                <w:color w:val="auto"/>
              </w:rPr>
            </w:pPr>
          </w:p>
        </w:tc>
        <w:tc>
          <w:tcPr>
            <w:tcW w:w="19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62"/>
        </w:trPr>
        <w:tc>
          <w:tcPr>
            <w:tcW w:w="4320" w:type="dxa"/>
            <w:vAlign w:val="bottom"/>
          </w:tcPr>
          <w:p>
            <w:pPr>
              <w:ind w:left="20"/>
              <w:spacing w:after="0"/>
              <w:rPr>
                <w:sz w:val="20"/>
                <w:szCs w:val="20"/>
                <w:color w:val="auto"/>
              </w:rPr>
            </w:pPr>
            <w:r>
              <w:rPr>
                <w:rFonts w:ascii="Arial" w:cs="Arial" w:eastAsia="Arial" w:hAnsi="Arial"/>
                <w:sz w:val="12"/>
                <w:szCs w:val="12"/>
                <w:b w:val="1"/>
                <w:bCs w:val="1"/>
                <w:color w:val="auto"/>
              </w:rPr>
              <w:t>Uses: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7"/>
        </w:trPr>
        <w:tc>
          <w:tcPr>
            <w:tcW w:w="4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Payments for long-term debt</w:t>
            </w: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r>
      <w:tr>
        <w:trPr>
          <w:trHeight w:val="174"/>
        </w:trPr>
        <w:tc>
          <w:tcPr>
            <w:tcW w:w="4320" w:type="dxa"/>
            <w:vAlign w:val="bottom"/>
          </w:tcPr>
          <w:p>
            <w:pPr>
              <w:ind w:left="140"/>
              <w:spacing w:after="0"/>
              <w:rPr>
                <w:sz w:val="20"/>
                <w:szCs w:val="20"/>
                <w:color w:val="auto"/>
              </w:rPr>
            </w:pPr>
            <w:r>
              <w:rPr>
                <w:rFonts w:ascii="Arial" w:cs="Arial" w:eastAsia="Arial" w:hAnsi="Arial"/>
                <w:sz w:val="12"/>
                <w:szCs w:val="12"/>
                <w:color w:val="auto"/>
              </w:rPr>
              <w:t>Payments for the revolving credit facility</w:t>
            </w: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175"/>
        </w:trPr>
        <w:tc>
          <w:tcPr>
            <w:tcW w:w="4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Payments of dividends and distributions</w:t>
            </w: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74"/>
        </w:trPr>
        <w:tc>
          <w:tcPr>
            <w:tcW w:w="4320" w:type="dxa"/>
            <w:vAlign w:val="bottom"/>
          </w:tcPr>
          <w:p>
            <w:pPr>
              <w:ind w:left="140"/>
              <w:spacing w:after="0"/>
              <w:rPr>
                <w:sz w:val="20"/>
                <w:szCs w:val="20"/>
                <w:color w:val="auto"/>
              </w:rPr>
            </w:pPr>
            <w:r>
              <w:rPr>
                <w:rFonts w:ascii="Arial" w:cs="Arial" w:eastAsia="Arial" w:hAnsi="Arial"/>
                <w:sz w:val="12"/>
                <w:szCs w:val="12"/>
                <w:color w:val="auto"/>
              </w:rPr>
              <w:t>Capital expenditures</w:t>
            </w: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75"/>
        </w:trPr>
        <w:tc>
          <w:tcPr>
            <w:tcW w:w="4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Distributions to CEG of escrowed amounts</w:t>
            </w: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74"/>
        </w:trPr>
        <w:tc>
          <w:tcPr>
            <w:tcW w:w="4320" w:type="dxa"/>
            <w:vAlign w:val="bottom"/>
          </w:tcPr>
          <w:p>
            <w:pPr>
              <w:ind w:left="140"/>
              <w:spacing w:after="0"/>
              <w:rPr>
                <w:sz w:val="20"/>
                <w:szCs w:val="20"/>
                <w:color w:val="auto"/>
              </w:rPr>
            </w:pPr>
            <w:r>
              <w:rPr>
                <w:rFonts w:ascii="Arial" w:cs="Arial" w:eastAsia="Arial" w:hAnsi="Arial"/>
                <w:sz w:val="12"/>
                <w:szCs w:val="12"/>
                <w:color w:val="auto"/>
              </w:rPr>
              <w:t>Acquisition of Drop Down Assets, net of cash acquired</w:t>
            </w: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75"/>
        </w:trPr>
        <w:tc>
          <w:tcPr>
            <w:tcW w:w="4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net cash outflows</w:t>
            </w: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5"/>
        </w:trPr>
        <w:tc>
          <w:tcPr>
            <w:tcW w:w="4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65"/>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Change in total cash, cash equivalents, and restricted cash</w:t>
            </w:r>
          </w:p>
        </w:tc>
        <w:tc>
          <w:tcPr>
            <w:tcW w:w="1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634</w:t>
            </w:r>
          </w:p>
        </w:tc>
      </w:tr>
      <w:tr>
        <w:trPr>
          <w:trHeight w:val="559"/>
        </w:trPr>
        <w:tc>
          <w:tcPr>
            <w:tcW w:w="4320" w:type="dxa"/>
            <w:vAlign w:val="bottom"/>
          </w:tcPr>
          <w:p>
            <w:pPr>
              <w:spacing w:after="0"/>
              <w:rPr>
                <w:sz w:val="24"/>
                <w:szCs w:val="24"/>
                <w:color w:val="auto"/>
              </w:rPr>
            </w:pPr>
          </w:p>
        </w:tc>
        <w:tc>
          <w:tcPr>
            <w:tcW w:w="1900" w:type="dxa"/>
            <w:vAlign w:val="bottom"/>
          </w:tcPr>
          <w:p>
            <w:pPr>
              <w:jc w:val="right"/>
              <w:ind w:right="458"/>
              <w:spacing w:after="0"/>
              <w:rPr>
                <w:sz w:val="20"/>
                <w:szCs w:val="20"/>
                <w:color w:val="auto"/>
              </w:rPr>
            </w:pPr>
            <w:r>
              <w:rPr>
                <w:rFonts w:ascii="Arial" w:cs="Arial" w:eastAsia="Arial" w:hAnsi="Arial"/>
                <w:sz w:val="12"/>
                <w:szCs w:val="12"/>
                <w:color w:val="auto"/>
              </w:rPr>
              <w:t>16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159"/>
          </w:cols>
          <w:pgMar w:left="300" w:top="800" w:right="1440"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Appendix Table A-7: Adjusted EBITDA and Cash Available for Distribution Guidance and Pro Forma Outlook</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2022 Full Year</w:t>
            </w: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Prior Pro Forma</w:t>
            </w:r>
          </w:p>
        </w:tc>
        <w:tc>
          <w:tcPr>
            <w:tcW w:w="80" w:type="dxa"/>
            <w:vAlign w:val="bottom"/>
          </w:tcPr>
          <w:p>
            <w:pPr>
              <w:spacing w:after="0"/>
              <w:rPr>
                <w:sz w:val="14"/>
                <w:szCs w:val="14"/>
                <w:color w:val="auto"/>
              </w:rPr>
            </w:pPr>
          </w:p>
        </w:tc>
        <w:tc>
          <w:tcPr>
            <w:tcW w:w="1140" w:type="dxa"/>
            <w:vAlign w:val="bottom"/>
          </w:tcPr>
          <w:p>
            <w:pPr>
              <w:jc w:val="right"/>
              <w:ind w:right="18"/>
              <w:spacing w:after="0"/>
              <w:rPr>
                <w:sz w:val="20"/>
                <w:szCs w:val="20"/>
                <w:color w:val="auto"/>
              </w:rPr>
            </w:pPr>
            <w:r>
              <w:rPr>
                <w:rFonts w:ascii="Arial" w:cs="Arial" w:eastAsia="Arial" w:hAnsi="Arial"/>
                <w:sz w:val="14"/>
                <w:szCs w:val="14"/>
                <w:b w:val="1"/>
                <w:bCs w:val="1"/>
                <w:color w:val="auto"/>
                <w:w w:val="92"/>
              </w:rPr>
              <w:t>Pro Forma CAFD</w:t>
            </w:r>
          </w:p>
        </w:tc>
        <w:tc>
          <w:tcPr>
            <w:tcW w:w="0" w:type="dxa"/>
            <w:vAlign w:val="bottom"/>
          </w:tcPr>
          <w:p>
            <w:pPr>
              <w:spacing w:after="0"/>
              <w:rPr>
                <w:sz w:val="1"/>
                <w:szCs w:val="1"/>
                <w:color w:val="auto"/>
              </w:rPr>
            </w:pPr>
          </w:p>
        </w:tc>
      </w:tr>
      <w:tr>
        <w:trPr>
          <w:trHeight w:val="174"/>
        </w:trPr>
        <w:tc>
          <w:tcPr>
            <w:tcW w:w="5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Guidance</w:t>
            </w: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CAFD Outlook</w:t>
            </w:r>
          </w:p>
        </w:tc>
        <w:tc>
          <w:tcPr>
            <w:tcW w:w="80" w:type="dxa"/>
            <w:vAlign w:val="bottom"/>
          </w:tcPr>
          <w:p>
            <w:pPr>
              <w:spacing w:after="0"/>
              <w:rPr>
                <w:sz w:val="15"/>
                <w:szCs w:val="15"/>
                <w:color w:val="auto"/>
              </w:rPr>
            </w:pPr>
          </w:p>
        </w:tc>
        <w:tc>
          <w:tcPr>
            <w:tcW w:w="1140" w:type="dxa"/>
            <w:vAlign w:val="bottom"/>
          </w:tcPr>
          <w:p>
            <w:pPr>
              <w:jc w:val="right"/>
              <w:ind w:right="318"/>
              <w:spacing w:after="0"/>
              <w:rPr>
                <w:sz w:val="20"/>
                <w:szCs w:val="20"/>
                <w:color w:val="auto"/>
              </w:rPr>
            </w:pPr>
            <w:r>
              <w:rPr>
                <w:rFonts w:ascii="Arial" w:cs="Arial" w:eastAsia="Arial" w:hAnsi="Arial"/>
                <w:sz w:val="14"/>
                <w:szCs w:val="14"/>
                <w:b w:val="1"/>
                <w:bCs w:val="1"/>
                <w:color w:val="auto"/>
              </w:rPr>
              <w:t>Outlook</w:t>
            </w:r>
          </w:p>
        </w:tc>
        <w:tc>
          <w:tcPr>
            <w:tcW w:w="0" w:type="dxa"/>
            <w:vAlign w:val="bottom"/>
          </w:tcPr>
          <w:p>
            <w:pPr>
              <w:spacing w:after="0"/>
              <w:rPr>
                <w:sz w:val="1"/>
                <w:szCs w:val="1"/>
                <w:color w:val="auto"/>
              </w:rPr>
            </w:pPr>
          </w:p>
        </w:tc>
      </w:tr>
      <w:tr>
        <w:trPr>
          <w:trHeight w:val="165"/>
        </w:trPr>
        <w:tc>
          <w:tcPr>
            <w:tcW w:w="5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w:t>
            </w:r>
          </w:p>
        </w:tc>
        <w:tc>
          <w:tcPr>
            <w:tcW w:w="0" w:type="dxa"/>
            <w:vAlign w:val="bottom"/>
          </w:tcPr>
          <w:p>
            <w:pPr>
              <w:spacing w:after="0"/>
              <w:rPr>
                <w:sz w:val="1"/>
                <w:szCs w:val="1"/>
                <w:color w:val="auto"/>
              </w:rPr>
            </w:pPr>
          </w:p>
        </w:tc>
      </w:tr>
      <w:tr>
        <w:trPr>
          <w:trHeight w:val="164"/>
        </w:trPr>
        <w:tc>
          <w:tcPr>
            <w:tcW w:w="518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ARO Expense</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545</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 to reflect CWEN share of Adjusted EBITDA in unconsolidated affiliates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5"/>
        </w:trPr>
        <w:tc>
          <w:tcPr>
            <w:tcW w:w="5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1,225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1,055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1,110</w:t>
            </w:r>
          </w:p>
        </w:tc>
        <w:tc>
          <w:tcPr>
            <w:tcW w:w="0" w:type="dxa"/>
            <w:vAlign w:val="bottom"/>
          </w:tcPr>
          <w:p>
            <w:pPr>
              <w:spacing w:after="0"/>
              <w:rPr>
                <w:sz w:val="1"/>
                <w:szCs w:val="1"/>
                <w:color w:val="auto"/>
              </w:rPr>
            </w:pPr>
          </w:p>
        </w:tc>
      </w:tr>
      <w:tr>
        <w:trPr>
          <w:trHeight w:val="164"/>
        </w:trPr>
        <w:tc>
          <w:tcPr>
            <w:tcW w:w="5180" w:type="dxa"/>
            <w:vAlign w:val="bottom"/>
          </w:tcPr>
          <w:p>
            <w:pPr>
              <w:ind w:left="140"/>
              <w:spacing w:after="0"/>
              <w:rPr>
                <w:sz w:val="20"/>
                <w:szCs w:val="20"/>
                <w:color w:val="auto"/>
              </w:rPr>
            </w:pPr>
            <w:r>
              <w:rPr>
                <w:rFonts w:ascii="Arial" w:cs="Arial" w:eastAsia="Arial" w:hAnsi="Arial"/>
                <w:sz w:val="14"/>
                <w:szCs w:val="14"/>
                <w:color w:val="auto"/>
              </w:rPr>
              <w:t>Cash interest paid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Changes in prepaid and accrued liabilities for tolling agreements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20"/>
              <w:spacing w:after="0"/>
              <w:rPr>
                <w:sz w:val="20"/>
                <w:szCs w:val="20"/>
                <w:color w:val="auto"/>
              </w:rPr>
            </w:pPr>
            <w:r>
              <w:rPr>
                <w:rFonts w:ascii="Arial" w:cs="Arial" w:eastAsia="Arial" w:hAnsi="Arial"/>
                <w:sz w:val="14"/>
                <w:szCs w:val="14"/>
                <w:color w:val="auto"/>
              </w:rPr>
              <w:t>Adjustments to reflect sale-type leases and payments for lease expenses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Pro-rata Adjusted EBITDA from unconsolidated affiliates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95"/>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Cash distributions from unconsolidated affiliates</w:t>
            </w:r>
            <w:r>
              <w:rPr>
                <w:rFonts w:ascii="Arial" w:cs="Arial" w:eastAsia="Arial" w:hAnsi="Arial"/>
                <w:sz w:val="17"/>
                <w:szCs w:val="17"/>
                <w:color w:val="auto"/>
                <w:vertAlign w:val="superscript"/>
              </w:rPr>
              <w:t>8</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Payment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883</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733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777</w:t>
            </w:r>
          </w:p>
        </w:tc>
        <w:tc>
          <w:tcPr>
            <w:tcW w:w="0" w:type="dxa"/>
            <w:vAlign w:val="bottom"/>
          </w:tcPr>
          <w:p>
            <w:pPr>
              <w:spacing w:after="0"/>
              <w:rPr>
                <w:sz w:val="1"/>
                <w:szCs w:val="1"/>
                <w:color w:val="auto"/>
              </w:rPr>
            </w:pPr>
          </w:p>
        </w:tc>
      </w:tr>
      <w:tr>
        <w:trPr>
          <w:trHeight w:val="185"/>
        </w:trPr>
        <w:tc>
          <w:tcPr>
            <w:tcW w:w="5180" w:type="dxa"/>
            <w:vAlign w:val="bottom"/>
            <w:shd w:val="clear" w:color="auto" w:fill="CCEEFF"/>
          </w:tcPr>
          <w:p>
            <w:pPr>
              <w:ind w:left="140"/>
              <w:spacing w:after="0" w:line="185" w:lineRule="exact"/>
              <w:rPr>
                <w:sz w:val="20"/>
                <w:szCs w:val="20"/>
                <w:color w:val="auto"/>
              </w:rPr>
            </w:pPr>
            <w:r>
              <w:rPr>
                <w:rFonts w:ascii="Arial" w:cs="Arial" w:eastAsia="Arial" w:hAnsi="Arial"/>
                <w:sz w:val="14"/>
                <w:szCs w:val="14"/>
                <w:color w:val="auto"/>
              </w:rPr>
              <w:t>Development Expense</w:t>
            </w:r>
            <w:r>
              <w:rPr>
                <w:rFonts w:ascii="Arial" w:cs="Arial" w:eastAsia="Arial" w:hAnsi="Arial"/>
                <w:sz w:val="17"/>
                <w:szCs w:val="17"/>
                <w:color w:val="auto"/>
                <w:vertAlign w:val="superscript"/>
              </w:rPr>
              <w:t>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5"/>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Net distributions to non-controlling interest</w:t>
            </w:r>
            <w:r>
              <w:rPr>
                <w:rFonts w:ascii="Arial" w:cs="Arial" w:eastAsia="Arial" w:hAnsi="Arial"/>
                <w:sz w:val="17"/>
                <w:szCs w:val="17"/>
                <w:color w:val="auto"/>
                <w:vertAlign w:val="superscript"/>
              </w:rPr>
              <w:t>10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4"/>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Maintenance capital expenditures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Principal amortization of indebtedness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65"/>
        </w:trPr>
        <w:tc>
          <w:tcPr>
            <w:tcW w:w="5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Available for Distribution</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365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615" w:right="1440"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Table A-8: Growth Investments 5 Year Average CAFD</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4403090" cy="117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03090" cy="11747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291846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8460" cy="6350"/>
                    </a:xfrm>
                    <a:prstGeom prst="rect">
                      <a:avLst/>
                    </a:prstGeom>
                    <a:noFill/>
                  </pic:spPr>
                </pic:pic>
              </a:graphicData>
            </a:graphic>
          </wp:anchor>
        </w:drawing>
      </w:r>
    </w:p>
    <w:p>
      <w:pPr>
        <w:spacing w:after="0" w:line="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Interest Expense, net</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Depreciation, Amortization, and ARO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4403090" cy="117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03090" cy="11747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4403090"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03090" cy="11747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91846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8460" cy="63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from Operating Activities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4403090" cy="110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03090" cy="1104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4403090" cy="11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03090" cy="11747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257810</wp:posOffset>
            </wp:positionV>
            <wp:extent cx="130302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02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10160</wp:posOffset>
            </wp:positionV>
            <wp:extent cx="291846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84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jc w:val="right"/>
        <w:ind w:right="3639"/>
        <w:spacing w:after="0"/>
        <w:rPr>
          <w:sz w:val="20"/>
          <w:szCs w:val="20"/>
          <w:color w:val="auto"/>
        </w:rPr>
      </w:pPr>
      <w:r>
        <w:rPr>
          <w:rFonts w:ascii="Arial" w:cs="Arial" w:eastAsia="Arial" w:hAnsi="Arial"/>
          <w:sz w:val="13"/>
          <w:szCs w:val="13"/>
          <w:b w:val="1"/>
          <w:bCs w:val="1"/>
          <w:color w:val="auto"/>
        </w:rPr>
        <w:t>413 MW Wind Portfolio</w:t>
      </w:r>
    </w:p>
    <w:p>
      <w:pPr>
        <w:jc w:val="right"/>
        <w:ind w:right="3679"/>
        <w:spacing w:after="0"/>
        <w:rPr>
          <w:sz w:val="20"/>
          <w:szCs w:val="20"/>
          <w:color w:val="auto"/>
        </w:rPr>
      </w:pPr>
      <w:r>
        <w:rPr>
          <w:rFonts w:ascii="Arial" w:cs="Arial" w:eastAsia="Arial" w:hAnsi="Arial"/>
          <w:sz w:val="13"/>
          <w:szCs w:val="13"/>
          <w:b w:val="1"/>
          <w:bCs w:val="1"/>
          <w:color w:val="auto"/>
        </w:rPr>
        <w:t>5 Year Ave. 2023-2027</w:t>
      </w:r>
    </w:p>
    <w:p>
      <w:pPr>
        <w:spacing w:after="0" w:line="33" w:lineRule="exact"/>
        <w:rPr>
          <w:sz w:val="20"/>
          <w:szCs w:val="20"/>
          <w:color w:val="auto"/>
        </w:rPr>
      </w:pPr>
    </w:p>
    <w:p>
      <w:pPr>
        <w:jc w:val="right"/>
        <w:ind w:right="3239"/>
        <w:spacing w:after="0"/>
        <w:rPr>
          <w:sz w:val="20"/>
          <w:szCs w:val="20"/>
          <w:color w:val="auto"/>
        </w:rPr>
      </w:pPr>
      <w:r>
        <w:rPr>
          <w:rFonts w:ascii="Arial" w:cs="Arial" w:eastAsia="Arial" w:hAnsi="Arial"/>
          <w:sz w:val="12"/>
          <w:szCs w:val="12"/>
          <w:b w:val="1"/>
          <w:bCs w:val="1"/>
          <w:color w:val="auto"/>
        </w:rPr>
        <w:t>29 - 30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17145</wp:posOffset>
            </wp:positionV>
            <wp:extent cx="14001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0175" cy="6350"/>
                    </a:xfrm>
                    <a:prstGeom prst="rect">
                      <a:avLst/>
                    </a:prstGeom>
                    <a:noFill/>
                  </pic:spPr>
                </pic:pic>
              </a:graphicData>
            </a:graphic>
          </wp:anchor>
        </w:drawing>
      </w:r>
    </w:p>
    <w:p>
      <w:pPr>
        <w:spacing w:after="0" w:line="31" w:lineRule="exact"/>
        <w:rPr>
          <w:sz w:val="20"/>
          <w:szCs w:val="20"/>
          <w:color w:val="auto"/>
        </w:rPr>
      </w:pPr>
    </w:p>
    <w:p>
      <w:pPr>
        <w:jc w:val="right"/>
        <w:ind w:right="3239"/>
        <w:spacing w:after="0"/>
        <w:rPr>
          <w:sz w:val="20"/>
          <w:szCs w:val="20"/>
          <w:color w:val="auto"/>
        </w:rPr>
      </w:pPr>
      <w:r>
        <w:rPr>
          <w:rFonts w:ascii="Arial" w:cs="Arial" w:eastAsia="Arial" w:hAnsi="Arial"/>
          <w:sz w:val="12"/>
          <w:szCs w:val="12"/>
          <w:color w:val="auto"/>
        </w:rPr>
        <w:t>12 - 10</w:t>
      </w:r>
    </w:p>
    <w:p>
      <w:pPr>
        <w:spacing w:after="0" w:line="36"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14605</wp:posOffset>
            </wp:positionV>
            <wp:extent cx="140017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0175" cy="6350"/>
                    </a:xfrm>
                    <a:prstGeom prst="rect">
                      <a:avLst/>
                    </a:prstGeom>
                    <a:noFill/>
                  </pic:spPr>
                </pic:pic>
              </a:graphicData>
            </a:graphic>
          </wp:anchor>
        </w:drawing>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2"/>
          <w:szCs w:val="12"/>
          <w:b w:val="1"/>
          <w:bCs w:val="1"/>
          <w:color w:val="auto"/>
        </w:rPr>
        <w:t>53</w:t>
      </w:r>
    </w:p>
    <w:p>
      <w:pPr>
        <w:spacing w:after="0" w:line="51" w:lineRule="exact"/>
        <w:rPr>
          <w:sz w:val="20"/>
          <w:szCs w:val="20"/>
          <w:color w:val="auto"/>
        </w:rPr>
      </w:pPr>
    </w:p>
    <w:p>
      <w:pPr>
        <w:jc w:val="right"/>
        <w:ind w:right="3239"/>
        <w:spacing w:after="0"/>
        <w:rPr>
          <w:sz w:val="20"/>
          <w:szCs w:val="20"/>
          <w:color w:val="auto"/>
        </w:rPr>
      </w:pPr>
      <w:r>
        <w:rPr>
          <w:rFonts w:ascii="Arial" w:cs="Arial" w:eastAsia="Arial" w:hAnsi="Arial"/>
          <w:sz w:val="12"/>
          <w:szCs w:val="12"/>
          <w:color w:val="auto"/>
        </w:rPr>
        <w:t>(12)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14605</wp:posOffset>
            </wp:positionV>
            <wp:extent cx="14001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0175" cy="6350"/>
                    </a:xfrm>
                    <a:prstGeom prst="rect">
                      <a:avLst/>
                    </a:prstGeom>
                    <a:noFill/>
                  </pic:spPr>
                </pic:pic>
              </a:graphicData>
            </a:graphic>
          </wp:anchor>
        </w:drawing>
      </w:r>
    </w:p>
    <w:p>
      <w:pPr>
        <w:spacing w:after="0" w:line="23" w:lineRule="exact"/>
        <w:rPr>
          <w:sz w:val="20"/>
          <w:szCs w:val="20"/>
          <w:color w:val="auto"/>
        </w:rPr>
      </w:pPr>
    </w:p>
    <w:p>
      <w:pPr>
        <w:jc w:val="right"/>
        <w:ind w:right="3239"/>
        <w:spacing w:after="0"/>
        <w:rPr>
          <w:sz w:val="20"/>
          <w:szCs w:val="20"/>
          <w:color w:val="auto"/>
        </w:rPr>
      </w:pPr>
      <w:r>
        <w:rPr>
          <w:rFonts w:ascii="Arial" w:cs="Arial" w:eastAsia="Arial" w:hAnsi="Arial"/>
          <w:sz w:val="12"/>
          <w:szCs w:val="12"/>
          <w:b w:val="1"/>
          <w:bCs w:val="1"/>
          <w:color w:val="auto"/>
        </w:rPr>
        <w:t>41 - 43</w:t>
      </w:r>
    </w:p>
    <w:p>
      <w:pPr>
        <w:spacing w:after="0" w:line="40" w:lineRule="exact"/>
        <w:rPr>
          <w:sz w:val="20"/>
          <w:szCs w:val="20"/>
          <w:color w:val="auto"/>
        </w:rPr>
      </w:pPr>
    </w:p>
    <w:p>
      <w:pPr>
        <w:jc w:val="right"/>
        <w:ind w:right="3239"/>
        <w:spacing w:after="0"/>
        <w:rPr>
          <w:sz w:val="20"/>
          <w:szCs w:val="20"/>
          <w:color w:val="auto"/>
        </w:rPr>
      </w:pPr>
      <w:r>
        <w:rPr>
          <w:rFonts w:ascii="Arial" w:cs="Arial" w:eastAsia="Arial" w:hAnsi="Arial"/>
          <w:sz w:val="12"/>
          <w:szCs w:val="12"/>
          <w:color w:val="auto"/>
        </w:rPr>
        <w:t>(3)</w:t>
      </w:r>
    </w:p>
    <w:p>
      <w:pPr>
        <w:spacing w:after="0" w:line="36" w:lineRule="exact"/>
        <w:rPr>
          <w:sz w:val="20"/>
          <w:szCs w:val="20"/>
          <w:color w:val="auto"/>
        </w:rPr>
      </w:pPr>
    </w:p>
    <w:p>
      <w:pPr>
        <w:jc w:val="right"/>
        <w:ind w:right="3239"/>
        <w:spacing w:after="0"/>
        <w:rPr>
          <w:sz w:val="20"/>
          <w:szCs w:val="20"/>
          <w:color w:val="auto"/>
        </w:rPr>
      </w:pPr>
      <w:r>
        <w:rPr>
          <w:rFonts w:ascii="Arial" w:cs="Arial" w:eastAsia="Arial" w:hAnsi="Arial"/>
          <w:sz w:val="12"/>
          <w:szCs w:val="12"/>
          <w:color w:val="auto"/>
        </w:rPr>
        <w:t>(26)</w:t>
      </w:r>
    </w:p>
    <w:p>
      <w:pPr>
        <w:spacing w:after="0" w:line="43" w:lineRule="exact"/>
        <w:rPr>
          <w:sz w:val="20"/>
          <w:szCs w:val="20"/>
          <w:color w:val="auto"/>
        </w:rPr>
      </w:pPr>
    </w:p>
    <w:p>
      <w:pPr>
        <w:jc w:val="right"/>
        <w:ind w:right="3239"/>
        <w:spacing w:after="0"/>
        <w:rPr>
          <w:sz w:val="20"/>
          <w:szCs w:val="20"/>
          <w:color w:val="auto"/>
        </w:rPr>
      </w:pPr>
      <w:r>
        <w:rPr>
          <w:rFonts w:ascii="Arial" w:cs="Arial" w:eastAsia="Arial" w:hAnsi="Arial"/>
          <w:sz w:val="12"/>
          <w:szCs w:val="12"/>
          <w:b w:val="1"/>
          <w:bCs w:val="1"/>
          <w:color w:val="auto"/>
        </w:rPr>
        <w:t>12 - 14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17145</wp:posOffset>
            </wp:positionV>
            <wp:extent cx="140017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0175" cy="635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4380" w:space="720"/>
            <w:col w:w="5059"/>
          </w:cols>
          <w:pgMar w:left="300" w:top="615" w:right="1440" w:bottom="1440" w:gutter="0" w:footer="0" w:header="0"/>
          <w:type w:val="continuous"/>
        </w:sectPr>
      </w:pPr>
    </w:p>
    <w:p>
      <w:pPr>
        <w:spacing w:after="0" w:line="237" w:lineRule="exact"/>
        <w:rPr>
          <w:sz w:val="20"/>
          <w:szCs w:val="20"/>
          <w:color w:val="auto"/>
        </w:rPr>
      </w:pPr>
    </w:p>
    <w:p>
      <w:pPr>
        <w:ind w:left="80" w:hanging="78"/>
        <w:spacing w:after="0"/>
        <w:tabs>
          <w:tab w:leader="none" w:pos="80" w:val="left"/>
        </w:tabs>
        <w:numPr>
          <w:ilvl w:val="0"/>
          <w:numId w:val="11"/>
        </w:numPr>
        <w:rPr>
          <w:rFonts w:ascii="Arial" w:cs="Arial" w:eastAsia="Arial" w:hAnsi="Arial"/>
          <w:sz w:val="17"/>
          <w:szCs w:val="17"/>
          <w:color w:val="auto"/>
          <w:vertAlign w:val="superscript"/>
        </w:rPr>
      </w:pPr>
      <w:r>
        <w:rPr>
          <w:rFonts w:ascii="Arial" w:cs="Arial" w:eastAsia="Arial" w:hAnsi="Arial"/>
          <w:sz w:val="10"/>
          <w:szCs w:val="10"/>
          <w:color w:val="auto"/>
        </w:rPr>
        <w:t>Distribution from unconsolidated affiliates can be classified as Return of Investment on Unconsolidated Affiliates when actuals are reported. This is below cash from operating activities</w:t>
      </w:r>
    </w:p>
    <w:p>
      <w:pPr>
        <w:spacing w:after="0" w:line="14" w:lineRule="exact"/>
        <w:rPr>
          <w:rFonts w:ascii="Arial" w:cs="Arial" w:eastAsia="Arial" w:hAnsi="Arial"/>
          <w:sz w:val="17"/>
          <w:szCs w:val="17"/>
          <w:color w:val="auto"/>
          <w:vertAlign w:val="superscript"/>
        </w:rPr>
      </w:pPr>
    </w:p>
    <w:p>
      <w:pPr>
        <w:spacing w:after="0" w:line="187" w:lineRule="auto"/>
        <w:rPr>
          <w:rFonts w:ascii="Arial" w:cs="Arial" w:eastAsia="Arial" w:hAnsi="Arial"/>
          <w:sz w:val="17"/>
          <w:szCs w:val="17"/>
          <w:color w:val="auto"/>
          <w:vertAlign w:val="superscript"/>
        </w:rPr>
      </w:pPr>
      <w:r>
        <w:rPr>
          <w:rFonts w:ascii="Arial" w:cs="Arial" w:eastAsia="Arial" w:hAnsi="Arial"/>
          <w:sz w:val="16"/>
          <w:szCs w:val="16"/>
          <w:color w:val="auto"/>
          <w:vertAlign w:val="superscript"/>
        </w:rPr>
        <w:t>9</w:t>
      </w:r>
      <w:r>
        <w:rPr>
          <w:rFonts w:ascii="Arial" w:cs="Arial" w:eastAsia="Arial" w:hAnsi="Arial"/>
          <w:sz w:val="10"/>
          <w:szCs w:val="10"/>
          <w:color w:val="auto"/>
        </w:rPr>
        <w:t xml:space="preserve"> Primarily related to Thermal Development Expenses</w:t>
      </w:r>
    </w:p>
    <w:p>
      <w:pPr>
        <w:spacing w:after="0" w:line="234" w:lineRule="auto"/>
        <w:rPr>
          <w:rFonts w:ascii="Arial" w:cs="Arial" w:eastAsia="Arial" w:hAnsi="Arial"/>
          <w:sz w:val="17"/>
          <w:szCs w:val="17"/>
          <w:color w:val="auto"/>
          <w:vertAlign w:val="superscript"/>
        </w:rPr>
      </w:pPr>
      <w:r>
        <w:rPr>
          <w:rFonts w:ascii="Arial" w:cs="Arial" w:eastAsia="Arial" w:hAnsi="Arial"/>
          <w:sz w:val="17"/>
          <w:szCs w:val="17"/>
          <w:color w:val="auto"/>
          <w:vertAlign w:val="superscript"/>
        </w:rPr>
        <w:t>10</w:t>
      </w:r>
      <w:r>
        <w:rPr>
          <w:rFonts w:ascii="Arial" w:cs="Arial" w:eastAsia="Arial" w:hAnsi="Arial"/>
          <w:sz w:val="11"/>
          <w:szCs w:val="11"/>
          <w:color w:val="auto"/>
        </w:rPr>
        <w:t xml:space="preserve"> Includes tax equity proceeds and distributions to tax equity partners</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615"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Non-GAAP Financial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 and Adjusted EBITDA</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 w:lineRule="exact"/>
        <w:rPr>
          <w:sz w:val="20"/>
          <w:szCs w:val="20"/>
          <w:color w:val="auto"/>
        </w:rPr>
      </w:pP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does not reflect cash expenditures, or future requirements for capital expenditures, or contractual commitments;</w:t>
      </w:r>
    </w:p>
    <w:p>
      <w:pPr>
        <w:spacing w:after="0" w:line="3" w:lineRule="exact"/>
        <w:rPr>
          <w:rFonts w:ascii="Arial" w:cs="Arial" w:eastAsia="Arial" w:hAnsi="Arial"/>
          <w:sz w:val="14"/>
          <w:szCs w:val="14"/>
          <w:color w:val="auto"/>
        </w:rPr>
      </w:pP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does not reflect changes in, or cash requirements for, working capital needs;</w:t>
      </w:r>
    </w:p>
    <w:p>
      <w:pPr>
        <w:spacing w:after="0" w:line="3" w:lineRule="exact"/>
        <w:rPr>
          <w:rFonts w:ascii="Arial" w:cs="Arial" w:eastAsia="Arial" w:hAnsi="Arial"/>
          <w:sz w:val="14"/>
          <w:szCs w:val="14"/>
          <w:color w:val="auto"/>
        </w:rPr>
      </w:pP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does not reflect the significant interest expense, or the cash requirements necessary to service interest or principal payments, on debt or cash income tax payments;</w:t>
      </w:r>
    </w:p>
    <w:p>
      <w:pPr>
        <w:spacing w:after="0" w:line="3" w:lineRule="exact"/>
        <w:rPr>
          <w:rFonts w:ascii="Arial" w:cs="Arial" w:eastAsia="Arial" w:hAnsi="Arial"/>
          <w:sz w:val="14"/>
          <w:szCs w:val="14"/>
          <w:color w:val="auto"/>
        </w:rPr>
      </w:pPr>
    </w:p>
    <w:p>
      <w:pPr>
        <w:ind w:left="240" w:hanging="238"/>
        <w:spacing w:after="0" w:line="244" w:lineRule="auto"/>
        <w:tabs>
          <w:tab w:leader="none" w:pos="2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does not reflect any cash requirements for such replacements; and</w:t>
      </w: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companies in this industry may calculate EBITDA differently than Clearway Energy does, limiting its usefulness as a comparative measure.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66" w:lineRule="exact"/>
        <w:rPr>
          <w:sz w:val="20"/>
          <w:szCs w:val="20"/>
          <w:color w:val="auto"/>
        </w:rPr>
      </w:pPr>
    </w:p>
    <w:p>
      <w:pPr>
        <w:jc w:val="both"/>
        <w:spacing w:after="0" w:line="341" w:lineRule="auto"/>
        <w:rPr>
          <w:sz w:val="20"/>
          <w:szCs w:val="20"/>
          <w:color w:val="auto"/>
        </w:rPr>
      </w:pPr>
      <w:r>
        <w:rPr>
          <w:rFonts w:ascii="Arial" w:cs="Arial" w:eastAsia="Arial" w:hAnsi="Arial"/>
          <w:sz w:val="11"/>
          <w:szCs w:val="11"/>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80"/>
          </w:cols>
          <w:pgMar w:left="300" w:top="1026"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Cash Available for Distribution</w:t>
      </w:r>
    </w:p>
    <w:p>
      <w:pPr>
        <w:spacing w:after="0" w:line="219" w:lineRule="exact"/>
        <w:rPr>
          <w:sz w:val="20"/>
          <w:szCs w:val="20"/>
          <w:color w:val="auto"/>
        </w:rPr>
      </w:pPr>
    </w:p>
    <w:p>
      <w:pPr>
        <w:jc w:val="both"/>
        <w:spacing w:after="0" w:line="341" w:lineRule="auto"/>
        <w:rPr>
          <w:sz w:val="20"/>
          <w:szCs w:val="20"/>
          <w:color w:val="auto"/>
        </w:rPr>
      </w:pPr>
      <w:r>
        <w:rPr>
          <w:rFonts w:ascii="Arial" w:cs="Arial" w:eastAsia="Arial" w:hAnsi="Arial"/>
          <w:sz w:val="11"/>
          <w:szCs w:val="11"/>
          <w:color w:val="auto"/>
        </w:rPr>
        <w:t>A non-GAAP measure, Cash Available for Distribution is defined as of June 30, 2022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jc w:val="both"/>
        <w:spacing w:after="0" w:line="341" w:lineRule="auto"/>
        <w:rPr>
          <w:sz w:val="20"/>
          <w:szCs w:val="20"/>
          <w:color w:val="auto"/>
        </w:rPr>
      </w:pPr>
      <w:r>
        <w:rPr>
          <w:rFonts w:ascii="Arial" w:cs="Arial" w:eastAsia="Arial" w:hAnsi="Arial"/>
          <w:sz w:val="11"/>
          <w:szCs w:val="11"/>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sectPr>
      <w:pgSz w:w="11900" w:h="16838" w:orient="portrait"/>
      <w:cols w:equalWidth="0" w:num="1">
        <w:col w:w="11280"/>
      </w:cols>
      <w:pgMar w:left="300" w:top="66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7"/>
      <w:numFmt w:val="bullet"/>
      <w:start w:val="1"/>
    </w:lvl>
  </w:abstractNum>
  <w:abstractNum w:abstractNumId="10">
    <w:nsid w:val="1190CDE7"/>
    <w:multiLevelType w:val="hybridMultilevel"/>
    <w:lvl w:ilvl="0">
      <w:lvlJc w:val="left"/>
      <w:lvlText w:val="8"/>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2022-08-02T05:19:07Z</dcterms:created>
  <dcterms:modified xsi:type="dcterms:W3CDTF">2022-08-02T05:19:07Z</dcterms:modified>
</cp:coreProperties>
</file>